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4ED7C">
      <w:pPr>
        <w:spacing w:line="500" w:lineRule="exact"/>
        <w:jc w:val="right"/>
        <w:rPr>
          <w:rFonts w:ascii="宋体" w:hAnsi="宋体"/>
          <w:b/>
          <w:caps/>
          <w:sz w:val="60"/>
          <w:szCs w:val="60"/>
        </w:rPr>
      </w:pPr>
    </w:p>
    <w:p w14:paraId="13C96C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60"/>
          <w:szCs w:val="60"/>
        </w:rPr>
      </w:pPr>
      <w:r>
        <w:rPr>
          <w:rFonts w:hint="eastAsia" w:ascii="宋体" w:hAnsi="宋体"/>
          <w:b/>
          <w:sz w:val="60"/>
          <w:szCs w:val="60"/>
        </w:rPr>
        <w:t>松原市政府采购项目</w:t>
      </w:r>
    </w:p>
    <w:p w14:paraId="3FB188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60"/>
          <w:szCs w:val="60"/>
        </w:rPr>
      </w:pPr>
      <w:r>
        <w:rPr>
          <w:rFonts w:hint="eastAsia" w:ascii="宋体" w:hAnsi="宋体"/>
          <w:b/>
          <w:sz w:val="60"/>
          <w:szCs w:val="60"/>
        </w:rPr>
        <w:t>(货物类)</w:t>
      </w:r>
    </w:p>
    <w:p w14:paraId="4EB6D7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44"/>
          <w:szCs w:val="44"/>
        </w:rPr>
      </w:pPr>
    </w:p>
    <w:p w14:paraId="5174D3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44"/>
          <w:szCs w:val="44"/>
        </w:rPr>
      </w:pPr>
    </w:p>
    <w:p w14:paraId="554B68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44"/>
          <w:szCs w:val="44"/>
        </w:rPr>
      </w:pPr>
    </w:p>
    <w:p w14:paraId="68496C9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sz w:val="44"/>
          <w:szCs w:val="44"/>
        </w:rPr>
      </w:pPr>
    </w:p>
    <w:p w14:paraId="20CA730F">
      <w:pPr>
        <w:keepNext w:val="0"/>
        <w:keepLines w:val="0"/>
        <w:pageBreakBefore w:val="0"/>
        <w:widowControl w:val="0"/>
        <w:tabs>
          <w:tab w:val="left" w:pos="1989"/>
          <w:tab w:val="center" w:pos="4204"/>
        </w:tabs>
        <w:kinsoku/>
        <w:wordWrap/>
        <w:overflowPunct/>
        <w:topLinePunct w:val="0"/>
        <w:autoSpaceDE/>
        <w:autoSpaceDN/>
        <w:bidi w:val="0"/>
        <w:adjustRightInd/>
        <w:snapToGrid/>
        <w:spacing w:line="240" w:lineRule="auto"/>
        <w:jc w:val="left"/>
        <w:textAlignment w:val="auto"/>
        <w:rPr>
          <w:rFonts w:ascii="宋体" w:hAnsi="宋体"/>
          <w:b/>
          <w:sz w:val="56"/>
          <w:szCs w:val="56"/>
        </w:rPr>
      </w:pPr>
      <w:r>
        <w:rPr>
          <w:rFonts w:hint="eastAsia" w:ascii="宋体" w:hAnsi="宋体"/>
          <w:b/>
          <w:sz w:val="44"/>
          <w:szCs w:val="44"/>
        </w:rPr>
        <w:tab/>
      </w:r>
      <w:r>
        <w:rPr>
          <w:rFonts w:hint="eastAsia" w:ascii="宋体" w:hAnsi="宋体"/>
          <w:b/>
          <w:sz w:val="52"/>
          <w:szCs w:val="52"/>
        </w:rPr>
        <w:tab/>
      </w:r>
      <w:r>
        <w:rPr>
          <w:rFonts w:hint="eastAsia" w:ascii="宋体" w:hAnsi="宋体"/>
          <w:b/>
          <w:sz w:val="56"/>
          <w:szCs w:val="56"/>
        </w:rPr>
        <w:t>公开招标文件</w:t>
      </w:r>
    </w:p>
    <w:p w14:paraId="45D43045">
      <w:pPr>
        <w:spacing w:line="500" w:lineRule="exact"/>
        <w:rPr>
          <w:rFonts w:ascii="宋体" w:hAnsi="宋体"/>
          <w:b/>
          <w:sz w:val="52"/>
          <w:szCs w:val="52"/>
        </w:rPr>
      </w:pPr>
    </w:p>
    <w:p w14:paraId="20A4ABFA">
      <w:pPr>
        <w:spacing w:line="500" w:lineRule="exact"/>
        <w:rPr>
          <w:rFonts w:ascii="宋体" w:hAnsi="宋体"/>
          <w:b/>
          <w:sz w:val="28"/>
          <w:szCs w:val="28"/>
        </w:rPr>
      </w:pPr>
    </w:p>
    <w:p w14:paraId="222A1F25">
      <w:pPr>
        <w:spacing w:line="500" w:lineRule="exact"/>
        <w:jc w:val="center"/>
        <w:rPr>
          <w:rFonts w:ascii="宋体" w:hAnsi="宋体"/>
          <w:b/>
          <w:sz w:val="28"/>
          <w:szCs w:val="28"/>
        </w:rPr>
      </w:pPr>
    </w:p>
    <w:p w14:paraId="50A1C135">
      <w:pPr>
        <w:spacing w:line="500" w:lineRule="exact"/>
        <w:jc w:val="center"/>
        <w:rPr>
          <w:rFonts w:ascii="宋体" w:hAnsi="宋体"/>
          <w:b/>
          <w:sz w:val="28"/>
          <w:szCs w:val="28"/>
        </w:rPr>
      </w:pPr>
    </w:p>
    <w:p w14:paraId="3B0E9358">
      <w:pPr>
        <w:tabs>
          <w:tab w:val="left" w:pos="5760"/>
        </w:tabs>
        <w:spacing w:line="500" w:lineRule="exact"/>
        <w:jc w:val="left"/>
        <w:rPr>
          <w:rFonts w:ascii="宋体" w:hAnsi="宋体"/>
          <w:b/>
          <w:sz w:val="28"/>
          <w:szCs w:val="28"/>
        </w:rPr>
      </w:pPr>
      <w:r>
        <w:rPr>
          <w:rFonts w:ascii="宋体" w:hAnsi="宋体"/>
          <w:b/>
          <w:sz w:val="28"/>
          <w:szCs w:val="28"/>
        </w:rPr>
        <w:tab/>
      </w:r>
    </w:p>
    <w:p w14:paraId="78AF53DA">
      <w:pPr>
        <w:tabs>
          <w:tab w:val="left" w:pos="5760"/>
        </w:tabs>
        <w:spacing w:line="500" w:lineRule="exact"/>
        <w:jc w:val="left"/>
        <w:rPr>
          <w:rFonts w:ascii="宋体" w:hAnsi="宋体"/>
          <w:b/>
          <w:sz w:val="28"/>
          <w:szCs w:val="28"/>
        </w:rPr>
      </w:pPr>
    </w:p>
    <w:p w14:paraId="6A667750">
      <w:pPr>
        <w:tabs>
          <w:tab w:val="left" w:pos="5760"/>
        </w:tabs>
        <w:spacing w:line="500" w:lineRule="exact"/>
        <w:jc w:val="left"/>
        <w:rPr>
          <w:rFonts w:ascii="宋体" w:hAnsi="宋体"/>
          <w:b/>
          <w:sz w:val="28"/>
          <w:szCs w:val="28"/>
        </w:rPr>
      </w:pPr>
    </w:p>
    <w:p w14:paraId="09680DD9">
      <w:pPr>
        <w:tabs>
          <w:tab w:val="left" w:pos="5760"/>
        </w:tabs>
        <w:spacing w:line="500" w:lineRule="exact"/>
        <w:jc w:val="left"/>
        <w:rPr>
          <w:rFonts w:ascii="宋体" w:hAnsi="宋体"/>
          <w:b/>
          <w:sz w:val="28"/>
          <w:szCs w:val="28"/>
        </w:rPr>
      </w:pPr>
    </w:p>
    <w:p w14:paraId="78DC5E39">
      <w:pPr>
        <w:spacing w:line="500" w:lineRule="exact"/>
        <w:jc w:val="center"/>
        <w:rPr>
          <w:rFonts w:ascii="宋体" w:hAnsi="宋体"/>
          <w:b/>
          <w:sz w:val="28"/>
          <w:szCs w:val="28"/>
        </w:rPr>
      </w:pPr>
    </w:p>
    <w:p w14:paraId="59302F8C">
      <w:pPr>
        <w:spacing w:line="500" w:lineRule="exact"/>
        <w:jc w:val="center"/>
        <w:rPr>
          <w:rFonts w:ascii="宋体" w:hAnsi="宋体"/>
          <w:b/>
          <w:sz w:val="28"/>
          <w:szCs w:val="28"/>
        </w:rPr>
      </w:pPr>
    </w:p>
    <w:p w14:paraId="49BB6C32">
      <w:pPr>
        <w:spacing w:line="500" w:lineRule="exact"/>
        <w:rPr>
          <w:b/>
          <w:sz w:val="32"/>
          <w:szCs w:val="32"/>
          <w:u w:val="single"/>
        </w:rPr>
      </w:pPr>
      <w:r>
        <w:rPr>
          <w:rFonts w:hint="eastAsia" w:ascii="宋体"/>
          <w:b/>
          <w:sz w:val="32"/>
          <w:szCs w:val="32"/>
          <w:lang w:eastAsia="zh-CN"/>
        </w:rPr>
        <w:t>采购计划文号</w:t>
      </w:r>
      <w:r>
        <w:rPr>
          <w:rFonts w:hint="eastAsia" w:ascii="宋体"/>
          <w:b/>
          <w:sz w:val="32"/>
          <w:szCs w:val="32"/>
        </w:rPr>
        <w:t>：</w:t>
      </w:r>
      <w:r>
        <w:rPr>
          <w:rFonts w:hint="eastAsia" w:ascii="宋体"/>
          <w:b/>
          <w:sz w:val="32"/>
          <w:szCs w:val="32"/>
          <w:u w:val="single"/>
        </w:rPr>
        <w:t>{采购计划-[2025]-00085号}</w:t>
      </w:r>
    </w:p>
    <w:p w14:paraId="3069C82A">
      <w:pPr>
        <w:spacing w:line="500" w:lineRule="exact"/>
        <w:rPr>
          <w:rFonts w:ascii="宋体"/>
          <w:b/>
          <w:sz w:val="32"/>
          <w:szCs w:val="32"/>
          <w:u w:val="single"/>
        </w:rPr>
      </w:pPr>
      <w:r>
        <w:rPr>
          <w:rFonts w:hint="eastAsia" w:ascii="宋体"/>
          <w:b/>
          <w:sz w:val="32"/>
          <w:szCs w:val="32"/>
        </w:rPr>
        <w:t>项目</w:t>
      </w:r>
      <w:r>
        <w:rPr>
          <w:rFonts w:ascii="宋体"/>
          <w:b/>
          <w:sz w:val="32"/>
          <w:szCs w:val="32"/>
        </w:rPr>
        <w:t>名称</w:t>
      </w:r>
      <w:r>
        <w:rPr>
          <w:rFonts w:hint="eastAsia" w:ascii="宋体"/>
          <w:b/>
          <w:sz w:val="32"/>
          <w:szCs w:val="32"/>
        </w:rPr>
        <w:t>：</w:t>
      </w:r>
      <w:r>
        <w:rPr>
          <w:rFonts w:hint="eastAsia" w:ascii="宋体"/>
          <w:b/>
          <w:sz w:val="32"/>
          <w:szCs w:val="32"/>
          <w:u w:val="single"/>
        </w:rPr>
        <w:t>{2025年市本级急需采购救灾物资}</w:t>
      </w:r>
    </w:p>
    <w:p w14:paraId="773CCADE">
      <w:pPr>
        <w:spacing w:line="500" w:lineRule="exact"/>
        <w:rPr>
          <w:rFonts w:ascii="宋体"/>
          <w:b/>
          <w:sz w:val="32"/>
          <w:szCs w:val="32"/>
          <w:u w:val="single"/>
        </w:rPr>
      </w:pPr>
      <w:r>
        <w:rPr>
          <w:rFonts w:hint="eastAsia"/>
          <w:b/>
          <w:sz w:val="32"/>
          <w:szCs w:val="32"/>
        </w:rPr>
        <w:t>采购人名称</w:t>
      </w:r>
      <w:r>
        <w:rPr>
          <w:rFonts w:hint="eastAsia" w:ascii="宋体"/>
          <w:b/>
          <w:sz w:val="32"/>
          <w:szCs w:val="32"/>
        </w:rPr>
        <w:t>：</w:t>
      </w:r>
      <w:r>
        <w:rPr>
          <w:rFonts w:hint="eastAsia" w:ascii="宋体"/>
          <w:b/>
          <w:sz w:val="32"/>
          <w:szCs w:val="32"/>
          <w:u w:val="single"/>
        </w:rPr>
        <w:t>{松原市粮食和物资储备中心}</w:t>
      </w:r>
    </w:p>
    <w:p w14:paraId="22902B76">
      <w:pPr>
        <w:spacing w:line="500" w:lineRule="exact"/>
        <w:rPr>
          <w:rFonts w:ascii="宋体" w:hAnsi="宋体"/>
          <w:b/>
          <w:sz w:val="28"/>
          <w:szCs w:val="28"/>
          <w:u w:val="single"/>
        </w:rPr>
      </w:pPr>
      <w:r>
        <w:rPr>
          <w:rFonts w:hint="eastAsia"/>
          <w:b/>
          <w:sz w:val="32"/>
          <w:szCs w:val="32"/>
        </w:rPr>
        <w:t>采购</w:t>
      </w:r>
      <w:r>
        <w:rPr>
          <w:b/>
          <w:sz w:val="32"/>
          <w:szCs w:val="32"/>
        </w:rPr>
        <w:t>代理机构名称：</w:t>
      </w:r>
      <w:r>
        <w:rPr>
          <w:rFonts w:hint="eastAsia" w:ascii="宋体"/>
          <w:b/>
          <w:sz w:val="32"/>
          <w:szCs w:val="32"/>
          <w:u w:val="single"/>
        </w:rPr>
        <w:t>松原市</w:t>
      </w:r>
      <w:r>
        <w:rPr>
          <w:rFonts w:hint="eastAsia" w:ascii="宋体"/>
          <w:b/>
          <w:sz w:val="32"/>
          <w:szCs w:val="32"/>
          <w:u w:val="single"/>
          <w:lang w:val="en-US" w:eastAsia="zh-CN"/>
        </w:rPr>
        <w:t>公共资源交易中心（松原市</w:t>
      </w:r>
      <w:r>
        <w:rPr>
          <w:rFonts w:ascii="宋体"/>
          <w:b/>
          <w:sz w:val="32"/>
          <w:szCs w:val="32"/>
          <w:u w:val="single"/>
        </w:rPr>
        <w:t>政府采购中心</w:t>
      </w:r>
      <w:r>
        <w:rPr>
          <w:rFonts w:hint="eastAsia" w:ascii="宋体"/>
          <w:b/>
          <w:sz w:val="32"/>
          <w:szCs w:val="32"/>
          <w:u w:val="single"/>
          <w:lang w:val="en-US" w:eastAsia="zh-CN"/>
        </w:rPr>
        <w:t>）</w:t>
      </w:r>
    </w:p>
    <w:p w14:paraId="28DDBA7C">
      <w:pPr>
        <w:spacing w:line="500" w:lineRule="exact"/>
        <w:ind w:firstLine="3514" w:firstLineChars="1250"/>
        <w:rPr>
          <w:rFonts w:ascii="宋体" w:hAnsi="宋体"/>
          <w:b/>
          <w:bCs/>
          <w:sz w:val="28"/>
          <w:szCs w:val="28"/>
          <w:lang w:val="zh-CN"/>
        </w:rPr>
      </w:pPr>
      <w:r>
        <w:rPr>
          <w:rFonts w:hint="eastAsia" w:ascii="宋体" w:hAnsi="宋体"/>
          <w:b/>
          <w:bCs/>
          <w:sz w:val="28"/>
          <w:szCs w:val="28"/>
          <w:lang w:val="en-US" w:eastAsia="zh-CN"/>
        </w:rPr>
        <w:t>2025</w:t>
      </w:r>
      <w:r>
        <w:rPr>
          <w:rFonts w:ascii="宋体" w:hAnsi="宋体"/>
          <w:b/>
          <w:bCs/>
          <w:sz w:val="28"/>
          <w:szCs w:val="28"/>
          <w:lang w:val="zh-CN"/>
        </w:rPr>
        <w:t>年</w:t>
      </w:r>
      <w:r>
        <w:rPr>
          <w:rFonts w:hint="eastAsia" w:ascii="宋体" w:hAnsi="宋体"/>
          <w:b/>
          <w:bCs/>
          <w:sz w:val="28"/>
          <w:szCs w:val="28"/>
          <w:lang w:val="en-US" w:eastAsia="zh-CN"/>
        </w:rPr>
        <w:t>7</w:t>
      </w:r>
      <w:r>
        <w:rPr>
          <w:rFonts w:ascii="宋体" w:hAnsi="宋体"/>
          <w:b/>
          <w:bCs/>
          <w:sz w:val="28"/>
          <w:szCs w:val="28"/>
          <w:lang w:val="zh-CN"/>
        </w:rPr>
        <w:t>月</w:t>
      </w:r>
    </w:p>
    <w:p w14:paraId="43A05362">
      <w:pPr>
        <w:keepNext/>
        <w:keepLines/>
        <w:widowControl/>
        <w:spacing w:before="240" w:line="500" w:lineRule="exact"/>
        <w:jc w:val="center"/>
        <w:rPr>
          <w:rFonts w:ascii="黑体" w:hAnsi="黑体" w:eastAsia="黑体"/>
          <w:b/>
          <w:kern w:val="0"/>
          <w:sz w:val="28"/>
          <w:szCs w:val="28"/>
          <w:lang w:val="zh-CN"/>
        </w:rPr>
        <w:sectPr>
          <w:footerReference r:id="rId4" w:type="default"/>
          <w:headerReference r:id="rId3" w:type="even"/>
          <w:footerReference r:id="rId5" w:type="even"/>
          <w:pgSz w:w="11906" w:h="16838"/>
          <w:pgMar w:top="1440" w:right="1797" w:bottom="1440" w:left="1797" w:header="851" w:footer="992" w:gutter="0"/>
          <w:pgNumType w:fmt="decimal"/>
          <w:cols w:space="720" w:num="1"/>
          <w:docGrid w:linePitch="312" w:charSpace="0"/>
        </w:sectPr>
      </w:pPr>
      <w:bookmarkStart w:id="0" w:name="_Hlt101233737"/>
      <w:bookmarkEnd w:id="0"/>
      <w:bookmarkStart w:id="1" w:name="_Hlt101843627"/>
      <w:bookmarkEnd w:id="1"/>
    </w:p>
    <w:p w14:paraId="5047454A">
      <w:pPr>
        <w:keepNext/>
        <w:keepLines/>
        <w:widowControl/>
        <w:spacing w:before="240" w:line="500" w:lineRule="exact"/>
        <w:jc w:val="center"/>
        <w:rPr>
          <w:rFonts w:ascii="黑体" w:hAnsi="黑体" w:eastAsia="黑体"/>
          <w:b/>
          <w:kern w:val="0"/>
          <w:sz w:val="28"/>
          <w:szCs w:val="28"/>
          <w:lang w:val="zh-CN"/>
        </w:rPr>
      </w:pPr>
      <w:r>
        <w:rPr>
          <w:rFonts w:ascii="黑体" w:hAnsi="黑体" w:eastAsia="黑体"/>
          <w:b/>
          <w:kern w:val="0"/>
          <w:sz w:val="28"/>
          <w:szCs w:val="28"/>
          <w:lang w:val="zh-CN"/>
        </w:rPr>
        <w:t>目</w:t>
      </w:r>
      <w:r>
        <w:rPr>
          <w:rFonts w:hint="eastAsia" w:ascii="黑体" w:hAnsi="黑体" w:eastAsia="黑体"/>
          <w:b/>
          <w:kern w:val="0"/>
          <w:sz w:val="28"/>
          <w:szCs w:val="28"/>
          <w:lang w:val="zh-CN"/>
        </w:rPr>
        <w:t xml:space="preserve">      </w:t>
      </w:r>
      <w:r>
        <w:rPr>
          <w:rFonts w:ascii="黑体" w:hAnsi="黑体" w:eastAsia="黑体"/>
          <w:b/>
          <w:kern w:val="0"/>
          <w:sz w:val="28"/>
          <w:szCs w:val="28"/>
          <w:lang w:val="zh-CN"/>
        </w:rPr>
        <w:t>录</w:t>
      </w:r>
    </w:p>
    <w:p w14:paraId="1C9FD13B">
      <w:pPr>
        <w:pStyle w:val="38"/>
        <w:tabs>
          <w:tab w:val="right" w:leader="dot" w:pos="8306"/>
        </w:tabs>
      </w:pPr>
      <w:r>
        <w:rPr>
          <w:rFonts w:ascii="黑体" w:hAnsi="黑体" w:eastAsia="黑体"/>
          <w:kern w:val="0"/>
          <w:sz w:val="28"/>
          <w:szCs w:val="28"/>
        </w:rPr>
        <w:fldChar w:fldCharType="begin"/>
      </w:r>
      <w:r>
        <w:rPr>
          <w:rFonts w:ascii="黑体" w:hAnsi="黑体" w:eastAsia="黑体"/>
          <w:kern w:val="0"/>
          <w:sz w:val="28"/>
          <w:szCs w:val="28"/>
        </w:rPr>
        <w:instrText xml:space="preserve"> TOC \o "1-3" \h \z \u </w:instrText>
      </w:r>
      <w:r>
        <w:rPr>
          <w:rFonts w:ascii="黑体" w:hAnsi="黑体" w:eastAsia="黑体"/>
          <w:kern w:val="0"/>
          <w:sz w:val="28"/>
          <w:szCs w:val="28"/>
        </w:rPr>
        <w:fldChar w:fldCharType="separate"/>
      </w:r>
      <w:r>
        <w:rPr>
          <w:rFonts w:ascii="黑体" w:hAnsi="黑体" w:eastAsia="黑体"/>
          <w:b w:val="0"/>
          <w:bCs w:val="0"/>
          <w:kern w:val="0"/>
          <w:szCs w:val="28"/>
        </w:rPr>
        <w:fldChar w:fldCharType="begin"/>
      </w:r>
      <w:r>
        <w:rPr>
          <w:rFonts w:ascii="黑体" w:hAnsi="黑体" w:eastAsia="黑体"/>
          <w:b w:val="0"/>
          <w:bCs w:val="0"/>
          <w:kern w:val="0"/>
          <w:szCs w:val="28"/>
        </w:rPr>
        <w:instrText xml:space="preserve"> HYPERLINK \l _Toc18626 </w:instrText>
      </w:r>
      <w:r>
        <w:rPr>
          <w:rFonts w:ascii="黑体" w:hAnsi="黑体" w:eastAsia="黑体"/>
          <w:b w:val="0"/>
          <w:bCs w:val="0"/>
          <w:kern w:val="0"/>
          <w:szCs w:val="28"/>
        </w:rPr>
        <w:fldChar w:fldCharType="separate"/>
      </w:r>
      <w:r>
        <w:rPr>
          <w:rFonts w:hint="eastAsia" w:ascii="黑体" w:hAnsi="黑体" w:eastAsia="黑体"/>
          <w:b w:val="0"/>
          <w:bCs w:val="0"/>
          <w:szCs w:val="44"/>
        </w:rPr>
        <w:t>第一章  招标公告</w:t>
      </w:r>
      <w:r>
        <w:rPr>
          <w:b w:val="0"/>
          <w:bCs w:val="0"/>
        </w:rPr>
        <w:tab/>
      </w:r>
      <w:r>
        <w:rPr>
          <w:b w:val="0"/>
          <w:bCs w:val="0"/>
        </w:rPr>
        <w:fldChar w:fldCharType="begin"/>
      </w:r>
      <w:r>
        <w:rPr>
          <w:b w:val="0"/>
          <w:bCs w:val="0"/>
        </w:rPr>
        <w:instrText xml:space="preserve"> PAGEREF _Toc18626 \h </w:instrText>
      </w:r>
      <w:r>
        <w:rPr>
          <w:b w:val="0"/>
          <w:bCs w:val="0"/>
        </w:rPr>
        <w:fldChar w:fldCharType="separate"/>
      </w:r>
      <w:r>
        <w:rPr>
          <w:b w:val="0"/>
          <w:bCs w:val="0"/>
        </w:rPr>
        <w:t>4</w:t>
      </w:r>
      <w:r>
        <w:rPr>
          <w:b w:val="0"/>
          <w:bCs w:val="0"/>
        </w:rPr>
        <w:fldChar w:fldCharType="end"/>
      </w:r>
      <w:r>
        <w:rPr>
          <w:rFonts w:ascii="黑体" w:hAnsi="黑体" w:eastAsia="黑体"/>
          <w:b w:val="0"/>
          <w:bCs w:val="0"/>
          <w:kern w:val="0"/>
          <w:szCs w:val="28"/>
        </w:rPr>
        <w:fldChar w:fldCharType="end"/>
      </w:r>
    </w:p>
    <w:p w14:paraId="200213D7">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_Toc8204 </w:instrText>
      </w:r>
      <w:r>
        <w:rPr>
          <w:rFonts w:ascii="黑体" w:hAnsi="黑体" w:eastAsia="黑体"/>
          <w:bCs/>
          <w:szCs w:val="28"/>
          <w:lang w:val="zh-CN"/>
        </w:rPr>
        <w:fldChar w:fldCharType="separate"/>
      </w:r>
      <w:r>
        <w:rPr>
          <w:rFonts w:hint="eastAsia" w:ascii="黑体" w:hAnsi="黑体" w:cs="宋体"/>
          <w:szCs w:val="28"/>
        </w:rPr>
        <w:t>一、项目基本情况</w:t>
      </w:r>
      <w:r>
        <w:tab/>
      </w:r>
      <w:r>
        <w:fldChar w:fldCharType="begin"/>
      </w:r>
      <w:r>
        <w:instrText xml:space="preserve"> PAGEREF _Toc8204 \h </w:instrText>
      </w:r>
      <w:r>
        <w:fldChar w:fldCharType="separate"/>
      </w:r>
      <w:r>
        <w:t>4</w:t>
      </w:r>
      <w:r>
        <w:fldChar w:fldCharType="end"/>
      </w:r>
      <w:r>
        <w:rPr>
          <w:rFonts w:ascii="黑体" w:hAnsi="黑体" w:eastAsia="黑体"/>
          <w:bCs/>
          <w:szCs w:val="28"/>
          <w:lang w:val="zh-CN"/>
        </w:rPr>
        <w:fldChar w:fldCharType="end"/>
      </w:r>
    </w:p>
    <w:p w14:paraId="5EB4A58C">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_Toc21406 </w:instrText>
      </w:r>
      <w:r>
        <w:rPr>
          <w:rFonts w:ascii="黑体" w:hAnsi="黑体" w:eastAsia="黑体"/>
          <w:bCs/>
          <w:szCs w:val="28"/>
          <w:lang w:val="zh-CN"/>
        </w:rPr>
        <w:fldChar w:fldCharType="separate"/>
      </w:r>
      <w:r>
        <w:rPr>
          <w:rFonts w:hint="eastAsia" w:ascii="黑体" w:hAnsi="黑体" w:cs="宋体"/>
          <w:szCs w:val="28"/>
        </w:rPr>
        <w:t>二、申请人的资格要求</w:t>
      </w:r>
      <w:r>
        <w:tab/>
      </w:r>
      <w:r>
        <w:fldChar w:fldCharType="begin"/>
      </w:r>
      <w:r>
        <w:instrText xml:space="preserve"> PAGEREF _Toc21406 \h </w:instrText>
      </w:r>
      <w:r>
        <w:fldChar w:fldCharType="separate"/>
      </w:r>
      <w:r>
        <w:t>4</w:t>
      </w:r>
      <w:r>
        <w:fldChar w:fldCharType="end"/>
      </w:r>
      <w:r>
        <w:rPr>
          <w:rFonts w:ascii="黑体" w:hAnsi="黑体" w:eastAsia="黑体"/>
          <w:bCs/>
          <w:szCs w:val="28"/>
          <w:lang w:val="zh-CN"/>
        </w:rPr>
        <w:fldChar w:fldCharType="end"/>
      </w:r>
    </w:p>
    <w:p w14:paraId="467B9670">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_Toc10248 </w:instrText>
      </w:r>
      <w:r>
        <w:rPr>
          <w:rFonts w:ascii="黑体" w:hAnsi="黑体" w:eastAsia="黑体"/>
          <w:bCs/>
          <w:szCs w:val="28"/>
          <w:lang w:val="zh-CN"/>
        </w:rPr>
        <w:fldChar w:fldCharType="separate"/>
      </w:r>
      <w:r>
        <w:rPr>
          <w:rFonts w:hint="eastAsia" w:ascii="黑体" w:hAnsi="黑体" w:cs="宋体"/>
          <w:szCs w:val="28"/>
        </w:rPr>
        <w:t>三、获取招标文件</w:t>
      </w:r>
      <w:r>
        <w:tab/>
      </w:r>
      <w:r>
        <w:fldChar w:fldCharType="begin"/>
      </w:r>
      <w:r>
        <w:instrText xml:space="preserve"> PAGEREF _Toc10248 \h </w:instrText>
      </w:r>
      <w:r>
        <w:fldChar w:fldCharType="separate"/>
      </w:r>
      <w:r>
        <w:t>5</w:t>
      </w:r>
      <w:r>
        <w:fldChar w:fldCharType="end"/>
      </w:r>
      <w:r>
        <w:rPr>
          <w:rFonts w:ascii="黑体" w:hAnsi="黑体" w:eastAsia="黑体"/>
          <w:bCs/>
          <w:szCs w:val="28"/>
          <w:lang w:val="zh-CN"/>
        </w:rPr>
        <w:fldChar w:fldCharType="end"/>
      </w:r>
    </w:p>
    <w:p w14:paraId="46994835">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_Toc19228 </w:instrText>
      </w:r>
      <w:r>
        <w:rPr>
          <w:rFonts w:ascii="黑体" w:hAnsi="黑体" w:eastAsia="黑体"/>
          <w:bCs/>
          <w:szCs w:val="28"/>
          <w:lang w:val="zh-CN"/>
        </w:rPr>
        <w:fldChar w:fldCharType="separate"/>
      </w:r>
      <w:r>
        <w:rPr>
          <w:rFonts w:hint="eastAsia" w:ascii="黑体" w:hAnsi="黑体" w:cs="宋体"/>
          <w:szCs w:val="28"/>
        </w:rPr>
        <w:t>四、提交投标文件截止时间、开标时间和地点</w:t>
      </w:r>
      <w:r>
        <w:tab/>
      </w:r>
      <w:r>
        <w:fldChar w:fldCharType="begin"/>
      </w:r>
      <w:r>
        <w:instrText xml:space="preserve"> PAGEREF _Toc19228 \h </w:instrText>
      </w:r>
      <w:r>
        <w:fldChar w:fldCharType="separate"/>
      </w:r>
      <w:r>
        <w:t>6</w:t>
      </w:r>
      <w:r>
        <w:fldChar w:fldCharType="end"/>
      </w:r>
      <w:r>
        <w:rPr>
          <w:rFonts w:ascii="黑体" w:hAnsi="黑体" w:eastAsia="黑体"/>
          <w:bCs/>
          <w:szCs w:val="28"/>
          <w:lang w:val="zh-CN"/>
        </w:rPr>
        <w:fldChar w:fldCharType="end"/>
      </w:r>
    </w:p>
    <w:p w14:paraId="0C33E4E3">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_Toc30684 </w:instrText>
      </w:r>
      <w:r>
        <w:rPr>
          <w:rFonts w:ascii="黑体" w:hAnsi="黑体" w:eastAsia="黑体"/>
          <w:bCs/>
          <w:szCs w:val="28"/>
          <w:lang w:val="zh-CN"/>
        </w:rPr>
        <w:fldChar w:fldCharType="separate"/>
      </w:r>
      <w:r>
        <w:rPr>
          <w:rFonts w:hint="eastAsia" w:ascii="黑体" w:hAnsi="黑体" w:cs="宋体"/>
          <w:szCs w:val="28"/>
        </w:rPr>
        <w:t>五、公告期限</w:t>
      </w:r>
      <w:r>
        <w:tab/>
      </w:r>
      <w:r>
        <w:fldChar w:fldCharType="begin"/>
      </w:r>
      <w:r>
        <w:instrText xml:space="preserve"> PAGEREF _Toc30684 \h </w:instrText>
      </w:r>
      <w:r>
        <w:fldChar w:fldCharType="separate"/>
      </w:r>
      <w:r>
        <w:t>6</w:t>
      </w:r>
      <w:r>
        <w:fldChar w:fldCharType="end"/>
      </w:r>
      <w:r>
        <w:rPr>
          <w:rFonts w:ascii="黑体" w:hAnsi="黑体" w:eastAsia="黑体"/>
          <w:bCs/>
          <w:szCs w:val="28"/>
          <w:lang w:val="zh-CN"/>
        </w:rPr>
        <w:fldChar w:fldCharType="end"/>
      </w:r>
    </w:p>
    <w:p w14:paraId="228F3346">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_Toc2773 </w:instrText>
      </w:r>
      <w:r>
        <w:rPr>
          <w:rFonts w:ascii="黑体" w:hAnsi="黑体" w:eastAsia="黑体"/>
          <w:bCs/>
          <w:szCs w:val="28"/>
          <w:lang w:val="zh-CN"/>
        </w:rPr>
        <w:fldChar w:fldCharType="separate"/>
      </w:r>
      <w:r>
        <w:rPr>
          <w:rFonts w:hint="eastAsia" w:ascii="黑体" w:hAnsi="黑体" w:cs="宋体"/>
          <w:szCs w:val="28"/>
        </w:rPr>
        <w:t>六、其他补充事宜</w:t>
      </w:r>
      <w:r>
        <w:tab/>
      </w:r>
      <w:r>
        <w:fldChar w:fldCharType="begin"/>
      </w:r>
      <w:r>
        <w:instrText xml:space="preserve"> PAGEREF _Toc2773 \h </w:instrText>
      </w:r>
      <w:r>
        <w:fldChar w:fldCharType="separate"/>
      </w:r>
      <w:r>
        <w:t>6</w:t>
      </w:r>
      <w:r>
        <w:fldChar w:fldCharType="end"/>
      </w:r>
      <w:r>
        <w:rPr>
          <w:rFonts w:ascii="黑体" w:hAnsi="黑体" w:eastAsia="黑体"/>
          <w:bCs/>
          <w:szCs w:val="28"/>
          <w:lang w:val="zh-CN"/>
        </w:rPr>
        <w:fldChar w:fldCharType="end"/>
      </w:r>
    </w:p>
    <w:p w14:paraId="463BC899">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_Toc13487 </w:instrText>
      </w:r>
      <w:r>
        <w:rPr>
          <w:rFonts w:ascii="黑体" w:hAnsi="黑体" w:eastAsia="黑体"/>
          <w:bCs/>
          <w:szCs w:val="28"/>
          <w:lang w:val="zh-CN"/>
        </w:rPr>
        <w:fldChar w:fldCharType="separate"/>
      </w:r>
      <w:r>
        <w:rPr>
          <w:rFonts w:hint="eastAsia" w:ascii="黑体" w:hAnsi="黑体" w:cs="宋体"/>
          <w:szCs w:val="28"/>
        </w:rPr>
        <w:t>七、对本次招标提出询问，请按</w:t>
      </w:r>
      <w:r>
        <w:rPr>
          <w:rFonts w:ascii="黑体" w:hAnsi="黑体" w:cs="宋体"/>
          <w:szCs w:val="28"/>
        </w:rPr>
        <w:t>以下方式</w:t>
      </w:r>
      <w:r>
        <w:rPr>
          <w:rFonts w:hint="eastAsia" w:ascii="黑体" w:hAnsi="黑体" w:cs="宋体"/>
          <w:szCs w:val="28"/>
        </w:rPr>
        <w:t>联系</w:t>
      </w:r>
      <w:r>
        <w:tab/>
      </w:r>
      <w:r>
        <w:fldChar w:fldCharType="begin"/>
      </w:r>
      <w:r>
        <w:instrText xml:space="preserve"> PAGEREF _Toc13487 \h </w:instrText>
      </w:r>
      <w:r>
        <w:fldChar w:fldCharType="separate"/>
      </w:r>
      <w:r>
        <w:t>7</w:t>
      </w:r>
      <w:r>
        <w:fldChar w:fldCharType="end"/>
      </w:r>
      <w:r>
        <w:rPr>
          <w:rFonts w:ascii="黑体" w:hAnsi="黑体" w:eastAsia="黑体"/>
          <w:bCs/>
          <w:szCs w:val="28"/>
          <w:lang w:val="zh-CN"/>
        </w:rPr>
        <w:fldChar w:fldCharType="end"/>
      </w:r>
    </w:p>
    <w:p w14:paraId="20B96CA5">
      <w:pPr>
        <w:pStyle w:val="38"/>
        <w:tabs>
          <w:tab w:val="right" w:leader="dot" w:pos="8306"/>
        </w:tabs>
        <w:rPr>
          <w:rFonts w:ascii="黑体" w:hAnsi="黑体" w:eastAsia="黑体"/>
          <w:b w:val="0"/>
          <w:bCs w:val="0"/>
          <w:kern w:val="0"/>
          <w:szCs w:val="28"/>
        </w:rPr>
      </w:pPr>
      <w:r>
        <w:rPr>
          <w:rFonts w:ascii="黑体" w:hAnsi="黑体" w:eastAsia="黑体"/>
          <w:b w:val="0"/>
          <w:bCs w:val="0"/>
          <w:kern w:val="0"/>
          <w:szCs w:val="28"/>
          <w:lang w:val="zh-CN"/>
        </w:rPr>
        <w:fldChar w:fldCharType="begin"/>
      </w:r>
      <w:r>
        <w:rPr>
          <w:rFonts w:ascii="黑体" w:hAnsi="黑体" w:eastAsia="黑体"/>
          <w:b w:val="0"/>
          <w:bCs w:val="0"/>
          <w:kern w:val="0"/>
          <w:szCs w:val="28"/>
          <w:lang w:val="zh-CN"/>
        </w:rPr>
        <w:instrText xml:space="preserve"> HYPERLINK \l _Toc17281 </w:instrText>
      </w:r>
      <w:r>
        <w:rPr>
          <w:rFonts w:ascii="黑体" w:hAnsi="黑体" w:eastAsia="黑体"/>
          <w:b w:val="0"/>
          <w:bCs w:val="0"/>
          <w:kern w:val="0"/>
          <w:szCs w:val="28"/>
          <w:lang w:val="zh-CN"/>
        </w:rPr>
        <w:fldChar w:fldCharType="separate"/>
      </w:r>
      <w:r>
        <w:rPr>
          <w:rFonts w:hint="eastAsia" w:ascii="黑体" w:hAnsi="黑体" w:eastAsia="黑体"/>
          <w:b w:val="0"/>
          <w:bCs w:val="0"/>
          <w:kern w:val="0"/>
          <w:szCs w:val="28"/>
        </w:rPr>
        <w:t>第二章  投标须知</w:t>
      </w:r>
      <w:r>
        <w:rPr>
          <w:rFonts w:ascii="黑体" w:hAnsi="黑体" w:eastAsia="黑体"/>
          <w:b w:val="0"/>
          <w:bCs w:val="0"/>
          <w:kern w:val="0"/>
          <w:szCs w:val="28"/>
        </w:rPr>
        <w:tab/>
      </w:r>
      <w:r>
        <w:rPr>
          <w:rFonts w:ascii="黑体" w:hAnsi="黑体" w:eastAsia="黑体"/>
          <w:b w:val="0"/>
          <w:bCs w:val="0"/>
          <w:kern w:val="0"/>
          <w:szCs w:val="28"/>
        </w:rPr>
        <w:fldChar w:fldCharType="begin"/>
      </w:r>
      <w:r>
        <w:rPr>
          <w:rFonts w:ascii="黑体" w:hAnsi="黑体" w:eastAsia="黑体"/>
          <w:b w:val="0"/>
          <w:bCs w:val="0"/>
          <w:kern w:val="0"/>
          <w:szCs w:val="28"/>
        </w:rPr>
        <w:instrText xml:space="preserve"> PAGEREF _Toc17281 \h </w:instrText>
      </w:r>
      <w:r>
        <w:rPr>
          <w:rFonts w:ascii="黑体" w:hAnsi="黑体" w:eastAsia="黑体"/>
          <w:b w:val="0"/>
          <w:bCs w:val="0"/>
          <w:kern w:val="0"/>
          <w:szCs w:val="28"/>
        </w:rPr>
        <w:fldChar w:fldCharType="separate"/>
      </w:r>
      <w:r>
        <w:rPr>
          <w:rFonts w:ascii="黑体" w:hAnsi="黑体" w:eastAsia="黑体"/>
          <w:b w:val="0"/>
          <w:bCs w:val="0"/>
          <w:kern w:val="0"/>
          <w:szCs w:val="28"/>
        </w:rPr>
        <w:t>8</w:t>
      </w:r>
      <w:r>
        <w:rPr>
          <w:rFonts w:ascii="黑体" w:hAnsi="黑体" w:eastAsia="黑体"/>
          <w:b w:val="0"/>
          <w:bCs w:val="0"/>
          <w:kern w:val="0"/>
          <w:szCs w:val="28"/>
        </w:rPr>
        <w:fldChar w:fldCharType="end"/>
      </w:r>
      <w:r>
        <w:rPr>
          <w:rFonts w:ascii="黑体" w:hAnsi="黑体" w:eastAsia="黑体"/>
          <w:b w:val="0"/>
          <w:bCs w:val="0"/>
          <w:kern w:val="0"/>
          <w:szCs w:val="28"/>
          <w:lang w:val="zh-CN"/>
        </w:rPr>
        <w:fldChar w:fldCharType="end"/>
      </w:r>
    </w:p>
    <w:p w14:paraId="4A2F202C">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_Toc5083 </w:instrText>
      </w:r>
      <w:r>
        <w:rPr>
          <w:rFonts w:ascii="黑体" w:hAnsi="黑体" w:eastAsia="黑体"/>
          <w:bCs/>
          <w:szCs w:val="28"/>
          <w:lang w:val="zh-CN"/>
        </w:rPr>
        <w:fldChar w:fldCharType="separate"/>
      </w:r>
      <w:r>
        <w:rPr>
          <w:rFonts w:hint="eastAsia" w:ascii="黑体" w:hAnsi="黑体"/>
        </w:rPr>
        <w:t>一、投标须知前附表</w:t>
      </w:r>
      <w:r>
        <w:tab/>
      </w:r>
      <w:r>
        <w:fldChar w:fldCharType="begin"/>
      </w:r>
      <w:r>
        <w:instrText xml:space="preserve"> PAGEREF _Toc5083 \h </w:instrText>
      </w:r>
      <w:r>
        <w:fldChar w:fldCharType="separate"/>
      </w:r>
      <w:r>
        <w:t>8</w:t>
      </w:r>
      <w:r>
        <w:fldChar w:fldCharType="end"/>
      </w:r>
      <w:r>
        <w:rPr>
          <w:rFonts w:ascii="黑体" w:hAnsi="黑体" w:eastAsia="黑体"/>
          <w:bCs/>
          <w:szCs w:val="28"/>
          <w:lang w:val="zh-CN"/>
        </w:rPr>
        <w:fldChar w:fldCharType="end"/>
      </w:r>
    </w:p>
    <w:p w14:paraId="51BACE06">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_Toc1676 </w:instrText>
      </w:r>
      <w:r>
        <w:rPr>
          <w:rFonts w:ascii="黑体" w:hAnsi="黑体" w:eastAsia="黑体"/>
          <w:bCs/>
          <w:szCs w:val="28"/>
          <w:lang w:val="zh-CN"/>
        </w:rPr>
        <w:fldChar w:fldCharType="separate"/>
      </w:r>
      <w:r>
        <w:rPr>
          <w:rFonts w:hint="eastAsia" w:ascii="黑体" w:hAnsi="黑体"/>
        </w:rPr>
        <w:t>二、总  则</w:t>
      </w:r>
      <w:r>
        <w:tab/>
      </w:r>
      <w:r>
        <w:fldChar w:fldCharType="begin"/>
      </w:r>
      <w:r>
        <w:instrText xml:space="preserve"> PAGEREF _Toc1676 \h </w:instrText>
      </w:r>
      <w:r>
        <w:fldChar w:fldCharType="separate"/>
      </w:r>
      <w:r>
        <w:t>12</w:t>
      </w:r>
      <w:r>
        <w:fldChar w:fldCharType="end"/>
      </w:r>
      <w:r>
        <w:rPr>
          <w:rFonts w:ascii="黑体" w:hAnsi="黑体" w:eastAsia="黑体"/>
          <w:bCs/>
          <w:szCs w:val="28"/>
          <w:lang w:val="zh-CN"/>
        </w:rPr>
        <w:fldChar w:fldCharType="end"/>
      </w:r>
    </w:p>
    <w:p w14:paraId="36D98582">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_Toc13486 </w:instrText>
      </w:r>
      <w:r>
        <w:rPr>
          <w:rFonts w:ascii="黑体" w:hAnsi="黑体" w:eastAsia="黑体"/>
          <w:bCs/>
          <w:szCs w:val="28"/>
          <w:lang w:val="zh-CN"/>
        </w:rPr>
        <w:fldChar w:fldCharType="separate"/>
      </w:r>
      <w:r>
        <w:rPr>
          <w:rFonts w:hint="eastAsia" w:ascii="黑体" w:hAnsi="黑体"/>
        </w:rPr>
        <w:t>三、招标文件</w:t>
      </w:r>
      <w:r>
        <w:tab/>
      </w:r>
      <w:r>
        <w:fldChar w:fldCharType="begin"/>
      </w:r>
      <w:r>
        <w:instrText xml:space="preserve"> PAGEREF _Toc13486 \h </w:instrText>
      </w:r>
      <w:r>
        <w:fldChar w:fldCharType="separate"/>
      </w:r>
      <w:r>
        <w:t>14</w:t>
      </w:r>
      <w:r>
        <w:fldChar w:fldCharType="end"/>
      </w:r>
      <w:r>
        <w:rPr>
          <w:rFonts w:ascii="黑体" w:hAnsi="黑体" w:eastAsia="黑体"/>
          <w:bCs/>
          <w:szCs w:val="28"/>
          <w:lang w:val="zh-CN"/>
        </w:rPr>
        <w:fldChar w:fldCharType="end"/>
      </w:r>
    </w:p>
    <w:p w14:paraId="0CE6BD6D">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_Toc17236 </w:instrText>
      </w:r>
      <w:r>
        <w:rPr>
          <w:rFonts w:ascii="黑体" w:hAnsi="黑体" w:eastAsia="黑体"/>
          <w:bCs/>
          <w:szCs w:val="28"/>
          <w:lang w:val="zh-CN"/>
        </w:rPr>
        <w:fldChar w:fldCharType="separate"/>
      </w:r>
      <w:r>
        <w:rPr>
          <w:rFonts w:hint="eastAsia" w:ascii="黑体" w:hAnsi="黑体"/>
        </w:rPr>
        <w:t>四、投标文件</w:t>
      </w:r>
      <w:r>
        <w:tab/>
      </w:r>
      <w:r>
        <w:fldChar w:fldCharType="begin"/>
      </w:r>
      <w:r>
        <w:instrText xml:space="preserve"> PAGEREF _Toc17236 \h </w:instrText>
      </w:r>
      <w:r>
        <w:fldChar w:fldCharType="separate"/>
      </w:r>
      <w:r>
        <w:t>15</w:t>
      </w:r>
      <w:r>
        <w:fldChar w:fldCharType="end"/>
      </w:r>
      <w:r>
        <w:rPr>
          <w:rFonts w:ascii="黑体" w:hAnsi="黑体" w:eastAsia="黑体"/>
          <w:bCs/>
          <w:szCs w:val="28"/>
          <w:lang w:val="zh-CN"/>
        </w:rPr>
        <w:fldChar w:fldCharType="end"/>
      </w:r>
    </w:p>
    <w:p w14:paraId="5ACF1B4B">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_Toc2354 </w:instrText>
      </w:r>
      <w:r>
        <w:rPr>
          <w:rFonts w:ascii="黑体" w:hAnsi="黑体" w:eastAsia="黑体"/>
          <w:bCs/>
          <w:szCs w:val="28"/>
          <w:lang w:val="zh-CN"/>
        </w:rPr>
        <w:fldChar w:fldCharType="separate"/>
      </w:r>
      <w:r>
        <w:rPr>
          <w:rFonts w:hint="eastAsia" w:ascii="黑体" w:hAnsi="黑体"/>
        </w:rPr>
        <w:t>五、开标和中标</w:t>
      </w:r>
      <w:r>
        <w:tab/>
      </w:r>
      <w:r>
        <w:fldChar w:fldCharType="begin"/>
      </w:r>
      <w:r>
        <w:instrText xml:space="preserve"> PAGEREF _Toc2354 \h </w:instrText>
      </w:r>
      <w:r>
        <w:fldChar w:fldCharType="separate"/>
      </w:r>
      <w:r>
        <w:t>18</w:t>
      </w:r>
      <w:r>
        <w:fldChar w:fldCharType="end"/>
      </w:r>
      <w:r>
        <w:rPr>
          <w:rFonts w:ascii="黑体" w:hAnsi="黑体" w:eastAsia="黑体"/>
          <w:bCs/>
          <w:szCs w:val="28"/>
          <w:lang w:val="zh-CN"/>
        </w:rPr>
        <w:fldChar w:fldCharType="end"/>
      </w:r>
    </w:p>
    <w:p w14:paraId="4AB7D38B">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_Toc27479 </w:instrText>
      </w:r>
      <w:r>
        <w:rPr>
          <w:rFonts w:ascii="黑体" w:hAnsi="黑体" w:eastAsia="黑体"/>
          <w:bCs/>
          <w:szCs w:val="28"/>
          <w:lang w:val="zh-CN"/>
        </w:rPr>
        <w:fldChar w:fldCharType="separate"/>
      </w:r>
      <w:r>
        <w:rPr>
          <w:rFonts w:hint="eastAsia" w:ascii="黑体" w:hAnsi="黑体"/>
        </w:rPr>
        <w:t>六、签订及履行合同和验收</w:t>
      </w:r>
      <w:r>
        <w:tab/>
      </w:r>
      <w:r>
        <w:fldChar w:fldCharType="begin"/>
      </w:r>
      <w:r>
        <w:instrText xml:space="preserve"> PAGEREF _Toc27479 \h </w:instrText>
      </w:r>
      <w:r>
        <w:fldChar w:fldCharType="separate"/>
      </w:r>
      <w:r>
        <w:t>19</w:t>
      </w:r>
      <w:r>
        <w:fldChar w:fldCharType="end"/>
      </w:r>
      <w:r>
        <w:rPr>
          <w:rFonts w:ascii="黑体" w:hAnsi="黑体" w:eastAsia="黑体"/>
          <w:bCs/>
          <w:szCs w:val="28"/>
          <w:lang w:val="zh-CN"/>
        </w:rPr>
        <w:fldChar w:fldCharType="end"/>
      </w:r>
    </w:p>
    <w:p w14:paraId="7ECDBBEA">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_Toc19997 </w:instrText>
      </w:r>
      <w:r>
        <w:rPr>
          <w:rFonts w:ascii="黑体" w:hAnsi="黑体" w:eastAsia="黑体"/>
          <w:bCs/>
          <w:szCs w:val="28"/>
          <w:lang w:val="zh-CN"/>
        </w:rPr>
        <w:fldChar w:fldCharType="separate"/>
      </w:r>
      <w:r>
        <w:rPr>
          <w:rFonts w:hint="eastAsia" w:ascii="黑体" w:hAnsi="黑体"/>
        </w:rPr>
        <w:t>七、投标纪律要求</w:t>
      </w:r>
      <w:r>
        <w:tab/>
      </w:r>
      <w:r>
        <w:fldChar w:fldCharType="begin"/>
      </w:r>
      <w:r>
        <w:instrText xml:space="preserve"> PAGEREF _Toc19997 \h </w:instrText>
      </w:r>
      <w:r>
        <w:fldChar w:fldCharType="separate"/>
      </w:r>
      <w:r>
        <w:t>21</w:t>
      </w:r>
      <w:r>
        <w:fldChar w:fldCharType="end"/>
      </w:r>
      <w:r>
        <w:rPr>
          <w:rFonts w:ascii="黑体" w:hAnsi="黑体" w:eastAsia="黑体"/>
          <w:bCs/>
          <w:szCs w:val="28"/>
          <w:lang w:val="zh-CN"/>
        </w:rPr>
        <w:fldChar w:fldCharType="end"/>
      </w:r>
    </w:p>
    <w:p w14:paraId="2D67FBD9">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_Toc23773 </w:instrText>
      </w:r>
      <w:r>
        <w:rPr>
          <w:rFonts w:ascii="黑体" w:hAnsi="黑体" w:eastAsia="黑体"/>
          <w:bCs/>
          <w:szCs w:val="28"/>
          <w:lang w:val="zh-CN"/>
        </w:rPr>
        <w:fldChar w:fldCharType="separate"/>
      </w:r>
      <w:r>
        <w:rPr>
          <w:rFonts w:hint="eastAsia" w:ascii="黑体" w:hAnsi="黑体"/>
        </w:rPr>
        <w:t>八、询问、质疑和投诉</w:t>
      </w:r>
      <w:r>
        <w:tab/>
      </w:r>
      <w:r>
        <w:fldChar w:fldCharType="begin"/>
      </w:r>
      <w:r>
        <w:instrText xml:space="preserve"> PAGEREF _Toc23773 \h </w:instrText>
      </w:r>
      <w:r>
        <w:fldChar w:fldCharType="separate"/>
      </w:r>
      <w:r>
        <w:t>21</w:t>
      </w:r>
      <w:r>
        <w:fldChar w:fldCharType="end"/>
      </w:r>
      <w:r>
        <w:rPr>
          <w:rFonts w:ascii="黑体" w:hAnsi="黑体" w:eastAsia="黑体"/>
          <w:bCs/>
          <w:szCs w:val="28"/>
          <w:lang w:val="zh-CN"/>
        </w:rPr>
        <w:fldChar w:fldCharType="end"/>
      </w:r>
    </w:p>
    <w:p w14:paraId="34EF2723">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_Toc21337 </w:instrText>
      </w:r>
      <w:r>
        <w:rPr>
          <w:rFonts w:ascii="黑体" w:hAnsi="黑体" w:eastAsia="黑体"/>
          <w:bCs/>
          <w:szCs w:val="28"/>
          <w:lang w:val="zh-CN"/>
        </w:rPr>
        <w:fldChar w:fldCharType="separate"/>
      </w:r>
      <w:r>
        <w:rPr>
          <w:rFonts w:hint="eastAsia" w:ascii="黑体" w:hAnsi="黑体"/>
        </w:rPr>
        <w:t>九、其他</w:t>
      </w:r>
      <w:r>
        <w:tab/>
      </w:r>
      <w:r>
        <w:fldChar w:fldCharType="begin"/>
      </w:r>
      <w:r>
        <w:instrText xml:space="preserve"> PAGEREF _Toc21337 \h </w:instrText>
      </w:r>
      <w:r>
        <w:fldChar w:fldCharType="separate"/>
      </w:r>
      <w:r>
        <w:t>22</w:t>
      </w:r>
      <w:r>
        <w:fldChar w:fldCharType="end"/>
      </w:r>
      <w:r>
        <w:rPr>
          <w:rFonts w:ascii="黑体" w:hAnsi="黑体" w:eastAsia="黑体"/>
          <w:bCs/>
          <w:szCs w:val="28"/>
          <w:lang w:val="zh-CN"/>
        </w:rPr>
        <w:fldChar w:fldCharType="end"/>
      </w:r>
    </w:p>
    <w:p w14:paraId="7708D6B2">
      <w:pPr>
        <w:pStyle w:val="38"/>
        <w:tabs>
          <w:tab w:val="right" w:leader="dot" w:pos="8306"/>
        </w:tabs>
        <w:rPr>
          <w:rFonts w:ascii="黑体" w:hAnsi="黑体" w:eastAsia="黑体"/>
          <w:b w:val="0"/>
          <w:bCs w:val="0"/>
          <w:kern w:val="0"/>
          <w:szCs w:val="28"/>
        </w:rPr>
      </w:pPr>
      <w:r>
        <w:rPr>
          <w:rFonts w:ascii="黑体" w:hAnsi="黑体" w:eastAsia="黑体"/>
          <w:b w:val="0"/>
          <w:bCs w:val="0"/>
          <w:kern w:val="0"/>
          <w:szCs w:val="28"/>
          <w:lang w:val="zh-CN"/>
        </w:rPr>
        <w:fldChar w:fldCharType="begin"/>
      </w:r>
      <w:r>
        <w:rPr>
          <w:rFonts w:ascii="黑体" w:hAnsi="黑体" w:eastAsia="黑体"/>
          <w:b w:val="0"/>
          <w:bCs w:val="0"/>
          <w:kern w:val="0"/>
          <w:szCs w:val="28"/>
          <w:lang w:val="zh-CN"/>
        </w:rPr>
        <w:instrText xml:space="preserve"> HYPERLINK \l _Toc28639 </w:instrText>
      </w:r>
      <w:r>
        <w:rPr>
          <w:rFonts w:ascii="黑体" w:hAnsi="黑体" w:eastAsia="黑体"/>
          <w:b w:val="0"/>
          <w:bCs w:val="0"/>
          <w:kern w:val="0"/>
          <w:szCs w:val="28"/>
          <w:lang w:val="zh-CN"/>
        </w:rPr>
        <w:fldChar w:fldCharType="separate"/>
      </w:r>
      <w:r>
        <w:rPr>
          <w:rFonts w:hint="eastAsia" w:ascii="黑体" w:hAnsi="黑体" w:eastAsia="黑体"/>
          <w:b w:val="0"/>
          <w:bCs w:val="0"/>
          <w:kern w:val="0"/>
          <w:szCs w:val="28"/>
        </w:rPr>
        <w:t>第三章  资格审查和失信行为记录要求及</w:t>
      </w:r>
      <w:r>
        <w:rPr>
          <w:rFonts w:ascii="黑体" w:hAnsi="黑体" w:eastAsia="黑体"/>
          <w:b w:val="0"/>
          <w:bCs w:val="0"/>
          <w:kern w:val="0"/>
          <w:szCs w:val="28"/>
        </w:rPr>
        <w:t>相关证明材料</w:t>
      </w:r>
      <w:r>
        <w:rPr>
          <w:rFonts w:ascii="黑体" w:hAnsi="黑体" w:eastAsia="黑体"/>
          <w:b w:val="0"/>
          <w:bCs w:val="0"/>
          <w:kern w:val="0"/>
          <w:szCs w:val="28"/>
        </w:rPr>
        <w:tab/>
      </w:r>
      <w:r>
        <w:rPr>
          <w:rFonts w:ascii="黑体" w:hAnsi="黑体" w:eastAsia="黑体"/>
          <w:b w:val="0"/>
          <w:bCs w:val="0"/>
          <w:kern w:val="0"/>
          <w:szCs w:val="28"/>
        </w:rPr>
        <w:fldChar w:fldCharType="begin"/>
      </w:r>
      <w:r>
        <w:rPr>
          <w:rFonts w:ascii="黑体" w:hAnsi="黑体" w:eastAsia="黑体"/>
          <w:b w:val="0"/>
          <w:bCs w:val="0"/>
          <w:kern w:val="0"/>
          <w:szCs w:val="28"/>
        </w:rPr>
        <w:instrText xml:space="preserve"> PAGEREF _Toc28639 \h </w:instrText>
      </w:r>
      <w:r>
        <w:rPr>
          <w:rFonts w:ascii="黑体" w:hAnsi="黑体" w:eastAsia="黑体"/>
          <w:b w:val="0"/>
          <w:bCs w:val="0"/>
          <w:kern w:val="0"/>
          <w:szCs w:val="28"/>
        </w:rPr>
        <w:fldChar w:fldCharType="separate"/>
      </w:r>
      <w:r>
        <w:rPr>
          <w:rFonts w:ascii="黑体" w:hAnsi="黑体" w:eastAsia="黑体"/>
          <w:b w:val="0"/>
          <w:bCs w:val="0"/>
          <w:kern w:val="0"/>
          <w:szCs w:val="28"/>
        </w:rPr>
        <w:t>23</w:t>
      </w:r>
      <w:r>
        <w:rPr>
          <w:rFonts w:ascii="黑体" w:hAnsi="黑体" w:eastAsia="黑体"/>
          <w:b w:val="0"/>
          <w:bCs w:val="0"/>
          <w:kern w:val="0"/>
          <w:szCs w:val="28"/>
        </w:rPr>
        <w:fldChar w:fldCharType="end"/>
      </w:r>
      <w:r>
        <w:rPr>
          <w:rFonts w:ascii="黑体" w:hAnsi="黑体" w:eastAsia="黑体"/>
          <w:b w:val="0"/>
          <w:bCs w:val="0"/>
          <w:kern w:val="0"/>
          <w:szCs w:val="28"/>
          <w:lang w:val="zh-CN"/>
        </w:rPr>
        <w:fldChar w:fldCharType="end"/>
      </w:r>
    </w:p>
    <w:p w14:paraId="0DB3B16C">
      <w:pPr>
        <w:pStyle w:val="38"/>
        <w:tabs>
          <w:tab w:val="right" w:leader="dot" w:pos="8306"/>
        </w:tabs>
        <w:rPr>
          <w:rFonts w:ascii="黑体" w:hAnsi="黑体" w:eastAsia="黑体"/>
          <w:b w:val="0"/>
          <w:bCs w:val="0"/>
          <w:kern w:val="0"/>
          <w:szCs w:val="28"/>
        </w:rPr>
      </w:pPr>
      <w:r>
        <w:rPr>
          <w:rFonts w:ascii="黑体" w:hAnsi="黑体" w:eastAsia="黑体"/>
          <w:b w:val="0"/>
          <w:bCs w:val="0"/>
          <w:kern w:val="0"/>
          <w:szCs w:val="28"/>
          <w:lang w:val="zh-CN"/>
        </w:rPr>
        <w:fldChar w:fldCharType="begin"/>
      </w:r>
      <w:r>
        <w:rPr>
          <w:rFonts w:ascii="黑体" w:hAnsi="黑体" w:eastAsia="黑体"/>
          <w:b w:val="0"/>
          <w:bCs w:val="0"/>
          <w:kern w:val="0"/>
          <w:szCs w:val="28"/>
          <w:lang w:val="zh-CN"/>
        </w:rPr>
        <w:instrText xml:space="preserve"> HYPERLINK \l _Toc8650 </w:instrText>
      </w:r>
      <w:r>
        <w:rPr>
          <w:rFonts w:ascii="黑体" w:hAnsi="黑体" w:eastAsia="黑体"/>
          <w:b w:val="0"/>
          <w:bCs w:val="0"/>
          <w:kern w:val="0"/>
          <w:szCs w:val="28"/>
          <w:lang w:val="zh-CN"/>
        </w:rPr>
        <w:fldChar w:fldCharType="separate"/>
      </w:r>
      <w:r>
        <w:rPr>
          <w:rFonts w:hint="eastAsia" w:ascii="黑体" w:hAnsi="黑体" w:eastAsia="黑体"/>
          <w:b w:val="0"/>
          <w:bCs w:val="0"/>
          <w:kern w:val="0"/>
          <w:szCs w:val="28"/>
        </w:rPr>
        <w:t>第四章  投标人符合</w:t>
      </w:r>
      <w:r>
        <w:rPr>
          <w:rFonts w:ascii="黑体" w:hAnsi="黑体" w:eastAsia="黑体"/>
          <w:b w:val="0"/>
          <w:bCs w:val="0"/>
          <w:kern w:val="0"/>
          <w:szCs w:val="28"/>
        </w:rPr>
        <w:t>性</w:t>
      </w:r>
      <w:r>
        <w:rPr>
          <w:rFonts w:hint="eastAsia" w:ascii="黑体" w:hAnsi="黑体" w:eastAsia="黑体"/>
          <w:b w:val="0"/>
          <w:bCs w:val="0"/>
          <w:kern w:val="0"/>
          <w:szCs w:val="28"/>
        </w:rPr>
        <w:t>要求</w:t>
      </w:r>
      <w:r>
        <w:rPr>
          <w:rFonts w:ascii="黑体" w:hAnsi="黑体" w:eastAsia="黑体"/>
          <w:b w:val="0"/>
          <w:bCs w:val="0"/>
          <w:kern w:val="0"/>
          <w:szCs w:val="28"/>
        </w:rPr>
        <w:t>及通过标准</w:t>
      </w:r>
      <w:r>
        <w:rPr>
          <w:rFonts w:ascii="黑体" w:hAnsi="黑体" w:eastAsia="黑体"/>
          <w:b w:val="0"/>
          <w:bCs w:val="0"/>
          <w:kern w:val="0"/>
          <w:szCs w:val="28"/>
        </w:rPr>
        <w:tab/>
      </w:r>
      <w:r>
        <w:rPr>
          <w:rFonts w:ascii="黑体" w:hAnsi="黑体" w:eastAsia="黑体"/>
          <w:b w:val="0"/>
          <w:bCs w:val="0"/>
          <w:kern w:val="0"/>
          <w:szCs w:val="28"/>
        </w:rPr>
        <w:fldChar w:fldCharType="begin"/>
      </w:r>
      <w:r>
        <w:rPr>
          <w:rFonts w:ascii="黑体" w:hAnsi="黑体" w:eastAsia="黑体"/>
          <w:b w:val="0"/>
          <w:bCs w:val="0"/>
          <w:kern w:val="0"/>
          <w:szCs w:val="28"/>
        </w:rPr>
        <w:instrText xml:space="preserve"> PAGEREF _Toc8650 \h </w:instrText>
      </w:r>
      <w:r>
        <w:rPr>
          <w:rFonts w:ascii="黑体" w:hAnsi="黑体" w:eastAsia="黑体"/>
          <w:b w:val="0"/>
          <w:bCs w:val="0"/>
          <w:kern w:val="0"/>
          <w:szCs w:val="28"/>
        </w:rPr>
        <w:fldChar w:fldCharType="separate"/>
      </w:r>
      <w:r>
        <w:rPr>
          <w:rFonts w:ascii="黑体" w:hAnsi="黑体" w:eastAsia="黑体"/>
          <w:b w:val="0"/>
          <w:bCs w:val="0"/>
          <w:kern w:val="0"/>
          <w:szCs w:val="28"/>
        </w:rPr>
        <w:t>25</w:t>
      </w:r>
      <w:r>
        <w:rPr>
          <w:rFonts w:ascii="黑体" w:hAnsi="黑体" w:eastAsia="黑体"/>
          <w:b w:val="0"/>
          <w:bCs w:val="0"/>
          <w:kern w:val="0"/>
          <w:szCs w:val="28"/>
        </w:rPr>
        <w:fldChar w:fldCharType="end"/>
      </w:r>
      <w:r>
        <w:rPr>
          <w:rFonts w:ascii="黑体" w:hAnsi="黑体" w:eastAsia="黑体"/>
          <w:b w:val="0"/>
          <w:bCs w:val="0"/>
          <w:kern w:val="0"/>
          <w:szCs w:val="28"/>
          <w:lang w:val="zh-CN"/>
        </w:rPr>
        <w:fldChar w:fldCharType="end"/>
      </w:r>
    </w:p>
    <w:p w14:paraId="047099E3">
      <w:pPr>
        <w:pStyle w:val="38"/>
        <w:tabs>
          <w:tab w:val="right" w:leader="dot" w:pos="8306"/>
        </w:tabs>
      </w:pPr>
      <w:r>
        <w:rPr>
          <w:rFonts w:ascii="黑体" w:hAnsi="黑体" w:eastAsia="黑体"/>
          <w:b w:val="0"/>
          <w:bCs w:val="0"/>
          <w:kern w:val="0"/>
          <w:szCs w:val="28"/>
          <w:lang w:val="zh-CN"/>
        </w:rPr>
        <w:fldChar w:fldCharType="begin"/>
      </w:r>
      <w:r>
        <w:rPr>
          <w:rFonts w:ascii="黑体" w:hAnsi="黑体" w:eastAsia="黑体"/>
          <w:b w:val="0"/>
          <w:bCs w:val="0"/>
          <w:kern w:val="0"/>
          <w:szCs w:val="28"/>
          <w:lang w:val="zh-CN"/>
        </w:rPr>
        <w:instrText xml:space="preserve"> HYPERLINK \l _Toc7998 </w:instrText>
      </w:r>
      <w:r>
        <w:rPr>
          <w:rFonts w:ascii="黑体" w:hAnsi="黑体" w:eastAsia="黑体"/>
          <w:b w:val="0"/>
          <w:bCs w:val="0"/>
          <w:kern w:val="0"/>
          <w:szCs w:val="28"/>
          <w:lang w:val="zh-CN"/>
        </w:rPr>
        <w:fldChar w:fldCharType="separate"/>
      </w:r>
      <w:r>
        <w:rPr>
          <w:rFonts w:hint="eastAsia" w:ascii="黑体" w:hAnsi="黑体" w:eastAsia="黑体"/>
          <w:b w:val="0"/>
          <w:bCs w:val="0"/>
          <w:kern w:val="0"/>
          <w:szCs w:val="28"/>
        </w:rPr>
        <w:t xml:space="preserve">第五章 </w:t>
      </w:r>
      <w:r>
        <w:rPr>
          <w:rFonts w:hint="eastAsia" w:ascii="黑体" w:hAnsi="黑体" w:eastAsia="黑体"/>
          <w:b w:val="0"/>
          <w:bCs w:val="0"/>
          <w:kern w:val="0"/>
          <w:szCs w:val="28"/>
          <w:lang w:val="en-US" w:eastAsia="zh-CN"/>
        </w:rPr>
        <w:t xml:space="preserve">  </w:t>
      </w:r>
      <w:r>
        <w:rPr>
          <w:rFonts w:hint="eastAsia" w:ascii="黑体" w:hAnsi="黑体" w:eastAsia="黑体"/>
          <w:b w:val="0"/>
          <w:bCs w:val="0"/>
          <w:kern w:val="0"/>
          <w:szCs w:val="28"/>
        </w:rPr>
        <w:t>招标项目技术、服务及其他商务要求</w:t>
      </w:r>
      <w:r>
        <w:rPr>
          <w:rFonts w:ascii="黑体" w:hAnsi="黑体" w:eastAsia="黑体"/>
          <w:b w:val="0"/>
          <w:bCs w:val="0"/>
          <w:kern w:val="0"/>
          <w:szCs w:val="28"/>
        </w:rPr>
        <w:tab/>
      </w:r>
      <w:r>
        <w:rPr>
          <w:rFonts w:ascii="黑体" w:hAnsi="黑体" w:eastAsia="黑体"/>
          <w:b w:val="0"/>
          <w:bCs w:val="0"/>
          <w:kern w:val="0"/>
          <w:szCs w:val="28"/>
        </w:rPr>
        <w:fldChar w:fldCharType="begin"/>
      </w:r>
      <w:r>
        <w:rPr>
          <w:rFonts w:ascii="黑体" w:hAnsi="黑体" w:eastAsia="黑体"/>
          <w:b w:val="0"/>
          <w:bCs w:val="0"/>
          <w:kern w:val="0"/>
          <w:szCs w:val="28"/>
        </w:rPr>
        <w:instrText xml:space="preserve"> PAGEREF _Toc7998 \h </w:instrText>
      </w:r>
      <w:r>
        <w:rPr>
          <w:rFonts w:ascii="黑体" w:hAnsi="黑体" w:eastAsia="黑体"/>
          <w:b w:val="0"/>
          <w:bCs w:val="0"/>
          <w:kern w:val="0"/>
          <w:szCs w:val="28"/>
        </w:rPr>
        <w:fldChar w:fldCharType="separate"/>
      </w:r>
      <w:r>
        <w:rPr>
          <w:rFonts w:ascii="黑体" w:hAnsi="黑体" w:eastAsia="黑体"/>
          <w:b w:val="0"/>
          <w:bCs w:val="0"/>
          <w:kern w:val="0"/>
          <w:szCs w:val="28"/>
        </w:rPr>
        <w:t>26</w:t>
      </w:r>
      <w:r>
        <w:rPr>
          <w:rFonts w:ascii="黑体" w:hAnsi="黑体" w:eastAsia="黑体"/>
          <w:b w:val="0"/>
          <w:bCs w:val="0"/>
          <w:kern w:val="0"/>
          <w:szCs w:val="28"/>
        </w:rPr>
        <w:fldChar w:fldCharType="end"/>
      </w:r>
      <w:r>
        <w:rPr>
          <w:rFonts w:ascii="黑体" w:hAnsi="黑体" w:eastAsia="黑体"/>
          <w:b w:val="0"/>
          <w:bCs w:val="0"/>
          <w:kern w:val="0"/>
          <w:szCs w:val="28"/>
          <w:lang w:val="zh-CN"/>
        </w:rPr>
        <w:fldChar w:fldCharType="end"/>
      </w:r>
    </w:p>
    <w:p w14:paraId="60E9F14C">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_Toc12344 </w:instrText>
      </w:r>
      <w:r>
        <w:rPr>
          <w:rFonts w:ascii="黑体" w:hAnsi="黑体" w:eastAsia="黑体"/>
          <w:bCs/>
          <w:szCs w:val="28"/>
          <w:lang w:val="zh-CN"/>
        </w:rPr>
        <w:fldChar w:fldCharType="separate"/>
      </w:r>
      <w:r>
        <w:rPr>
          <w:rFonts w:hint="eastAsia" w:ascii="黑体" w:hAnsi="黑体"/>
          <w:lang w:eastAsia="zh-CN"/>
        </w:rPr>
        <w:t>一</w:t>
      </w:r>
      <w:r>
        <w:rPr>
          <w:rFonts w:hint="eastAsia" w:ascii="黑体" w:hAnsi="黑体"/>
        </w:rPr>
        <w:t>、项目清单及技术</w:t>
      </w:r>
      <w:r>
        <w:rPr>
          <w:rFonts w:ascii="黑体" w:hAnsi="黑体"/>
        </w:rPr>
        <w:t>参数要求</w:t>
      </w:r>
      <w:r>
        <w:tab/>
      </w:r>
      <w:r>
        <w:fldChar w:fldCharType="begin"/>
      </w:r>
      <w:r>
        <w:instrText xml:space="preserve"> PAGEREF _Toc12344 \h </w:instrText>
      </w:r>
      <w:r>
        <w:fldChar w:fldCharType="separate"/>
      </w:r>
      <w:r>
        <w:t>26</w:t>
      </w:r>
      <w:r>
        <w:fldChar w:fldCharType="end"/>
      </w:r>
      <w:r>
        <w:rPr>
          <w:rFonts w:ascii="黑体" w:hAnsi="黑体" w:eastAsia="黑体"/>
          <w:bCs/>
          <w:szCs w:val="28"/>
          <w:lang w:val="zh-CN"/>
        </w:rPr>
        <w:fldChar w:fldCharType="end"/>
      </w:r>
    </w:p>
    <w:p w14:paraId="6682F0FF">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_Toc10758 </w:instrText>
      </w:r>
      <w:r>
        <w:rPr>
          <w:rFonts w:ascii="黑体" w:hAnsi="黑体" w:eastAsia="黑体"/>
          <w:bCs/>
          <w:szCs w:val="28"/>
          <w:lang w:val="zh-CN"/>
        </w:rPr>
        <w:fldChar w:fldCharType="separate"/>
      </w:r>
      <w:r>
        <w:rPr>
          <w:rFonts w:hint="eastAsia" w:ascii="黑体" w:hAnsi="黑体"/>
          <w:lang w:eastAsia="zh-CN"/>
        </w:rPr>
        <w:t>二</w:t>
      </w:r>
      <w:r>
        <w:rPr>
          <w:rFonts w:ascii="黑体" w:hAnsi="黑体"/>
        </w:rPr>
        <w:t>、</w:t>
      </w:r>
      <w:r>
        <w:rPr>
          <w:rFonts w:hint="eastAsia" w:ascii="黑体" w:hAnsi="黑体"/>
        </w:rPr>
        <w:t>售后服务要求</w:t>
      </w:r>
      <w:r>
        <w:tab/>
      </w:r>
      <w:r>
        <w:fldChar w:fldCharType="begin"/>
      </w:r>
      <w:r>
        <w:instrText xml:space="preserve"> PAGEREF _Toc10758 \h </w:instrText>
      </w:r>
      <w:r>
        <w:fldChar w:fldCharType="separate"/>
      </w:r>
      <w:r>
        <w:t>70</w:t>
      </w:r>
      <w:r>
        <w:fldChar w:fldCharType="end"/>
      </w:r>
      <w:r>
        <w:rPr>
          <w:rFonts w:ascii="黑体" w:hAnsi="黑体" w:eastAsia="黑体"/>
          <w:bCs/>
          <w:szCs w:val="28"/>
          <w:lang w:val="zh-CN"/>
        </w:rPr>
        <w:fldChar w:fldCharType="end"/>
      </w:r>
    </w:p>
    <w:p w14:paraId="2F0166B2">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_Toc19920 </w:instrText>
      </w:r>
      <w:r>
        <w:rPr>
          <w:rFonts w:ascii="黑体" w:hAnsi="黑体" w:eastAsia="黑体"/>
          <w:bCs/>
          <w:szCs w:val="28"/>
          <w:lang w:val="zh-CN"/>
        </w:rPr>
        <w:fldChar w:fldCharType="separate"/>
      </w:r>
      <w:r>
        <w:rPr>
          <w:rFonts w:hint="eastAsia" w:ascii="黑体" w:hAnsi="黑体"/>
          <w:lang w:eastAsia="zh-CN"/>
        </w:rPr>
        <w:t>三</w:t>
      </w:r>
      <w:r>
        <w:rPr>
          <w:rFonts w:hint="eastAsia" w:ascii="黑体" w:hAnsi="黑体"/>
        </w:rPr>
        <w:t>、验收标准要求</w:t>
      </w:r>
      <w:r>
        <w:tab/>
      </w:r>
      <w:r>
        <w:fldChar w:fldCharType="begin"/>
      </w:r>
      <w:r>
        <w:instrText xml:space="preserve"> PAGEREF _Toc19920 \h </w:instrText>
      </w:r>
      <w:r>
        <w:fldChar w:fldCharType="separate"/>
      </w:r>
      <w:r>
        <w:t>70</w:t>
      </w:r>
      <w:r>
        <w:fldChar w:fldCharType="end"/>
      </w:r>
      <w:r>
        <w:rPr>
          <w:rFonts w:ascii="黑体" w:hAnsi="黑体" w:eastAsia="黑体"/>
          <w:bCs/>
          <w:szCs w:val="28"/>
          <w:lang w:val="zh-CN"/>
        </w:rPr>
        <w:fldChar w:fldCharType="end"/>
      </w:r>
    </w:p>
    <w:p w14:paraId="295694A7">
      <w:pPr>
        <w:pStyle w:val="38"/>
        <w:tabs>
          <w:tab w:val="right" w:leader="dot" w:pos="8306"/>
        </w:tabs>
        <w:rPr>
          <w:rFonts w:ascii="黑体" w:hAnsi="黑体" w:eastAsia="黑体"/>
          <w:b w:val="0"/>
          <w:bCs w:val="0"/>
          <w:kern w:val="0"/>
          <w:szCs w:val="28"/>
        </w:rPr>
      </w:pPr>
      <w:r>
        <w:rPr>
          <w:rFonts w:ascii="黑体" w:hAnsi="黑体" w:eastAsia="黑体"/>
          <w:b w:val="0"/>
          <w:bCs w:val="0"/>
          <w:kern w:val="0"/>
          <w:szCs w:val="28"/>
          <w:lang w:val="zh-CN"/>
        </w:rPr>
        <w:fldChar w:fldCharType="begin"/>
      </w:r>
      <w:r>
        <w:rPr>
          <w:rFonts w:ascii="黑体" w:hAnsi="黑体" w:eastAsia="黑体"/>
          <w:b w:val="0"/>
          <w:bCs w:val="0"/>
          <w:kern w:val="0"/>
          <w:szCs w:val="28"/>
          <w:lang w:val="zh-CN"/>
        </w:rPr>
        <w:instrText xml:space="preserve"> HYPERLINK \l _Toc31018 </w:instrText>
      </w:r>
      <w:r>
        <w:rPr>
          <w:rFonts w:ascii="黑体" w:hAnsi="黑体" w:eastAsia="黑体"/>
          <w:b w:val="0"/>
          <w:bCs w:val="0"/>
          <w:kern w:val="0"/>
          <w:szCs w:val="28"/>
          <w:lang w:val="zh-CN"/>
        </w:rPr>
        <w:fldChar w:fldCharType="separate"/>
      </w:r>
      <w:r>
        <w:rPr>
          <w:rFonts w:hint="eastAsia" w:ascii="黑体" w:hAnsi="黑体" w:eastAsia="黑体"/>
          <w:b w:val="0"/>
          <w:bCs w:val="0"/>
          <w:kern w:val="0"/>
          <w:szCs w:val="28"/>
        </w:rPr>
        <w:t>第六章  评标办法</w:t>
      </w:r>
      <w:r>
        <w:rPr>
          <w:rFonts w:ascii="黑体" w:hAnsi="黑体" w:eastAsia="黑体"/>
          <w:b w:val="0"/>
          <w:bCs w:val="0"/>
          <w:kern w:val="0"/>
          <w:szCs w:val="28"/>
        </w:rPr>
        <w:tab/>
      </w:r>
      <w:r>
        <w:rPr>
          <w:rFonts w:ascii="黑体" w:hAnsi="黑体" w:eastAsia="黑体"/>
          <w:b w:val="0"/>
          <w:bCs w:val="0"/>
          <w:kern w:val="0"/>
          <w:szCs w:val="28"/>
        </w:rPr>
        <w:fldChar w:fldCharType="begin"/>
      </w:r>
      <w:r>
        <w:rPr>
          <w:rFonts w:ascii="黑体" w:hAnsi="黑体" w:eastAsia="黑体"/>
          <w:b w:val="0"/>
          <w:bCs w:val="0"/>
          <w:kern w:val="0"/>
          <w:szCs w:val="28"/>
        </w:rPr>
        <w:instrText xml:space="preserve"> PAGEREF _Toc31018 \h </w:instrText>
      </w:r>
      <w:r>
        <w:rPr>
          <w:rFonts w:ascii="黑体" w:hAnsi="黑体" w:eastAsia="黑体"/>
          <w:b w:val="0"/>
          <w:bCs w:val="0"/>
          <w:kern w:val="0"/>
          <w:szCs w:val="28"/>
        </w:rPr>
        <w:fldChar w:fldCharType="separate"/>
      </w:r>
      <w:r>
        <w:rPr>
          <w:rFonts w:ascii="黑体" w:hAnsi="黑体" w:eastAsia="黑体"/>
          <w:b w:val="0"/>
          <w:bCs w:val="0"/>
          <w:kern w:val="0"/>
          <w:szCs w:val="28"/>
        </w:rPr>
        <w:t>72</w:t>
      </w:r>
      <w:r>
        <w:rPr>
          <w:rFonts w:ascii="黑体" w:hAnsi="黑体" w:eastAsia="黑体"/>
          <w:b w:val="0"/>
          <w:bCs w:val="0"/>
          <w:kern w:val="0"/>
          <w:szCs w:val="28"/>
        </w:rPr>
        <w:fldChar w:fldCharType="end"/>
      </w:r>
      <w:r>
        <w:rPr>
          <w:rFonts w:ascii="黑体" w:hAnsi="黑体" w:eastAsia="黑体"/>
          <w:b w:val="0"/>
          <w:bCs w:val="0"/>
          <w:kern w:val="0"/>
          <w:szCs w:val="28"/>
          <w:lang w:val="zh-CN"/>
        </w:rPr>
        <w:fldChar w:fldCharType="end"/>
      </w:r>
    </w:p>
    <w:p w14:paraId="6FE5D94B">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_Toc5480 </w:instrText>
      </w:r>
      <w:r>
        <w:rPr>
          <w:rFonts w:ascii="黑体" w:hAnsi="黑体" w:eastAsia="黑体"/>
          <w:bCs/>
          <w:szCs w:val="28"/>
          <w:lang w:val="zh-CN"/>
        </w:rPr>
        <w:fldChar w:fldCharType="separate"/>
      </w:r>
      <w:r>
        <w:rPr>
          <w:rFonts w:hint="eastAsia" w:ascii="黑体" w:hAnsi="黑体"/>
        </w:rPr>
        <w:t>一、 总则</w:t>
      </w:r>
      <w:r>
        <w:tab/>
      </w:r>
      <w:r>
        <w:fldChar w:fldCharType="begin"/>
      </w:r>
      <w:r>
        <w:instrText xml:space="preserve"> PAGEREF _Toc5480 \h </w:instrText>
      </w:r>
      <w:r>
        <w:fldChar w:fldCharType="separate"/>
      </w:r>
      <w:r>
        <w:t>72</w:t>
      </w:r>
      <w:r>
        <w:fldChar w:fldCharType="end"/>
      </w:r>
      <w:r>
        <w:rPr>
          <w:rFonts w:ascii="黑体" w:hAnsi="黑体" w:eastAsia="黑体"/>
          <w:bCs/>
          <w:szCs w:val="28"/>
          <w:lang w:val="zh-CN"/>
        </w:rPr>
        <w:fldChar w:fldCharType="end"/>
      </w:r>
    </w:p>
    <w:p w14:paraId="6C0AF8E7">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_Toc26944 </w:instrText>
      </w:r>
      <w:r>
        <w:rPr>
          <w:rFonts w:ascii="黑体" w:hAnsi="黑体" w:eastAsia="黑体"/>
          <w:bCs/>
          <w:szCs w:val="28"/>
          <w:lang w:val="zh-CN"/>
        </w:rPr>
        <w:fldChar w:fldCharType="separate"/>
      </w:r>
      <w:r>
        <w:rPr>
          <w:rFonts w:hint="eastAsia" w:ascii="黑体" w:hAnsi="黑体"/>
        </w:rPr>
        <w:t>二、评标方法</w:t>
      </w:r>
      <w:r>
        <w:tab/>
      </w:r>
      <w:r>
        <w:fldChar w:fldCharType="begin"/>
      </w:r>
      <w:r>
        <w:instrText xml:space="preserve"> PAGEREF _Toc26944 \h </w:instrText>
      </w:r>
      <w:r>
        <w:fldChar w:fldCharType="separate"/>
      </w:r>
      <w:r>
        <w:t>73</w:t>
      </w:r>
      <w:r>
        <w:fldChar w:fldCharType="end"/>
      </w:r>
      <w:r>
        <w:rPr>
          <w:rFonts w:ascii="黑体" w:hAnsi="黑体" w:eastAsia="黑体"/>
          <w:bCs/>
          <w:szCs w:val="28"/>
          <w:lang w:val="zh-CN"/>
        </w:rPr>
        <w:fldChar w:fldCharType="end"/>
      </w:r>
    </w:p>
    <w:p w14:paraId="2A2132C4">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_Toc10674 </w:instrText>
      </w:r>
      <w:r>
        <w:rPr>
          <w:rFonts w:ascii="黑体" w:hAnsi="黑体" w:eastAsia="黑体"/>
          <w:bCs/>
          <w:szCs w:val="28"/>
          <w:lang w:val="zh-CN"/>
        </w:rPr>
        <w:fldChar w:fldCharType="separate"/>
      </w:r>
      <w:r>
        <w:rPr>
          <w:rFonts w:hint="eastAsia" w:ascii="黑体" w:hAnsi="黑体"/>
        </w:rPr>
        <w:t>三、 评标程序</w:t>
      </w:r>
      <w:r>
        <w:tab/>
      </w:r>
      <w:r>
        <w:fldChar w:fldCharType="begin"/>
      </w:r>
      <w:r>
        <w:instrText xml:space="preserve"> PAGEREF _Toc10674 \h </w:instrText>
      </w:r>
      <w:r>
        <w:fldChar w:fldCharType="separate"/>
      </w:r>
      <w:r>
        <w:t>73</w:t>
      </w:r>
      <w:r>
        <w:fldChar w:fldCharType="end"/>
      </w:r>
      <w:r>
        <w:rPr>
          <w:rFonts w:ascii="黑体" w:hAnsi="黑体" w:eastAsia="黑体"/>
          <w:bCs/>
          <w:szCs w:val="28"/>
          <w:lang w:val="zh-CN"/>
        </w:rPr>
        <w:fldChar w:fldCharType="end"/>
      </w:r>
    </w:p>
    <w:p w14:paraId="2DE1CB2A">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_Toc21340 </w:instrText>
      </w:r>
      <w:r>
        <w:rPr>
          <w:rFonts w:ascii="黑体" w:hAnsi="黑体" w:eastAsia="黑体"/>
          <w:bCs/>
          <w:szCs w:val="28"/>
          <w:lang w:val="zh-CN"/>
        </w:rPr>
        <w:fldChar w:fldCharType="separate"/>
      </w:r>
      <w:r>
        <w:rPr>
          <w:rFonts w:hint="eastAsia" w:ascii="黑体" w:hAnsi="黑体"/>
        </w:rPr>
        <w:t>四、废 标</w:t>
      </w:r>
      <w:r>
        <w:tab/>
      </w:r>
      <w:r>
        <w:fldChar w:fldCharType="begin"/>
      </w:r>
      <w:r>
        <w:instrText xml:space="preserve"> PAGEREF _Toc21340 \h </w:instrText>
      </w:r>
      <w:r>
        <w:fldChar w:fldCharType="separate"/>
      </w:r>
      <w:r>
        <w:t>78</w:t>
      </w:r>
      <w:r>
        <w:fldChar w:fldCharType="end"/>
      </w:r>
      <w:r>
        <w:rPr>
          <w:rFonts w:ascii="黑体" w:hAnsi="黑体" w:eastAsia="黑体"/>
          <w:bCs/>
          <w:szCs w:val="28"/>
          <w:lang w:val="zh-CN"/>
        </w:rPr>
        <w:fldChar w:fldCharType="end"/>
      </w:r>
    </w:p>
    <w:p w14:paraId="6890DA9F">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_Toc30865 </w:instrText>
      </w:r>
      <w:r>
        <w:rPr>
          <w:rFonts w:ascii="黑体" w:hAnsi="黑体" w:eastAsia="黑体"/>
          <w:bCs/>
          <w:szCs w:val="28"/>
          <w:lang w:val="zh-CN"/>
        </w:rPr>
        <w:fldChar w:fldCharType="separate"/>
      </w:r>
      <w:r>
        <w:rPr>
          <w:rFonts w:hint="eastAsia" w:ascii="黑体" w:hAnsi="黑体"/>
          <w:lang w:val="en-US" w:eastAsia="zh-CN"/>
        </w:rPr>
        <w:t>五</w:t>
      </w:r>
      <w:r>
        <w:rPr>
          <w:rFonts w:hint="eastAsia" w:ascii="黑体" w:hAnsi="黑体"/>
        </w:rPr>
        <w:t>、定标</w:t>
      </w:r>
      <w:r>
        <w:tab/>
      </w:r>
      <w:r>
        <w:fldChar w:fldCharType="begin"/>
      </w:r>
      <w:r>
        <w:instrText xml:space="preserve"> PAGEREF _Toc30865 \h </w:instrText>
      </w:r>
      <w:r>
        <w:fldChar w:fldCharType="separate"/>
      </w:r>
      <w:r>
        <w:t>78</w:t>
      </w:r>
      <w:r>
        <w:fldChar w:fldCharType="end"/>
      </w:r>
      <w:r>
        <w:rPr>
          <w:rFonts w:ascii="黑体" w:hAnsi="黑体" w:eastAsia="黑体"/>
          <w:bCs/>
          <w:szCs w:val="28"/>
          <w:lang w:val="zh-CN"/>
        </w:rPr>
        <w:fldChar w:fldCharType="end"/>
      </w:r>
    </w:p>
    <w:p w14:paraId="0F0C873F">
      <w:pPr>
        <w:pStyle w:val="38"/>
        <w:tabs>
          <w:tab w:val="right" w:leader="dot" w:pos="8306"/>
        </w:tabs>
        <w:rPr>
          <w:rFonts w:ascii="黑体" w:hAnsi="黑体" w:eastAsia="黑体"/>
          <w:b w:val="0"/>
          <w:bCs w:val="0"/>
          <w:kern w:val="0"/>
          <w:szCs w:val="28"/>
        </w:rPr>
      </w:pPr>
      <w:r>
        <w:rPr>
          <w:rFonts w:ascii="黑体" w:hAnsi="黑体" w:eastAsia="黑体"/>
          <w:b w:val="0"/>
          <w:bCs w:val="0"/>
          <w:kern w:val="0"/>
          <w:szCs w:val="28"/>
          <w:lang w:val="zh-CN"/>
        </w:rPr>
        <w:fldChar w:fldCharType="begin"/>
      </w:r>
      <w:r>
        <w:rPr>
          <w:rFonts w:ascii="黑体" w:hAnsi="黑体" w:eastAsia="黑体"/>
          <w:b w:val="0"/>
          <w:bCs w:val="0"/>
          <w:kern w:val="0"/>
          <w:szCs w:val="28"/>
          <w:lang w:val="zh-CN"/>
        </w:rPr>
        <w:instrText xml:space="preserve"> HYPERLINK \l _Toc14536 </w:instrText>
      </w:r>
      <w:r>
        <w:rPr>
          <w:rFonts w:ascii="黑体" w:hAnsi="黑体" w:eastAsia="黑体"/>
          <w:b w:val="0"/>
          <w:bCs w:val="0"/>
          <w:kern w:val="0"/>
          <w:szCs w:val="28"/>
          <w:lang w:val="zh-CN"/>
        </w:rPr>
        <w:fldChar w:fldCharType="separate"/>
      </w:r>
      <w:r>
        <w:rPr>
          <w:rFonts w:hint="eastAsia" w:ascii="黑体" w:hAnsi="黑体" w:eastAsia="黑体"/>
          <w:b w:val="0"/>
          <w:bCs w:val="0"/>
          <w:kern w:val="0"/>
          <w:szCs w:val="28"/>
        </w:rPr>
        <w:t>第七章  合同主要条款</w:t>
      </w:r>
      <w:r>
        <w:rPr>
          <w:rFonts w:ascii="黑体" w:hAnsi="黑体" w:eastAsia="黑体"/>
          <w:b w:val="0"/>
          <w:bCs w:val="0"/>
          <w:kern w:val="0"/>
          <w:szCs w:val="28"/>
        </w:rPr>
        <w:tab/>
      </w:r>
      <w:r>
        <w:rPr>
          <w:rFonts w:ascii="黑体" w:hAnsi="黑体" w:eastAsia="黑体"/>
          <w:b w:val="0"/>
          <w:bCs w:val="0"/>
          <w:kern w:val="0"/>
          <w:szCs w:val="28"/>
        </w:rPr>
        <w:fldChar w:fldCharType="begin"/>
      </w:r>
      <w:r>
        <w:rPr>
          <w:rFonts w:ascii="黑体" w:hAnsi="黑体" w:eastAsia="黑体"/>
          <w:b w:val="0"/>
          <w:bCs w:val="0"/>
          <w:kern w:val="0"/>
          <w:szCs w:val="28"/>
        </w:rPr>
        <w:instrText xml:space="preserve"> PAGEREF _Toc14536 \h </w:instrText>
      </w:r>
      <w:r>
        <w:rPr>
          <w:rFonts w:ascii="黑体" w:hAnsi="黑体" w:eastAsia="黑体"/>
          <w:b w:val="0"/>
          <w:bCs w:val="0"/>
          <w:kern w:val="0"/>
          <w:szCs w:val="28"/>
        </w:rPr>
        <w:fldChar w:fldCharType="separate"/>
      </w:r>
      <w:r>
        <w:rPr>
          <w:rFonts w:ascii="黑体" w:hAnsi="黑体" w:eastAsia="黑体"/>
          <w:b w:val="0"/>
          <w:bCs w:val="0"/>
          <w:kern w:val="0"/>
          <w:szCs w:val="28"/>
        </w:rPr>
        <w:t>79</w:t>
      </w:r>
      <w:r>
        <w:rPr>
          <w:rFonts w:ascii="黑体" w:hAnsi="黑体" w:eastAsia="黑体"/>
          <w:b w:val="0"/>
          <w:bCs w:val="0"/>
          <w:kern w:val="0"/>
          <w:szCs w:val="28"/>
        </w:rPr>
        <w:fldChar w:fldCharType="end"/>
      </w:r>
      <w:r>
        <w:rPr>
          <w:rFonts w:ascii="黑体" w:hAnsi="黑体" w:eastAsia="黑体"/>
          <w:b w:val="0"/>
          <w:bCs w:val="0"/>
          <w:kern w:val="0"/>
          <w:szCs w:val="28"/>
          <w:lang w:val="zh-CN"/>
        </w:rPr>
        <w:fldChar w:fldCharType="end"/>
      </w:r>
    </w:p>
    <w:p w14:paraId="5CBC6DF5">
      <w:pPr>
        <w:pStyle w:val="38"/>
        <w:tabs>
          <w:tab w:val="right" w:leader="dot" w:pos="8306"/>
        </w:tabs>
      </w:pPr>
      <w:r>
        <w:rPr>
          <w:rFonts w:ascii="黑体" w:hAnsi="黑体" w:eastAsia="黑体"/>
          <w:b w:val="0"/>
          <w:bCs w:val="0"/>
          <w:kern w:val="0"/>
          <w:szCs w:val="28"/>
          <w:lang w:val="zh-CN"/>
        </w:rPr>
        <w:fldChar w:fldCharType="begin"/>
      </w:r>
      <w:r>
        <w:rPr>
          <w:rFonts w:ascii="黑体" w:hAnsi="黑体" w:eastAsia="黑体"/>
          <w:b w:val="0"/>
          <w:bCs w:val="0"/>
          <w:kern w:val="0"/>
          <w:szCs w:val="28"/>
          <w:lang w:val="zh-CN"/>
        </w:rPr>
        <w:instrText xml:space="preserve"> HYPERLINK \l _Toc26159 </w:instrText>
      </w:r>
      <w:r>
        <w:rPr>
          <w:rFonts w:ascii="黑体" w:hAnsi="黑体" w:eastAsia="黑体"/>
          <w:b w:val="0"/>
          <w:bCs w:val="0"/>
          <w:kern w:val="0"/>
          <w:szCs w:val="28"/>
          <w:lang w:val="zh-CN"/>
        </w:rPr>
        <w:fldChar w:fldCharType="separate"/>
      </w:r>
      <w:r>
        <w:rPr>
          <w:rFonts w:hint="eastAsia" w:ascii="黑体" w:hAnsi="黑体" w:eastAsia="黑体"/>
          <w:b w:val="0"/>
          <w:bCs w:val="0"/>
          <w:kern w:val="0"/>
          <w:szCs w:val="28"/>
        </w:rPr>
        <w:t xml:space="preserve">第八章 </w:t>
      </w:r>
      <w:r>
        <w:rPr>
          <w:rFonts w:hint="eastAsia" w:ascii="黑体" w:hAnsi="黑体" w:eastAsia="黑体"/>
          <w:b w:val="0"/>
          <w:bCs w:val="0"/>
          <w:kern w:val="0"/>
          <w:szCs w:val="28"/>
          <w:lang w:val="en-US" w:eastAsia="zh-CN"/>
        </w:rPr>
        <w:t xml:space="preserve"> </w:t>
      </w:r>
      <w:r>
        <w:rPr>
          <w:rFonts w:hint="eastAsia" w:ascii="黑体" w:hAnsi="黑体" w:eastAsia="黑体"/>
          <w:b w:val="0"/>
          <w:bCs w:val="0"/>
          <w:kern w:val="0"/>
          <w:szCs w:val="28"/>
        </w:rPr>
        <w:t>投标文件格式</w:t>
      </w:r>
      <w:r>
        <w:rPr>
          <w:rFonts w:ascii="黑体" w:hAnsi="黑体" w:eastAsia="黑体"/>
          <w:b w:val="0"/>
          <w:bCs w:val="0"/>
          <w:kern w:val="0"/>
          <w:szCs w:val="28"/>
        </w:rPr>
        <w:tab/>
      </w:r>
      <w:r>
        <w:rPr>
          <w:rFonts w:ascii="黑体" w:hAnsi="黑体" w:eastAsia="黑体"/>
          <w:b w:val="0"/>
          <w:bCs w:val="0"/>
          <w:kern w:val="0"/>
          <w:szCs w:val="28"/>
        </w:rPr>
        <w:fldChar w:fldCharType="begin"/>
      </w:r>
      <w:r>
        <w:rPr>
          <w:rFonts w:ascii="黑体" w:hAnsi="黑体" w:eastAsia="黑体"/>
          <w:b w:val="0"/>
          <w:bCs w:val="0"/>
          <w:kern w:val="0"/>
          <w:szCs w:val="28"/>
        </w:rPr>
        <w:instrText xml:space="preserve"> PAGEREF _Toc26159 \h </w:instrText>
      </w:r>
      <w:r>
        <w:rPr>
          <w:rFonts w:ascii="黑体" w:hAnsi="黑体" w:eastAsia="黑体"/>
          <w:b w:val="0"/>
          <w:bCs w:val="0"/>
          <w:kern w:val="0"/>
          <w:szCs w:val="28"/>
        </w:rPr>
        <w:fldChar w:fldCharType="separate"/>
      </w:r>
      <w:r>
        <w:rPr>
          <w:rFonts w:ascii="黑体" w:hAnsi="黑体" w:eastAsia="黑体"/>
          <w:b w:val="0"/>
          <w:bCs w:val="0"/>
          <w:kern w:val="0"/>
          <w:szCs w:val="28"/>
        </w:rPr>
        <w:t>94</w:t>
      </w:r>
      <w:r>
        <w:rPr>
          <w:rFonts w:ascii="黑体" w:hAnsi="黑体" w:eastAsia="黑体"/>
          <w:b w:val="0"/>
          <w:bCs w:val="0"/>
          <w:kern w:val="0"/>
          <w:szCs w:val="28"/>
        </w:rPr>
        <w:fldChar w:fldCharType="end"/>
      </w:r>
      <w:r>
        <w:rPr>
          <w:rFonts w:ascii="黑体" w:hAnsi="黑体" w:eastAsia="黑体"/>
          <w:b w:val="0"/>
          <w:bCs w:val="0"/>
          <w:kern w:val="0"/>
          <w:szCs w:val="28"/>
          <w:lang w:val="zh-CN"/>
        </w:rPr>
        <w:fldChar w:fldCharType="end"/>
      </w:r>
    </w:p>
    <w:p w14:paraId="60726B95">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_Toc30291 </w:instrText>
      </w:r>
      <w:r>
        <w:rPr>
          <w:rFonts w:ascii="黑体" w:hAnsi="黑体" w:eastAsia="黑体"/>
          <w:bCs/>
          <w:szCs w:val="28"/>
          <w:lang w:val="zh-CN"/>
        </w:rPr>
        <w:fldChar w:fldCharType="separate"/>
      </w:r>
      <w:r>
        <w:rPr>
          <w:rFonts w:hint="eastAsia" w:ascii="黑体" w:hAnsi="黑体"/>
        </w:rPr>
        <w:t>一</w:t>
      </w:r>
      <w:r>
        <w:rPr>
          <w:rFonts w:ascii="黑体" w:hAnsi="黑体"/>
        </w:rPr>
        <w:t>、</w:t>
      </w:r>
      <w:r>
        <w:rPr>
          <w:rFonts w:hint="eastAsia" w:ascii="黑体" w:hAnsi="黑体"/>
        </w:rPr>
        <w:t>法定代表人（</w:t>
      </w:r>
      <w:r>
        <w:rPr>
          <w:rFonts w:ascii="黑体" w:hAnsi="黑体"/>
        </w:rPr>
        <w:t>单位负责人）</w:t>
      </w:r>
      <w:r>
        <w:rPr>
          <w:rFonts w:hint="eastAsia" w:ascii="黑体" w:hAnsi="黑体"/>
        </w:rPr>
        <w:t>身份证明</w:t>
      </w:r>
      <w:r>
        <w:tab/>
      </w:r>
      <w:r>
        <w:fldChar w:fldCharType="begin"/>
      </w:r>
      <w:r>
        <w:instrText xml:space="preserve"> PAGEREF _Toc30291 \h </w:instrText>
      </w:r>
      <w:r>
        <w:fldChar w:fldCharType="separate"/>
      </w:r>
      <w:r>
        <w:t>97</w:t>
      </w:r>
      <w:r>
        <w:fldChar w:fldCharType="end"/>
      </w:r>
      <w:r>
        <w:rPr>
          <w:rFonts w:ascii="黑体" w:hAnsi="黑体" w:eastAsia="黑体"/>
          <w:bCs/>
          <w:szCs w:val="28"/>
          <w:lang w:val="zh-CN"/>
        </w:rPr>
        <w:fldChar w:fldCharType="end"/>
      </w:r>
    </w:p>
    <w:p w14:paraId="43567458">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_Toc18655 </w:instrText>
      </w:r>
      <w:r>
        <w:rPr>
          <w:rFonts w:ascii="黑体" w:hAnsi="黑体" w:eastAsia="黑体"/>
          <w:bCs/>
          <w:szCs w:val="28"/>
          <w:lang w:val="zh-CN"/>
        </w:rPr>
        <w:fldChar w:fldCharType="separate"/>
      </w:r>
      <w:r>
        <w:rPr>
          <w:rFonts w:ascii="黑体" w:hAnsi="黑体"/>
        </w:rPr>
        <w:t>二、</w:t>
      </w:r>
      <w:r>
        <w:rPr>
          <w:rFonts w:hint="eastAsia" w:ascii="黑体" w:hAnsi="黑体"/>
        </w:rPr>
        <w:t>授权委托书</w:t>
      </w:r>
      <w:r>
        <w:tab/>
      </w:r>
      <w:r>
        <w:fldChar w:fldCharType="begin"/>
      </w:r>
      <w:r>
        <w:instrText xml:space="preserve"> PAGEREF _Toc18655 \h </w:instrText>
      </w:r>
      <w:r>
        <w:fldChar w:fldCharType="separate"/>
      </w:r>
      <w:r>
        <w:t>98</w:t>
      </w:r>
      <w:r>
        <w:fldChar w:fldCharType="end"/>
      </w:r>
      <w:r>
        <w:rPr>
          <w:rFonts w:ascii="黑体" w:hAnsi="黑体" w:eastAsia="黑体"/>
          <w:bCs/>
          <w:szCs w:val="28"/>
          <w:lang w:val="zh-CN"/>
        </w:rPr>
        <w:fldChar w:fldCharType="end"/>
      </w:r>
    </w:p>
    <w:p w14:paraId="3B5B16BD">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_Toc21699 </w:instrText>
      </w:r>
      <w:r>
        <w:rPr>
          <w:rFonts w:ascii="黑体" w:hAnsi="黑体" w:eastAsia="黑体"/>
          <w:bCs/>
          <w:szCs w:val="28"/>
          <w:lang w:val="zh-CN"/>
        </w:rPr>
        <w:fldChar w:fldCharType="separate"/>
      </w:r>
      <w:r>
        <w:rPr>
          <w:rFonts w:hint="eastAsia" w:ascii="黑体" w:hAnsi="黑体"/>
        </w:rPr>
        <w:t>三</w:t>
      </w:r>
      <w:r>
        <w:rPr>
          <w:rFonts w:ascii="黑体" w:hAnsi="黑体"/>
        </w:rPr>
        <w:t>、</w:t>
      </w:r>
      <w:r>
        <w:rPr>
          <w:rFonts w:hint="eastAsia" w:ascii="黑体" w:hAnsi="黑体"/>
        </w:rPr>
        <w:t>投标人基本情况表</w:t>
      </w:r>
      <w:r>
        <w:tab/>
      </w:r>
      <w:r>
        <w:fldChar w:fldCharType="begin"/>
      </w:r>
      <w:r>
        <w:instrText xml:space="preserve"> PAGEREF _Toc21699 \h </w:instrText>
      </w:r>
      <w:r>
        <w:fldChar w:fldCharType="separate"/>
      </w:r>
      <w:r>
        <w:t>99</w:t>
      </w:r>
      <w:r>
        <w:fldChar w:fldCharType="end"/>
      </w:r>
      <w:r>
        <w:rPr>
          <w:rFonts w:ascii="黑体" w:hAnsi="黑体" w:eastAsia="黑体"/>
          <w:bCs/>
          <w:szCs w:val="28"/>
          <w:lang w:val="zh-CN"/>
        </w:rPr>
        <w:fldChar w:fldCharType="end"/>
      </w:r>
    </w:p>
    <w:p w14:paraId="5217B29C">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_Toc16689 </w:instrText>
      </w:r>
      <w:r>
        <w:rPr>
          <w:rFonts w:ascii="黑体" w:hAnsi="黑体" w:eastAsia="黑体"/>
          <w:bCs/>
          <w:szCs w:val="28"/>
          <w:lang w:val="zh-CN"/>
        </w:rPr>
        <w:fldChar w:fldCharType="separate"/>
      </w:r>
      <w:r>
        <w:rPr>
          <w:rFonts w:hint="eastAsia" w:ascii="黑体" w:hAnsi="黑体"/>
        </w:rPr>
        <w:t>四、</w:t>
      </w:r>
      <w:r>
        <w:rPr>
          <w:rFonts w:ascii="黑体" w:hAnsi="黑体"/>
        </w:rPr>
        <w:t>营业执照</w:t>
      </w:r>
      <w:r>
        <w:tab/>
      </w:r>
      <w:r>
        <w:fldChar w:fldCharType="begin"/>
      </w:r>
      <w:r>
        <w:instrText xml:space="preserve"> PAGEREF _Toc16689 \h </w:instrText>
      </w:r>
      <w:r>
        <w:fldChar w:fldCharType="separate"/>
      </w:r>
      <w:r>
        <w:t>100</w:t>
      </w:r>
      <w:r>
        <w:fldChar w:fldCharType="end"/>
      </w:r>
      <w:r>
        <w:rPr>
          <w:rFonts w:ascii="黑体" w:hAnsi="黑体" w:eastAsia="黑体"/>
          <w:bCs/>
          <w:szCs w:val="28"/>
          <w:lang w:val="zh-CN"/>
        </w:rPr>
        <w:fldChar w:fldCharType="end"/>
      </w:r>
    </w:p>
    <w:p w14:paraId="58BFE3F4">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_Toc15238 </w:instrText>
      </w:r>
      <w:r>
        <w:rPr>
          <w:rFonts w:ascii="黑体" w:hAnsi="黑体" w:eastAsia="黑体"/>
          <w:bCs/>
          <w:szCs w:val="28"/>
          <w:lang w:val="zh-CN"/>
        </w:rPr>
        <w:fldChar w:fldCharType="separate"/>
      </w:r>
      <w:r>
        <w:rPr>
          <w:rFonts w:ascii="黑体" w:hAnsi="黑体"/>
        </w:rPr>
        <w:t>五、</w:t>
      </w:r>
      <w:r>
        <w:rPr>
          <w:rFonts w:hint="eastAsia" w:ascii="黑体" w:hAnsi="黑体"/>
        </w:rPr>
        <w:t>财务状况报告</w:t>
      </w:r>
      <w:r>
        <w:tab/>
      </w:r>
      <w:r>
        <w:fldChar w:fldCharType="begin"/>
      </w:r>
      <w:r>
        <w:instrText xml:space="preserve"> PAGEREF _Toc15238 \h </w:instrText>
      </w:r>
      <w:r>
        <w:fldChar w:fldCharType="separate"/>
      </w:r>
      <w:r>
        <w:t>100</w:t>
      </w:r>
      <w:r>
        <w:fldChar w:fldCharType="end"/>
      </w:r>
      <w:r>
        <w:rPr>
          <w:rFonts w:ascii="黑体" w:hAnsi="黑体" w:eastAsia="黑体"/>
          <w:bCs/>
          <w:szCs w:val="28"/>
          <w:lang w:val="zh-CN"/>
        </w:rPr>
        <w:fldChar w:fldCharType="end"/>
      </w:r>
    </w:p>
    <w:p w14:paraId="57435766">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_Toc32221 </w:instrText>
      </w:r>
      <w:r>
        <w:rPr>
          <w:rFonts w:ascii="黑体" w:hAnsi="黑体" w:eastAsia="黑体"/>
          <w:bCs/>
          <w:szCs w:val="28"/>
          <w:lang w:val="zh-CN"/>
        </w:rPr>
        <w:fldChar w:fldCharType="separate"/>
      </w:r>
      <w:r>
        <w:rPr>
          <w:rFonts w:ascii="黑体" w:hAnsi="黑体"/>
        </w:rPr>
        <w:t>六</w:t>
      </w:r>
      <w:r>
        <w:rPr>
          <w:rFonts w:hint="eastAsia" w:ascii="黑体" w:hAnsi="黑体"/>
        </w:rPr>
        <w:t>、社会保障资金证明</w:t>
      </w:r>
      <w:r>
        <w:tab/>
      </w:r>
      <w:r>
        <w:fldChar w:fldCharType="begin"/>
      </w:r>
      <w:r>
        <w:instrText xml:space="preserve"> PAGEREF _Toc32221 \h </w:instrText>
      </w:r>
      <w:r>
        <w:fldChar w:fldCharType="separate"/>
      </w:r>
      <w:r>
        <w:t>100</w:t>
      </w:r>
      <w:r>
        <w:fldChar w:fldCharType="end"/>
      </w:r>
      <w:r>
        <w:rPr>
          <w:rFonts w:ascii="黑体" w:hAnsi="黑体" w:eastAsia="黑体"/>
          <w:bCs/>
          <w:szCs w:val="28"/>
          <w:lang w:val="zh-CN"/>
        </w:rPr>
        <w:fldChar w:fldCharType="end"/>
      </w:r>
    </w:p>
    <w:p w14:paraId="1806CC4B">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_Toc4681 </w:instrText>
      </w:r>
      <w:r>
        <w:rPr>
          <w:rFonts w:ascii="黑体" w:hAnsi="黑体" w:eastAsia="黑体"/>
          <w:bCs/>
          <w:szCs w:val="28"/>
          <w:lang w:val="zh-CN"/>
        </w:rPr>
        <w:fldChar w:fldCharType="separate"/>
      </w:r>
      <w:r>
        <w:rPr>
          <w:rFonts w:hint="eastAsia" w:ascii="黑体" w:hAnsi="黑体"/>
        </w:rPr>
        <w:t>七</w:t>
      </w:r>
      <w:r>
        <w:rPr>
          <w:rFonts w:ascii="黑体" w:hAnsi="黑体"/>
        </w:rPr>
        <w:t>、</w:t>
      </w:r>
      <w:r>
        <w:rPr>
          <w:rFonts w:hint="eastAsia" w:ascii="黑体" w:hAnsi="黑体"/>
        </w:rPr>
        <w:t>依法缴纳税收证明</w:t>
      </w:r>
      <w:r>
        <w:tab/>
      </w:r>
      <w:r>
        <w:fldChar w:fldCharType="begin"/>
      </w:r>
      <w:r>
        <w:instrText xml:space="preserve"> PAGEREF _Toc4681 \h </w:instrText>
      </w:r>
      <w:r>
        <w:fldChar w:fldCharType="separate"/>
      </w:r>
      <w:r>
        <w:t>100</w:t>
      </w:r>
      <w:r>
        <w:fldChar w:fldCharType="end"/>
      </w:r>
      <w:r>
        <w:rPr>
          <w:rFonts w:ascii="黑体" w:hAnsi="黑体" w:eastAsia="黑体"/>
          <w:bCs/>
          <w:szCs w:val="28"/>
          <w:lang w:val="zh-CN"/>
        </w:rPr>
        <w:fldChar w:fldCharType="end"/>
      </w:r>
    </w:p>
    <w:p w14:paraId="57C1B4DE">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_Toc13411 </w:instrText>
      </w:r>
      <w:r>
        <w:rPr>
          <w:rFonts w:ascii="黑体" w:hAnsi="黑体" w:eastAsia="黑体"/>
          <w:bCs/>
          <w:szCs w:val="28"/>
          <w:lang w:val="zh-CN"/>
        </w:rPr>
        <w:fldChar w:fldCharType="separate"/>
      </w:r>
      <w:r>
        <w:rPr>
          <w:rFonts w:hint="eastAsia" w:ascii="黑体" w:hAnsi="黑体"/>
        </w:rPr>
        <w:t>八、参加政府采购活动前三年内，在经营活动中没有重大违法记录的声明</w:t>
      </w:r>
      <w:r>
        <w:tab/>
      </w:r>
      <w:r>
        <w:fldChar w:fldCharType="begin"/>
      </w:r>
      <w:r>
        <w:instrText xml:space="preserve"> PAGEREF _Toc13411 \h </w:instrText>
      </w:r>
      <w:r>
        <w:fldChar w:fldCharType="separate"/>
      </w:r>
      <w:r>
        <w:t>100</w:t>
      </w:r>
      <w:r>
        <w:fldChar w:fldCharType="end"/>
      </w:r>
      <w:r>
        <w:rPr>
          <w:rFonts w:ascii="黑体" w:hAnsi="黑体" w:eastAsia="黑体"/>
          <w:bCs/>
          <w:szCs w:val="28"/>
          <w:lang w:val="zh-CN"/>
        </w:rPr>
        <w:fldChar w:fldCharType="end"/>
      </w:r>
    </w:p>
    <w:p w14:paraId="5C97EA8E">
      <w:pPr>
        <w:pStyle w:val="48"/>
        <w:tabs>
          <w:tab w:val="right" w:leader="dot" w:pos="8306"/>
        </w:tabs>
        <w:rPr>
          <w:rFonts w:ascii="黑体" w:hAnsi="黑体" w:eastAsia="黑体"/>
          <w:bCs/>
          <w:szCs w:val="28"/>
          <w:lang w:val="zh-CN"/>
        </w:rPr>
      </w:pPr>
      <w:r>
        <w:rPr>
          <w:rFonts w:ascii="黑体" w:hAnsi="黑体" w:eastAsia="黑体"/>
          <w:bCs/>
          <w:szCs w:val="28"/>
          <w:lang w:val="zh-CN"/>
        </w:rPr>
        <w:fldChar w:fldCharType="begin"/>
      </w:r>
      <w:r>
        <w:rPr>
          <w:rFonts w:ascii="黑体" w:hAnsi="黑体" w:eastAsia="黑体"/>
          <w:bCs/>
          <w:szCs w:val="28"/>
          <w:lang w:val="zh-CN"/>
        </w:rPr>
        <w:instrText xml:space="preserve"> HYPERLINK \l _Toc6890 </w:instrText>
      </w:r>
      <w:r>
        <w:rPr>
          <w:rFonts w:ascii="黑体" w:hAnsi="黑体" w:eastAsia="黑体"/>
          <w:bCs/>
          <w:szCs w:val="28"/>
          <w:lang w:val="zh-CN"/>
        </w:rPr>
        <w:fldChar w:fldCharType="separate"/>
      </w:r>
      <w:r>
        <w:rPr>
          <w:rFonts w:hint="eastAsia" w:ascii="黑体" w:hAnsi="黑体"/>
        </w:rPr>
        <w:t>九、投标人信用信息查询记录</w:t>
      </w:r>
      <w:r>
        <w:tab/>
      </w:r>
      <w:r>
        <w:fldChar w:fldCharType="begin"/>
      </w:r>
      <w:r>
        <w:instrText xml:space="preserve"> PAGEREF _Toc6890 \h </w:instrText>
      </w:r>
      <w:r>
        <w:fldChar w:fldCharType="separate"/>
      </w:r>
      <w:r>
        <w:t>100</w:t>
      </w:r>
      <w:r>
        <w:fldChar w:fldCharType="end"/>
      </w:r>
      <w:r>
        <w:rPr>
          <w:rFonts w:ascii="黑体" w:hAnsi="黑体" w:eastAsia="黑体"/>
          <w:bCs/>
          <w:szCs w:val="28"/>
          <w:lang w:val="zh-CN"/>
        </w:rPr>
        <w:fldChar w:fldCharType="end"/>
      </w:r>
    </w:p>
    <w:p w14:paraId="253A13E5">
      <w:pPr>
        <w:pStyle w:val="48"/>
        <w:tabs>
          <w:tab w:val="right" w:leader="dot" w:pos="8306"/>
        </w:tabs>
        <w:rPr>
          <w:rFonts w:hint="eastAsia" w:ascii="黑体" w:hAnsi="黑体" w:eastAsia="宋体" w:cs="Times New Roman"/>
          <w:smallCaps/>
          <w:kern w:val="2"/>
          <w:sz w:val="20"/>
          <w:szCs w:val="20"/>
          <w:lang w:val="en-US" w:eastAsia="zh-CN" w:bidi="ar-SA"/>
        </w:rPr>
      </w:pPr>
      <w:r>
        <w:rPr>
          <w:rFonts w:hint="eastAsia" w:ascii="黑体" w:hAnsi="黑体" w:eastAsia="宋体" w:cs="Times New Roman"/>
          <w:smallCaps/>
          <w:kern w:val="2"/>
          <w:sz w:val="20"/>
          <w:szCs w:val="20"/>
          <w:lang w:val="en-US" w:eastAsia="zh-CN" w:bidi="ar-SA"/>
        </w:rPr>
        <w:t>十、招标文件要求提供的其他证明材</w:t>
      </w:r>
      <w:r>
        <w:rPr>
          <w:rFonts w:ascii="黑体" w:hAnsi="黑体" w:eastAsia="黑体"/>
          <w:bCs/>
          <w:szCs w:val="28"/>
          <w:lang w:val="zh-CN"/>
        </w:rPr>
        <w:fldChar w:fldCharType="begin"/>
      </w:r>
      <w:r>
        <w:rPr>
          <w:rFonts w:ascii="黑体" w:hAnsi="黑体" w:eastAsia="黑体"/>
          <w:bCs/>
          <w:szCs w:val="28"/>
          <w:lang w:val="zh-CN"/>
        </w:rPr>
        <w:instrText xml:space="preserve"> HYPERLINK \l _Toc6890 </w:instrText>
      </w:r>
      <w:r>
        <w:rPr>
          <w:rFonts w:ascii="黑体" w:hAnsi="黑体" w:eastAsia="黑体"/>
          <w:bCs/>
          <w:szCs w:val="28"/>
          <w:lang w:val="zh-CN"/>
        </w:rPr>
        <w:fldChar w:fldCharType="separate"/>
      </w:r>
      <w:r>
        <w:tab/>
      </w:r>
      <w:r>
        <w:fldChar w:fldCharType="begin"/>
      </w:r>
      <w:r>
        <w:instrText xml:space="preserve"> PAGEREF _Toc6890 \h </w:instrText>
      </w:r>
      <w:r>
        <w:fldChar w:fldCharType="separate"/>
      </w:r>
      <w:r>
        <w:t>100</w:t>
      </w:r>
      <w:r>
        <w:fldChar w:fldCharType="end"/>
      </w:r>
      <w:r>
        <w:rPr>
          <w:rFonts w:ascii="黑体" w:hAnsi="黑体" w:eastAsia="黑体"/>
          <w:bCs/>
          <w:szCs w:val="28"/>
          <w:lang w:val="zh-CN"/>
        </w:rPr>
        <w:fldChar w:fldCharType="end"/>
      </w:r>
    </w:p>
    <w:p w14:paraId="0959B1DC">
      <w:pPr>
        <w:pStyle w:val="48"/>
        <w:tabs>
          <w:tab w:val="right" w:leader="dot" w:pos="8306"/>
        </w:tabs>
        <w:rPr>
          <w:rFonts w:ascii="黑体" w:hAnsi="黑体" w:eastAsia="黑体"/>
          <w:bCs/>
          <w:szCs w:val="28"/>
          <w:lang w:val="zh-CN"/>
        </w:rPr>
      </w:pPr>
      <w:r>
        <w:rPr>
          <w:rFonts w:hint="eastAsia" w:ascii="黑体" w:hAnsi="黑体" w:eastAsia="宋体" w:cs="Times New Roman"/>
          <w:smallCaps/>
          <w:kern w:val="2"/>
          <w:sz w:val="20"/>
          <w:szCs w:val="20"/>
          <w:lang w:val="en-US" w:eastAsia="zh-CN" w:bidi="ar-SA"/>
        </w:rPr>
        <w:t>十一、 中小企业声明函</w:t>
      </w:r>
      <w:r>
        <w:rPr>
          <w:rFonts w:ascii="黑体" w:hAnsi="黑体" w:eastAsia="黑体"/>
          <w:bCs/>
          <w:szCs w:val="28"/>
          <w:lang w:val="zh-CN"/>
        </w:rPr>
        <w:fldChar w:fldCharType="begin"/>
      </w:r>
      <w:r>
        <w:rPr>
          <w:rFonts w:ascii="黑体" w:hAnsi="黑体" w:eastAsia="黑体"/>
          <w:bCs/>
          <w:szCs w:val="28"/>
          <w:lang w:val="zh-CN"/>
        </w:rPr>
        <w:instrText xml:space="preserve"> HYPERLINK \l _Toc6890 </w:instrText>
      </w:r>
      <w:r>
        <w:rPr>
          <w:rFonts w:ascii="黑体" w:hAnsi="黑体" w:eastAsia="黑体"/>
          <w:bCs/>
          <w:szCs w:val="28"/>
          <w:lang w:val="zh-CN"/>
        </w:rPr>
        <w:fldChar w:fldCharType="separate"/>
      </w:r>
      <w:r>
        <w:tab/>
      </w:r>
      <w:r>
        <w:fldChar w:fldCharType="begin"/>
      </w:r>
      <w:r>
        <w:instrText xml:space="preserve"> PAGEREF _Toc6890 \h </w:instrText>
      </w:r>
      <w:r>
        <w:fldChar w:fldCharType="separate"/>
      </w:r>
      <w:r>
        <w:t>100</w:t>
      </w:r>
      <w:r>
        <w:fldChar w:fldCharType="end"/>
      </w:r>
      <w:r>
        <w:rPr>
          <w:rFonts w:ascii="黑体" w:hAnsi="黑体" w:eastAsia="黑体"/>
          <w:bCs/>
          <w:szCs w:val="28"/>
          <w:lang w:val="zh-CN"/>
        </w:rPr>
        <w:fldChar w:fldCharType="end"/>
      </w:r>
    </w:p>
    <w:p w14:paraId="0FCFDB0D">
      <w:pPr>
        <w:pStyle w:val="48"/>
        <w:tabs>
          <w:tab w:val="right" w:leader="dot" w:pos="8306"/>
        </w:tabs>
        <w:rPr>
          <w:rFonts w:ascii="黑体" w:hAnsi="黑体" w:eastAsia="黑体"/>
          <w:bCs/>
          <w:szCs w:val="28"/>
          <w:lang w:val="zh-CN"/>
        </w:rPr>
      </w:pPr>
      <w:r>
        <w:rPr>
          <w:rFonts w:ascii="黑体" w:hAnsi="黑体" w:eastAsia="黑体"/>
          <w:bCs/>
          <w:szCs w:val="28"/>
          <w:lang w:val="zh-CN"/>
        </w:rPr>
        <w:fldChar w:fldCharType="begin"/>
      </w:r>
      <w:r>
        <w:rPr>
          <w:rFonts w:ascii="黑体" w:hAnsi="黑体" w:eastAsia="黑体"/>
          <w:bCs/>
          <w:szCs w:val="28"/>
          <w:lang w:val="zh-CN"/>
        </w:rPr>
        <w:instrText xml:space="preserve"> HYPERLINK \l _Toc6890 </w:instrText>
      </w:r>
      <w:r>
        <w:rPr>
          <w:rFonts w:ascii="黑体" w:hAnsi="黑体" w:eastAsia="黑体"/>
          <w:bCs/>
          <w:szCs w:val="28"/>
          <w:lang w:val="zh-CN"/>
        </w:rPr>
        <w:fldChar w:fldCharType="separate"/>
      </w:r>
      <w:r>
        <w:rPr>
          <w:rFonts w:hint="eastAsia" w:ascii="黑体" w:hAnsi="黑体" w:eastAsia="黑体"/>
          <w:lang w:val="en-US" w:eastAsia="zh-CN"/>
        </w:rPr>
        <w:t>十二</w:t>
      </w:r>
      <w:r>
        <w:rPr>
          <w:rFonts w:hint="eastAsia" w:ascii="黑体" w:hAnsi="黑体"/>
        </w:rPr>
        <w:t>、残疾人福利性单位声明函</w:t>
      </w:r>
      <w:r>
        <w:tab/>
      </w:r>
      <w:r>
        <w:fldChar w:fldCharType="begin"/>
      </w:r>
      <w:r>
        <w:instrText xml:space="preserve"> PAGEREF _Toc6890 \h </w:instrText>
      </w:r>
      <w:r>
        <w:fldChar w:fldCharType="separate"/>
      </w:r>
      <w:r>
        <w:t>100</w:t>
      </w:r>
      <w:r>
        <w:fldChar w:fldCharType="end"/>
      </w:r>
      <w:r>
        <w:rPr>
          <w:rFonts w:ascii="黑体" w:hAnsi="黑体" w:eastAsia="黑体"/>
          <w:bCs/>
          <w:szCs w:val="28"/>
          <w:lang w:val="zh-CN"/>
        </w:rPr>
        <w:fldChar w:fldCharType="end"/>
      </w:r>
    </w:p>
    <w:p w14:paraId="73964482">
      <w:pPr>
        <w:pStyle w:val="48"/>
        <w:tabs>
          <w:tab w:val="right" w:leader="dot" w:pos="8306"/>
        </w:tabs>
        <w:rPr>
          <w:rFonts w:ascii="黑体" w:hAnsi="黑体" w:eastAsia="黑体"/>
          <w:bCs/>
          <w:szCs w:val="28"/>
          <w:lang w:val="zh-CN"/>
        </w:rPr>
      </w:pPr>
      <w:r>
        <w:rPr>
          <w:rFonts w:ascii="黑体" w:hAnsi="黑体" w:eastAsia="黑体"/>
          <w:bCs/>
          <w:szCs w:val="28"/>
          <w:lang w:val="zh-CN"/>
        </w:rPr>
        <w:fldChar w:fldCharType="begin"/>
      </w:r>
      <w:r>
        <w:rPr>
          <w:rFonts w:ascii="黑体" w:hAnsi="黑体" w:eastAsia="黑体"/>
          <w:bCs/>
          <w:szCs w:val="28"/>
          <w:lang w:val="zh-CN"/>
        </w:rPr>
        <w:instrText xml:space="preserve"> HYPERLINK \l _Toc6890 </w:instrText>
      </w:r>
      <w:r>
        <w:rPr>
          <w:rFonts w:ascii="黑体" w:hAnsi="黑体" w:eastAsia="黑体"/>
          <w:bCs/>
          <w:szCs w:val="28"/>
          <w:lang w:val="zh-CN"/>
        </w:rPr>
        <w:fldChar w:fldCharType="separate"/>
      </w:r>
      <w:r>
        <w:rPr>
          <w:rFonts w:hint="eastAsia" w:ascii="黑体" w:hAnsi="黑体" w:eastAsia="黑体"/>
          <w:lang w:val="en-US" w:eastAsia="zh-CN"/>
        </w:rPr>
        <w:t>十三</w:t>
      </w:r>
      <w:r>
        <w:rPr>
          <w:rFonts w:hint="eastAsia" w:ascii="黑体" w:hAnsi="黑体"/>
        </w:rPr>
        <w:t>、监狱企业证明文件</w:t>
      </w:r>
      <w:r>
        <w:tab/>
      </w:r>
      <w:r>
        <w:fldChar w:fldCharType="begin"/>
      </w:r>
      <w:r>
        <w:instrText xml:space="preserve"> PAGEREF _Toc6890 \h </w:instrText>
      </w:r>
      <w:r>
        <w:fldChar w:fldCharType="separate"/>
      </w:r>
      <w:r>
        <w:t>100</w:t>
      </w:r>
      <w:r>
        <w:fldChar w:fldCharType="end"/>
      </w:r>
      <w:r>
        <w:rPr>
          <w:rFonts w:ascii="黑体" w:hAnsi="黑体" w:eastAsia="黑体"/>
          <w:bCs/>
          <w:szCs w:val="28"/>
          <w:lang w:val="zh-CN"/>
        </w:rPr>
        <w:fldChar w:fldCharType="end"/>
      </w:r>
    </w:p>
    <w:p w14:paraId="130D8362">
      <w:pPr>
        <w:pStyle w:val="48"/>
        <w:tabs>
          <w:tab w:val="right" w:leader="dot" w:pos="8306"/>
        </w:tabs>
        <w:rPr>
          <w:rFonts w:ascii="黑体" w:hAnsi="黑体" w:eastAsia="黑体"/>
          <w:bCs/>
          <w:szCs w:val="28"/>
          <w:lang w:val="zh-CN"/>
        </w:rPr>
      </w:pPr>
      <w:r>
        <w:rPr>
          <w:rFonts w:hint="eastAsia" w:ascii="黑体" w:hAnsi="黑体" w:eastAsia="黑体"/>
          <w:bCs/>
          <w:szCs w:val="28"/>
          <w:lang w:val="zh-CN"/>
        </w:rPr>
        <w:t>技术与售后服务部分</w:t>
      </w:r>
      <w:r>
        <w:tab/>
      </w:r>
      <w:r>
        <w:fldChar w:fldCharType="begin"/>
      </w:r>
      <w:r>
        <w:instrText xml:space="preserve"> PAGEREF _Toc6890 \h </w:instrText>
      </w:r>
      <w:r>
        <w:fldChar w:fldCharType="separate"/>
      </w:r>
      <w:r>
        <w:t>100</w:t>
      </w:r>
      <w:r>
        <w:fldChar w:fldCharType="end"/>
      </w:r>
    </w:p>
    <w:p w14:paraId="14412E9B">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 </w:instrText>
      </w:r>
      <w:r>
        <w:rPr>
          <w:rFonts w:ascii="黑体" w:hAnsi="黑体" w:eastAsia="黑体"/>
          <w:bCs/>
          <w:szCs w:val="28"/>
          <w:lang w:val="zh-CN"/>
        </w:rPr>
        <w:fldChar w:fldCharType="separate"/>
      </w:r>
      <w:r>
        <w:rPr>
          <w:rFonts w:hint="eastAsia"/>
        </w:rPr>
        <w:t>一、投 标 函</w:t>
      </w:r>
      <w:r>
        <w:tab/>
      </w:r>
      <w:r>
        <w:fldChar w:fldCharType="begin"/>
      </w:r>
      <w:r>
        <w:instrText xml:space="preserve"> PAGEREF _Toc2 \h </w:instrText>
      </w:r>
      <w:r>
        <w:fldChar w:fldCharType="separate"/>
      </w:r>
      <w:r>
        <w:t>105</w:t>
      </w:r>
      <w:r>
        <w:fldChar w:fldCharType="end"/>
      </w:r>
      <w:r>
        <w:rPr>
          <w:rFonts w:ascii="黑体" w:hAnsi="黑体" w:eastAsia="黑体"/>
          <w:bCs/>
          <w:szCs w:val="28"/>
          <w:lang w:val="zh-CN"/>
        </w:rPr>
        <w:fldChar w:fldCharType="end"/>
      </w:r>
    </w:p>
    <w:p w14:paraId="3CF0BA79">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_Toc18720 </w:instrText>
      </w:r>
      <w:r>
        <w:rPr>
          <w:rFonts w:ascii="黑体" w:hAnsi="黑体" w:eastAsia="黑体"/>
          <w:bCs/>
          <w:szCs w:val="28"/>
          <w:lang w:val="zh-CN"/>
        </w:rPr>
        <w:fldChar w:fldCharType="separate"/>
      </w:r>
      <w:r>
        <w:rPr>
          <w:rFonts w:hint="eastAsia"/>
        </w:rPr>
        <w:t>二</w:t>
      </w:r>
      <w:r>
        <w:t>、</w:t>
      </w:r>
      <w:r>
        <w:rPr>
          <w:rFonts w:hint="eastAsia"/>
        </w:rPr>
        <w:t>承诺函</w:t>
      </w:r>
      <w:r>
        <w:tab/>
      </w:r>
      <w:r>
        <w:fldChar w:fldCharType="begin"/>
      </w:r>
      <w:r>
        <w:instrText xml:space="preserve"> PAGEREF _Toc18720 \h </w:instrText>
      </w:r>
      <w:r>
        <w:fldChar w:fldCharType="separate"/>
      </w:r>
      <w:r>
        <w:t>107</w:t>
      </w:r>
      <w:r>
        <w:fldChar w:fldCharType="end"/>
      </w:r>
      <w:r>
        <w:rPr>
          <w:rFonts w:ascii="黑体" w:hAnsi="黑体" w:eastAsia="黑体"/>
          <w:bCs/>
          <w:szCs w:val="28"/>
          <w:lang w:val="zh-CN"/>
        </w:rPr>
        <w:fldChar w:fldCharType="end"/>
      </w:r>
    </w:p>
    <w:p w14:paraId="4630507E">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_Toc32067 </w:instrText>
      </w:r>
      <w:r>
        <w:rPr>
          <w:rFonts w:ascii="黑体" w:hAnsi="黑体" w:eastAsia="黑体"/>
          <w:bCs/>
          <w:szCs w:val="28"/>
          <w:lang w:val="zh-CN"/>
        </w:rPr>
        <w:fldChar w:fldCharType="separate"/>
      </w:r>
      <w:r>
        <w:rPr>
          <w:rFonts w:hint="eastAsia"/>
        </w:rPr>
        <w:t>三、投标产品技术参数表</w:t>
      </w:r>
      <w:r>
        <w:tab/>
      </w:r>
      <w:r>
        <w:fldChar w:fldCharType="begin"/>
      </w:r>
      <w:r>
        <w:instrText xml:space="preserve"> PAGEREF _Toc32067 \h </w:instrText>
      </w:r>
      <w:r>
        <w:fldChar w:fldCharType="separate"/>
      </w:r>
      <w:r>
        <w:t>109</w:t>
      </w:r>
      <w:r>
        <w:fldChar w:fldCharType="end"/>
      </w:r>
      <w:r>
        <w:rPr>
          <w:rFonts w:ascii="黑体" w:hAnsi="黑体" w:eastAsia="黑体"/>
          <w:bCs/>
          <w:szCs w:val="28"/>
          <w:lang w:val="zh-CN"/>
        </w:rPr>
        <w:fldChar w:fldCharType="end"/>
      </w:r>
    </w:p>
    <w:p w14:paraId="32296271">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_Toc2132 </w:instrText>
      </w:r>
      <w:r>
        <w:rPr>
          <w:rFonts w:ascii="黑体" w:hAnsi="黑体" w:eastAsia="黑体"/>
          <w:bCs/>
          <w:szCs w:val="28"/>
          <w:lang w:val="zh-CN"/>
        </w:rPr>
        <w:fldChar w:fldCharType="separate"/>
      </w:r>
      <w:r>
        <w:rPr>
          <w:rFonts w:hint="eastAsia"/>
        </w:rPr>
        <w:t>四、售后服务</w:t>
      </w:r>
      <w:r>
        <w:t>应答表</w:t>
      </w:r>
      <w:r>
        <w:tab/>
      </w:r>
      <w:r>
        <w:fldChar w:fldCharType="begin"/>
      </w:r>
      <w:r>
        <w:instrText xml:space="preserve"> PAGEREF _Toc2132 \h </w:instrText>
      </w:r>
      <w:r>
        <w:fldChar w:fldCharType="separate"/>
      </w:r>
      <w:r>
        <w:t>110</w:t>
      </w:r>
      <w:r>
        <w:fldChar w:fldCharType="end"/>
      </w:r>
      <w:r>
        <w:rPr>
          <w:rFonts w:ascii="黑体" w:hAnsi="黑体" w:eastAsia="黑体"/>
          <w:bCs/>
          <w:szCs w:val="28"/>
          <w:lang w:val="zh-CN"/>
        </w:rPr>
        <w:fldChar w:fldCharType="end"/>
      </w:r>
    </w:p>
    <w:p w14:paraId="088B8F95">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_Toc12005 </w:instrText>
      </w:r>
      <w:r>
        <w:rPr>
          <w:rFonts w:ascii="黑体" w:hAnsi="黑体" w:eastAsia="黑体"/>
          <w:bCs/>
          <w:szCs w:val="28"/>
          <w:lang w:val="zh-CN"/>
        </w:rPr>
        <w:fldChar w:fldCharType="separate"/>
      </w:r>
      <w:r>
        <w:rPr>
          <w:rFonts w:hint="eastAsia"/>
          <w:lang w:val="en-US" w:eastAsia="zh-CN"/>
        </w:rPr>
        <w:t>五</w:t>
      </w:r>
      <w:r>
        <w:rPr>
          <w:rFonts w:hint="eastAsia"/>
        </w:rPr>
        <w:t>、招标文件要求提供的其他文件或资料</w:t>
      </w:r>
      <w:r>
        <w:tab/>
      </w:r>
      <w:r>
        <w:fldChar w:fldCharType="begin"/>
      </w:r>
      <w:r>
        <w:instrText xml:space="preserve"> PAGEREF _Toc12005 \h </w:instrText>
      </w:r>
      <w:r>
        <w:fldChar w:fldCharType="separate"/>
      </w:r>
      <w:r>
        <w:t>111</w:t>
      </w:r>
      <w:r>
        <w:fldChar w:fldCharType="end"/>
      </w:r>
      <w:r>
        <w:rPr>
          <w:rFonts w:ascii="黑体" w:hAnsi="黑体" w:eastAsia="黑体"/>
          <w:bCs/>
          <w:szCs w:val="28"/>
          <w:lang w:val="zh-CN"/>
        </w:rPr>
        <w:fldChar w:fldCharType="end"/>
      </w:r>
    </w:p>
    <w:p w14:paraId="36B16379">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_Toc26969 </w:instrText>
      </w:r>
      <w:r>
        <w:rPr>
          <w:rFonts w:ascii="黑体" w:hAnsi="黑体" w:eastAsia="黑体"/>
          <w:bCs/>
          <w:szCs w:val="28"/>
          <w:lang w:val="zh-CN"/>
        </w:rPr>
        <w:fldChar w:fldCharType="separate"/>
      </w:r>
      <w:r>
        <w:rPr>
          <w:rFonts w:hint="eastAsia"/>
          <w:lang w:val="en-US" w:eastAsia="zh-CN"/>
        </w:rPr>
        <w:t>六</w:t>
      </w:r>
      <w:r>
        <w:rPr>
          <w:rFonts w:hint="eastAsia"/>
        </w:rPr>
        <w:t>、投标人认为需要提供的文件和资料</w:t>
      </w:r>
      <w:r>
        <w:tab/>
      </w:r>
      <w:r>
        <w:fldChar w:fldCharType="begin"/>
      </w:r>
      <w:r>
        <w:instrText xml:space="preserve"> PAGEREF _Toc26969 \h </w:instrText>
      </w:r>
      <w:r>
        <w:fldChar w:fldCharType="separate"/>
      </w:r>
      <w:r>
        <w:t>111</w:t>
      </w:r>
      <w:r>
        <w:fldChar w:fldCharType="end"/>
      </w:r>
      <w:r>
        <w:rPr>
          <w:rFonts w:ascii="黑体" w:hAnsi="黑体" w:eastAsia="黑体"/>
          <w:bCs/>
          <w:szCs w:val="28"/>
          <w:lang w:val="zh-CN"/>
        </w:rPr>
        <w:fldChar w:fldCharType="end"/>
      </w:r>
    </w:p>
    <w:p w14:paraId="6CA39D48">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_Toc24371 </w:instrText>
      </w:r>
      <w:r>
        <w:rPr>
          <w:rFonts w:ascii="黑体" w:hAnsi="黑体" w:eastAsia="黑体"/>
          <w:bCs/>
          <w:szCs w:val="28"/>
          <w:lang w:val="zh-CN"/>
        </w:rPr>
        <w:fldChar w:fldCharType="separate"/>
      </w:r>
      <w:r>
        <w:rPr>
          <w:rFonts w:hint="eastAsia" w:ascii="黑体" w:hAnsi="黑体" w:eastAsia="黑体" w:cs="黑体"/>
          <w:szCs w:val="44"/>
          <w:lang w:val="zh-CN"/>
        </w:rPr>
        <w:t>报价部分</w:t>
      </w:r>
      <w:r>
        <w:tab/>
      </w:r>
      <w:r>
        <w:fldChar w:fldCharType="begin"/>
      </w:r>
      <w:r>
        <w:instrText xml:space="preserve"> PAGEREF _Toc24371 \h </w:instrText>
      </w:r>
      <w:r>
        <w:fldChar w:fldCharType="separate"/>
      </w:r>
      <w:r>
        <w:t>112</w:t>
      </w:r>
      <w:r>
        <w:fldChar w:fldCharType="end"/>
      </w:r>
      <w:r>
        <w:rPr>
          <w:rFonts w:ascii="黑体" w:hAnsi="黑体" w:eastAsia="黑体"/>
          <w:bCs/>
          <w:szCs w:val="28"/>
          <w:lang w:val="zh-CN"/>
        </w:rPr>
        <w:fldChar w:fldCharType="end"/>
      </w:r>
    </w:p>
    <w:p w14:paraId="70400961">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_Toc16111 </w:instrText>
      </w:r>
      <w:r>
        <w:rPr>
          <w:rFonts w:ascii="黑体" w:hAnsi="黑体" w:eastAsia="黑体"/>
          <w:bCs/>
          <w:szCs w:val="28"/>
          <w:lang w:val="zh-CN"/>
        </w:rPr>
        <w:fldChar w:fldCharType="separate"/>
      </w:r>
      <w:r>
        <w:rPr>
          <w:rFonts w:hint="eastAsia"/>
        </w:rPr>
        <w:t>一、报价汇总表</w:t>
      </w:r>
      <w:r>
        <w:tab/>
      </w:r>
      <w:r>
        <w:fldChar w:fldCharType="begin"/>
      </w:r>
      <w:r>
        <w:instrText xml:space="preserve"> PAGEREF _Toc16111 \h </w:instrText>
      </w:r>
      <w:r>
        <w:fldChar w:fldCharType="separate"/>
      </w:r>
      <w:r>
        <w:t>113</w:t>
      </w:r>
      <w:r>
        <w:fldChar w:fldCharType="end"/>
      </w:r>
      <w:r>
        <w:rPr>
          <w:rFonts w:ascii="黑体" w:hAnsi="黑体" w:eastAsia="黑体"/>
          <w:bCs/>
          <w:szCs w:val="28"/>
          <w:lang w:val="zh-CN"/>
        </w:rPr>
        <w:fldChar w:fldCharType="end"/>
      </w:r>
    </w:p>
    <w:p w14:paraId="5AE17759">
      <w:pPr>
        <w:pStyle w:val="48"/>
        <w:tabs>
          <w:tab w:val="right" w:leader="dot" w:pos="8306"/>
        </w:tabs>
      </w:pPr>
      <w:r>
        <w:rPr>
          <w:rFonts w:ascii="黑体" w:hAnsi="黑体" w:eastAsia="黑体"/>
          <w:bCs/>
          <w:szCs w:val="28"/>
          <w:lang w:val="zh-CN"/>
        </w:rPr>
        <w:fldChar w:fldCharType="begin"/>
      </w:r>
      <w:r>
        <w:rPr>
          <w:rFonts w:ascii="黑体" w:hAnsi="黑体" w:eastAsia="黑体"/>
          <w:bCs/>
          <w:szCs w:val="28"/>
          <w:lang w:val="zh-CN"/>
        </w:rPr>
        <w:instrText xml:space="preserve"> HYPERLINK \l _Toc2318 </w:instrText>
      </w:r>
      <w:r>
        <w:rPr>
          <w:rFonts w:ascii="黑体" w:hAnsi="黑体" w:eastAsia="黑体"/>
          <w:bCs/>
          <w:szCs w:val="28"/>
          <w:lang w:val="zh-CN"/>
        </w:rPr>
        <w:fldChar w:fldCharType="separate"/>
      </w:r>
      <w:r>
        <w:rPr>
          <w:rFonts w:hint="eastAsia"/>
        </w:rPr>
        <w:t>二、分项报价明细表</w:t>
      </w:r>
      <w:r>
        <w:tab/>
      </w:r>
      <w:r>
        <w:fldChar w:fldCharType="begin"/>
      </w:r>
      <w:r>
        <w:instrText xml:space="preserve"> PAGEREF _Toc2318 \h </w:instrText>
      </w:r>
      <w:r>
        <w:fldChar w:fldCharType="separate"/>
      </w:r>
      <w:r>
        <w:t>114</w:t>
      </w:r>
      <w:r>
        <w:fldChar w:fldCharType="end"/>
      </w:r>
      <w:r>
        <w:rPr>
          <w:rFonts w:ascii="黑体" w:hAnsi="黑体" w:eastAsia="黑体"/>
          <w:bCs/>
          <w:szCs w:val="28"/>
          <w:lang w:val="zh-CN"/>
        </w:rPr>
        <w:fldChar w:fldCharType="end"/>
      </w:r>
    </w:p>
    <w:p w14:paraId="54DFF35B">
      <w:pPr>
        <w:spacing w:line="380" w:lineRule="exact"/>
        <w:ind w:firstLine="105" w:firstLineChars="50"/>
        <w:rPr>
          <w:rFonts w:ascii="黑体" w:hAnsi="黑体" w:eastAsia="黑体"/>
          <w:b/>
          <w:bCs/>
          <w:sz w:val="28"/>
          <w:szCs w:val="28"/>
          <w:lang w:val="zh-CN"/>
        </w:rPr>
      </w:pPr>
      <w:r>
        <w:rPr>
          <w:rFonts w:ascii="黑体" w:hAnsi="黑体" w:eastAsia="黑体"/>
          <w:bCs/>
          <w:szCs w:val="28"/>
          <w:lang w:val="zh-CN"/>
        </w:rPr>
        <w:fldChar w:fldCharType="end"/>
      </w:r>
      <w:bookmarkStart w:id="2" w:name="_Toc472517906"/>
      <w:r>
        <w:rPr>
          <w:rFonts w:ascii="黑体" w:hAnsi="黑体" w:eastAsia="黑体"/>
          <w:b/>
          <w:bCs/>
          <w:sz w:val="28"/>
          <w:szCs w:val="28"/>
          <w:lang w:val="zh-CN"/>
        </w:rPr>
        <w:t xml:space="preserve">          </w:t>
      </w:r>
    </w:p>
    <w:p w14:paraId="2300D0A7">
      <w:pPr>
        <w:rPr>
          <w:rFonts w:hint="eastAsia" w:ascii="黑体" w:hAnsi="黑体" w:eastAsia="黑体"/>
          <w:sz w:val="44"/>
          <w:szCs w:val="44"/>
        </w:rPr>
      </w:pPr>
      <w:r>
        <w:rPr>
          <w:rFonts w:hint="eastAsia" w:ascii="黑体" w:hAnsi="黑体" w:eastAsia="黑体"/>
          <w:sz w:val="44"/>
          <w:szCs w:val="44"/>
        </w:rPr>
        <w:br w:type="page"/>
      </w:r>
    </w:p>
    <w:p w14:paraId="0B09E283">
      <w:pPr>
        <w:pStyle w:val="54"/>
        <w:rPr>
          <w:rFonts w:hint="eastAsia" w:ascii="黑体" w:hAnsi="黑体" w:eastAsia="黑体"/>
          <w:sz w:val="44"/>
          <w:szCs w:val="44"/>
        </w:rPr>
      </w:pPr>
      <w:bookmarkStart w:id="3" w:name="_Toc18626"/>
      <w:r>
        <w:rPr>
          <w:rFonts w:hint="eastAsia" w:ascii="黑体" w:hAnsi="黑体" w:eastAsia="黑体"/>
          <w:sz w:val="44"/>
          <w:szCs w:val="44"/>
        </w:rPr>
        <w:t xml:space="preserve">第一章  </w:t>
      </w:r>
      <w:bookmarkEnd w:id="2"/>
      <w:bookmarkStart w:id="4" w:name="_Toc28359001"/>
      <w:bookmarkStart w:id="5" w:name="_Toc35393789"/>
      <w:bookmarkStart w:id="6" w:name="OLE_LINK1"/>
      <w:bookmarkStart w:id="7" w:name="OLE_LINK2"/>
      <w:r>
        <w:rPr>
          <w:rFonts w:hint="eastAsia" w:ascii="黑体" w:hAnsi="黑体" w:eastAsia="黑体"/>
          <w:sz w:val="44"/>
          <w:szCs w:val="44"/>
        </w:rPr>
        <w:t>招标公告</w:t>
      </w:r>
      <w:bookmarkEnd w:id="3"/>
      <w:bookmarkEnd w:id="4"/>
      <w:bookmarkEnd w:id="5"/>
    </w:p>
    <w:p w14:paraId="528BC586">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6C6CE0BC">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2025年市本级急需采购救灾物资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cs="仿宋"/>
          <w:i w:val="0"/>
          <w:iCs w:val="0"/>
          <w:caps w:val="0"/>
          <w:color w:val="FF0000"/>
          <w:spacing w:val="0"/>
          <w:sz w:val="28"/>
          <w:szCs w:val="28"/>
        </w:rPr>
        <w:t>政采云平台https://www.zcygov.cn/</w:t>
      </w:r>
      <w:r>
        <w:rPr>
          <w:rFonts w:hint="eastAsia" w:ascii="仿宋" w:hAnsi="仿宋" w:eastAsia="仿宋"/>
          <w:sz w:val="28"/>
          <w:szCs w:val="28"/>
        </w:rPr>
        <w:t>获取招标文件，并于</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22</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14:paraId="2689BAFF">
      <w:pPr>
        <w:rPr>
          <w:sz w:val="28"/>
          <w:szCs w:val="28"/>
        </w:rPr>
      </w:pPr>
    </w:p>
    <w:p w14:paraId="348EE180">
      <w:pPr>
        <w:pStyle w:val="4"/>
        <w:spacing w:line="360" w:lineRule="auto"/>
        <w:rPr>
          <w:rFonts w:ascii="黑体" w:hAnsi="黑体" w:cs="宋体"/>
          <w:b w:val="0"/>
          <w:sz w:val="28"/>
          <w:szCs w:val="28"/>
        </w:rPr>
      </w:pPr>
      <w:bookmarkStart w:id="8" w:name="_Toc8204"/>
      <w:bookmarkStart w:id="9" w:name="_Toc35393790"/>
      <w:bookmarkStart w:id="10" w:name="_Toc28359002"/>
      <w:bookmarkStart w:id="11" w:name="_Toc35393621"/>
      <w:bookmarkStart w:id="12" w:name="_Toc28359079"/>
      <w:bookmarkStart w:id="13" w:name="_Hlk24379207"/>
      <w:r>
        <w:rPr>
          <w:rFonts w:hint="eastAsia" w:ascii="黑体" w:hAnsi="黑体" w:cs="宋体"/>
          <w:b w:val="0"/>
          <w:sz w:val="28"/>
          <w:szCs w:val="28"/>
        </w:rPr>
        <w:t>一、项目基本情况</w:t>
      </w:r>
      <w:bookmarkEnd w:id="8"/>
      <w:bookmarkEnd w:id="9"/>
      <w:bookmarkEnd w:id="10"/>
      <w:bookmarkEnd w:id="11"/>
      <w:bookmarkEnd w:id="12"/>
    </w:p>
    <w:p w14:paraId="719565DF">
      <w:pPr>
        <w:ind w:firstLine="560" w:firstLineChars="200"/>
        <w:rPr>
          <w:rFonts w:ascii="仿宋" w:hAnsi="仿宋" w:eastAsia="仿宋"/>
          <w:color w:val="FF0000"/>
          <w:sz w:val="28"/>
          <w:szCs w:val="28"/>
        </w:rPr>
      </w:pPr>
      <w:r>
        <w:rPr>
          <w:rFonts w:hint="eastAsia" w:ascii="仿宋" w:hAnsi="仿宋" w:eastAsia="仿宋"/>
          <w:sz w:val="28"/>
          <w:szCs w:val="28"/>
          <w:lang w:eastAsia="zh-CN"/>
        </w:rPr>
        <w:t>采购计划文号</w:t>
      </w:r>
      <w:r>
        <w:rPr>
          <w:rFonts w:hint="eastAsia" w:ascii="仿宋" w:hAnsi="仿宋" w:eastAsia="仿宋"/>
          <w:sz w:val="28"/>
          <w:szCs w:val="28"/>
        </w:rPr>
        <w:t>：采购计划-[2025]-00085号</w:t>
      </w:r>
    </w:p>
    <w:p w14:paraId="5B7ADB47">
      <w:pPr>
        <w:ind w:firstLine="560" w:firstLineChars="200"/>
        <w:rPr>
          <w:rFonts w:hint="eastAsia" w:ascii="仿宋" w:hAnsi="仿宋" w:eastAsia="仿宋"/>
          <w:sz w:val="28"/>
          <w:szCs w:val="28"/>
        </w:rPr>
      </w:pPr>
      <w:r>
        <w:rPr>
          <w:rFonts w:hint="eastAsia" w:ascii="仿宋" w:hAnsi="仿宋" w:eastAsia="仿宋"/>
          <w:sz w:val="28"/>
          <w:szCs w:val="28"/>
        </w:rPr>
        <w:t>项目名称：2025年市本级急需采购救灾物资</w:t>
      </w:r>
    </w:p>
    <w:p w14:paraId="41E9F828">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采购方式：公开招标</w:t>
      </w:r>
    </w:p>
    <w:bookmarkEnd w:id="13"/>
    <w:p w14:paraId="31C68881">
      <w:pPr>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预算金额（人民币小写）：1</w:t>
      </w:r>
      <w:r>
        <w:rPr>
          <w:rFonts w:hint="eastAsia" w:ascii="仿宋" w:hAnsi="仿宋" w:eastAsia="仿宋"/>
          <w:sz w:val="28"/>
          <w:szCs w:val="28"/>
          <w:lang w:val="en-US" w:eastAsia="zh-CN"/>
        </w:rPr>
        <w:t>,</w:t>
      </w:r>
      <w:r>
        <w:rPr>
          <w:rFonts w:hint="eastAsia" w:ascii="仿宋" w:hAnsi="仿宋" w:eastAsia="仿宋"/>
          <w:sz w:val="28"/>
          <w:szCs w:val="28"/>
        </w:rPr>
        <w:t>036</w:t>
      </w:r>
      <w:r>
        <w:rPr>
          <w:rFonts w:hint="eastAsia" w:ascii="仿宋" w:hAnsi="仿宋" w:eastAsia="仿宋"/>
          <w:sz w:val="28"/>
          <w:szCs w:val="28"/>
          <w:lang w:val="en-US" w:eastAsia="zh-CN"/>
        </w:rPr>
        <w:t>,</w:t>
      </w:r>
      <w:r>
        <w:rPr>
          <w:rFonts w:hint="eastAsia" w:ascii="仿宋" w:hAnsi="仿宋" w:eastAsia="仿宋"/>
          <w:sz w:val="28"/>
          <w:szCs w:val="28"/>
        </w:rPr>
        <w:t>000</w:t>
      </w:r>
      <w:r>
        <w:rPr>
          <w:rFonts w:hint="eastAsia" w:ascii="仿宋" w:hAnsi="仿宋" w:eastAsia="仿宋"/>
          <w:sz w:val="28"/>
          <w:szCs w:val="28"/>
          <w:lang w:val="en-US" w:eastAsia="zh-CN"/>
        </w:rPr>
        <w:t>.00元</w:t>
      </w:r>
    </w:p>
    <w:p w14:paraId="56D48673">
      <w:pPr>
        <w:ind w:firstLine="560" w:firstLineChars="200"/>
        <w:rPr>
          <w:rFonts w:ascii="仿宋" w:hAnsi="仿宋" w:eastAsia="仿宋"/>
          <w:sz w:val="28"/>
          <w:szCs w:val="28"/>
          <w:u w:val="single"/>
        </w:rPr>
      </w:pPr>
      <w:r>
        <w:rPr>
          <w:rFonts w:hint="eastAsia" w:ascii="仿宋" w:hAnsi="仿宋" w:eastAsia="仿宋"/>
          <w:sz w:val="28"/>
          <w:szCs w:val="28"/>
        </w:rPr>
        <w:t>采购需求：现购买棉被褥、取暖炉、折叠床</w:t>
      </w:r>
      <w:r>
        <w:rPr>
          <w:rFonts w:hint="eastAsia" w:ascii="仿宋" w:hAnsi="仿宋" w:eastAsia="仿宋"/>
          <w:sz w:val="28"/>
          <w:szCs w:val="28"/>
          <w:lang w:eastAsia="zh-CN"/>
        </w:rPr>
        <w:t>、</w:t>
      </w:r>
      <w:r>
        <w:rPr>
          <w:rFonts w:hint="eastAsia" w:ascii="仿宋" w:hAnsi="仿宋" w:eastAsia="仿宋"/>
          <w:sz w:val="28"/>
          <w:szCs w:val="28"/>
          <w:lang w:val="en-US" w:eastAsia="zh-CN"/>
        </w:rPr>
        <w:t>发电机</w:t>
      </w:r>
      <w:r>
        <w:rPr>
          <w:rFonts w:hint="eastAsia" w:ascii="仿宋" w:hAnsi="仿宋" w:eastAsia="仿宋"/>
          <w:sz w:val="28"/>
          <w:szCs w:val="28"/>
        </w:rPr>
        <w:t>等紧急必要救灾物资。</w:t>
      </w:r>
    </w:p>
    <w:p w14:paraId="40643F23">
      <w:pPr>
        <w:ind w:firstLine="560" w:firstLineChars="200"/>
        <w:rPr>
          <w:rFonts w:ascii="仿宋" w:hAnsi="仿宋" w:eastAsia="仿宋"/>
          <w:sz w:val="28"/>
          <w:szCs w:val="28"/>
          <w:u w:val="single"/>
        </w:rPr>
      </w:pPr>
      <w:r>
        <w:rPr>
          <w:rFonts w:hint="eastAsia" w:ascii="仿宋" w:hAnsi="仿宋" w:eastAsia="仿宋"/>
          <w:sz w:val="28"/>
          <w:szCs w:val="28"/>
        </w:rPr>
        <w:t>合同履行期限：合同签订生效后10日内交货</w:t>
      </w:r>
    </w:p>
    <w:p w14:paraId="59602AA9">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14:paraId="51B6BE9A">
      <w:pPr>
        <w:pStyle w:val="4"/>
        <w:spacing w:line="360" w:lineRule="auto"/>
        <w:rPr>
          <w:rFonts w:ascii="黑体" w:hAnsi="黑体" w:cs="宋体"/>
          <w:b w:val="0"/>
          <w:sz w:val="28"/>
          <w:szCs w:val="28"/>
        </w:rPr>
      </w:pPr>
      <w:bookmarkStart w:id="14" w:name="_Toc35393791"/>
      <w:bookmarkStart w:id="15" w:name="_Toc28359003"/>
      <w:bookmarkStart w:id="16" w:name="_Toc21406"/>
      <w:bookmarkStart w:id="17" w:name="_Toc28359080"/>
      <w:bookmarkStart w:id="18" w:name="_Toc35393622"/>
      <w:r>
        <w:rPr>
          <w:rFonts w:hint="eastAsia" w:ascii="黑体" w:hAnsi="黑体" w:cs="宋体"/>
          <w:b w:val="0"/>
          <w:sz w:val="28"/>
          <w:szCs w:val="28"/>
        </w:rPr>
        <w:t>二、申请人的资格要求：</w:t>
      </w:r>
      <w:bookmarkEnd w:id="14"/>
      <w:bookmarkEnd w:id="15"/>
      <w:bookmarkEnd w:id="16"/>
      <w:bookmarkEnd w:id="17"/>
      <w:bookmarkEnd w:id="18"/>
    </w:p>
    <w:p w14:paraId="2DD0BFBF">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02EE43D0">
      <w:pPr>
        <w:ind w:firstLine="560" w:firstLineChars="200"/>
        <w:rPr>
          <w:rFonts w:hint="eastAsia" w:ascii="仿宋" w:hAnsi="仿宋" w:eastAsia="仿宋"/>
          <w:sz w:val="28"/>
          <w:szCs w:val="28"/>
        </w:rPr>
      </w:pPr>
      <w:bookmarkStart w:id="19" w:name="_Toc28359004"/>
      <w:bookmarkStart w:id="20" w:name="_Toc28359081"/>
      <w:r>
        <w:rPr>
          <w:rFonts w:ascii="仿宋" w:hAnsi="仿宋" w:eastAsia="仿宋"/>
          <w:sz w:val="28"/>
          <w:szCs w:val="28"/>
        </w:rPr>
        <w:t>2</w:t>
      </w:r>
      <w:r>
        <w:rPr>
          <w:rFonts w:hint="eastAsia" w:ascii="仿宋" w:hAnsi="仿宋" w:eastAsia="仿宋"/>
          <w:sz w:val="28"/>
          <w:szCs w:val="28"/>
        </w:rPr>
        <w:t>.落实政府采购政策需满足的资格要求：</w:t>
      </w:r>
    </w:p>
    <w:p w14:paraId="726598FF">
      <w:pPr>
        <w:pStyle w:val="52"/>
        <w:shd w:val="clear" w:color="auto" w:fill="FFFFFF"/>
        <w:spacing w:beforeAutospacing="0" w:afterAutospacing="0" w:line="360" w:lineRule="atLeast"/>
        <w:ind w:firstLine="42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（1）本项目</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highlight w:val="none"/>
          <w:u w:val="single"/>
          <w:lang w:val="en-US" w:eastAsia="zh-CN" w:bidi="ar-SA"/>
        </w:rPr>
        <w:t xml:space="preserve">是 </w:t>
      </w:r>
      <w:r>
        <w:rPr>
          <w:rFonts w:hint="eastAsia" w:ascii="仿宋" w:hAnsi="仿宋" w:eastAsia="仿宋" w:cs="Times New Roman"/>
          <w:kern w:val="2"/>
          <w:sz w:val="28"/>
          <w:szCs w:val="28"/>
          <w:lang w:val="en-US" w:eastAsia="zh-CN" w:bidi="ar-SA"/>
        </w:rPr>
        <w:t>属于专门面向中小企业采购的项目。</w:t>
      </w:r>
    </w:p>
    <w:p w14:paraId="6EDF3256">
      <w:pPr>
        <w:pStyle w:val="52"/>
        <w:shd w:val="clear" w:color="auto" w:fill="FFFFFF"/>
        <w:spacing w:beforeAutospacing="0" w:afterAutospacing="0" w:line="360" w:lineRule="atLeast"/>
        <w:ind w:firstLine="42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（2）依据《中华人民共和国政府采购法》及《中华人民共和国政府采购法实施条例》的有关规定，落实政府采购政策。</w:t>
      </w:r>
    </w:p>
    <w:p w14:paraId="3FB7F12D">
      <w:pPr>
        <w:pStyle w:val="52"/>
        <w:shd w:val="clear" w:color="auto" w:fill="FFFFFF"/>
        <w:spacing w:beforeAutospacing="0" w:afterAutospacing="0" w:line="360" w:lineRule="atLeast"/>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①《政府采购促进中小企业发展管理办法》（财库[2020]46号）；</w:t>
      </w:r>
    </w:p>
    <w:p w14:paraId="47C652D5">
      <w:pPr>
        <w:pStyle w:val="52"/>
        <w:shd w:val="clear" w:color="auto" w:fill="FFFFFF"/>
        <w:spacing w:beforeAutospacing="0" w:afterAutospacing="0" w:line="360" w:lineRule="atLeast"/>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②《财政部司法部关于政府采购支持监狱企业发展有关问题的通知》（财库[2014]68号）；</w:t>
      </w:r>
    </w:p>
    <w:p w14:paraId="4645B611">
      <w:pPr>
        <w:pStyle w:val="52"/>
        <w:shd w:val="clear" w:color="auto" w:fill="FFFFFF"/>
        <w:spacing w:beforeAutospacing="0" w:afterAutospacing="0" w:line="360" w:lineRule="atLeast"/>
        <w:ind w:firstLine="560" w:firstLineChars="20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③《关于促进残疾人就业政府采购政策的通知》（财库〔2017〕141号）；</w:t>
      </w:r>
    </w:p>
    <w:p w14:paraId="463CA162">
      <w:pPr>
        <w:pStyle w:val="52"/>
        <w:shd w:val="clear" w:color="auto" w:fill="FFFFFF"/>
        <w:spacing w:beforeAutospacing="0" w:afterAutospacing="0" w:line="360" w:lineRule="atLeast"/>
        <w:ind w:firstLine="560" w:firstLineChars="200"/>
        <w:jc w:val="both"/>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④《关于调整优化节能产品、环境标志产品政府采购执行机制的通知》(财库[2019]9号)等国家最新政策。</w:t>
      </w:r>
    </w:p>
    <w:p w14:paraId="7417A1FA">
      <w:pPr>
        <w:pStyle w:val="52"/>
        <w:shd w:val="clear" w:color="auto" w:fill="FFFFFF"/>
        <w:spacing w:beforeAutospacing="0" w:afterAutospacing="0" w:line="360" w:lineRule="atLeast"/>
        <w:ind w:firstLine="560" w:firstLineChars="200"/>
        <w:jc w:val="both"/>
        <w:rPr>
          <w:rFonts w:hint="eastAsia"/>
        </w:rPr>
      </w:pPr>
      <w:r>
        <w:rPr>
          <w:rFonts w:hint="eastAsia" w:ascii="微软雅黑" w:hAnsi="微软雅黑" w:eastAsia="微软雅黑" w:cs="微软雅黑"/>
          <w:b w:val="0"/>
          <w:bCs w:val="0"/>
          <w:kern w:val="2"/>
          <w:sz w:val="28"/>
          <w:szCs w:val="28"/>
          <w:lang w:val="en-US" w:eastAsia="zh-CN" w:bidi="ar-SA"/>
        </w:rPr>
        <w:t>⑤</w:t>
      </w:r>
      <w:r>
        <w:rPr>
          <w:rFonts w:hint="eastAsia" w:ascii="仿宋" w:hAnsi="仿宋" w:eastAsia="仿宋" w:cs="Times New Roman"/>
          <w:kern w:val="2"/>
          <w:sz w:val="28"/>
          <w:szCs w:val="28"/>
          <w:lang w:val="en-US" w:eastAsia="zh-CN" w:bidi="ar-SA"/>
        </w:rPr>
        <w:t>《吉林省强化政府采购政策支持中小企业发展落实举措》(吉财采购[2022]478号)</w:t>
      </w:r>
    </w:p>
    <w:p w14:paraId="541E54F0">
      <w:pPr>
        <w:ind w:firstLine="560" w:firstLineChars="200"/>
        <w:rPr>
          <w:rFonts w:hint="eastAsia" w:ascii="仿宋" w:hAnsi="仿宋" w:eastAsia="仿宋"/>
          <w:i/>
          <w:iCs/>
          <w:sz w:val="28"/>
          <w:szCs w:val="28"/>
          <w:u w:val="single"/>
          <w:lang w:val="en-US" w:eastAsia="zh-CN"/>
        </w:rPr>
      </w:pPr>
      <w:r>
        <w:rPr>
          <w:rFonts w:hint="eastAsia" w:ascii="仿宋" w:hAnsi="仿宋" w:eastAsia="仿宋"/>
          <w:sz w:val="28"/>
          <w:szCs w:val="28"/>
        </w:rPr>
        <w:t>3.本项目的特定资格要求：</w:t>
      </w:r>
      <w:r>
        <w:rPr>
          <w:rFonts w:hint="eastAsia" w:ascii="仿宋" w:hAnsi="仿宋" w:eastAsia="仿宋"/>
          <w:sz w:val="28"/>
          <w:szCs w:val="28"/>
          <w:u w:val="single"/>
          <w:lang w:val="en-US" w:eastAsia="zh-CN"/>
        </w:rPr>
        <w:t>无</w:t>
      </w:r>
    </w:p>
    <w:p w14:paraId="308F83EC">
      <w:pPr>
        <w:pStyle w:val="4"/>
        <w:spacing w:line="360" w:lineRule="auto"/>
        <w:rPr>
          <w:rFonts w:ascii="黑体" w:hAnsi="黑体" w:cs="宋体"/>
          <w:b w:val="0"/>
          <w:sz w:val="28"/>
          <w:szCs w:val="28"/>
        </w:rPr>
      </w:pPr>
      <w:bookmarkStart w:id="21" w:name="_Toc35393623"/>
      <w:bookmarkStart w:id="22" w:name="_Toc10248"/>
      <w:bookmarkStart w:id="23" w:name="_Toc35393792"/>
      <w:r>
        <w:rPr>
          <w:rFonts w:hint="eastAsia" w:ascii="黑体" w:hAnsi="黑体" w:cs="宋体"/>
          <w:b w:val="0"/>
          <w:sz w:val="28"/>
          <w:szCs w:val="28"/>
        </w:rPr>
        <w:t>三、获取招标文件</w:t>
      </w:r>
      <w:bookmarkEnd w:id="19"/>
      <w:bookmarkEnd w:id="20"/>
      <w:bookmarkEnd w:id="21"/>
      <w:bookmarkEnd w:id="22"/>
      <w:bookmarkEnd w:id="23"/>
    </w:p>
    <w:p w14:paraId="722DABAE">
      <w:pPr>
        <w:spacing w:line="360" w:lineRule="auto"/>
        <w:ind w:firstLine="540"/>
        <w:rPr>
          <w:rFonts w:ascii="仿宋" w:hAnsi="仿宋" w:eastAsia="仿宋" w:cs="宋体"/>
          <w:sz w:val="28"/>
          <w:szCs w:val="28"/>
        </w:rPr>
      </w:pPr>
      <w:bookmarkStart w:id="24" w:name="_Toc28359082"/>
      <w:bookmarkStart w:id="25" w:name="_Toc28359005"/>
      <w:bookmarkStart w:id="26" w:name="_Toc35393793"/>
      <w:bookmarkStart w:id="27" w:name="_Toc35393624"/>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日</w:t>
      </w:r>
      <w:r>
        <w:rPr>
          <w:rFonts w:hint="eastAsia" w:ascii="仿宋" w:hAnsi="仿宋" w:eastAsia="仿宋" w:cs="宋体"/>
          <w:sz w:val="28"/>
          <w:szCs w:val="28"/>
          <w:u w:val="single"/>
          <w:lang w:val="en-US" w:eastAsia="zh-CN"/>
        </w:rPr>
        <w:t>0</w:t>
      </w:r>
      <w:bookmarkStart w:id="1041" w:name="_GoBack"/>
      <w:bookmarkEnd w:id="1041"/>
      <w:r>
        <w:rPr>
          <w:rFonts w:hint="eastAsia" w:ascii="仿宋" w:hAnsi="仿宋" w:eastAsia="仿宋" w:cs="宋体"/>
          <w:sz w:val="28"/>
          <w:szCs w:val="28"/>
          <w:u w:val="single"/>
          <w:lang w:val="en-US" w:eastAsia="zh-CN"/>
        </w:rPr>
        <w:t>点00分</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日</w:t>
      </w:r>
      <w:r>
        <w:rPr>
          <w:rFonts w:hint="eastAsia" w:ascii="仿宋" w:hAnsi="仿宋" w:eastAsia="仿宋" w:cs="宋体"/>
          <w:sz w:val="28"/>
          <w:szCs w:val="28"/>
          <w:u w:val="single"/>
          <w:lang w:val="en-US" w:eastAsia="zh-CN"/>
        </w:rPr>
        <w:t>23点59分</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2F5CC996">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地点：登录</w:t>
      </w:r>
      <w:r>
        <w:rPr>
          <w:rStyle w:val="75"/>
          <w:rFonts w:hint="eastAsia" w:ascii="仿宋" w:hAnsi="仿宋" w:eastAsia="仿宋" w:cs="仿宋"/>
          <w:i w:val="0"/>
          <w:iCs w:val="0"/>
          <w:caps w:val="0"/>
          <w:color w:val="000000"/>
          <w:spacing w:val="0"/>
          <w:sz w:val="28"/>
          <w:szCs w:val="28"/>
        </w:rPr>
        <w:t>供应商登录</w:t>
      </w:r>
      <w:r>
        <w:rPr>
          <w:rStyle w:val="75"/>
          <w:rFonts w:hint="eastAsia" w:ascii="仿宋" w:hAnsi="仿宋" w:eastAsia="仿宋" w:cs="仿宋"/>
          <w:i w:val="0"/>
          <w:iCs w:val="0"/>
          <w:caps w:val="0"/>
          <w:color w:val="FF0000"/>
          <w:spacing w:val="0"/>
          <w:sz w:val="28"/>
          <w:szCs w:val="28"/>
        </w:rPr>
        <w:t>政采云平台https://www.zcygov.cn/</w:t>
      </w:r>
      <w:r>
        <w:rPr>
          <w:rStyle w:val="75"/>
          <w:rFonts w:hint="eastAsia" w:ascii="仿宋" w:hAnsi="仿宋" w:eastAsia="仿宋" w:cs="仿宋"/>
          <w:i w:val="0"/>
          <w:iCs w:val="0"/>
          <w:caps w:val="0"/>
          <w:color w:val="000000"/>
          <w:spacing w:val="0"/>
          <w:sz w:val="28"/>
          <w:szCs w:val="28"/>
        </w:rPr>
        <w:t>在线申请获取采购文件（进入“项目采购”应用，在获取采购文件菜单中选择项目，申请获取采购文件）</w:t>
      </w:r>
      <w:r>
        <w:rPr>
          <w:rFonts w:hint="eastAsia" w:ascii="仿宋" w:hAnsi="仿宋" w:eastAsia="仿宋" w:cs="仿宋"/>
          <w:i w:val="0"/>
          <w:iCs w:val="0"/>
          <w:caps w:val="0"/>
          <w:color w:val="000000"/>
          <w:spacing w:val="0"/>
          <w:sz w:val="28"/>
          <w:szCs w:val="28"/>
        </w:rPr>
        <w:t> </w:t>
      </w:r>
      <w:r>
        <w:rPr>
          <w:rFonts w:hint="eastAsia" w:ascii="仿宋" w:hAnsi="仿宋" w:eastAsia="仿宋" w:cs="宋体"/>
          <w:sz w:val="28"/>
          <w:szCs w:val="28"/>
        </w:rPr>
        <w:t>。未进行网上注册验证并办理</w:t>
      </w:r>
      <w:r>
        <w:rPr>
          <w:rFonts w:hint="eastAsia" w:ascii="仿宋" w:hAnsi="仿宋" w:eastAsia="仿宋" w:cs="宋体"/>
          <w:color w:val="auto"/>
          <w:sz w:val="28"/>
          <w:szCs w:val="28"/>
          <w:lang w:val="en-US" w:eastAsia="zh-CN"/>
        </w:rPr>
        <w:t>CA</w:t>
      </w:r>
      <w:r>
        <w:rPr>
          <w:rFonts w:hint="eastAsia" w:ascii="仿宋" w:hAnsi="仿宋" w:eastAsia="仿宋" w:cs="宋体"/>
          <w:color w:val="auto"/>
          <w:sz w:val="28"/>
          <w:szCs w:val="28"/>
          <w:lang w:eastAsia="zh-CN"/>
        </w:rPr>
        <w:t>数字证书</w:t>
      </w:r>
      <w:r>
        <w:rPr>
          <w:rFonts w:hint="eastAsia" w:ascii="仿宋" w:hAnsi="仿宋" w:eastAsia="仿宋" w:cs="宋体"/>
          <w:sz w:val="28"/>
          <w:szCs w:val="28"/>
        </w:rPr>
        <w:t>的供应商和未在指定网站上下载招标文件的供应商将无法参与招标采购活动。</w:t>
      </w:r>
    </w:p>
    <w:p w14:paraId="45C5CAF0">
      <w:pPr>
        <w:spacing w:line="360" w:lineRule="auto"/>
        <w:ind w:firstLine="540"/>
        <w:rPr>
          <w:rFonts w:hint="eastAsia" w:ascii="仿宋" w:hAnsi="仿宋" w:eastAsia="仿宋" w:cs="宋体"/>
          <w:sz w:val="28"/>
          <w:szCs w:val="28"/>
          <w:u w:val="single"/>
          <w:lang w:val="en-US" w:eastAsia="zh-CN"/>
        </w:rPr>
      </w:pPr>
      <w:r>
        <w:rPr>
          <w:rFonts w:hint="eastAsia" w:ascii="仿宋" w:hAnsi="仿宋" w:eastAsia="仿宋" w:cs="宋体"/>
          <w:sz w:val="28"/>
          <w:szCs w:val="28"/>
        </w:rPr>
        <w:t>方式：</w:t>
      </w:r>
      <w:r>
        <w:rPr>
          <w:rFonts w:hint="eastAsia" w:ascii="仿宋" w:hAnsi="仿宋" w:eastAsia="仿宋" w:cs="宋体"/>
          <w:sz w:val="28"/>
          <w:szCs w:val="28"/>
          <w:lang w:val="en-US" w:eastAsia="zh-CN"/>
        </w:rPr>
        <w:t>自行下载</w:t>
      </w:r>
    </w:p>
    <w:p w14:paraId="2EB79A24">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免费</w:t>
      </w:r>
    </w:p>
    <w:p w14:paraId="54D25C24">
      <w:pPr>
        <w:pStyle w:val="4"/>
        <w:spacing w:line="360" w:lineRule="auto"/>
        <w:rPr>
          <w:rFonts w:ascii="黑体" w:hAnsi="黑体" w:cs="宋体"/>
          <w:b w:val="0"/>
          <w:sz w:val="28"/>
          <w:szCs w:val="28"/>
        </w:rPr>
      </w:pPr>
      <w:bookmarkStart w:id="28" w:name="_Toc19228"/>
      <w:r>
        <w:rPr>
          <w:rFonts w:hint="eastAsia" w:ascii="黑体" w:hAnsi="黑体" w:cs="宋体"/>
          <w:b w:val="0"/>
          <w:sz w:val="28"/>
          <w:szCs w:val="28"/>
        </w:rPr>
        <w:t>四、提交投标文件</w:t>
      </w:r>
      <w:bookmarkEnd w:id="24"/>
      <w:bookmarkEnd w:id="25"/>
      <w:r>
        <w:rPr>
          <w:rFonts w:hint="eastAsia" w:ascii="黑体" w:hAnsi="黑体" w:cs="宋体"/>
          <w:b w:val="0"/>
          <w:sz w:val="28"/>
          <w:szCs w:val="28"/>
        </w:rPr>
        <w:t>截止时间、开标时间和地点</w:t>
      </w:r>
      <w:bookmarkEnd w:id="26"/>
      <w:bookmarkEnd w:id="27"/>
      <w:bookmarkEnd w:id="28"/>
    </w:p>
    <w:p w14:paraId="34BDA11B">
      <w:pPr>
        <w:ind w:firstLine="560" w:firstLineChars="200"/>
        <w:rPr>
          <w:rFonts w:ascii="仿宋" w:hAnsi="仿宋" w:eastAsia="仿宋"/>
          <w:bCs/>
          <w:color w:val="FF0000"/>
          <w:sz w:val="28"/>
          <w:szCs w:val="28"/>
          <w:u w:val="single"/>
        </w:rPr>
      </w:pPr>
      <w:r>
        <w:rPr>
          <w:rFonts w:hint="eastAsia" w:ascii="仿宋" w:hAnsi="仿宋" w:eastAsia="仿宋" w:cs="Times New Roman"/>
          <w:color w:val="FF0000"/>
          <w:kern w:val="2"/>
          <w:sz w:val="28"/>
          <w:szCs w:val="28"/>
          <w:lang w:val="en-US" w:eastAsia="zh-CN" w:bidi="ar-SA"/>
        </w:rPr>
        <w:t>投标文件开启（解密）时间：2025年7月22日09点 00 分（北京时间）</w:t>
      </w:r>
    </w:p>
    <w:p w14:paraId="32F12BA3">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Times New Roman"/>
          <w:color w:val="FF0000"/>
          <w:kern w:val="2"/>
          <w:sz w:val="28"/>
          <w:szCs w:val="28"/>
          <w:lang w:val="en-US" w:eastAsia="zh-CN" w:bidi="ar-SA"/>
        </w:rPr>
      </w:pPr>
      <w:r>
        <w:rPr>
          <w:rFonts w:hint="eastAsia" w:ascii="仿宋" w:hAnsi="仿宋" w:eastAsia="仿宋" w:cs="Times New Roman"/>
          <w:color w:val="FF0000"/>
          <w:kern w:val="2"/>
          <w:sz w:val="28"/>
          <w:szCs w:val="28"/>
          <w:lang w:val="en-US" w:eastAsia="zh-CN" w:bidi="ar-SA"/>
        </w:rPr>
        <w:t>投标文件开启（解密）方式：本项目开标为网上政采云全流程电子标形式进行远程解密开标。解密时间系统默认为 30 分钟，30 分钟内未进行解密的视为自动放弃投标。</w:t>
      </w:r>
    </w:p>
    <w:p w14:paraId="2E20F8A8">
      <w:pPr>
        <w:ind w:firstLine="560" w:firstLineChars="200"/>
        <w:rPr>
          <w:rFonts w:ascii="仿宋" w:hAnsi="仿宋" w:eastAsia="仿宋"/>
          <w:bCs/>
          <w:color w:val="FF0000"/>
          <w:sz w:val="28"/>
          <w:szCs w:val="28"/>
          <w:u w:val="single"/>
        </w:rPr>
      </w:pPr>
      <w:r>
        <w:rPr>
          <w:rFonts w:hint="eastAsia" w:ascii="仿宋" w:hAnsi="仿宋" w:eastAsia="仿宋" w:cs="Times New Roman"/>
          <w:color w:val="FF0000"/>
          <w:kern w:val="2"/>
          <w:sz w:val="28"/>
          <w:szCs w:val="28"/>
          <w:lang w:val="en-US" w:eastAsia="zh-CN" w:bidi="ar-SA"/>
        </w:rPr>
        <w:t>投标文件提交方式：投标文件应加密并在提交截止时间前通过政府采购云平台在线提交。</w:t>
      </w:r>
    </w:p>
    <w:p w14:paraId="72B4F8FF">
      <w:pPr>
        <w:keepNext w:val="0"/>
        <w:keepLines w:val="0"/>
        <w:pageBreakBefore w:val="0"/>
        <w:widowControl w:val="0"/>
        <w:kinsoku/>
        <w:wordWrap/>
        <w:overflowPunct/>
        <w:topLinePunct w:val="0"/>
        <w:autoSpaceDE/>
        <w:autoSpaceDN/>
        <w:bidi w:val="0"/>
        <w:adjustRightInd/>
        <w:snapToGrid/>
        <w:spacing w:before="157" w:beforeLines="50"/>
        <w:ind w:firstLine="560" w:firstLineChars="200"/>
        <w:textAlignment w:val="auto"/>
        <w:rPr>
          <w:rFonts w:hint="eastAsia" w:ascii="仿宋" w:hAnsi="仿宋" w:eastAsia="仿宋" w:cs="仿宋"/>
          <w:color w:val="FF0000"/>
          <w:sz w:val="24"/>
          <w:szCs w:val="24"/>
          <w:u w:val="single"/>
          <w:lang w:eastAsia="zh-CN"/>
        </w:rPr>
      </w:pPr>
      <w:r>
        <w:rPr>
          <w:rFonts w:hint="eastAsia" w:ascii="仿宋" w:hAnsi="仿宋" w:eastAsia="仿宋" w:cs="Times New Roman"/>
          <w:color w:val="FF0000"/>
          <w:kern w:val="2"/>
          <w:sz w:val="28"/>
          <w:szCs w:val="28"/>
          <w:lang w:val="en-US" w:eastAsia="zh-CN" w:bidi="ar-SA"/>
        </w:rPr>
        <w:t>投标文件开启地点：</w:t>
      </w:r>
      <w:r>
        <w:rPr>
          <w:rFonts w:hint="eastAsia" w:ascii="仿宋" w:hAnsi="仿宋" w:eastAsia="仿宋" w:cs="Times New Roman"/>
          <w:color w:val="FF0000"/>
          <w:kern w:val="2"/>
          <w:sz w:val="28"/>
          <w:szCs w:val="28"/>
          <w:u w:val="single"/>
          <w:lang w:val="en-US" w:eastAsia="zh-CN" w:bidi="ar-SA"/>
        </w:rPr>
        <w:t xml:space="preserve"> 松原市公共资源交易中心三开标室 </w:t>
      </w:r>
    </w:p>
    <w:p w14:paraId="482698C7">
      <w:pPr>
        <w:pStyle w:val="4"/>
        <w:spacing w:line="360" w:lineRule="auto"/>
        <w:rPr>
          <w:rFonts w:ascii="黑体" w:hAnsi="黑体" w:cs="宋体"/>
          <w:b w:val="0"/>
          <w:sz w:val="28"/>
          <w:szCs w:val="28"/>
        </w:rPr>
      </w:pPr>
      <w:bookmarkStart w:id="29" w:name="_Toc28359007"/>
      <w:bookmarkStart w:id="30" w:name="_Toc30684"/>
      <w:bookmarkStart w:id="31" w:name="_Toc28359084"/>
      <w:bookmarkStart w:id="32" w:name="_Toc35393625"/>
      <w:bookmarkStart w:id="33" w:name="_Toc35393794"/>
      <w:r>
        <w:rPr>
          <w:rFonts w:hint="eastAsia" w:ascii="黑体" w:hAnsi="黑体" w:cs="宋体"/>
          <w:b w:val="0"/>
          <w:sz w:val="28"/>
          <w:szCs w:val="28"/>
        </w:rPr>
        <w:t>五、公告期限</w:t>
      </w:r>
      <w:bookmarkEnd w:id="29"/>
      <w:bookmarkEnd w:id="30"/>
      <w:bookmarkEnd w:id="31"/>
      <w:bookmarkEnd w:id="32"/>
      <w:bookmarkEnd w:id="33"/>
    </w:p>
    <w:p w14:paraId="2FB92F5C">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063E2B20">
      <w:pPr>
        <w:pStyle w:val="4"/>
        <w:spacing w:line="360" w:lineRule="auto"/>
        <w:rPr>
          <w:rFonts w:ascii="黑体" w:hAnsi="黑体" w:cs="宋体"/>
          <w:b w:val="0"/>
          <w:sz w:val="28"/>
          <w:szCs w:val="28"/>
        </w:rPr>
      </w:pPr>
      <w:bookmarkStart w:id="34" w:name="_Toc35393795"/>
      <w:bookmarkStart w:id="35" w:name="_Toc35393626"/>
      <w:bookmarkStart w:id="36" w:name="_Toc2773"/>
      <w:r>
        <w:rPr>
          <w:rFonts w:hint="eastAsia" w:ascii="黑体" w:hAnsi="黑体" w:cs="宋体"/>
          <w:b w:val="0"/>
          <w:sz w:val="28"/>
          <w:szCs w:val="28"/>
        </w:rPr>
        <w:t>六、其他补充事宜</w:t>
      </w:r>
      <w:bookmarkEnd w:id="34"/>
      <w:bookmarkEnd w:id="35"/>
      <w:bookmarkEnd w:id="36"/>
    </w:p>
    <w:p w14:paraId="70122D5D">
      <w:pPr>
        <w:ind w:firstLine="560" w:firstLineChars="200"/>
        <w:rPr>
          <w:rFonts w:hint="eastAsia" w:ascii="仿宋" w:hAnsi="仿宋" w:eastAsia="仿宋" w:cs="宋体"/>
          <w:color w:val="FF0000"/>
          <w:kern w:val="0"/>
          <w:sz w:val="28"/>
          <w:szCs w:val="28"/>
          <w:lang w:val="en-US" w:eastAsia="zh-CN"/>
        </w:rPr>
      </w:pPr>
      <w:r>
        <w:rPr>
          <w:rFonts w:hint="eastAsia" w:ascii="仿宋" w:hAnsi="仿宋" w:eastAsia="仿宋" w:cs="宋体"/>
          <w:kern w:val="0"/>
          <w:sz w:val="28"/>
          <w:szCs w:val="28"/>
          <w:lang w:val="en-US" w:eastAsia="zh-CN"/>
        </w:rPr>
        <w:t>1.</w:t>
      </w:r>
      <w:r>
        <w:rPr>
          <w:rFonts w:hint="eastAsia" w:ascii="仿宋" w:hAnsi="仿宋" w:eastAsia="仿宋" w:cs="宋体"/>
          <w:color w:val="FF0000"/>
          <w:kern w:val="0"/>
          <w:sz w:val="28"/>
          <w:szCs w:val="28"/>
          <w:lang w:val="en-US" w:eastAsia="zh-CN"/>
        </w:rPr>
        <w:t>本次招标公告同时在吉林省政府采购网、中国政府采购网上发布。</w:t>
      </w:r>
    </w:p>
    <w:p w14:paraId="57794EAA">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2.政府采购信用贷款，请联系松原市信用综合金融服务平台。</w:t>
      </w:r>
    </w:p>
    <w:p w14:paraId="6E040DAC">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联系人：李明峻 </w:t>
      </w:r>
    </w:p>
    <w:p w14:paraId="02370271">
      <w:pPr>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联系电话：0438-8888336    18686500569</w:t>
      </w:r>
    </w:p>
    <w:p w14:paraId="0F2ECA79">
      <w:pPr>
        <w:pStyle w:val="76"/>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default" w:ascii="仿宋" w:hAnsi="仿宋" w:eastAsia="仿宋" w:cs="Times New Roman"/>
          <w:color w:val="FF0000"/>
          <w:kern w:val="2"/>
          <w:sz w:val="28"/>
          <w:szCs w:val="28"/>
          <w:lang w:val="en-US" w:eastAsia="zh-CN" w:bidi="ar-SA"/>
        </w:rPr>
      </w:pPr>
      <w:r>
        <w:rPr>
          <w:rFonts w:hint="eastAsia" w:ascii="仿宋" w:hAnsi="仿宋" w:eastAsia="仿宋" w:cs="Times New Roman"/>
          <w:color w:val="FF0000"/>
          <w:kern w:val="2"/>
          <w:sz w:val="28"/>
          <w:szCs w:val="28"/>
          <w:lang w:val="en-US" w:eastAsia="zh-CN" w:bidi="ar-SA"/>
        </w:rPr>
        <w:t>3</w:t>
      </w:r>
      <w:r>
        <w:rPr>
          <w:rFonts w:hint="default" w:ascii="仿宋" w:hAnsi="仿宋" w:eastAsia="仿宋" w:cs="Times New Roman"/>
          <w:color w:val="FF0000"/>
          <w:kern w:val="2"/>
          <w:sz w:val="28"/>
          <w:szCs w:val="28"/>
          <w:lang w:val="en-US" w:eastAsia="zh-CN" w:bidi="ar-SA"/>
        </w:rPr>
        <w:t>.本项目采用全流程电子化采购，需通过政府采购云平台（https://www.zcygov.cn/）提交电子投标文件。</w:t>
      </w:r>
    </w:p>
    <w:p w14:paraId="65A37419">
      <w:pPr>
        <w:pStyle w:val="76"/>
        <w:keepNext w:val="0"/>
        <w:keepLines w:val="0"/>
        <w:pageBreakBefore w:val="0"/>
        <w:widowControl/>
        <w:kinsoku/>
        <w:wordWrap/>
        <w:overflowPunct/>
        <w:topLinePunct w:val="0"/>
        <w:autoSpaceDE w:val="0"/>
        <w:autoSpaceDN w:val="0"/>
        <w:bidi w:val="0"/>
        <w:adjustRightInd w:val="0"/>
        <w:snapToGrid/>
        <w:spacing w:line="240" w:lineRule="auto"/>
        <w:textAlignment w:val="auto"/>
        <w:rPr>
          <w:rFonts w:hint="default" w:ascii="仿宋" w:hAnsi="仿宋" w:eastAsia="仿宋" w:cs="Times New Roman"/>
          <w:color w:val="FF0000"/>
          <w:kern w:val="2"/>
          <w:sz w:val="28"/>
          <w:szCs w:val="28"/>
          <w:lang w:val="en-US" w:eastAsia="zh-CN" w:bidi="ar-SA"/>
        </w:rPr>
      </w:pPr>
      <w:r>
        <w:rPr>
          <w:rFonts w:hint="default" w:ascii="仿宋" w:hAnsi="仿宋" w:eastAsia="仿宋" w:cs="Times New Roman"/>
          <w:color w:val="FF0000"/>
          <w:kern w:val="2"/>
          <w:sz w:val="28"/>
          <w:szCs w:val="28"/>
          <w:lang w:val="en-US" w:eastAsia="zh-CN" w:bidi="ar-SA"/>
        </w:rPr>
        <w:t>操作流程：供应商在政府采购云平台注册入库成为正式供应商后，在平台按《政府采购项目电子交易管理操作指南-供应商》进行操作。由于供应商自身原因在递交投标文件截止时间前无法完成办理的，后果自负。若对项目采购电子交易系统操作有疑问，可登录“政采云”平台（https://www.zcygov.cn/），点击右侧咨询小采，获取采小蜜智能服务管家帮助，或拨打政采云服务热线 400-881-7190或95763 获取热线服务帮助。</w:t>
      </w:r>
    </w:p>
    <w:p w14:paraId="375B5B93">
      <w:pPr>
        <w:pStyle w:val="4"/>
        <w:spacing w:line="360" w:lineRule="auto"/>
        <w:rPr>
          <w:rFonts w:ascii="黑体" w:hAnsi="黑体" w:cs="宋体"/>
          <w:b w:val="0"/>
          <w:sz w:val="28"/>
          <w:szCs w:val="28"/>
        </w:rPr>
      </w:pPr>
      <w:bookmarkStart w:id="37" w:name="_Toc13487"/>
      <w:bookmarkStart w:id="38" w:name="_Toc35393627"/>
      <w:bookmarkStart w:id="39" w:name="_Toc35393796"/>
      <w:bookmarkStart w:id="40" w:name="_Toc28359085"/>
      <w:bookmarkStart w:id="41"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37"/>
      <w:bookmarkEnd w:id="38"/>
      <w:bookmarkEnd w:id="39"/>
      <w:bookmarkEnd w:id="40"/>
      <w:bookmarkEnd w:id="41"/>
    </w:p>
    <w:p w14:paraId="6ED9BFA5">
      <w:pPr>
        <w:widowControl/>
        <w:jc w:val="left"/>
        <w:rPr>
          <w:rFonts w:ascii="仿宋_GB2312" w:hAnsi="Times New Roman" w:eastAsia="仿宋_GB2312"/>
          <w:sz w:val="28"/>
          <w:szCs w:val="28"/>
        </w:rPr>
      </w:pPr>
      <w:r>
        <w:rPr>
          <w:rFonts w:hint="eastAsia" w:ascii="仿宋" w:hAnsi="仿宋" w:eastAsia="仿宋" w:cs="宋体"/>
          <w:sz w:val="28"/>
          <w:szCs w:val="28"/>
        </w:rPr>
        <w:t>　　</w:t>
      </w:r>
      <w:bookmarkEnd w:id="6"/>
      <w:bookmarkEnd w:id="7"/>
      <w:bookmarkStart w:id="42" w:name="_Toc213396945"/>
      <w:bookmarkStart w:id="43" w:name="_Toc217446031"/>
      <w:bookmarkStart w:id="44" w:name="_Toc213396759"/>
      <w:bookmarkStart w:id="45" w:name="_Toc213397009"/>
      <w:bookmarkStart w:id="46" w:name="_Toc213496267"/>
      <w:r>
        <w:rPr>
          <w:rFonts w:hint="eastAsia" w:ascii="仿宋" w:hAnsi="仿宋" w:eastAsia="仿宋" w:cs="宋体"/>
          <w:sz w:val="28"/>
          <w:szCs w:val="28"/>
        </w:rPr>
        <w:t>1.采购人信息</w:t>
      </w:r>
    </w:p>
    <w:p w14:paraId="38E6AFF7">
      <w:pPr>
        <w:spacing w:line="360" w:lineRule="auto"/>
        <w:ind w:left="1129" w:leftChars="371" w:hanging="350" w:hangingChars="125"/>
        <w:jc w:val="left"/>
        <w:rPr>
          <w:rFonts w:hint="eastAsia" w:ascii="仿宋" w:hAnsi="仿宋" w:eastAsia="仿宋"/>
          <w:sz w:val="28"/>
          <w:szCs w:val="28"/>
          <w:u w:val="single"/>
        </w:rPr>
      </w:pPr>
      <w:r>
        <w:rPr>
          <w:rFonts w:hint="eastAsia" w:ascii="仿宋" w:hAnsi="仿宋" w:eastAsia="仿宋"/>
          <w:sz w:val="28"/>
          <w:szCs w:val="28"/>
        </w:rPr>
        <w:t>名</w:t>
      </w:r>
      <w:r>
        <w:rPr>
          <w:rFonts w:hint="eastAsia" w:ascii="仿宋" w:hAnsi="仿宋" w:eastAsia="仿宋"/>
          <w:sz w:val="28"/>
          <w:szCs w:val="28"/>
          <w:lang w:val="en-US" w:eastAsia="zh-CN"/>
        </w:rPr>
        <w:t xml:space="preserve">    </w:t>
      </w:r>
      <w:r>
        <w:rPr>
          <w:rFonts w:hint="eastAsia" w:ascii="仿宋" w:hAnsi="仿宋" w:eastAsia="仿宋"/>
          <w:sz w:val="28"/>
          <w:szCs w:val="28"/>
        </w:rPr>
        <w:t>称：</w:t>
      </w:r>
      <w:r>
        <w:rPr>
          <w:rFonts w:hint="eastAsia" w:ascii="仿宋" w:hAnsi="仿宋" w:eastAsia="仿宋"/>
          <w:sz w:val="28"/>
          <w:szCs w:val="28"/>
          <w:u w:val="single"/>
        </w:rPr>
        <w:t>松原市粮食和物资储备中心</w:t>
      </w:r>
    </w:p>
    <w:p w14:paraId="727F6C94">
      <w:pPr>
        <w:spacing w:line="360" w:lineRule="auto"/>
        <w:ind w:left="1129" w:leftChars="371" w:hanging="350" w:hangingChars="125"/>
        <w:jc w:val="left"/>
        <w:rPr>
          <w:rFonts w:hint="default" w:ascii="仿宋" w:hAnsi="仿宋" w:eastAsia="仿宋"/>
          <w:sz w:val="28"/>
          <w:szCs w:val="28"/>
          <w:u w:val="single"/>
          <w:lang w:val="en-US" w:eastAsia="zh-CN"/>
        </w:rPr>
      </w:pPr>
      <w:r>
        <w:rPr>
          <w:rFonts w:hint="eastAsia" w:ascii="仿宋" w:hAnsi="仿宋" w:eastAsia="仿宋"/>
          <w:sz w:val="28"/>
          <w:szCs w:val="28"/>
        </w:rPr>
        <w:t>地</w:t>
      </w:r>
      <w:r>
        <w:rPr>
          <w:rFonts w:hint="eastAsia" w:ascii="仿宋" w:hAnsi="仿宋" w:eastAsia="仿宋"/>
          <w:sz w:val="28"/>
          <w:szCs w:val="28"/>
          <w:lang w:val="en-US" w:eastAsia="zh-CN"/>
        </w:rPr>
        <w:t xml:space="preserve">    </w:t>
      </w:r>
      <w:r>
        <w:rPr>
          <w:rFonts w:hint="eastAsia" w:ascii="仿宋" w:hAnsi="仿宋" w:eastAsia="仿宋"/>
          <w:sz w:val="28"/>
          <w:szCs w:val="28"/>
        </w:rPr>
        <w:t>址：</w:t>
      </w:r>
      <w:r>
        <w:rPr>
          <w:rFonts w:hint="eastAsia" w:ascii="仿宋" w:hAnsi="仿宋" w:eastAsia="仿宋"/>
          <w:sz w:val="28"/>
          <w:szCs w:val="28"/>
          <w:u w:val="single"/>
          <w:lang w:val="en-US" w:eastAsia="zh-CN"/>
        </w:rPr>
        <w:t xml:space="preserve">松原市宁江区海山大路2号   </w:t>
      </w:r>
    </w:p>
    <w:p w14:paraId="5E93D8D4">
      <w:pPr>
        <w:spacing w:line="360" w:lineRule="auto"/>
        <w:ind w:left="1129" w:leftChars="371" w:hanging="350" w:hangingChars="125"/>
        <w:jc w:val="left"/>
        <w:rPr>
          <w:rFonts w:hint="eastAsia" w:ascii="仿宋" w:hAnsi="仿宋" w:eastAsia="仿宋"/>
          <w:sz w:val="28"/>
          <w:szCs w:val="28"/>
          <w:u w:val="single"/>
        </w:rPr>
      </w:pPr>
      <w:r>
        <w:rPr>
          <w:rFonts w:hint="eastAsia" w:ascii="仿宋" w:hAnsi="仿宋" w:eastAsia="仿宋"/>
          <w:sz w:val="28"/>
          <w:szCs w:val="28"/>
        </w:rPr>
        <w:t>联系方式：</w:t>
      </w:r>
      <w:r>
        <w:rPr>
          <w:rFonts w:hint="eastAsia" w:ascii="宋体" w:hAnsi="宋体"/>
          <w:sz w:val="28"/>
          <w:szCs w:val="28"/>
          <w:u w:val="single"/>
          <w:lang w:val="en-US" w:eastAsia="zh-CN"/>
        </w:rPr>
        <w:t>0438-</w:t>
      </w:r>
      <w:r>
        <w:rPr>
          <w:rFonts w:hint="eastAsia" w:ascii="仿宋" w:hAnsi="仿宋" w:eastAsia="仿宋"/>
          <w:sz w:val="28"/>
          <w:szCs w:val="28"/>
          <w:u w:val="single"/>
          <w:lang w:val="en-US" w:eastAsia="zh-CN"/>
        </w:rPr>
        <w:t>2731181</w:t>
      </w:r>
      <w:r>
        <w:rPr>
          <w:rFonts w:hint="eastAsia" w:ascii="仿宋" w:hAnsi="仿宋" w:eastAsia="仿宋"/>
          <w:sz w:val="28"/>
          <w:szCs w:val="28"/>
          <w:u w:val="single"/>
        </w:rPr>
        <w:t>　　　　　　　　</w:t>
      </w:r>
      <w:bookmarkStart w:id="47" w:name="_Toc28359009"/>
      <w:bookmarkStart w:id="48" w:name="_Toc28359086"/>
    </w:p>
    <w:p w14:paraId="2DD8C9FA">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47"/>
      <w:bookmarkEnd w:id="48"/>
    </w:p>
    <w:p w14:paraId="23C30575">
      <w:pPr>
        <w:spacing w:line="360" w:lineRule="auto"/>
        <w:ind w:firstLine="840" w:firstLineChars="300"/>
        <w:rPr>
          <w:rFonts w:ascii="仿宋" w:hAnsi="仿宋" w:eastAsia="仿宋"/>
          <w:sz w:val="28"/>
          <w:szCs w:val="28"/>
        </w:rPr>
      </w:pPr>
      <w:bookmarkStart w:id="49" w:name="_Toc28359087"/>
      <w:bookmarkStart w:id="50" w:name="_Toc28359010"/>
      <w:r>
        <w:rPr>
          <w:rFonts w:hint="eastAsia" w:ascii="仿宋" w:hAnsi="仿宋" w:eastAsia="仿宋"/>
          <w:sz w:val="28"/>
          <w:szCs w:val="28"/>
        </w:rPr>
        <w:t xml:space="preserve">名 </w:t>
      </w:r>
      <w:r>
        <w:rPr>
          <w:rFonts w:hint="eastAsia" w:ascii="仿宋" w:hAnsi="仿宋" w:eastAsia="仿宋"/>
          <w:sz w:val="28"/>
          <w:szCs w:val="28"/>
          <w:lang w:val="en-US" w:eastAsia="zh-CN"/>
        </w:rPr>
        <w:t xml:space="preserve">   </w:t>
      </w:r>
      <w:r>
        <w:rPr>
          <w:rFonts w:hint="eastAsia" w:ascii="仿宋" w:hAnsi="仿宋" w:eastAsia="仿宋"/>
          <w:sz w:val="28"/>
          <w:szCs w:val="28"/>
        </w:rPr>
        <w:t>称：</w:t>
      </w:r>
      <w:r>
        <w:rPr>
          <w:rFonts w:hint="eastAsia" w:ascii="仿宋" w:hAnsi="仿宋" w:eastAsia="仿宋"/>
          <w:sz w:val="28"/>
          <w:szCs w:val="28"/>
          <w:u w:val="single"/>
          <w:lang w:val="en-US" w:eastAsia="zh-CN"/>
        </w:rPr>
        <w:t>松原市公共资源交易中心（松原市政府采购中心）</w:t>
      </w:r>
      <w:r>
        <w:rPr>
          <w:rFonts w:hint="eastAsia" w:ascii="仿宋" w:hAnsi="仿宋" w:eastAsia="仿宋"/>
          <w:sz w:val="28"/>
          <w:szCs w:val="28"/>
          <w:u w:val="single"/>
        </w:rPr>
        <w:t>　</w:t>
      </w:r>
    </w:p>
    <w:p w14:paraId="61561605">
      <w:pPr>
        <w:spacing w:line="360" w:lineRule="auto"/>
        <w:ind w:firstLine="840" w:firstLineChars="300"/>
        <w:rPr>
          <w:rFonts w:ascii="仿宋" w:hAnsi="仿宋" w:eastAsia="仿宋"/>
          <w:sz w:val="28"/>
          <w:szCs w:val="28"/>
        </w:rPr>
      </w:pPr>
      <w:r>
        <w:rPr>
          <w:rFonts w:hint="eastAsia" w:ascii="仿宋" w:hAnsi="仿宋" w:eastAsia="仿宋"/>
          <w:sz w:val="28"/>
          <w:szCs w:val="28"/>
        </w:rPr>
        <w:t>地</w:t>
      </w:r>
      <w:r>
        <w:rPr>
          <w:rFonts w:hint="eastAsia" w:ascii="仿宋" w:hAnsi="仿宋" w:eastAsia="仿宋"/>
          <w:sz w:val="28"/>
          <w:szCs w:val="28"/>
          <w:lang w:val="en-US" w:eastAsia="zh-CN"/>
        </w:rPr>
        <w:t xml:space="preserve">  </w:t>
      </w:r>
      <w:r>
        <w:rPr>
          <w:rFonts w:hint="eastAsia" w:ascii="仿宋" w:hAnsi="仿宋" w:eastAsia="仿宋"/>
          <w:sz w:val="28"/>
          <w:szCs w:val="28"/>
        </w:rPr>
        <w:t>　址：</w:t>
      </w:r>
      <w:r>
        <w:rPr>
          <w:rFonts w:hint="eastAsia" w:ascii="仿宋" w:hAnsi="仿宋" w:eastAsia="仿宋"/>
          <w:sz w:val="28"/>
          <w:szCs w:val="28"/>
          <w:u w:val="single"/>
          <w:lang w:val="en-US" w:eastAsia="zh-CN"/>
        </w:rPr>
        <w:t>松原市宁江区东镇东路3518号</w:t>
      </w:r>
      <w:r>
        <w:rPr>
          <w:rFonts w:hint="eastAsia" w:ascii="仿宋" w:hAnsi="仿宋" w:eastAsia="仿宋"/>
          <w:sz w:val="28"/>
          <w:szCs w:val="28"/>
          <w:u w:val="single"/>
        </w:rPr>
        <w:t>　</w:t>
      </w:r>
    </w:p>
    <w:p w14:paraId="0F149BDE">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lang w:val="en-US" w:eastAsia="zh-CN"/>
        </w:rPr>
        <w:t xml:space="preserve">0438-2107027   </w:t>
      </w:r>
      <w:r>
        <w:rPr>
          <w:rFonts w:hint="eastAsia" w:ascii="仿宋" w:hAnsi="仿宋" w:eastAsia="仿宋"/>
          <w:sz w:val="28"/>
          <w:szCs w:val="28"/>
          <w:u w:val="single"/>
        </w:rPr>
        <w:t>　</w:t>
      </w:r>
    </w:p>
    <w:p w14:paraId="7C37FBAD">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49"/>
      <w:bookmarkEnd w:id="50"/>
    </w:p>
    <w:p w14:paraId="084B6F96">
      <w:pPr>
        <w:widowControl w:val="0"/>
        <w:spacing w:line="360" w:lineRule="auto"/>
        <w:ind w:firstLine="840" w:firstLineChars="300"/>
        <w:jc w:val="both"/>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项目联系人：</w:t>
      </w:r>
      <w:r>
        <w:rPr>
          <w:rFonts w:hint="eastAsia" w:ascii="仿宋" w:hAnsi="仿宋" w:eastAsia="仿宋" w:cs="宋体"/>
          <w:kern w:val="2"/>
          <w:sz w:val="28"/>
          <w:szCs w:val="28"/>
          <w:u w:val="single"/>
          <w:lang w:val="en-US" w:eastAsia="zh-CN" w:bidi="ar-SA"/>
        </w:rPr>
        <w:t>王丹阳</w:t>
      </w:r>
    </w:p>
    <w:p w14:paraId="7F84DAFC">
      <w:pPr>
        <w:spacing w:line="360" w:lineRule="auto"/>
        <w:ind w:firstLine="840" w:firstLineChars="300"/>
        <w:rPr>
          <w:rFonts w:hint="eastAsia" w:ascii="黑体" w:hAnsi="黑体" w:eastAsia="黑体"/>
          <w:sz w:val="44"/>
          <w:szCs w:val="44"/>
        </w:rPr>
      </w:pPr>
      <w:r>
        <w:rPr>
          <w:rFonts w:hint="eastAsia" w:ascii="仿宋" w:hAnsi="仿宋" w:eastAsia="仿宋"/>
          <w:sz w:val="28"/>
          <w:szCs w:val="28"/>
        </w:rPr>
        <w:t>电　</w:t>
      </w:r>
      <w:r>
        <w:rPr>
          <w:rFonts w:hint="eastAsia" w:ascii="仿宋" w:hAnsi="仿宋" w:eastAsia="仿宋"/>
          <w:sz w:val="28"/>
          <w:szCs w:val="28"/>
          <w:lang w:val="en-US" w:eastAsia="zh-CN"/>
        </w:rPr>
        <w:t xml:space="preserve">    </w:t>
      </w:r>
      <w:r>
        <w:rPr>
          <w:rFonts w:hint="eastAsia" w:ascii="仿宋" w:hAnsi="仿宋" w:eastAsia="仿宋"/>
          <w:sz w:val="28"/>
          <w:szCs w:val="28"/>
        </w:rPr>
        <w:t>话：</w:t>
      </w:r>
      <w:r>
        <w:rPr>
          <w:rFonts w:hint="eastAsia" w:ascii="宋体" w:hAnsi="宋体"/>
          <w:sz w:val="28"/>
          <w:szCs w:val="28"/>
          <w:u w:val="single"/>
          <w:lang w:val="en-US" w:eastAsia="zh-CN"/>
        </w:rPr>
        <w:t>18643092009</w:t>
      </w:r>
    </w:p>
    <w:p w14:paraId="41BD256B">
      <w:pPr>
        <w:pStyle w:val="54"/>
        <w:rPr>
          <w:rFonts w:ascii="黑体" w:hAnsi="黑体" w:eastAsia="黑体"/>
          <w:sz w:val="44"/>
          <w:szCs w:val="44"/>
        </w:rPr>
      </w:pPr>
      <w:bookmarkStart w:id="51" w:name="_Toc17281"/>
      <w:r>
        <w:rPr>
          <w:rFonts w:hint="eastAsia" w:ascii="黑体" w:hAnsi="黑体" w:eastAsia="黑体"/>
          <w:sz w:val="44"/>
          <w:szCs w:val="44"/>
        </w:rPr>
        <w:t>第二章  投标须知</w:t>
      </w:r>
      <w:bookmarkEnd w:id="51"/>
    </w:p>
    <w:p w14:paraId="3F133930">
      <w:pPr>
        <w:pStyle w:val="4"/>
        <w:spacing w:line="240" w:lineRule="atLeast"/>
        <w:rPr>
          <w:rFonts w:ascii="黑体" w:hAnsi="黑体"/>
        </w:rPr>
      </w:pPr>
      <w:bookmarkStart w:id="52" w:name="_Toc5083"/>
      <w:r>
        <w:rPr>
          <w:rFonts w:hint="eastAsia" w:ascii="黑体" w:hAnsi="黑体"/>
        </w:rPr>
        <w:t>一、投标须知前附表</w:t>
      </w:r>
      <w:bookmarkEnd w:id="52"/>
    </w:p>
    <w:bookmarkEnd w:id="42"/>
    <w:bookmarkEnd w:id="43"/>
    <w:bookmarkEnd w:id="44"/>
    <w:bookmarkEnd w:id="45"/>
    <w:bookmarkEnd w:id="46"/>
    <w:tbl>
      <w:tblPr>
        <w:tblStyle w:val="58"/>
        <w:tblW w:w="826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39"/>
        <w:gridCol w:w="1248"/>
        <w:gridCol w:w="6479"/>
      </w:tblGrid>
      <w:tr w14:paraId="29B735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539" w:type="dxa"/>
            <w:vAlign w:val="center"/>
          </w:tcPr>
          <w:p w14:paraId="2B865B2D">
            <w:pPr>
              <w:autoSpaceDE w:val="0"/>
              <w:autoSpaceDN w:val="0"/>
              <w:adjustRightInd w:val="0"/>
              <w:spacing w:line="500" w:lineRule="exact"/>
              <w:ind w:left="9"/>
              <w:jc w:val="center"/>
              <w:rPr>
                <w:rFonts w:ascii="宋体" w:hAnsi="宋体"/>
                <w:b/>
                <w:sz w:val="24"/>
              </w:rPr>
            </w:pPr>
            <w:r>
              <w:rPr>
                <w:rFonts w:hint="eastAsia" w:ascii="宋体" w:hAnsi="宋体"/>
                <w:b/>
                <w:sz w:val="24"/>
              </w:rPr>
              <w:t>序号</w:t>
            </w:r>
          </w:p>
        </w:tc>
        <w:tc>
          <w:tcPr>
            <w:tcW w:w="1248" w:type="dxa"/>
            <w:vAlign w:val="center"/>
          </w:tcPr>
          <w:p w14:paraId="3FF0B76A">
            <w:pPr>
              <w:autoSpaceDE w:val="0"/>
              <w:autoSpaceDN w:val="0"/>
              <w:adjustRightInd w:val="0"/>
              <w:spacing w:line="500" w:lineRule="exact"/>
              <w:ind w:left="38"/>
              <w:jc w:val="center"/>
              <w:rPr>
                <w:rFonts w:ascii="宋体" w:hAnsi="宋体"/>
                <w:b/>
                <w:sz w:val="24"/>
              </w:rPr>
            </w:pPr>
            <w:r>
              <w:rPr>
                <w:rFonts w:hint="eastAsia" w:ascii="宋体" w:hAnsi="宋体"/>
                <w:b/>
                <w:sz w:val="24"/>
              </w:rPr>
              <w:t>条款名称</w:t>
            </w:r>
          </w:p>
        </w:tc>
        <w:tc>
          <w:tcPr>
            <w:tcW w:w="6479" w:type="dxa"/>
            <w:vAlign w:val="center"/>
          </w:tcPr>
          <w:p w14:paraId="38337090">
            <w:pPr>
              <w:autoSpaceDE w:val="0"/>
              <w:autoSpaceDN w:val="0"/>
              <w:adjustRightInd w:val="0"/>
              <w:spacing w:line="500" w:lineRule="exact"/>
              <w:jc w:val="center"/>
              <w:rPr>
                <w:rFonts w:ascii="宋体" w:hAnsi="宋体"/>
                <w:b/>
                <w:sz w:val="24"/>
              </w:rPr>
            </w:pPr>
            <w:r>
              <w:rPr>
                <w:rFonts w:hint="eastAsia" w:ascii="宋体" w:hAnsi="宋体"/>
                <w:b/>
                <w:sz w:val="24"/>
              </w:rPr>
              <w:t>内容</w:t>
            </w:r>
            <w:r>
              <w:rPr>
                <w:rFonts w:ascii="宋体" w:hAnsi="宋体"/>
                <w:b/>
                <w:sz w:val="24"/>
              </w:rPr>
              <w:t>、</w:t>
            </w:r>
            <w:r>
              <w:rPr>
                <w:rFonts w:hint="eastAsia" w:ascii="宋体" w:hAnsi="宋体"/>
                <w:b/>
                <w:sz w:val="24"/>
              </w:rPr>
              <w:t>说明和要求</w:t>
            </w:r>
          </w:p>
        </w:tc>
      </w:tr>
      <w:tr w14:paraId="089D262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24367AF1">
            <w:pPr>
              <w:autoSpaceDE w:val="0"/>
              <w:autoSpaceDN w:val="0"/>
              <w:adjustRightInd w:val="0"/>
              <w:spacing w:line="500" w:lineRule="exact"/>
              <w:ind w:right="230"/>
              <w:jc w:val="center"/>
              <w:rPr>
                <w:rFonts w:ascii="宋体" w:hAnsi="宋体"/>
                <w:sz w:val="24"/>
              </w:rPr>
            </w:pPr>
            <w:r>
              <w:rPr>
                <w:rFonts w:ascii="宋体" w:hAnsi="宋体"/>
                <w:sz w:val="24"/>
              </w:rPr>
              <w:t>1</w:t>
            </w:r>
          </w:p>
        </w:tc>
        <w:tc>
          <w:tcPr>
            <w:tcW w:w="1248" w:type="dxa"/>
            <w:tcBorders>
              <w:bottom w:val="single" w:color="auto" w:sz="4" w:space="0"/>
            </w:tcBorders>
            <w:vAlign w:val="center"/>
          </w:tcPr>
          <w:p w14:paraId="3C91AAD3">
            <w:pPr>
              <w:autoSpaceDE w:val="0"/>
              <w:autoSpaceDN w:val="0"/>
              <w:adjustRightInd w:val="0"/>
              <w:spacing w:line="500" w:lineRule="exact"/>
              <w:jc w:val="center"/>
              <w:rPr>
                <w:rFonts w:ascii="宋体" w:hAnsi="宋体"/>
                <w:b/>
                <w:sz w:val="24"/>
              </w:rPr>
            </w:pPr>
            <w:r>
              <w:rPr>
                <w:rFonts w:hint="eastAsia" w:ascii="宋体" w:hAnsi="宋体"/>
                <w:sz w:val="24"/>
              </w:rPr>
              <w:t>采购预算(最高限价)</w:t>
            </w:r>
            <w:r>
              <w:rPr>
                <w:rFonts w:hint="eastAsia" w:ascii="宋体" w:hAnsi="宋体" w:cs="宋体"/>
                <w:b/>
                <w:color w:val="000000"/>
                <w:kern w:val="0"/>
                <w:sz w:val="24"/>
              </w:rPr>
              <w:t>（实质性要求）</w:t>
            </w:r>
          </w:p>
        </w:tc>
        <w:tc>
          <w:tcPr>
            <w:tcW w:w="6479" w:type="dxa"/>
            <w:tcBorders>
              <w:bottom w:val="single" w:color="auto" w:sz="4" w:space="0"/>
            </w:tcBorders>
          </w:tcPr>
          <w:p w14:paraId="756DF0EF">
            <w:pPr>
              <w:spacing w:line="500" w:lineRule="exact"/>
              <w:ind w:right="31" w:rightChars="15"/>
              <w:rPr>
                <w:rFonts w:ascii="宋体" w:hAnsi="宋体"/>
                <w:b/>
                <w:sz w:val="24"/>
              </w:rPr>
            </w:pPr>
            <w:r>
              <w:rPr>
                <w:rFonts w:hint="eastAsia" w:ascii="宋体" w:hAnsi="宋体"/>
                <w:b/>
                <w:sz w:val="24"/>
              </w:rPr>
              <w:t>采购预算</w:t>
            </w:r>
            <w:r>
              <w:rPr>
                <w:rFonts w:hint="eastAsia" w:ascii="宋体" w:hAnsi="宋体"/>
                <w:b/>
                <w:bCs/>
                <w:sz w:val="24"/>
              </w:rPr>
              <w:t>（人民币小写）：1,036,000.00元</w:t>
            </w:r>
            <w:r>
              <w:rPr>
                <w:rFonts w:hint="eastAsia" w:ascii="宋体" w:hAnsi="宋体"/>
                <w:b/>
                <w:sz w:val="24"/>
              </w:rPr>
              <w:t>；</w:t>
            </w:r>
          </w:p>
          <w:p w14:paraId="05964F77">
            <w:pPr>
              <w:autoSpaceDE w:val="0"/>
              <w:autoSpaceDN w:val="0"/>
              <w:adjustRightInd w:val="0"/>
              <w:spacing w:line="500" w:lineRule="exact"/>
              <w:rPr>
                <w:rFonts w:ascii="宋体" w:hAnsi="宋体"/>
                <w:sz w:val="24"/>
              </w:rPr>
            </w:pPr>
            <w:r>
              <w:rPr>
                <w:rFonts w:hint="eastAsia" w:ascii="宋体" w:hAnsi="宋体" w:cs="宋体"/>
                <w:b/>
                <w:kern w:val="0"/>
                <w:sz w:val="24"/>
              </w:rPr>
              <w:t>超过采购预算</w:t>
            </w:r>
            <w:r>
              <w:rPr>
                <w:rFonts w:hint="eastAsia" w:ascii="宋体" w:hAnsi="宋体"/>
                <w:b/>
                <w:sz w:val="24"/>
              </w:rPr>
              <w:t>(最高限价)</w:t>
            </w:r>
            <w:r>
              <w:rPr>
                <w:rFonts w:hint="eastAsia" w:ascii="宋体" w:hAnsi="宋体" w:cs="宋体"/>
                <w:b/>
                <w:kern w:val="0"/>
                <w:sz w:val="24"/>
              </w:rPr>
              <w:t>的投标作无效文件。</w:t>
            </w:r>
          </w:p>
        </w:tc>
      </w:tr>
      <w:tr w14:paraId="31A1A9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117D6EDE">
            <w:pPr>
              <w:autoSpaceDE w:val="0"/>
              <w:autoSpaceDN w:val="0"/>
              <w:adjustRightInd w:val="0"/>
              <w:spacing w:line="500" w:lineRule="exact"/>
              <w:ind w:right="230"/>
              <w:jc w:val="center"/>
              <w:rPr>
                <w:rFonts w:ascii="宋体" w:hAnsi="宋体"/>
                <w:sz w:val="24"/>
              </w:rPr>
            </w:pPr>
            <w:r>
              <w:rPr>
                <w:rFonts w:hint="eastAsia" w:ascii="宋体" w:hAnsi="宋体"/>
                <w:sz w:val="24"/>
              </w:rPr>
              <w:t>2</w:t>
            </w:r>
          </w:p>
        </w:tc>
        <w:tc>
          <w:tcPr>
            <w:tcW w:w="1248" w:type="dxa"/>
            <w:vAlign w:val="center"/>
          </w:tcPr>
          <w:p w14:paraId="0591C82A">
            <w:pPr>
              <w:autoSpaceDE w:val="0"/>
              <w:autoSpaceDN w:val="0"/>
              <w:adjustRightInd w:val="0"/>
              <w:spacing w:line="500" w:lineRule="exact"/>
              <w:ind w:left="38"/>
              <w:jc w:val="center"/>
              <w:rPr>
                <w:rFonts w:ascii="宋体" w:hAnsi="宋体"/>
                <w:b/>
                <w:sz w:val="24"/>
              </w:rPr>
            </w:pPr>
            <w:r>
              <w:rPr>
                <w:rFonts w:hint="eastAsia" w:ascii="宋体" w:hAnsi="宋体"/>
                <w:sz w:val="24"/>
              </w:rPr>
              <w:t>不正当竞争预防措施</w:t>
            </w:r>
            <w:r>
              <w:rPr>
                <w:rFonts w:hint="eastAsia" w:ascii="宋体" w:hAnsi="宋体" w:cs="宋体"/>
                <w:b/>
                <w:kern w:val="0"/>
                <w:sz w:val="24"/>
              </w:rPr>
              <w:t>（实质性要求）</w:t>
            </w:r>
          </w:p>
        </w:tc>
        <w:tc>
          <w:tcPr>
            <w:tcW w:w="6479" w:type="dxa"/>
            <w:vAlign w:val="center"/>
          </w:tcPr>
          <w:p w14:paraId="3D363E96">
            <w:pPr>
              <w:autoSpaceDE w:val="0"/>
              <w:autoSpaceDN w:val="0"/>
              <w:adjustRightInd w:val="0"/>
              <w:spacing w:line="500" w:lineRule="exact"/>
              <w:ind w:firstLine="480" w:firstLineChars="200"/>
              <w:jc w:val="left"/>
              <w:rPr>
                <w:rFonts w:ascii="宋体" w:hAnsi="宋体"/>
                <w:sz w:val="24"/>
              </w:rPr>
            </w:pPr>
            <w:r>
              <w:rPr>
                <w:rFonts w:hint="eastAsia" w:ascii="宋体" w:hAnsi="宋体" w:cs="宋体"/>
                <w:kern w:val="0"/>
                <w:sz w:val="24"/>
              </w:rPr>
              <w:t>详见第六章评标办法：三、评标程序，（九）</w:t>
            </w:r>
            <w:r>
              <w:rPr>
                <w:rFonts w:hint="eastAsia" w:ascii="宋体" w:hAnsi="宋体"/>
                <w:sz w:val="24"/>
              </w:rPr>
              <w:t>不正当竞争预防措施</w:t>
            </w:r>
          </w:p>
          <w:p w14:paraId="22885F8E">
            <w:pPr>
              <w:autoSpaceDE w:val="0"/>
              <w:autoSpaceDN w:val="0"/>
              <w:adjustRightInd w:val="0"/>
              <w:spacing w:line="500" w:lineRule="exact"/>
              <w:ind w:firstLine="480" w:firstLineChars="200"/>
              <w:jc w:val="left"/>
              <w:rPr>
                <w:rFonts w:ascii="宋体" w:hAnsi="宋体"/>
                <w:sz w:val="24"/>
              </w:rPr>
            </w:pPr>
          </w:p>
        </w:tc>
      </w:tr>
      <w:tr w14:paraId="727294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12059F18">
            <w:pPr>
              <w:autoSpaceDE w:val="0"/>
              <w:autoSpaceDN w:val="0"/>
              <w:adjustRightInd w:val="0"/>
              <w:spacing w:line="500" w:lineRule="exact"/>
              <w:ind w:right="230"/>
              <w:jc w:val="center"/>
              <w:rPr>
                <w:rFonts w:ascii="宋体" w:hAnsi="宋体"/>
                <w:sz w:val="24"/>
              </w:rPr>
            </w:pPr>
            <w:r>
              <w:rPr>
                <w:rFonts w:hint="eastAsia" w:ascii="宋体" w:hAnsi="宋体"/>
                <w:sz w:val="24"/>
              </w:rPr>
              <w:t>3</w:t>
            </w:r>
          </w:p>
        </w:tc>
        <w:tc>
          <w:tcPr>
            <w:tcW w:w="1248" w:type="dxa"/>
            <w:vAlign w:val="center"/>
          </w:tcPr>
          <w:p w14:paraId="3726D54A">
            <w:pPr>
              <w:autoSpaceDE w:val="0"/>
              <w:autoSpaceDN w:val="0"/>
              <w:adjustRightInd w:val="0"/>
              <w:spacing w:line="500" w:lineRule="exact"/>
              <w:ind w:left="38"/>
              <w:jc w:val="center"/>
              <w:rPr>
                <w:rFonts w:ascii="宋体" w:hAnsi="宋体"/>
                <w:b/>
                <w:sz w:val="24"/>
              </w:rPr>
            </w:pPr>
            <w:r>
              <w:rPr>
                <w:rFonts w:hint="eastAsia" w:ascii="宋体" w:hAnsi="宋体"/>
                <w:sz w:val="24"/>
              </w:rPr>
              <w:t>中小企业政策扶持</w:t>
            </w:r>
            <w:r>
              <w:rPr>
                <w:rFonts w:hint="eastAsia" w:ascii="宋体" w:hAnsi="宋体" w:cs="宋体"/>
                <w:b/>
                <w:kern w:val="0"/>
                <w:sz w:val="24"/>
              </w:rPr>
              <w:t>（实质性要求）</w:t>
            </w:r>
          </w:p>
        </w:tc>
        <w:tc>
          <w:tcPr>
            <w:tcW w:w="6479" w:type="dxa"/>
            <w:vAlign w:val="center"/>
          </w:tcPr>
          <w:p w14:paraId="464C1C00">
            <w:pPr>
              <w:pStyle w:val="285"/>
              <w:spacing w:line="500" w:lineRule="exact"/>
              <w:ind w:firstLine="482" w:firstLineChars="200"/>
              <w:rPr>
                <w:b/>
                <w:color w:val="000000"/>
              </w:rPr>
            </w:pPr>
            <w:r>
              <w:rPr>
                <w:rFonts w:hint="eastAsia"/>
                <w:b/>
                <w:color w:val="000000"/>
              </w:rPr>
              <w:t>本项目</w:t>
            </w:r>
            <w:r>
              <w:rPr>
                <w:rFonts w:hint="eastAsia"/>
                <w:b/>
                <w:color w:val="FF0000"/>
                <w:u w:val="single"/>
              </w:rPr>
              <w:t>是</w:t>
            </w:r>
            <w:r>
              <w:rPr>
                <w:rFonts w:hint="eastAsia"/>
                <w:b/>
                <w:color w:val="000000"/>
              </w:rPr>
              <w:t>专门面向中小企业、监狱企业、残疾人福利性单位采购的项目;</w:t>
            </w:r>
          </w:p>
          <w:p w14:paraId="711EB72F">
            <w:pPr>
              <w:pStyle w:val="285"/>
              <w:spacing w:line="500" w:lineRule="exact"/>
              <w:ind w:firstLine="420" w:firstLineChars="200"/>
              <w:rPr>
                <w:color w:val="000000"/>
                <w:sz w:val="21"/>
                <w:szCs w:val="21"/>
              </w:rPr>
            </w:pPr>
            <w:r>
              <w:rPr>
                <w:rFonts w:hint="eastAsia"/>
                <w:color w:val="000000"/>
                <w:sz w:val="21"/>
                <w:szCs w:val="21"/>
                <w:lang w:val="en-US" w:eastAsia="zh-CN"/>
              </w:rPr>
              <w:t>1、</w:t>
            </w:r>
            <w:r>
              <w:rPr>
                <w:rFonts w:hint="eastAsia"/>
                <w:color w:val="000000"/>
                <w:sz w:val="21"/>
                <w:szCs w:val="21"/>
              </w:rPr>
              <w:t>参加政府采购活动的中小企业应当提供《中小企业声明函》原件</w:t>
            </w:r>
            <w:r>
              <w:rPr>
                <w:color w:val="000000"/>
                <w:sz w:val="21"/>
                <w:szCs w:val="21"/>
              </w:rPr>
              <w:t>。</w:t>
            </w:r>
          </w:p>
          <w:p w14:paraId="53270E3A">
            <w:pPr>
              <w:pStyle w:val="285"/>
              <w:spacing w:line="500" w:lineRule="exact"/>
              <w:ind w:firstLine="420" w:firstLineChars="200"/>
              <w:rPr>
                <w:color w:val="000000"/>
                <w:sz w:val="21"/>
                <w:szCs w:val="21"/>
              </w:rPr>
            </w:pPr>
            <w:r>
              <w:rPr>
                <w:rFonts w:hint="eastAsia" w:cs="宋体"/>
                <w:color w:val="000000"/>
                <w:kern w:val="0"/>
                <w:sz w:val="21"/>
                <w:szCs w:val="21"/>
                <w:lang w:val="en-US" w:eastAsia="zh-CN"/>
              </w:rPr>
              <w:t>2、</w:t>
            </w:r>
            <w:r>
              <w:rPr>
                <w:rFonts w:hint="eastAsia"/>
                <w:color w:val="000000"/>
                <w:sz w:val="21"/>
                <w:szCs w:val="21"/>
              </w:rPr>
              <w:t>提供由省级以上监狱管理局、戒毒管理局（含新疆生产建设兵团）出具的属于监狱企业证明文件的，视同为小型和微型企业。</w:t>
            </w:r>
          </w:p>
          <w:p w14:paraId="349298DA">
            <w:pPr>
              <w:spacing w:line="500" w:lineRule="exact"/>
              <w:ind w:right="105" w:rightChars="50" w:firstLine="420" w:firstLineChars="200"/>
              <w:rPr>
                <w:rFonts w:hint="eastAsia" w:ascii="宋体" w:hAnsi="宋体"/>
                <w:color w:val="000000"/>
                <w:sz w:val="21"/>
                <w:szCs w:val="21"/>
              </w:rPr>
            </w:pPr>
            <w:r>
              <w:rPr>
                <w:rFonts w:hint="eastAsia" w:ascii="宋体" w:hAnsi="宋体"/>
                <w:color w:val="000000"/>
                <w:sz w:val="21"/>
                <w:szCs w:val="21"/>
                <w:lang w:val="en-US" w:eastAsia="zh-CN"/>
              </w:rPr>
              <w:t>3、</w:t>
            </w:r>
            <w:r>
              <w:rPr>
                <w:rFonts w:hint="eastAsia" w:ascii="宋体" w:hAnsi="宋体"/>
                <w:color w:val="000000"/>
                <w:sz w:val="21"/>
                <w:szCs w:val="21"/>
              </w:rPr>
              <w:t>符合享受政府采购支持政策的残疾人福利性单位条件且提供《残疾人福利性单位声明函》原件的，视同为小型和微型企业。</w:t>
            </w:r>
          </w:p>
          <w:p w14:paraId="182DBB8B">
            <w:pPr>
              <w:spacing w:line="500" w:lineRule="exact"/>
              <w:ind w:right="105" w:rightChars="50" w:firstLine="420" w:firstLineChars="200"/>
              <w:rPr>
                <w:rFonts w:ascii="宋体" w:hAnsi="宋体"/>
                <w:color w:val="FF0000"/>
                <w:sz w:val="24"/>
              </w:rPr>
            </w:pPr>
            <w:r>
              <w:rPr>
                <w:rFonts w:hint="eastAsia" w:ascii="宋体" w:hAnsi="宋体"/>
                <w:color w:val="000000"/>
                <w:sz w:val="21"/>
                <w:szCs w:val="21"/>
                <w:lang w:val="en-US" w:eastAsia="zh-CN"/>
              </w:rPr>
              <w:t>4</w:t>
            </w:r>
            <w:r>
              <w:rPr>
                <w:rFonts w:hint="eastAsia" w:ascii="宋体" w:hAnsi="宋体"/>
                <w:color w:val="000000"/>
                <w:sz w:val="21"/>
                <w:szCs w:val="21"/>
              </w:rPr>
              <w:t>、</w:t>
            </w:r>
            <w:r>
              <w:rPr>
                <w:rFonts w:hint="eastAsia" w:ascii="宋体" w:hAnsi="宋体" w:eastAsia="宋体" w:cs="宋体"/>
                <w:color w:val="000000"/>
                <w:kern w:val="0"/>
                <w:sz w:val="21"/>
                <w:szCs w:val="21"/>
                <w:lang w:val="en-US" w:eastAsia="zh-CN" w:bidi="ar-SA"/>
              </w:rPr>
              <w:t>在服务采购项目中，服务由中小企业承接，即提供服务的人员为中小企业依照《中华人民共和国劳动合同法》订立劳动合同的从业人员。</w:t>
            </w:r>
          </w:p>
        </w:tc>
      </w:tr>
      <w:tr w14:paraId="3D8DC18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0" w:hRule="atLeast"/>
          <w:jc w:val="center"/>
        </w:trPr>
        <w:tc>
          <w:tcPr>
            <w:tcW w:w="539" w:type="dxa"/>
            <w:tcBorders>
              <w:bottom w:val="single" w:color="auto" w:sz="4" w:space="0"/>
            </w:tcBorders>
            <w:vAlign w:val="center"/>
          </w:tcPr>
          <w:p w14:paraId="35A7C012">
            <w:pPr>
              <w:autoSpaceDE w:val="0"/>
              <w:autoSpaceDN w:val="0"/>
              <w:adjustRightInd w:val="0"/>
              <w:spacing w:line="500" w:lineRule="exact"/>
              <w:ind w:right="230"/>
              <w:jc w:val="center"/>
              <w:rPr>
                <w:rFonts w:ascii="宋体" w:hAnsi="宋体" w:cs="Courier New"/>
                <w:kern w:val="0"/>
                <w:sz w:val="24"/>
                <w:lang w:val="zh-CN"/>
              </w:rPr>
            </w:pPr>
            <w:r>
              <w:rPr>
                <w:rFonts w:hint="eastAsia" w:ascii="宋体" w:hAnsi="宋体" w:cs="Courier New"/>
                <w:kern w:val="0"/>
                <w:sz w:val="24"/>
                <w:lang w:val="zh-CN"/>
              </w:rPr>
              <w:t>4</w:t>
            </w:r>
          </w:p>
        </w:tc>
        <w:tc>
          <w:tcPr>
            <w:tcW w:w="1248" w:type="dxa"/>
            <w:tcBorders>
              <w:bottom w:val="single" w:color="auto" w:sz="4" w:space="0"/>
            </w:tcBorders>
            <w:vAlign w:val="center"/>
          </w:tcPr>
          <w:p w14:paraId="19B66E01">
            <w:pPr>
              <w:autoSpaceDE w:val="0"/>
              <w:autoSpaceDN w:val="0"/>
              <w:adjustRightInd w:val="0"/>
              <w:spacing w:line="500" w:lineRule="exact"/>
              <w:jc w:val="center"/>
              <w:rPr>
                <w:rFonts w:ascii="宋体" w:hAnsi="宋体"/>
                <w:sz w:val="24"/>
              </w:rPr>
            </w:pPr>
            <w:r>
              <w:rPr>
                <w:rFonts w:ascii="宋体" w:hAnsi="宋体" w:cs="宋体"/>
                <w:kern w:val="0"/>
                <w:sz w:val="21"/>
                <w:szCs w:val="21"/>
              </w:rPr>
              <w:t>节能</w:t>
            </w:r>
            <w:r>
              <w:rPr>
                <w:rFonts w:hint="eastAsia" w:ascii="宋体" w:hAnsi="宋体" w:cs="宋体"/>
                <w:kern w:val="0"/>
                <w:sz w:val="21"/>
                <w:szCs w:val="21"/>
              </w:rPr>
              <w:t>、</w:t>
            </w:r>
            <w:r>
              <w:rPr>
                <w:rFonts w:ascii="宋体" w:hAnsi="宋体" w:cs="宋体"/>
                <w:kern w:val="0"/>
                <w:sz w:val="21"/>
                <w:szCs w:val="21"/>
              </w:rPr>
              <w:t>环保</w:t>
            </w:r>
            <w:r>
              <w:rPr>
                <w:rFonts w:hint="eastAsia" w:ascii="宋体" w:hAnsi="宋体" w:cs="宋体"/>
                <w:kern w:val="0"/>
                <w:sz w:val="21"/>
                <w:szCs w:val="21"/>
              </w:rPr>
              <w:t>、</w:t>
            </w:r>
            <w:r>
              <w:rPr>
                <w:rFonts w:hint="eastAsia" w:ascii="宋体" w:hAnsi="宋体" w:cs="宋体"/>
                <w:kern w:val="0"/>
                <w:sz w:val="21"/>
                <w:szCs w:val="21"/>
                <w:lang w:val="en-US" w:eastAsia="zh-CN"/>
              </w:rPr>
              <w:t>无线局域网</w:t>
            </w:r>
            <w:r>
              <w:rPr>
                <w:rFonts w:hint="eastAsia" w:ascii="宋体" w:hAnsi="宋体" w:cs="宋体"/>
                <w:kern w:val="0"/>
                <w:sz w:val="21"/>
                <w:szCs w:val="21"/>
              </w:rPr>
              <w:t>产品</w:t>
            </w:r>
            <w:r>
              <w:rPr>
                <w:rFonts w:ascii="宋体" w:hAnsi="宋体" w:cs="宋体"/>
                <w:kern w:val="0"/>
                <w:sz w:val="21"/>
                <w:szCs w:val="21"/>
              </w:rPr>
              <w:t>政策</w:t>
            </w:r>
            <w:r>
              <w:rPr>
                <w:rFonts w:hint="eastAsia" w:ascii="宋体" w:hAnsi="宋体" w:cs="宋体"/>
                <w:kern w:val="0"/>
                <w:sz w:val="21"/>
                <w:szCs w:val="21"/>
              </w:rPr>
              <w:t>扶持</w:t>
            </w:r>
          </w:p>
        </w:tc>
        <w:tc>
          <w:tcPr>
            <w:tcW w:w="6479" w:type="dxa"/>
            <w:tcBorders>
              <w:bottom w:val="single" w:color="auto" w:sz="4" w:space="0"/>
            </w:tcBorders>
            <w:vAlign w:val="center"/>
          </w:tcPr>
          <w:p w14:paraId="0FC81ABB">
            <w:pPr>
              <w:numPr>
                <w:ilvl w:val="0"/>
                <w:numId w:val="21"/>
              </w:numPr>
              <w:snapToGrid w:val="0"/>
              <w:spacing w:line="360" w:lineRule="exact"/>
              <w:ind w:left="0" w:firstLine="0"/>
              <w:jc w:val="left"/>
              <w:textAlignment w:val="baseline"/>
              <w:rPr>
                <w:rFonts w:ascii="宋体" w:hAnsi="宋体"/>
                <w:b/>
                <w:color w:val="FF0000"/>
                <w:kern w:val="0"/>
                <w:sz w:val="24"/>
                <w:u w:val="single"/>
              </w:rPr>
            </w:pPr>
            <w:r>
              <w:rPr>
                <w:rFonts w:ascii="宋体" w:hAnsi="宋体"/>
                <w:b/>
                <w:color w:val="FF0000"/>
                <w:kern w:val="0"/>
                <w:sz w:val="24"/>
                <w:u w:color="000000"/>
              </w:rPr>
              <w:t>1</w:t>
            </w:r>
            <w:r>
              <w:rPr>
                <w:rFonts w:hint="eastAsia" w:ascii="宋体" w:hAnsi="宋体"/>
                <w:b/>
                <w:color w:val="FF0000"/>
                <w:kern w:val="0"/>
                <w:sz w:val="24"/>
                <w:u w:color="000000"/>
              </w:rPr>
              <w:t>、</w:t>
            </w:r>
            <w:r>
              <w:rPr>
                <w:rFonts w:hint="eastAsia" w:ascii="宋体" w:hAnsi="宋体"/>
                <w:b/>
                <w:color w:val="FF0000"/>
                <w:kern w:val="0"/>
                <w:sz w:val="24"/>
                <w:u w:val="single"/>
              </w:rPr>
              <w:t xml:space="preserve"> </w:t>
            </w:r>
            <w:r>
              <w:rPr>
                <w:rFonts w:ascii="宋体" w:hAnsi="宋体"/>
                <w:b/>
                <w:color w:val="FF0000"/>
                <w:kern w:val="0"/>
                <w:sz w:val="24"/>
                <w:u w:val="single"/>
              </w:rPr>
              <w:t xml:space="preserve"> </w:t>
            </w:r>
            <w:r>
              <w:rPr>
                <w:rFonts w:hint="eastAsia" w:ascii="宋体" w:hAnsi="宋体"/>
                <w:b/>
                <w:color w:val="FF0000"/>
                <w:kern w:val="0"/>
                <w:sz w:val="21"/>
                <w:szCs w:val="21"/>
                <w:u w:val="single"/>
                <w:lang w:val="en-US" w:eastAsia="zh-CN"/>
              </w:rPr>
              <w:t>/</w:t>
            </w:r>
            <w:r>
              <w:rPr>
                <w:rFonts w:ascii="宋体" w:hAnsi="宋体"/>
                <w:b/>
                <w:color w:val="FF0000"/>
                <w:kern w:val="0"/>
                <w:sz w:val="21"/>
                <w:szCs w:val="21"/>
                <w:u w:val="single"/>
              </w:rPr>
              <w:t xml:space="preserve">  </w:t>
            </w:r>
            <w:r>
              <w:rPr>
                <w:rFonts w:ascii="宋体" w:hAnsi="宋体"/>
                <w:b/>
                <w:color w:val="FF0000"/>
                <w:kern w:val="0"/>
                <w:sz w:val="24"/>
                <w:u w:val="single"/>
              </w:rPr>
              <w:t xml:space="preserve"> </w:t>
            </w:r>
            <w:r>
              <w:rPr>
                <w:rFonts w:ascii="宋体" w:hAnsi="宋体"/>
                <w:b/>
                <w:color w:val="FF0000"/>
                <w:kern w:val="0"/>
                <w:sz w:val="24"/>
              </w:rPr>
              <w:t xml:space="preserve"> </w:t>
            </w:r>
            <w:r>
              <w:rPr>
                <w:rFonts w:hint="eastAsia" w:ascii="宋体" w:hAnsi="宋体"/>
                <w:b/>
                <w:color w:val="FF0000"/>
                <w:kern w:val="0"/>
                <w:sz w:val="24"/>
              </w:rPr>
              <w:t>属于</w:t>
            </w:r>
            <w:r>
              <w:rPr>
                <w:rFonts w:ascii="宋体" w:hAnsi="宋体"/>
                <w:b/>
                <w:color w:val="FF0000"/>
                <w:kern w:val="0"/>
                <w:sz w:val="24"/>
              </w:rPr>
              <w:t>政府强制采购节能产品，投标人所投产品必须是强制节能产品政府采购品目清单中的获证产品，并在投标文件中提供产</w:t>
            </w:r>
            <w:r>
              <w:rPr>
                <w:rFonts w:hint="eastAsia" w:ascii="宋体" w:hAnsi="宋体"/>
                <w:b/>
                <w:color w:val="FF0000"/>
                <w:kern w:val="0"/>
                <w:sz w:val="24"/>
              </w:rPr>
              <w:t>品</w:t>
            </w:r>
            <w:r>
              <w:rPr>
                <w:rFonts w:ascii="宋体" w:hAnsi="宋体"/>
                <w:b/>
                <w:color w:val="FF0000"/>
                <w:kern w:val="0"/>
                <w:sz w:val="24"/>
              </w:rPr>
              <w:t>认证</w:t>
            </w:r>
            <w:r>
              <w:rPr>
                <w:rFonts w:hint="eastAsia" w:ascii="宋体" w:hAnsi="宋体"/>
                <w:b/>
                <w:color w:val="FF0000"/>
                <w:kern w:val="0"/>
                <w:sz w:val="24"/>
              </w:rPr>
              <w:t>证书</w:t>
            </w:r>
            <w:r>
              <w:rPr>
                <w:rFonts w:ascii="宋体" w:hAnsi="宋体"/>
                <w:b/>
                <w:color w:val="FF0000"/>
                <w:kern w:val="0"/>
                <w:sz w:val="24"/>
              </w:rPr>
              <w:t>，否则投标无效。</w:t>
            </w:r>
          </w:p>
          <w:p w14:paraId="5D7B8EF7">
            <w:pPr>
              <w:numPr>
                <w:ilvl w:val="0"/>
                <w:numId w:val="21"/>
              </w:numPr>
              <w:snapToGrid w:val="0"/>
              <w:spacing w:line="360" w:lineRule="exact"/>
              <w:ind w:left="0" w:firstLine="0"/>
              <w:jc w:val="left"/>
              <w:textAlignment w:val="baseline"/>
              <w:rPr>
                <w:rFonts w:ascii="宋体" w:hAnsi="宋体"/>
                <w:b/>
                <w:color w:val="FF0000"/>
                <w:kern w:val="0"/>
                <w:sz w:val="24"/>
                <w:u w:val="single"/>
              </w:rPr>
            </w:pPr>
            <w:r>
              <w:rPr>
                <w:rFonts w:ascii="宋体" w:hAnsi="宋体"/>
                <w:b/>
                <w:color w:val="FF0000"/>
                <w:kern w:val="0"/>
                <w:sz w:val="24"/>
                <w:u w:color="000000"/>
              </w:rPr>
              <w:t>2</w:t>
            </w:r>
            <w:r>
              <w:rPr>
                <w:rFonts w:hint="eastAsia" w:ascii="宋体" w:hAnsi="宋体"/>
                <w:b/>
                <w:color w:val="FF0000"/>
                <w:kern w:val="0"/>
                <w:sz w:val="24"/>
                <w:u w:color="000000"/>
              </w:rPr>
              <w:t>、</w:t>
            </w:r>
            <w:r>
              <w:rPr>
                <w:rFonts w:ascii="宋体" w:hAnsi="宋体"/>
                <w:b/>
                <w:color w:val="FF0000"/>
                <w:kern w:val="0"/>
                <w:sz w:val="24"/>
                <w:u w:color="000000"/>
              </w:rPr>
              <w:t>本项目</w:t>
            </w:r>
            <w:r>
              <w:rPr>
                <w:rFonts w:hint="eastAsia" w:ascii="宋体" w:hAnsi="宋体"/>
                <w:b/>
                <w:color w:val="FF0000"/>
                <w:kern w:val="0"/>
                <w:sz w:val="24"/>
                <w:u w:color="000000"/>
              </w:rPr>
              <w:t>同时</w:t>
            </w:r>
            <w:r>
              <w:rPr>
                <w:rFonts w:ascii="宋体" w:hAnsi="宋体"/>
                <w:b/>
                <w:color w:val="FF0000"/>
                <w:kern w:val="0"/>
                <w:sz w:val="24"/>
                <w:u w:color="000000"/>
              </w:rPr>
              <w:t>执行节能</w:t>
            </w:r>
            <w:r>
              <w:rPr>
                <w:rFonts w:hint="eastAsia" w:ascii="宋体" w:hAnsi="宋体"/>
                <w:b/>
                <w:color w:val="FF0000"/>
                <w:kern w:val="0"/>
                <w:sz w:val="24"/>
                <w:u w:color="000000"/>
              </w:rPr>
              <w:t>产品</w:t>
            </w:r>
            <w:r>
              <w:rPr>
                <w:rFonts w:ascii="宋体" w:hAnsi="宋体"/>
                <w:b/>
                <w:color w:val="FF0000"/>
                <w:kern w:val="0"/>
                <w:sz w:val="24"/>
                <w:u w:color="000000"/>
              </w:rPr>
              <w:t>、环保</w:t>
            </w:r>
            <w:r>
              <w:rPr>
                <w:rFonts w:hint="eastAsia" w:ascii="宋体" w:hAnsi="宋体"/>
                <w:b/>
                <w:color w:val="FF0000"/>
                <w:kern w:val="0"/>
                <w:sz w:val="24"/>
                <w:u w:color="000000"/>
              </w:rPr>
              <w:t>标志</w:t>
            </w:r>
            <w:r>
              <w:rPr>
                <w:rFonts w:ascii="宋体" w:hAnsi="宋体"/>
                <w:b/>
                <w:color w:val="FF0000"/>
                <w:kern w:val="0"/>
                <w:sz w:val="24"/>
                <w:u w:color="000000"/>
              </w:rPr>
              <w:t>产品优先</w:t>
            </w:r>
            <w:r>
              <w:rPr>
                <w:rFonts w:hint="eastAsia" w:ascii="宋体" w:hAnsi="宋体"/>
                <w:b/>
                <w:color w:val="FF0000"/>
                <w:kern w:val="0"/>
                <w:sz w:val="24"/>
                <w:u w:color="000000"/>
              </w:rPr>
              <w:t>采购</w:t>
            </w:r>
            <w:r>
              <w:rPr>
                <w:rFonts w:ascii="宋体" w:hAnsi="宋体"/>
                <w:b/>
                <w:color w:val="FF0000"/>
                <w:kern w:val="0"/>
                <w:sz w:val="24"/>
                <w:u w:color="000000"/>
              </w:rPr>
              <w:t>政策扶持。</w:t>
            </w:r>
          </w:p>
          <w:p w14:paraId="6467995B">
            <w:pPr>
              <w:spacing w:line="420" w:lineRule="exact"/>
              <w:ind w:firstLine="482" w:firstLineChars="200"/>
              <w:rPr>
                <w:rFonts w:ascii="宋体" w:hAnsi="宋体"/>
                <w:b/>
                <w:color w:val="FF0000"/>
                <w:sz w:val="24"/>
              </w:rPr>
            </w:pPr>
            <w:r>
              <w:rPr>
                <w:rFonts w:hint="eastAsia" w:ascii="宋体" w:hAnsi="宋体"/>
                <w:b/>
                <w:color w:val="FF0000"/>
                <w:sz w:val="24"/>
              </w:rPr>
              <w:t>查询</w:t>
            </w:r>
            <w:r>
              <w:rPr>
                <w:rFonts w:ascii="宋体" w:hAnsi="宋体"/>
                <w:b/>
                <w:color w:val="FF0000"/>
                <w:sz w:val="24"/>
              </w:rPr>
              <w:t>节能</w:t>
            </w:r>
            <w:r>
              <w:rPr>
                <w:rFonts w:hint="eastAsia" w:ascii="宋体" w:hAnsi="宋体"/>
                <w:b/>
                <w:color w:val="FF0000"/>
                <w:sz w:val="24"/>
              </w:rPr>
              <w:t>、</w:t>
            </w:r>
            <w:r>
              <w:rPr>
                <w:rFonts w:ascii="宋体" w:hAnsi="宋体"/>
                <w:b/>
                <w:color w:val="FF0000"/>
                <w:sz w:val="24"/>
              </w:rPr>
              <w:t>环保</w:t>
            </w:r>
            <w:r>
              <w:rPr>
                <w:rFonts w:hint="eastAsia" w:ascii="宋体" w:hAnsi="宋体"/>
                <w:b/>
                <w:color w:val="FF0000"/>
                <w:sz w:val="24"/>
              </w:rPr>
              <w:t>品</w:t>
            </w:r>
            <w:r>
              <w:rPr>
                <w:rFonts w:ascii="宋体" w:hAnsi="宋体"/>
                <w:b/>
                <w:color w:val="FF0000"/>
                <w:sz w:val="24"/>
              </w:rPr>
              <w:t>目清单</w:t>
            </w:r>
            <w:r>
              <w:rPr>
                <w:rFonts w:hint="eastAsia" w:ascii="宋体" w:hAnsi="宋体"/>
                <w:b/>
                <w:color w:val="FF0000"/>
                <w:sz w:val="24"/>
              </w:rPr>
              <w:t>公告</w:t>
            </w:r>
            <w:r>
              <w:rPr>
                <w:rFonts w:hint="eastAsia"/>
                <w:b/>
                <w:color w:val="FF0000"/>
                <w:sz w:val="24"/>
                <w:szCs w:val="24"/>
                <w:highlight w:val="yellow"/>
              </w:rPr>
              <w:t>网站</w:t>
            </w:r>
            <w:r>
              <w:rPr>
                <w:rFonts w:hint="eastAsia" w:ascii="宋体" w:hAnsi="宋体"/>
                <w:b/>
                <w:color w:val="FF0000"/>
                <w:sz w:val="24"/>
              </w:rPr>
              <w:t>：</w:t>
            </w:r>
          </w:p>
          <w:p w14:paraId="173EFF0E">
            <w:pPr>
              <w:spacing w:line="600" w:lineRule="exact"/>
              <w:ind w:firstLine="475" w:firstLineChars="197"/>
              <w:jc w:val="left"/>
              <w:rPr>
                <w:rFonts w:ascii="宋体" w:hAnsi="宋体"/>
                <w:b/>
                <w:color w:val="FF0000"/>
                <w:sz w:val="24"/>
                <w:shd w:val="clear" w:color="auto" w:fill="FFFFFF"/>
              </w:rPr>
            </w:pPr>
            <w:r>
              <w:rPr>
                <w:rFonts w:hint="eastAsia" w:ascii="宋体" w:hAnsi="宋体"/>
                <w:b/>
                <w:color w:val="FF0000"/>
                <w:sz w:val="24"/>
                <w:shd w:val="clear" w:color="auto" w:fill="FFFFFF"/>
              </w:rPr>
              <w:t>中华人民共和国财政部网站(</w:t>
            </w:r>
            <w:r>
              <w:fldChar w:fldCharType="begin"/>
            </w:r>
            <w:r>
              <w:instrText xml:space="preserve"> HYPERLINK "http://www.mof.gov.cn" </w:instrText>
            </w:r>
            <w:r>
              <w:fldChar w:fldCharType="separate"/>
            </w:r>
            <w:r>
              <w:rPr>
                <w:rStyle w:val="69"/>
                <w:rFonts w:hint="eastAsia" w:ascii="宋体" w:hAnsi="宋体"/>
                <w:b/>
                <w:color w:val="FF0000"/>
                <w:sz w:val="24"/>
                <w:shd w:val="clear" w:color="auto" w:fill="FFFFFF"/>
              </w:rPr>
              <w:t>http://www.mof.gov.cn</w:t>
            </w:r>
            <w:r>
              <w:rPr>
                <w:rStyle w:val="69"/>
                <w:rFonts w:hint="eastAsia" w:ascii="宋体" w:hAnsi="宋体"/>
                <w:b/>
                <w:color w:val="FF0000"/>
                <w:sz w:val="24"/>
                <w:shd w:val="clear" w:color="auto" w:fill="FFFFFF"/>
              </w:rPr>
              <w:fldChar w:fldCharType="end"/>
            </w:r>
            <w:r>
              <w:rPr>
                <w:rFonts w:hint="eastAsia" w:ascii="宋体" w:hAnsi="宋体"/>
                <w:b/>
                <w:color w:val="FF0000"/>
                <w:sz w:val="24"/>
                <w:shd w:val="clear" w:color="auto" w:fill="FFFFFF"/>
              </w:rPr>
              <w:t>)</w:t>
            </w:r>
          </w:p>
          <w:p w14:paraId="057257C2">
            <w:pPr>
              <w:spacing w:line="420" w:lineRule="exact"/>
              <w:ind w:firstLine="482" w:firstLineChars="200"/>
              <w:rPr>
                <w:rFonts w:ascii="宋体" w:hAnsi="宋体"/>
                <w:b/>
                <w:color w:val="FF0000"/>
                <w:sz w:val="24"/>
              </w:rPr>
            </w:pPr>
            <w:r>
              <w:rPr>
                <w:rFonts w:hint="eastAsia" w:ascii="宋体" w:hAnsi="宋体"/>
                <w:b/>
                <w:color w:val="FF0000"/>
                <w:sz w:val="24"/>
              </w:rPr>
              <w:t>中国政府采购网</w:t>
            </w:r>
            <w:r>
              <w:rPr>
                <w:rFonts w:hint="eastAsia" w:ascii="宋体" w:hAnsi="宋体"/>
                <w:b/>
                <w:color w:val="FF0000"/>
                <w:sz w:val="24"/>
                <w:u w:val="single"/>
                <w:shd w:val="clear" w:color="auto" w:fill="FFFFFF"/>
              </w:rPr>
              <w:t>(www.ccgp.gov.cn)</w:t>
            </w:r>
          </w:p>
          <w:p w14:paraId="417ED24B">
            <w:pPr>
              <w:pStyle w:val="76"/>
              <w:numPr>
                <w:ilvl w:val="0"/>
                <w:numId w:val="0"/>
              </w:numPr>
              <w:rPr>
                <w:rFonts w:ascii="宋体" w:hAnsi="宋体"/>
                <w:b/>
                <w:color w:val="0000CC"/>
                <w:sz w:val="32"/>
                <w:szCs w:val="32"/>
              </w:rPr>
            </w:pPr>
            <w:r>
              <w:rPr>
                <w:rFonts w:hint="eastAsia" w:ascii="宋体" w:hAnsi="宋体"/>
                <w:b/>
                <w:color w:val="FF0000"/>
                <w:sz w:val="24"/>
              </w:rPr>
              <w:t>国家市场监督管理总局网站</w:t>
            </w:r>
            <w:r>
              <w:rPr>
                <w:rFonts w:hint="eastAsia" w:ascii="宋体" w:hAnsi="宋体"/>
                <w:b/>
                <w:color w:val="FF0000"/>
                <w:sz w:val="24"/>
                <w:u w:val="single"/>
              </w:rPr>
              <w:t>（http://www.samr.gov.cn）</w:t>
            </w:r>
          </w:p>
        </w:tc>
      </w:tr>
      <w:tr w14:paraId="067936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1" w:hRule="atLeast"/>
          <w:jc w:val="center"/>
        </w:trPr>
        <w:tc>
          <w:tcPr>
            <w:tcW w:w="539" w:type="dxa"/>
            <w:tcBorders>
              <w:top w:val="single" w:color="auto" w:sz="4" w:space="0"/>
            </w:tcBorders>
            <w:vAlign w:val="center"/>
          </w:tcPr>
          <w:p w14:paraId="4C69AF50">
            <w:pPr>
              <w:autoSpaceDE w:val="0"/>
              <w:autoSpaceDN w:val="0"/>
              <w:adjustRightInd w:val="0"/>
              <w:spacing w:line="500" w:lineRule="exact"/>
              <w:ind w:right="230"/>
              <w:jc w:val="center"/>
              <w:rPr>
                <w:rFonts w:ascii="宋体" w:hAnsi="宋体" w:cs="Courier New"/>
                <w:kern w:val="0"/>
                <w:sz w:val="24"/>
                <w:lang w:val="zh-CN"/>
              </w:rPr>
            </w:pPr>
            <w:r>
              <w:rPr>
                <w:rFonts w:hint="eastAsia" w:ascii="宋体" w:hAnsi="宋体" w:cs="Courier New"/>
                <w:kern w:val="0"/>
                <w:sz w:val="24"/>
                <w:lang w:val="zh-CN"/>
              </w:rPr>
              <w:t>5</w:t>
            </w:r>
          </w:p>
        </w:tc>
        <w:tc>
          <w:tcPr>
            <w:tcW w:w="1248" w:type="dxa"/>
            <w:tcBorders>
              <w:top w:val="single" w:color="auto" w:sz="4" w:space="0"/>
            </w:tcBorders>
            <w:vAlign w:val="center"/>
          </w:tcPr>
          <w:p w14:paraId="1459B196">
            <w:pPr>
              <w:autoSpaceDE w:val="0"/>
              <w:autoSpaceDN w:val="0"/>
              <w:adjustRightInd w:val="0"/>
              <w:spacing w:line="500" w:lineRule="exact"/>
              <w:jc w:val="center"/>
              <w:rPr>
                <w:rFonts w:ascii="宋体" w:hAnsi="宋体"/>
                <w:sz w:val="24"/>
              </w:rPr>
            </w:pPr>
            <w:r>
              <w:rPr>
                <w:rFonts w:hint="eastAsia" w:ascii="宋体" w:hAnsi="宋体"/>
                <w:sz w:val="24"/>
              </w:rPr>
              <w:t>失信供应商管理</w:t>
            </w:r>
            <w:r>
              <w:rPr>
                <w:rFonts w:hint="eastAsia" w:ascii="宋体" w:hAnsi="宋体" w:cs="宋体"/>
                <w:b/>
                <w:kern w:val="0"/>
                <w:sz w:val="24"/>
              </w:rPr>
              <w:t>（实质性要求）</w:t>
            </w:r>
          </w:p>
        </w:tc>
        <w:tc>
          <w:tcPr>
            <w:tcW w:w="6479" w:type="dxa"/>
            <w:tcBorders>
              <w:top w:val="single" w:color="auto" w:sz="4" w:space="0"/>
            </w:tcBorders>
            <w:vAlign w:val="center"/>
          </w:tcPr>
          <w:p w14:paraId="0D5A3EE8">
            <w:pPr>
              <w:spacing w:line="420" w:lineRule="exact"/>
              <w:ind w:firstLine="480" w:firstLineChars="200"/>
              <w:rPr>
                <w:rFonts w:ascii="宋体" w:hAnsi="宋体"/>
                <w:sz w:val="24"/>
              </w:rPr>
            </w:pPr>
            <w:r>
              <w:rPr>
                <w:rFonts w:hint="eastAsia" w:ascii="宋体" w:hAnsi="宋体"/>
                <w:sz w:val="24"/>
              </w:rPr>
              <w:t>“信用中国”网站(www.creditchina.gov.cn)失信被执行人、重大税收违法案件当事人名单、政府采购严重违法失信行为记录名单的投标人；（</w:t>
            </w:r>
            <w:r>
              <w:rPr>
                <w:rFonts w:ascii="宋体" w:hAnsi="宋体"/>
                <w:sz w:val="24"/>
              </w:rPr>
              <w:t>信用信息查询记录</w:t>
            </w:r>
            <w:r>
              <w:rPr>
                <w:rFonts w:hint="eastAsia" w:ascii="宋体" w:hAnsi="宋体"/>
                <w:sz w:val="24"/>
              </w:rPr>
              <w:t>和</w:t>
            </w:r>
            <w:r>
              <w:rPr>
                <w:rFonts w:ascii="宋体" w:hAnsi="宋体"/>
                <w:sz w:val="24"/>
              </w:rPr>
              <w:t>证据留存的具体方式：</w:t>
            </w:r>
            <w:r>
              <w:rPr>
                <w:rFonts w:hint="eastAsia" w:ascii="宋体" w:hAnsi="宋体"/>
                <w:sz w:val="24"/>
              </w:rPr>
              <w:t>投标</w:t>
            </w:r>
            <w:r>
              <w:rPr>
                <w:rFonts w:ascii="宋体" w:hAnsi="宋体"/>
                <w:sz w:val="24"/>
              </w:rPr>
              <w:t>人通过</w:t>
            </w:r>
            <w:r>
              <w:rPr>
                <w:rFonts w:hint="eastAsia" w:ascii="宋体" w:hAnsi="宋体"/>
                <w:sz w:val="24"/>
              </w:rPr>
              <w:t>上述查询渠道，</w:t>
            </w:r>
            <w:r>
              <w:rPr>
                <w:rFonts w:ascii="宋体" w:hAnsi="宋体"/>
                <w:sz w:val="24"/>
              </w:rPr>
              <w:t>在截止时点</w:t>
            </w:r>
            <w:r>
              <w:rPr>
                <w:rFonts w:hint="eastAsia" w:ascii="宋体" w:hAnsi="宋体"/>
                <w:sz w:val="24"/>
              </w:rPr>
              <w:t>内</w:t>
            </w:r>
            <w:r>
              <w:rPr>
                <w:rFonts w:ascii="宋体" w:hAnsi="宋体"/>
                <w:sz w:val="24"/>
              </w:rPr>
              <w:t>查询</w:t>
            </w:r>
            <w:r>
              <w:rPr>
                <w:rFonts w:hint="eastAsia" w:ascii="宋体" w:hAnsi="宋体"/>
                <w:sz w:val="24"/>
              </w:rPr>
              <w:t>投标人</w:t>
            </w:r>
            <w:r>
              <w:rPr>
                <w:rFonts w:ascii="宋体" w:hAnsi="宋体"/>
                <w:sz w:val="24"/>
              </w:rPr>
              <w:t>的信用信息，并将信用信息查询记录</w:t>
            </w:r>
            <w:r>
              <w:rPr>
                <w:rFonts w:hint="eastAsia" w:ascii="宋体" w:hAnsi="宋体"/>
                <w:sz w:val="24"/>
              </w:rPr>
              <w:t>网页</w:t>
            </w:r>
            <w:r>
              <w:rPr>
                <w:rFonts w:hint="eastAsia" w:ascii="宋体" w:hAnsi="宋体"/>
                <w:color w:val="FF0000"/>
                <w:sz w:val="24"/>
                <w:lang w:eastAsia="zh-CN"/>
              </w:rPr>
              <w:t>截图</w:t>
            </w:r>
            <w:r>
              <w:rPr>
                <w:rFonts w:hint="eastAsia" w:ascii="宋体" w:hAnsi="宋体"/>
                <w:sz w:val="24"/>
              </w:rPr>
              <w:t>后</w:t>
            </w:r>
            <w:r>
              <w:rPr>
                <w:rFonts w:ascii="宋体" w:hAnsi="宋体"/>
                <w:sz w:val="24"/>
              </w:rPr>
              <w:t>加盖</w:t>
            </w:r>
            <w:r>
              <w:rPr>
                <w:rFonts w:hint="eastAsia" w:ascii="宋体" w:hAnsi="宋体"/>
                <w:sz w:val="24"/>
              </w:rPr>
              <w:t>投标</w:t>
            </w:r>
            <w:r>
              <w:rPr>
                <w:rFonts w:ascii="宋体" w:hAnsi="宋体"/>
                <w:sz w:val="24"/>
              </w:rPr>
              <w:t>人公章</w:t>
            </w:r>
            <w:r>
              <w:rPr>
                <w:rFonts w:hint="eastAsia" w:ascii="宋体" w:hAnsi="宋体"/>
                <w:sz w:val="24"/>
              </w:rPr>
              <w:t>（有不良</w:t>
            </w:r>
            <w:r>
              <w:rPr>
                <w:rFonts w:ascii="宋体" w:hAnsi="宋体"/>
                <w:sz w:val="24"/>
              </w:rPr>
              <w:t>记录、失信记录</w:t>
            </w:r>
            <w:r>
              <w:rPr>
                <w:rFonts w:hint="eastAsia" w:ascii="宋体" w:hAnsi="宋体"/>
                <w:sz w:val="24"/>
              </w:rPr>
              <w:t>须</w:t>
            </w:r>
            <w:r>
              <w:rPr>
                <w:rFonts w:ascii="宋体" w:hAnsi="宋体"/>
                <w:sz w:val="24"/>
              </w:rPr>
              <w:t>展开后打印），</w:t>
            </w:r>
            <w:r>
              <w:rPr>
                <w:rFonts w:hint="eastAsia" w:ascii="宋体" w:hAnsi="宋体"/>
                <w:sz w:val="24"/>
              </w:rPr>
              <w:t>编入投标文件；相关查询渠道未收录相关信用信息，应提供查询无结果的打印页。</w:t>
            </w:r>
          </w:p>
          <w:p w14:paraId="11A3E9B9">
            <w:pPr>
              <w:spacing w:line="420" w:lineRule="exact"/>
              <w:ind w:firstLine="480" w:firstLineChars="200"/>
              <w:rPr>
                <w:rFonts w:ascii="宋体" w:hAnsi="宋体"/>
                <w:b/>
                <w:sz w:val="24"/>
              </w:rPr>
            </w:pPr>
            <w:r>
              <w:rPr>
                <w:rFonts w:hint="eastAsia" w:ascii="宋体" w:hAnsi="宋体"/>
                <w:sz w:val="24"/>
              </w:rPr>
              <w:t>信用信息查询的截止时点：</w:t>
            </w:r>
            <w:r>
              <w:rPr>
                <w:rFonts w:hint="eastAsia" w:ascii="宋体" w:hAnsi="宋体"/>
                <w:b/>
                <w:sz w:val="24"/>
              </w:rPr>
              <w:t>开标之日前30日内；</w:t>
            </w:r>
          </w:p>
          <w:p w14:paraId="11FD4B84">
            <w:pPr>
              <w:spacing w:line="420" w:lineRule="exact"/>
              <w:ind w:firstLine="480" w:firstLineChars="200"/>
              <w:rPr>
                <w:rFonts w:ascii="宋体" w:hAnsi="宋体"/>
                <w:sz w:val="24"/>
              </w:rPr>
            </w:pPr>
            <w:r>
              <w:rPr>
                <w:rFonts w:ascii="宋体" w:hAnsi="宋体"/>
                <w:sz w:val="24"/>
              </w:rPr>
              <w:t>信用信息的使用规则：</w:t>
            </w:r>
            <w:r>
              <w:rPr>
                <w:rFonts w:hint="eastAsia" w:ascii="宋体" w:hAnsi="宋体"/>
                <w:b/>
                <w:sz w:val="24"/>
              </w:rPr>
              <w:t>对列入失信被执行人、重大税收违法案件当事人名单、政府采购严重违法失信行为记录名单的</w:t>
            </w:r>
            <w:r>
              <w:rPr>
                <w:rFonts w:ascii="宋体" w:hAnsi="宋体"/>
                <w:b/>
                <w:sz w:val="24"/>
              </w:rPr>
              <w:t>投标人，拒绝</w:t>
            </w:r>
            <w:r>
              <w:rPr>
                <w:rFonts w:hint="eastAsia" w:ascii="宋体" w:hAnsi="宋体"/>
                <w:b/>
                <w:sz w:val="24"/>
              </w:rPr>
              <w:t>其</w:t>
            </w:r>
            <w:r>
              <w:rPr>
                <w:rFonts w:ascii="宋体" w:hAnsi="宋体"/>
                <w:b/>
                <w:sz w:val="24"/>
              </w:rPr>
              <w:t>参与本项目</w:t>
            </w:r>
            <w:r>
              <w:rPr>
                <w:rFonts w:hint="eastAsia" w:ascii="宋体" w:hAnsi="宋体"/>
                <w:b/>
                <w:sz w:val="24"/>
              </w:rPr>
              <w:t>。</w:t>
            </w:r>
          </w:p>
        </w:tc>
      </w:tr>
      <w:tr w14:paraId="68A3EF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51D5A8E2">
            <w:pPr>
              <w:autoSpaceDE w:val="0"/>
              <w:autoSpaceDN w:val="0"/>
              <w:adjustRightInd w:val="0"/>
              <w:spacing w:before="72" w:after="72" w:line="500" w:lineRule="exact"/>
              <w:ind w:right="264"/>
              <w:jc w:val="center"/>
              <w:rPr>
                <w:rFonts w:ascii="宋体" w:hAnsi="宋体"/>
                <w:sz w:val="24"/>
              </w:rPr>
            </w:pPr>
            <w:r>
              <w:rPr>
                <w:rFonts w:hint="eastAsia" w:ascii="宋体" w:hAnsi="宋体"/>
                <w:sz w:val="24"/>
              </w:rPr>
              <w:t>6</w:t>
            </w:r>
          </w:p>
        </w:tc>
        <w:tc>
          <w:tcPr>
            <w:tcW w:w="1248" w:type="dxa"/>
            <w:vAlign w:val="center"/>
          </w:tcPr>
          <w:p w14:paraId="2B11D7D3">
            <w:pPr>
              <w:spacing w:line="500" w:lineRule="exact"/>
              <w:ind w:left="105" w:leftChars="50" w:right="105" w:rightChars="50"/>
              <w:jc w:val="center"/>
              <w:rPr>
                <w:rFonts w:ascii="宋体" w:hAnsi="宋体"/>
                <w:sz w:val="24"/>
              </w:rPr>
            </w:pPr>
            <w:r>
              <w:rPr>
                <w:rFonts w:hint="eastAsia" w:ascii="宋体" w:hAnsi="宋体"/>
                <w:kern w:val="0"/>
                <w:sz w:val="24"/>
              </w:rPr>
              <w:t>评标结果的公告</w:t>
            </w:r>
          </w:p>
        </w:tc>
        <w:tc>
          <w:tcPr>
            <w:tcW w:w="6479" w:type="dxa"/>
            <w:vAlign w:val="center"/>
          </w:tcPr>
          <w:p w14:paraId="0780A2AD">
            <w:pPr>
              <w:spacing w:line="500" w:lineRule="exact"/>
              <w:ind w:right="105" w:rightChars="50" w:firstLine="480" w:firstLineChars="200"/>
              <w:rPr>
                <w:rFonts w:ascii="宋体" w:hAnsi="宋体"/>
                <w:sz w:val="24"/>
              </w:rPr>
            </w:pPr>
            <w:bookmarkStart w:id="53" w:name="OLE_LINK3"/>
            <w:bookmarkStart w:id="54" w:name="OLE_LINK4"/>
            <w:r>
              <w:rPr>
                <w:rFonts w:hint="eastAsia" w:ascii="宋体" w:hAnsi="宋体"/>
                <w:color w:val="FF0000"/>
                <w:sz w:val="24"/>
              </w:rPr>
              <w:t>评审结果等将在</w:t>
            </w:r>
            <w:r>
              <w:rPr>
                <w:rFonts w:hint="eastAsia" w:ascii="宋体" w:hAnsi="宋体"/>
                <w:color w:val="FF0000"/>
                <w:sz w:val="24"/>
                <w:lang w:val="en-US" w:eastAsia="zh-CN"/>
              </w:rPr>
              <w:t>吉林省政府采购网、中国政府采购网发布</w:t>
            </w:r>
            <w:r>
              <w:rPr>
                <w:rFonts w:hint="eastAsia" w:ascii="宋体" w:hAnsi="宋体"/>
                <w:color w:val="FF0000"/>
                <w:sz w:val="24"/>
              </w:rPr>
              <w:t>公告。</w:t>
            </w:r>
            <w:bookmarkEnd w:id="53"/>
            <w:bookmarkEnd w:id="54"/>
          </w:p>
        </w:tc>
      </w:tr>
      <w:tr w14:paraId="739A6A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5390FBA2">
            <w:pPr>
              <w:autoSpaceDE w:val="0"/>
              <w:autoSpaceDN w:val="0"/>
              <w:adjustRightInd w:val="0"/>
              <w:spacing w:line="500" w:lineRule="exact"/>
              <w:ind w:right="230"/>
              <w:jc w:val="center"/>
              <w:rPr>
                <w:rFonts w:ascii="宋体" w:hAnsi="宋体"/>
                <w:sz w:val="24"/>
              </w:rPr>
            </w:pPr>
            <w:r>
              <w:rPr>
                <w:rFonts w:hint="eastAsia" w:ascii="宋体" w:hAnsi="宋体"/>
                <w:sz w:val="24"/>
              </w:rPr>
              <w:t>7</w:t>
            </w:r>
          </w:p>
        </w:tc>
        <w:tc>
          <w:tcPr>
            <w:tcW w:w="1248" w:type="dxa"/>
            <w:vAlign w:val="center"/>
          </w:tcPr>
          <w:p w14:paraId="31785F15">
            <w:pPr>
              <w:autoSpaceDE w:val="0"/>
              <w:autoSpaceDN w:val="0"/>
              <w:adjustRightInd w:val="0"/>
              <w:spacing w:line="500" w:lineRule="exact"/>
              <w:ind w:left="96"/>
              <w:jc w:val="center"/>
              <w:rPr>
                <w:rFonts w:ascii="宋体" w:hAnsi="宋体" w:cs="宋体"/>
                <w:b/>
                <w:kern w:val="0"/>
                <w:sz w:val="24"/>
                <w:lang w:val="zh-CN"/>
              </w:rPr>
            </w:pPr>
            <w:r>
              <w:rPr>
                <w:rFonts w:hint="eastAsia" w:ascii="宋体" w:hAnsi="宋体" w:cs="宋体"/>
                <w:kern w:val="0"/>
                <w:sz w:val="24"/>
                <w:lang w:val="zh-CN"/>
              </w:rPr>
              <w:t>投标保证金</w:t>
            </w:r>
            <w:r>
              <w:rPr>
                <w:rFonts w:hint="eastAsia" w:ascii="宋体" w:hAnsi="宋体" w:cs="宋体"/>
                <w:b/>
                <w:kern w:val="0"/>
                <w:sz w:val="24"/>
                <w:lang w:val="zh-CN"/>
              </w:rPr>
              <w:t>（实质性</w:t>
            </w:r>
            <w:r>
              <w:rPr>
                <w:rFonts w:ascii="宋体" w:hAnsi="宋体" w:cs="宋体"/>
                <w:b/>
                <w:kern w:val="0"/>
                <w:sz w:val="24"/>
                <w:lang w:val="zh-CN"/>
              </w:rPr>
              <w:t>要求）</w:t>
            </w:r>
          </w:p>
        </w:tc>
        <w:tc>
          <w:tcPr>
            <w:tcW w:w="6479" w:type="dxa"/>
            <w:vAlign w:val="center"/>
          </w:tcPr>
          <w:p w14:paraId="7C7244F9">
            <w:pPr>
              <w:spacing w:line="500" w:lineRule="exact"/>
              <w:ind w:right="105" w:rightChars="50" w:firstLine="420" w:firstLineChars="200"/>
            </w:pPr>
            <w:r>
              <w:rPr>
                <w:rFonts w:hint="eastAsia"/>
              </w:rPr>
              <w:t>一</w:t>
            </w:r>
            <w:r>
              <w:t>、投标</w:t>
            </w:r>
            <w:r>
              <w:rPr>
                <w:rFonts w:hint="eastAsia"/>
              </w:rPr>
              <w:t>保证金金额：</w:t>
            </w:r>
            <w:r>
              <w:rPr>
                <w:rFonts w:hint="eastAsia"/>
                <w:lang w:val="en-US" w:eastAsia="zh-CN"/>
              </w:rPr>
              <w:t>不收取</w:t>
            </w:r>
            <w:r>
              <w:rPr>
                <w:rFonts w:hint="eastAsia"/>
              </w:rPr>
              <w:t>。</w:t>
            </w:r>
          </w:p>
          <w:p w14:paraId="19E95DCF">
            <w:pPr>
              <w:spacing w:line="500" w:lineRule="exact"/>
              <w:ind w:right="105" w:rightChars="50" w:firstLine="420" w:firstLineChars="200"/>
            </w:pPr>
            <w:r>
              <w:rPr>
                <w:rFonts w:hint="eastAsia"/>
              </w:rPr>
              <w:t>二、投标</w:t>
            </w:r>
            <w:r>
              <w:t>保证金</w:t>
            </w:r>
            <w:r>
              <w:rPr>
                <w:rFonts w:hint="eastAsia"/>
              </w:rPr>
              <w:t>交纳：</w:t>
            </w:r>
          </w:p>
          <w:p w14:paraId="1242CFA6">
            <w:pPr>
              <w:spacing w:line="500" w:lineRule="exact"/>
              <w:ind w:right="105" w:rightChars="50" w:firstLine="420" w:firstLineChars="200"/>
              <w:rPr>
                <w:rFonts w:hint="eastAsia"/>
              </w:rPr>
            </w:pPr>
            <w:r>
              <w:rPr>
                <w:rFonts w:hint="eastAsia"/>
              </w:rPr>
              <w:t>投标人必须在   年   月   日   时   分前,以汇款</w:t>
            </w:r>
            <w:r>
              <w:rPr>
                <w:rFonts w:hint="eastAsia"/>
                <w:lang w:eastAsia="zh-CN"/>
              </w:rPr>
              <w:t>、</w:t>
            </w:r>
            <w:r>
              <w:rPr>
                <w:rFonts w:hint="eastAsia"/>
                <w:lang w:val="en-US" w:eastAsia="zh-CN"/>
              </w:rPr>
              <w:t>汇票、保函（银行保函、保险保函）</w:t>
            </w:r>
            <w:r>
              <w:rPr>
                <w:rFonts w:hint="eastAsia"/>
              </w:rPr>
              <w:t>方式向采购中心交纳投标保证金。获取招标文件并交纳投标保证金的,在规定开标当日不能按时参加投标的投标人，除全额没收投标保证金外，同时列入不良行为投标人记录名单，1-3年不允许进入本地政府采购市场，并在发布本招标公告的网站上公示。</w:t>
            </w:r>
          </w:p>
          <w:p w14:paraId="0572C28C">
            <w:pPr>
              <w:spacing w:line="500" w:lineRule="exact"/>
              <w:ind w:right="105" w:rightChars="50" w:firstLine="420" w:firstLineChars="200"/>
            </w:pPr>
            <w:r>
              <w:rPr>
                <w:rFonts w:hint="eastAsia"/>
              </w:rPr>
              <w:t>投标保证金汇入帐户：</w:t>
            </w:r>
          </w:p>
          <w:p w14:paraId="1E02D6A7">
            <w:pPr>
              <w:spacing w:line="500" w:lineRule="exact"/>
              <w:ind w:right="105" w:rightChars="50" w:firstLine="420" w:firstLineChars="200"/>
              <w:rPr>
                <w:rFonts w:hint="eastAsia"/>
                <w:lang w:eastAsia="zh-CN"/>
              </w:rPr>
            </w:pPr>
            <w:r>
              <w:rPr>
                <w:rFonts w:hint="eastAsia"/>
              </w:rPr>
              <w:t>开户名称： 松原市公共资源交易中心</w:t>
            </w:r>
            <w:r>
              <w:rPr>
                <w:rFonts w:hint="eastAsia"/>
                <w:lang w:eastAsia="zh-CN"/>
              </w:rPr>
              <w:t>（</w:t>
            </w:r>
            <w:r>
              <w:rPr>
                <w:rFonts w:hint="eastAsia"/>
                <w:lang w:val="en-US" w:eastAsia="zh-CN"/>
              </w:rPr>
              <w:t>松原市政府采购中心</w:t>
            </w:r>
            <w:r>
              <w:rPr>
                <w:rFonts w:hint="eastAsia"/>
                <w:lang w:eastAsia="zh-CN"/>
              </w:rPr>
              <w:t>）</w:t>
            </w:r>
          </w:p>
          <w:p w14:paraId="159D8EFB">
            <w:pPr>
              <w:spacing w:line="500" w:lineRule="exact"/>
              <w:ind w:right="105" w:rightChars="50" w:firstLine="420" w:firstLineChars="200"/>
            </w:pPr>
            <w:r>
              <w:rPr>
                <w:rFonts w:hint="eastAsia"/>
              </w:rPr>
              <w:t xml:space="preserve">开 户 行：     </w:t>
            </w:r>
          </w:p>
          <w:p w14:paraId="1049FF9C">
            <w:pPr>
              <w:spacing w:line="500" w:lineRule="exact"/>
              <w:ind w:right="105" w:rightChars="50" w:firstLine="420" w:firstLineChars="200"/>
              <w:rPr>
                <w:rFonts w:hint="eastAsia"/>
              </w:rPr>
            </w:pPr>
            <w:r>
              <w:rPr>
                <w:rFonts w:hint="eastAsia"/>
              </w:rPr>
              <w:t xml:space="preserve">帐    号：  </w:t>
            </w:r>
          </w:p>
          <w:p w14:paraId="69B3CEFE">
            <w:pPr>
              <w:spacing w:line="500" w:lineRule="exact"/>
              <w:ind w:right="105" w:rightChars="50" w:firstLine="420" w:firstLineChars="200"/>
              <w:rPr>
                <w:rFonts w:hint="eastAsia"/>
              </w:rPr>
            </w:pPr>
            <w:r>
              <w:rPr>
                <w:rFonts w:hint="eastAsia"/>
              </w:rPr>
              <w:t>联系电话： 0438-21070</w:t>
            </w:r>
            <w:r>
              <w:rPr>
                <w:rFonts w:hint="eastAsia"/>
                <w:lang w:val="en-US" w:eastAsia="zh-CN"/>
              </w:rPr>
              <w:t xml:space="preserve">06  </w:t>
            </w:r>
            <w:r>
              <w:rPr>
                <w:rFonts w:hint="eastAsia"/>
              </w:rPr>
              <w:t xml:space="preserve">                         </w:t>
            </w:r>
          </w:p>
          <w:p w14:paraId="1DEED2E6">
            <w:pPr>
              <w:spacing w:line="500" w:lineRule="exact"/>
              <w:ind w:right="105" w:rightChars="50" w:firstLine="420" w:firstLineChars="200"/>
              <w:rPr>
                <w:rFonts w:hint="default"/>
                <w:lang w:val="en-US" w:eastAsia="zh-CN"/>
              </w:rPr>
            </w:pPr>
            <w:r>
              <w:rPr>
                <w:rFonts w:hint="eastAsia"/>
              </w:rPr>
              <w:t>联 系 人：</w:t>
            </w:r>
            <w:r>
              <w:rPr>
                <w:rFonts w:hint="eastAsia"/>
                <w:lang w:val="en-US" w:eastAsia="zh-CN"/>
              </w:rPr>
              <w:t>项目评审科</w:t>
            </w:r>
          </w:p>
          <w:p w14:paraId="5FD6097E">
            <w:pPr>
              <w:spacing w:line="500" w:lineRule="exact"/>
              <w:ind w:right="105" w:rightChars="50" w:firstLine="420" w:firstLineChars="200"/>
            </w:pPr>
            <w:r>
              <w:rPr>
                <w:rFonts w:hint="eastAsia"/>
              </w:rPr>
              <w:t>1、保证金不允许现金交纳，必须是投标人银行账户，否则视为交纳无效。</w:t>
            </w:r>
          </w:p>
          <w:p w14:paraId="171F83A2">
            <w:pPr>
              <w:spacing w:line="500" w:lineRule="exact"/>
              <w:ind w:right="105" w:rightChars="50" w:firstLine="420" w:firstLineChars="200"/>
            </w:pPr>
            <w:r>
              <w:rPr>
                <w:rFonts w:hint="eastAsia"/>
              </w:rPr>
              <w:t>2、投标人交纳保证金必须将上述开户名称、开户行及银行账号的数字和符号写全，否则，造成的一切后果由投标人自行负责。</w:t>
            </w:r>
          </w:p>
          <w:p w14:paraId="49953F10">
            <w:pPr>
              <w:spacing w:line="500" w:lineRule="exact"/>
              <w:ind w:right="105" w:rightChars="50" w:firstLine="420" w:firstLineChars="200"/>
            </w:pPr>
            <w:r>
              <w:rPr>
                <w:rFonts w:hint="eastAsia"/>
              </w:rPr>
              <w:t>3、保证金的转出账户必须是投标人银行账户。</w:t>
            </w:r>
          </w:p>
          <w:p w14:paraId="1BF6EDDA">
            <w:pPr>
              <w:spacing w:line="440" w:lineRule="exact"/>
              <w:ind w:firstLine="420" w:firstLineChars="200"/>
            </w:pPr>
            <w:r>
              <w:rPr>
                <w:rFonts w:hint="eastAsia"/>
              </w:rPr>
              <w:t>4、投标人应充分考虑交纳保证金款项的银行交换时间与非工作日因素，中心以银行保证金实际到账时间为准，实际到账时间超过保证金截止时间的，为无效保证金，由此带来的保证金不能按时到账的责任由投标人承担。</w:t>
            </w:r>
          </w:p>
          <w:p w14:paraId="26F4A0F2">
            <w:pPr>
              <w:spacing w:line="500" w:lineRule="exact"/>
              <w:ind w:right="105" w:rightChars="50" w:firstLine="420" w:firstLineChars="200"/>
              <w:rPr>
                <w:rFonts w:ascii="宋体" w:hAnsi="宋体"/>
                <w:sz w:val="24"/>
                <w:lang w:bidi="en-US"/>
              </w:rPr>
            </w:pPr>
            <w:r>
              <w:t>三、保证金退还</w:t>
            </w:r>
            <w:r>
              <w:rPr>
                <w:rFonts w:hint="eastAsia"/>
              </w:rPr>
              <w:t>：详见总则第四条第8项规定。</w:t>
            </w:r>
          </w:p>
        </w:tc>
      </w:tr>
      <w:tr w14:paraId="0257C8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tcBorders>
              <w:top w:val="single" w:color="auto" w:sz="4" w:space="0"/>
              <w:bottom w:val="single" w:color="auto" w:sz="4" w:space="0"/>
            </w:tcBorders>
            <w:vAlign w:val="center"/>
          </w:tcPr>
          <w:p w14:paraId="1F3ADDF3">
            <w:pPr>
              <w:autoSpaceDE w:val="0"/>
              <w:autoSpaceDN w:val="0"/>
              <w:adjustRightInd w:val="0"/>
              <w:spacing w:line="500" w:lineRule="exact"/>
              <w:ind w:right="264"/>
              <w:jc w:val="center"/>
              <w:rPr>
                <w:rFonts w:ascii="宋体" w:hAnsi="宋体"/>
                <w:sz w:val="24"/>
              </w:rPr>
            </w:pPr>
            <w:r>
              <w:rPr>
                <w:rFonts w:hint="eastAsia" w:ascii="宋体" w:hAnsi="宋体"/>
                <w:sz w:val="24"/>
              </w:rPr>
              <w:t>8</w:t>
            </w:r>
          </w:p>
        </w:tc>
        <w:tc>
          <w:tcPr>
            <w:tcW w:w="1248" w:type="dxa"/>
            <w:tcBorders>
              <w:top w:val="single" w:color="auto" w:sz="4" w:space="0"/>
              <w:bottom w:val="single" w:color="auto" w:sz="4" w:space="0"/>
            </w:tcBorders>
            <w:vAlign w:val="center"/>
          </w:tcPr>
          <w:p w14:paraId="3B9C5B62">
            <w:pPr>
              <w:autoSpaceDE w:val="0"/>
              <w:autoSpaceDN w:val="0"/>
              <w:adjustRightInd w:val="0"/>
              <w:spacing w:line="500" w:lineRule="exact"/>
              <w:jc w:val="center"/>
              <w:rPr>
                <w:rFonts w:hint="eastAsia" w:ascii="宋体" w:hAnsi="宋体" w:eastAsiaTheme="minorEastAsia"/>
                <w:sz w:val="24"/>
                <w:lang w:eastAsia="zh-CN"/>
              </w:rPr>
            </w:pPr>
            <w:r>
              <w:rPr>
                <w:rFonts w:hint="eastAsia" w:ascii="宋体" w:hAnsi="宋体"/>
                <w:sz w:val="24"/>
              </w:rPr>
              <w:t>采购活动询问</w:t>
            </w:r>
            <w:r>
              <w:rPr>
                <w:rFonts w:hint="eastAsia" w:ascii="宋体" w:hAnsi="宋体"/>
                <w:sz w:val="24"/>
                <w:lang w:eastAsia="zh-CN"/>
              </w:rPr>
              <w:t>、</w:t>
            </w:r>
            <w:r>
              <w:rPr>
                <w:rFonts w:ascii="宋体" w:hAnsi="宋体"/>
                <w:sz w:val="24"/>
              </w:rPr>
              <w:t>质疑</w:t>
            </w:r>
            <w:r>
              <w:rPr>
                <w:rFonts w:hint="eastAsia" w:ascii="宋体" w:hAnsi="宋体"/>
                <w:sz w:val="24"/>
                <w:lang w:eastAsia="zh-CN"/>
              </w:rPr>
              <w:t>及投诉</w:t>
            </w:r>
          </w:p>
        </w:tc>
        <w:tc>
          <w:tcPr>
            <w:tcW w:w="6479" w:type="dxa"/>
            <w:tcBorders>
              <w:top w:val="single" w:color="auto" w:sz="4" w:space="0"/>
              <w:bottom w:val="single" w:color="auto" w:sz="4" w:space="0"/>
            </w:tcBorders>
            <w:vAlign w:val="top"/>
          </w:tcPr>
          <w:p w14:paraId="12036517">
            <w:pPr>
              <w:spacing w:line="500" w:lineRule="exact"/>
              <w:ind w:right="105" w:rightChars="50" w:firstLine="420" w:firstLineChars="200"/>
              <w:rPr>
                <w:rFonts w:hint="default" w:eastAsiaTheme="minorEastAsia"/>
                <w:lang w:val="en-US" w:eastAsia="zh-CN"/>
              </w:rPr>
            </w:pPr>
            <w:r>
              <w:rPr>
                <w:rFonts w:hint="eastAsia"/>
              </w:rPr>
              <w:t>根据采购人</w:t>
            </w:r>
            <w:r>
              <w:t>与采购</w:t>
            </w:r>
            <w:r>
              <w:rPr>
                <w:rFonts w:hint="eastAsia"/>
              </w:rPr>
              <w:t>代理机构委托代理协议约定，投标人询问、</w:t>
            </w:r>
            <w:r>
              <w:t>质疑</w:t>
            </w:r>
            <w:r>
              <w:rPr>
                <w:rFonts w:hint="eastAsia"/>
              </w:rPr>
              <w:t>由采购代理机构负责受理</w:t>
            </w:r>
            <w:r>
              <w:t>和答复</w:t>
            </w:r>
            <w:r>
              <w:rPr>
                <w:rFonts w:hint="eastAsia"/>
              </w:rPr>
              <w:t>，采购人或评审专家配合。询问、</w:t>
            </w:r>
            <w:r>
              <w:t>质疑</w:t>
            </w:r>
            <w:r>
              <w:rPr>
                <w:rFonts w:hint="eastAsia"/>
              </w:rPr>
              <w:t>的投标人</w:t>
            </w:r>
            <w:r>
              <w:t>应当按照相关规定向</w:t>
            </w:r>
            <w:r>
              <w:rPr>
                <w:rFonts w:hint="eastAsia"/>
              </w:rPr>
              <w:t>受理人</w:t>
            </w:r>
            <w:r>
              <w:t>提交书面材料</w:t>
            </w:r>
            <w:r>
              <w:rPr>
                <w:rFonts w:hint="eastAsia"/>
                <w:lang w:eastAsia="zh-CN"/>
              </w:rPr>
              <w:t>，供应商在法定质疑期内一次性提出针对同一采购程序环节的质疑。</w:t>
            </w:r>
          </w:p>
          <w:p w14:paraId="3A78E529">
            <w:pPr>
              <w:spacing w:line="500" w:lineRule="exact"/>
              <w:ind w:right="105" w:rightChars="50" w:firstLine="420" w:firstLineChars="200"/>
            </w:pPr>
            <w:r>
              <w:rPr>
                <w:rFonts w:hint="eastAsia"/>
              </w:rPr>
              <w:t>质疑联系部门：松原市公共资源交易中心内控监督科</w:t>
            </w:r>
          </w:p>
          <w:p w14:paraId="4AB9206E">
            <w:pPr>
              <w:spacing w:line="500" w:lineRule="exact"/>
              <w:ind w:right="105" w:rightChars="50" w:firstLine="420" w:firstLineChars="200"/>
            </w:pPr>
            <w:r>
              <w:rPr>
                <w:rFonts w:hint="eastAsia"/>
              </w:rPr>
              <w:t>质疑联系电话：0438-2107012</w:t>
            </w:r>
          </w:p>
          <w:p w14:paraId="3B2B7423">
            <w:pPr>
              <w:spacing w:line="500" w:lineRule="exact"/>
              <w:ind w:right="105" w:rightChars="50" w:firstLine="420" w:firstLineChars="200"/>
              <w:rPr>
                <w:rFonts w:hint="eastAsia"/>
              </w:rPr>
            </w:pPr>
            <w:r>
              <w:rPr>
                <w:rFonts w:hint="eastAsia"/>
              </w:rPr>
              <w:t>地址：松原市公共资源交易中心3楼（吉林省松原市宁江区东镇大路3518号）</w:t>
            </w:r>
          </w:p>
          <w:p w14:paraId="374DD37C">
            <w:pPr>
              <w:spacing w:line="500" w:lineRule="exact"/>
              <w:ind w:right="105" w:rightChars="50" w:firstLine="420" w:firstLineChars="200"/>
              <w:rPr>
                <w:rFonts w:hint="eastAsia"/>
                <w:lang w:val="en-US" w:eastAsia="zh-CN"/>
              </w:rPr>
            </w:pPr>
            <w:r>
              <w:rPr>
                <w:rFonts w:hint="eastAsia"/>
                <w:lang w:val="en-US" w:eastAsia="zh-CN"/>
              </w:rPr>
              <w:t>投诉部门：松原市财政局政府采购管理办公室</w:t>
            </w:r>
          </w:p>
          <w:p w14:paraId="733BBCB6">
            <w:pPr>
              <w:spacing w:line="500" w:lineRule="exact"/>
              <w:ind w:right="105" w:rightChars="50" w:firstLine="420" w:firstLineChars="200"/>
              <w:rPr>
                <w:rFonts w:hint="eastAsia"/>
                <w:lang w:val="en-US" w:eastAsia="zh-CN"/>
              </w:rPr>
            </w:pPr>
            <w:r>
              <w:rPr>
                <w:rFonts w:hint="eastAsia"/>
                <w:lang w:val="en-US" w:eastAsia="zh-CN"/>
              </w:rPr>
              <w:t>投诉电话：0438-5075056</w:t>
            </w:r>
          </w:p>
          <w:p w14:paraId="4B01E3EC">
            <w:pPr>
              <w:spacing w:line="500" w:lineRule="exact"/>
              <w:ind w:right="105" w:rightChars="50" w:firstLine="420" w:firstLineChars="200"/>
              <w:rPr>
                <w:rFonts w:ascii="宋体" w:hAnsi="宋体"/>
                <w:sz w:val="24"/>
              </w:rPr>
            </w:pPr>
            <w:r>
              <w:rPr>
                <w:rFonts w:hint="eastAsia"/>
                <w:lang w:val="en-US" w:eastAsia="zh-CN"/>
              </w:rPr>
              <w:t>地址：吉林省松原市宁江区长宁南街2050号</w:t>
            </w:r>
          </w:p>
        </w:tc>
      </w:tr>
      <w:tr w14:paraId="0770FE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tcBorders>
              <w:top w:val="single" w:color="auto" w:sz="4" w:space="0"/>
            </w:tcBorders>
            <w:vAlign w:val="center"/>
          </w:tcPr>
          <w:p w14:paraId="265BAEED">
            <w:pPr>
              <w:autoSpaceDE w:val="0"/>
              <w:autoSpaceDN w:val="0"/>
              <w:adjustRightInd w:val="0"/>
              <w:spacing w:before="72" w:after="72" w:line="500" w:lineRule="exact"/>
              <w:ind w:right="264"/>
              <w:jc w:val="center"/>
              <w:rPr>
                <w:rFonts w:ascii="宋体" w:hAnsi="宋体"/>
                <w:sz w:val="24"/>
              </w:rPr>
            </w:pPr>
            <w:r>
              <w:rPr>
                <w:rFonts w:hint="eastAsia" w:ascii="宋体" w:hAnsi="宋体"/>
                <w:sz w:val="24"/>
              </w:rPr>
              <w:t>9</w:t>
            </w:r>
          </w:p>
        </w:tc>
        <w:tc>
          <w:tcPr>
            <w:tcW w:w="1248" w:type="dxa"/>
            <w:tcBorders>
              <w:top w:val="single" w:color="auto" w:sz="4" w:space="0"/>
            </w:tcBorders>
            <w:vAlign w:val="center"/>
          </w:tcPr>
          <w:p w14:paraId="25D38813">
            <w:pPr>
              <w:spacing w:line="500" w:lineRule="exact"/>
              <w:ind w:left="105" w:leftChars="50" w:right="105" w:rightChars="50"/>
              <w:jc w:val="center"/>
              <w:rPr>
                <w:rFonts w:ascii="宋体" w:hAnsi="宋体"/>
                <w:sz w:val="24"/>
              </w:rPr>
            </w:pPr>
            <w:r>
              <w:rPr>
                <w:rFonts w:hint="eastAsia" w:ascii="宋体" w:hAnsi="宋体"/>
                <w:sz w:val="24"/>
              </w:rPr>
              <w:t>中标通知书领取</w:t>
            </w:r>
          </w:p>
        </w:tc>
        <w:tc>
          <w:tcPr>
            <w:tcW w:w="6479" w:type="dxa"/>
            <w:tcBorders>
              <w:top w:val="single" w:color="auto" w:sz="4" w:space="0"/>
            </w:tcBorders>
            <w:vAlign w:val="center"/>
          </w:tcPr>
          <w:p w14:paraId="6D29C21C">
            <w:pPr>
              <w:spacing w:line="500" w:lineRule="exact"/>
              <w:ind w:right="105" w:rightChars="50" w:firstLine="420" w:firstLineChars="200"/>
              <w:rPr>
                <w:rFonts w:hint="eastAsia" w:ascii="宋体" w:hAnsi="宋体" w:cs="Times New Roman"/>
                <w:color w:val="FF0000"/>
                <w:sz w:val="21"/>
                <w:szCs w:val="21"/>
              </w:rPr>
            </w:pPr>
            <w:r>
              <w:rPr>
                <w:rFonts w:hint="eastAsia" w:ascii="宋体" w:hAnsi="宋体" w:cs="Times New Roman"/>
                <w:color w:val="FF0000"/>
                <w:sz w:val="21"/>
                <w:szCs w:val="21"/>
              </w:rPr>
              <w:t>中标公告在吉林省</w:t>
            </w:r>
            <w:r>
              <w:rPr>
                <w:rFonts w:hint="eastAsia" w:ascii="宋体" w:hAnsi="宋体" w:cs="Times New Roman"/>
                <w:color w:val="FF0000"/>
                <w:sz w:val="21"/>
                <w:szCs w:val="21"/>
                <w:lang w:eastAsia="zh-CN"/>
              </w:rPr>
              <w:t>政府采购</w:t>
            </w:r>
            <w:r>
              <w:rPr>
                <w:rFonts w:hint="eastAsia" w:ascii="宋体" w:hAnsi="宋体" w:cs="Times New Roman"/>
                <w:color w:val="FF0000"/>
                <w:sz w:val="21"/>
                <w:szCs w:val="21"/>
              </w:rPr>
              <w:t>网公告，请中标人到政采云平台https://www.zcygov.cn/自行下载中标通知书。</w:t>
            </w:r>
          </w:p>
          <w:p w14:paraId="5B0ED1E8">
            <w:pPr>
              <w:spacing w:line="500" w:lineRule="exact"/>
              <w:ind w:right="105" w:rightChars="50" w:firstLine="480" w:firstLineChars="200"/>
              <w:rPr>
                <w:rFonts w:hint="eastAsia" w:ascii="宋体" w:hAnsi="宋体" w:cs="Times New Roman" w:eastAsiaTheme="minorEastAsia"/>
                <w:sz w:val="24"/>
                <w:lang w:eastAsia="zh-CN"/>
              </w:rPr>
            </w:pPr>
            <w:r>
              <w:rPr>
                <w:rFonts w:hint="eastAsia" w:ascii="宋体" w:hAnsi="宋体" w:cs="Times New Roman"/>
                <w:sz w:val="24"/>
              </w:rPr>
              <w:t>联系人：</w:t>
            </w:r>
            <w:r>
              <w:rPr>
                <w:rFonts w:hint="eastAsia" w:ascii="宋体" w:hAnsi="宋体" w:cs="Times New Roman"/>
                <w:sz w:val="24"/>
                <w:lang w:eastAsia="zh-CN"/>
              </w:rPr>
              <w:t>项目评审科</w:t>
            </w:r>
          </w:p>
          <w:p w14:paraId="56113E42">
            <w:pPr>
              <w:spacing w:line="500" w:lineRule="exact"/>
              <w:ind w:right="105" w:rightChars="50" w:firstLine="480" w:firstLineChars="200"/>
              <w:rPr>
                <w:rFonts w:hint="eastAsia" w:ascii="宋体" w:hAnsi="宋体" w:cs="Times New Roman"/>
                <w:sz w:val="24"/>
              </w:rPr>
            </w:pPr>
            <w:r>
              <w:rPr>
                <w:rFonts w:hint="eastAsia" w:ascii="宋体" w:hAnsi="宋体" w:cs="Times New Roman"/>
                <w:sz w:val="24"/>
              </w:rPr>
              <w:t xml:space="preserve">联系电话：0438-2107006 </w:t>
            </w:r>
          </w:p>
          <w:p w14:paraId="140ABE50">
            <w:pPr>
              <w:spacing w:line="500" w:lineRule="exact"/>
              <w:ind w:right="105" w:rightChars="50" w:firstLine="480" w:firstLineChars="200"/>
              <w:rPr>
                <w:rFonts w:ascii="宋体" w:hAnsi="宋体"/>
                <w:sz w:val="18"/>
                <w:szCs w:val="18"/>
              </w:rPr>
            </w:pPr>
            <w:r>
              <w:rPr>
                <w:rFonts w:hint="eastAsia" w:ascii="宋体" w:hAnsi="宋体" w:cs="Times New Roman"/>
                <w:sz w:val="24"/>
              </w:rPr>
              <w:t>地址：松原市公共资源交易中心3楼（吉林省松原市宁江区东镇大路3518号）</w:t>
            </w:r>
          </w:p>
        </w:tc>
      </w:tr>
      <w:tr w14:paraId="0AE4B0C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63618747">
            <w:pPr>
              <w:autoSpaceDE w:val="0"/>
              <w:autoSpaceDN w:val="0"/>
              <w:adjustRightInd w:val="0"/>
              <w:spacing w:line="500" w:lineRule="exact"/>
              <w:ind w:right="264"/>
              <w:jc w:val="center"/>
              <w:rPr>
                <w:rFonts w:ascii="宋体" w:hAnsi="宋体"/>
                <w:sz w:val="24"/>
              </w:rPr>
            </w:pPr>
            <w:r>
              <w:rPr>
                <w:rFonts w:hint="eastAsia" w:ascii="宋体" w:hAnsi="宋体"/>
                <w:sz w:val="24"/>
              </w:rPr>
              <w:t>10</w:t>
            </w:r>
          </w:p>
        </w:tc>
        <w:tc>
          <w:tcPr>
            <w:tcW w:w="1248" w:type="dxa"/>
            <w:vAlign w:val="center"/>
          </w:tcPr>
          <w:p w14:paraId="1C92C205">
            <w:pPr>
              <w:autoSpaceDE w:val="0"/>
              <w:autoSpaceDN w:val="0"/>
              <w:adjustRightInd w:val="0"/>
              <w:spacing w:line="500" w:lineRule="exact"/>
              <w:jc w:val="center"/>
              <w:rPr>
                <w:rFonts w:ascii="宋体" w:hAnsi="宋体"/>
                <w:sz w:val="24"/>
              </w:rPr>
            </w:pPr>
            <w:r>
              <w:rPr>
                <w:rFonts w:hint="eastAsia" w:ascii="宋体" w:hAnsi="宋体"/>
                <w:sz w:val="24"/>
              </w:rPr>
              <w:t>招标</w:t>
            </w:r>
            <w:r>
              <w:rPr>
                <w:rFonts w:ascii="宋体" w:hAnsi="宋体"/>
                <w:sz w:val="24"/>
              </w:rPr>
              <w:t>文件</w:t>
            </w:r>
            <w:r>
              <w:rPr>
                <w:rFonts w:hint="eastAsia" w:ascii="宋体" w:hAnsi="宋体"/>
                <w:sz w:val="24"/>
              </w:rPr>
              <w:t>内容</w:t>
            </w:r>
          </w:p>
        </w:tc>
        <w:tc>
          <w:tcPr>
            <w:tcW w:w="6479" w:type="dxa"/>
          </w:tcPr>
          <w:p w14:paraId="0505EBA2">
            <w:pPr>
              <w:spacing w:line="500" w:lineRule="exact"/>
              <w:ind w:right="105" w:rightChars="50" w:firstLine="480" w:firstLineChars="200"/>
              <w:rPr>
                <w:rFonts w:ascii="宋体" w:hAnsi="宋体"/>
                <w:sz w:val="24"/>
                <w:szCs w:val="24"/>
              </w:rPr>
            </w:pPr>
            <w:r>
              <w:rPr>
                <w:rFonts w:hint="eastAsia" w:ascii="宋体" w:hAnsi="宋体"/>
                <w:sz w:val="24"/>
                <w:szCs w:val="24"/>
              </w:rPr>
              <w:t>一</w:t>
            </w:r>
            <w:r>
              <w:rPr>
                <w:rFonts w:ascii="宋体" w:hAnsi="宋体"/>
                <w:sz w:val="24"/>
                <w:szCs w:val="24"/>
              </w:rPr>
              <w:t>、</w:t>
            </w:r>
            <w:r>
              <w:rPr>
                <w:rFonts w:hint="eastAsia" w:ascii="宋体" w:hAnsi="宋体"/>
                <w:sz w:val="24"/>
                <w:szCs w:val="24"/>
                <w:lang w:eastAsia="zh-CN"/>
              </w:rPr>
              <w:t>招标公告</w:t>
            </w:r>
            <w:r>
              <w:rPr>
                <w:rFonts w:hint="eastAsia" w:ascii="宋体" w:hAnsi="宋体"/>
                <w:sz w:val="24"/>
                <w:szCs w:val="24"/>
              </w:rPr>
              <w:t>；</w:t>
            </w:r>
          </w:p>
          <w:p w14:paraId="590E850E">
            <w:pPr>
              <w:spacing w:line="500" w:lineRule="exact"/>
              <w:ind w:right="105" w:rightChars="50" w:firstLine="480" w:firstLineChars="200"/>
              <w:rPr>
                <w:rFonts w:ascii="宋体" w:hAnsi="宋体"/>
                <w:sz w:val="24"/>
                <w:szCs w:val="24"/>
              </w:rPr>
            </w:pPr>
            <w:r>
              <w:rPr>
                <w:rFonts w:hint="eastAsia" w:ascii="宋体" w:hAnsi="宋体"/>
                <w:sz w:val="24"/>
                <w:szCs w:val="24"/>
              </w:rPr>
              <w:t>二、投标须知；</w:t>
            </w:r>
          </w:p>
          <w:p w14:paraId="5AEE83B9">
            <w:pPr>
              <w:spacing w:line="500" w:lineRule="exact"/>
              <w:ind w:right="105" w:rightChars="50" w:firstLine="480" w:firstLineChars="200"/>
              <w:rPr>
                <w:rFonts w:ascii="宋体" w:hAnsi="宋体"/>
                <w:sz w:val="24"/>
                <w:szCs w:val="24"/>
              </w:rPr>
            </w:pPr>
            <w:r>
              <w:rPr>
                <w:rFonts w:hint="eastAsia" w:ascii="宋体" w:hAnsi="宋体"/>
                <w:sz w:val="24"/>
                <w:szCs w:val="24"/>
              </w:rPr>
              <w:t>三、</w:t>
            </w:r>
            <w:r>
              <w:rPr>
                <w:rFonts w:hint="eastAsia" w:ascii="宋体" w:hAnsi="宋体"/>
                <w:sz w:val="24"/>
                <w:szCs w:val="24"/>
                <w:lang w:eastAsia="zh-CN"/>
              </w:rPr>
              <w:t>资格审查和失信行为记录要求及相关证明材料</w:t>
            </w:r>
            <w:r>
              <w:rPr>
                <w:rFonts w:hint="eastAsia" w:ascii="宋体" w:hAnsi="宋体"/>
                <w:sz w:val="24"/>
                <w:szCs w:val="24"/>
              </w:rPr>
              <w:t>；</w:t>
            </w:r>
          </w:p>
          <w:p w14:paraId="3F2499A9">
            <w:pPr>
              <w:spacing w:line="500" w:lineRule="exact"/>
              <w:ind w:right="105" w:rightChars="50" w:firstLine="480" w:firstLineChars="200"/>
              <w:rPr>
                <w:rFonts w:ascii="宋体" w:hAnsi="宋体"/>
                <w:sz w:val="24"/>
                <w:szCs w:val="24"/>
              </w:rPr>
            </w:pPr>
            <w:r>
              <w:rPr>
                <w:rFonts w:hint="eastAsia" w:ascii="宋体" w:hAnsi="宋体"/>
                <w:sz w:val="24"/>
                <w:szCs w:val="24"/>
              </w:rPr>
              <w:t>四、投标人符合性要求及通过标准；</w:t>
            </w:r>
          </w:p>
          <w:p w14:paraId="5037C953">
            <w:pPr>
              <w:spacing w:line="500" w:lineRule="exact"/>
              <w:ind w:right="105" w:rightChars="50" w:firstLine="480" w:firstLineChars="200"/>
              <w:rPr>
                <w:rFonts w:ascii="宋体" w:hAnsi="宋体"/>
                <w:sz w:val="24"/>
                <w:szCs w:val="24"/>
              </w:rPr>
            </w:pPr>
            <w:r>
              <w:rPr>
                <w:rFonts w:hint="eastAsia" w:ascii="宋体" w:hAnsi="宋体"/>
                <w:sz w:val="24"/>
                <w:szCs w:val="24"/>
              </w:rPr>
              <w:t>五、</w:t>
            </w:r>
            <w:r>
              <w:rPr>
                <w:rFonts w:hint="eastAsia" w:ascii="宋体" w:hAnsi="宋体"/>
                <w:sz w:val="24"/>
                <w:szCs w:val="24"/>
                <w:lang w:eastAsia="zh-CN"/>
              </w:rPr>
              <w:t>招标项目</w:t>
            </w:r>
            <w:r>
              <w:rPr>
                <w:rFonts w:hint="eastAsia" w:ascii="宋体" w:hAnsi="宋体"/>
                <w:sz w:val="24"/>
                <w:szCs w:val="24"/>
              </w:rPr>
              <w:t>技术</w:t>
            </w:r>
            <w:r>
              <w:rPr>
                <w:rFonts w:hint="eastAsia" w:ascii="宋体" w:hAnsi="宋体"/>
                <w:sz w:val="24"/>
                <w:szCs w:val="24"/>
                <w:lang w:eastAsia="zh-CN"/>
              </w:rPr>
              <w:t>、服务及其他商务要求</w:t>
            </w:r>
            <w:r>
              <w:rPr>
                <w:rFonts w:hint="eastAsia" w:ascii="宋体" w:hAnsi="宋体"/>
                <w:sz w:val="24"/>
                <w:szCs w:val="24"/>
              </w:rPr>
              <w:t>；</w:t>
            </w:r>
          </w:p>
          <w:p w14:paraId="6C0719F8">
            <w:pPr>
              <w:spacing w:line="500" w:lineRule="exact"/>
              <w:ind w:right="105" w:rightChars="50" w:firstLine="480" w:firstLineChars="200"/>
              <w:rPr>
                <w:rFonts w:ascii="宋体" w:hAnsi="宋体"/>
                <w:sz w:val="24"/>
                <w:szCs w:val="24"/>
              </w:rPr>
            </w:pPr>
            <w:r>
              <w:rPr>
                <w:rFonts w:hint="eastAsia" w:ascii="宋体" w:hAnsi="宋体"/>
                <w:sz w:val="24"/>
                <w:szCs w:val="24"/>
              </w:rPr>
              <w:t>六、评标办法；</w:t>
            </w:r>
          </w:p>
          <w:p w14:paraId="77DC950F">
            <w:pPr>
              <w:spacing w:line="500" w:lineRule="exact"/>
              <w:ind w:right="105" w:rightChars="50" w:firstLine="480" w:firstLineChars="200"/>
              <w:rPr>
                <w:rFonts w:ascii="宋体" w:hAnsi="宋体"/>
                <w:sz w:val="24"/>
                <w:szCs w:val="24"/>
              </w:rPr>
            </w:pPr>
            <w:r>
              <w:rPr>
                <w:rFonts w:hint="eastAsia" w:ascii="宋体" w:hAnsi="宋体"/>
                <w:sz w:val="24"/>
                <w:szCs w:val="24"/>
              </w:rPr>
              <w:t>七、合同主要条款；</w:t>
            </w:r>
          </w:p>
          <w:p w14:paraId="21029B81">
            <w:pPr>
              <w:spacing w:line="500" w:lineRule="exact"/>
              <w:ind w:right="105" w:rightChars="50" w:firstLine="480" w:firstLineChars="200"/>
              <w:rPr>
                <w:rFonts w:ascii="宋体" w:hAnsi="宋体"/>
                <w:sz w:val="24"/>
              </w:rPr>
            </w:pPr>
            <w:r>
              <w:rPr>
                <w:rFonts w:hint="eastAsia" w:ascii="宋体" w:hAnsi="宋体"/>
                <w:sz w:val="24"/>
                <w:szCs w:val="24"/>
              </w:rPr>
              <w:t>八、投标文件格式。</w:t>
            </w:r>
          </w:p>
        </w:tc>
      </w:tr>
      <w:tr w14:paraId="5A8B6D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584B5ED5">
            <w:pPr>
              <w:autoSpaceDE w:val="0"/>
              <w:autoSpaceDN w:val="0"/>
              <w:adjustRightInd w:val="0"/>
              <w:spacing w:line="500" w:lineRule="exact"/>
              <w:ind w:right="264"/>
              <w:jc w:val="center"/>
              <w:rPr>
                <w:rFonts w:ascii="宋体" w:hAnsi="宋体"/>
                <w:b/>
                <w:sz w:val="24"/>
              </w:rPr>
            </w:pPr>
            <w:r>
              <w:rPr>
                <w:rFonts w:hint="eastAsia" w:ascii="宋体" w:hAnsi="宋体"/>
                <w:b/>
                <w:sz w:val="24"/>
              </w:rPr>
              <w:t>11</w:t>
            </w:r>
          </w:p>
        </w:tc>
        <w:tc>
          <w:tcPr>
            <w:tcW w:w="1248" w:type="dxa"/>
            <w:vAlign w:val="center"/>
          </w:tcPr>
          <w:p w14:paraId="0109DC63">
            <w:pPr>
              <w:autoSpaceDE w:val="0"/>
              <w:autoSpaceDN w:val="0"/>
              <w:adjustRightInd w:val="0"/>
              <w:spacing w:line="500" w:lineRule="exact"/>
              <w:jc w:val="center"/>
              <w:rPr>
                <w:rFonts w:ascii="宋体" w:hAnsi="宋体"/>
                <w:sz w:val="24"/>
              </w:rPr>
            </w:pPr>
            <w:r>
              <w:rPr>
                <w:rFonts w:hint="eastAsia" w:ascii="宋体" w:hAnsi="宋体"/>
                <w:sz w:val="24"/>
              </w:rPr>
              <w:t>投标</w:t>
            </w:r>
            <w:r>
              <w:rPr>
                <w:rFonts w:ascii="宋体" w:hAnsi="宋体"/>
                <w:sz w:val="24"/>
              </w:rPr>
              <w:t>文件内容</w:t>
            </w:r>
          </w:p>
        </w:tc>
        <w:tc>
          <w:tcPr>
            <w:tcW w:w="6479" w:type="dxa"/>
          </w:tcPr>
          <w:p w14:paraId="4D6F16EB">
            <w:pPr>
              <w:spacing w:line="500" w:lineRule="exact"/>
              <w:rPr>
                <w:rFonts w:ascii="宋体" w:hAnsi="宋体"/>
                <w:sz w:val="24"/>
              </w:rPr>
            </w:pPr>
            <w:r>
              <w:rPr>
                <w:rFonts w:hint="eastAsia" w:ascii="宋体" w:hAnsi="宋体"/>
                <w:sz w:val="24"/>
              </w:rPr>
              <w:t>第一部分  投标文件-资格部分。</w:t>
            </w:r>
          </w:p>
          <w:p w14:paraId="6EF7A55B">
            <w:pPr>
              <w:spacing w:line="500" w:lineRule="exact"/>
              <w:rPr>
                <w:rFonts w:ascii="宋体" w:hAnsi="宋体"/>
                <w:sz w:val="24"/>
              </w:rPr>
            </w:pPr>
            <w:r>
              <w:rPr>
                <w:rFonts w:hint="eastAsia" w:ascii="宋体" w:hAnsi="宋体"/>
                <w:sz w:val="24"/>
              </w:rPr>
              <w:t>第二部分  投标文件-技术与售后服务部分和报价部分。</w:t>
            </w:r>
          </w:p>
          <w:p w14:paraId="53319AC2">
            <w:pPr>
              <w:spacing w:line="500" w:lineRule="exact"/>
              <w:rPr>
                <w:rFonts w:ascii="宋体" w:hAnsi="宋体"/>
                <w:sz w:val="24"/>
              </w:rPr>
            </w:pPr>
            <w:r>
              <w:rPr>
                <w:rFonts w:hint="eastAsia" w:ascii="宋体"/>
                <w:sz w:val="24"/>
              </w:rPr>
              <w:t>详见</w:t>
            </w:r>
            <w:r>
              <w:rPr>
                <w:rFonts w:ascii="宋体"/>
                <w:sz w:val="24"/>
              </w:rPr>
              <w:t>本文件第八</w:t>
            </w:r>
            <w:r>
              <w:rPr>
                <w:rFonts w:hint="eastAsia" w:ascii="宋体"/>
                <w:sz w:val="24"/>
              </w:rPr>
              <w:t>章</w:t>
            </w:r>
          </w:p>
        </w:tc>
      </w:tr>
      <w:tr w14:paraId="44D92B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224B8064">
            <w:pPr>
              <w:autoSpaceDE w:val="0"/>
              <w:autoSpaceDN w:val="0"/>
              <w:adjustRightInd w:val="0"/>
              <w:spacing w:line="500" w:lineRule="exact"/>
              <w:ind w:right="264"/>
              <w:jc w:val="center"/>
              <w:rPr>
                <w:rFonts w:hint="eastAsia" w:ascii="宋体" w:hAnsi="宋体" w:eastAsiaTheme="minorEastAsia"/>
                <w:sz w:val="24"/>
                <w:lang w:val="en-US" w:eastAsia="zh-CN"/>
              </w:rPr>
            </w:pPr>
            <w:r>
              <w:rPr>
                <w:rFonts w:hint="eastAsia" w:ascii="宋体" w:hAnsi="宋体"/>
                <w:sz w:val="24"/>
              </w:rPr>
              <w:t>1</w:t>
            </w:r>
            <w:r>
              <w:rPr>
                <w:rFonts w:hint="eastAsia" w:ascii="宋体" w:hAnsi="宋体"/>
                <w:sz w:val="24"/>
                <w:lang w:val="en-US" w:eastAsia="zh-CN"/>
              </w:rPr>
              <w:t>2</w:t>
            </w:r>
          </w:p>
        </w:tc>
        <w:tc>
          <w:tcPr>
            <w:tcW w:w="1248" w:type="dxa"/>
            <w:vAlign w:val="center"/>
          </w:tcPr>
          <w:p w14:paraId="5E5B5360">
            <w:pPr>
              <w:autoSpaceDE w:val="0"/>
              <w:autoSpaceDN w:val="0"/>
              <w:adjustRightInd w:val="0"/>
              <w:spacing w:line="500" w:lineRule="exact"/>
              <w:jc w:val="center"/>
              <w:rPr>
                <w:rFonts w:ascii="宋体" w:hAnsi="宋体"/>
                <w:sz w:val="24"/>
              </w:rPr>
            </w:pPr>
            <w:r>
              <w:rPr>
                <w:rFonts w:hint="eastAsia" w:ascii="宋体" w:hAnsi="宋体"/>
                <w:sz w:val="24"/>
              </w:rPr>
              <w:t>投标</w:t>
            </w:r>
            <w:r>
              <w:rPr>
                <w:rFonts w:ascii="宋体" w:hAnsi="宋体"/>
                <w:sz w:val="24"/>
              </w:rPr>
              <w:t>有效期</w:t>
            </w:r>
          </w:p>
          <w:p w14:paraId="0CE9C4CC">
            <w:pPr>
              <w:autoSpaceDE w:val="0"/>
              <w:autoSpaceDN w:val="0"/>
              <w:adjustRightInd w:val="0"/>
              <w:spacing w:line="500" w:lineRule="exact"/>
              <w:jc w:val="center"/>
              <w:rPr>
                <w:rFonts w:ascii="宋体" w:hAnsi="宋体"/>
                <w:b/>
                <w:sz w:val="24"/>
              </w:rPr>
            </w:pPr>
            <w:r>
              <w:rPr>
                <w:rFonts w:hint="eastAsia" w:ascii="宋体" w:hAnsi="宋体"/>
                <w:b/>
                <w:sz w:val="24"/>
              </w:rPr>
              <w:t>（实质性</w:t>
            </w:r>
            <w:r>
              <w:rPr>
                <w:rFonts w:ascii="宋体" w:hAnsi="宋体"/>
                <w:b/>
                <w:sz w:val="24"/>
              </w:rPr>
              <w:t>要求）</w:t>
            </w:r>
          </w:p>
        </w:tc>
        <w:tc>
          <w:tcPr>
            <w:tcW w:w="6479" w:type="dxa"/>
          </w:tcPr>
          <w:p w14:paraId="2411E0A3">
            <w:pPr>
              <w:spacing w:line="500" w:lineRule="exact"/>
              <w:ind w:right="105" w:rightChars="50"/>
              <w:rPr>
                <w:rFonts w:ascii="宋体" w:hAnsi="宋体"/>
                <w:sz w:val="24"/>
              </w:rPr>
            </w:pPr>
            <w:r>
              <w:rPr>
                <w:rFonts w:hint="eastAsia" w:ascii="宋体" w:hAnsi="宋体"/>
                <w:sz w:val="24"/>
              </w:rPr>
              <w:t>本项目投标有效期为投标截止时间届满后</w:t>
            </w:r>
            <w:r>
              <w:rPr>
                <w:rFonts w:ascii="宋体" w:hAnsi="宋体"/>
                <w:sz w:val="24"/>
                <w:u w:val="single"/>
              </w:rPr>
              <w:t xml:space="preserve"> 60  </w:t>
            </w:r>
            <w:r>
              <w:rPr>
                <w:rFonts w:hint="eastAsia" w:ascii="宋体" w:hAnsi="宋体"/>
                <w:sz w:val="24"/>
              </w:rPr>
              <w:t>日历天</w:t>
            </w:r>
          </w:p>
        </w:tc>
      </w:tr>
      <w:tr w14:paraId="362B9B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51899D36">
            <w:pPr>
              <w:autoSpaceDE w:val="0"/>
              <w:autoSpaceDN w:val="0"/>
              <w:adjustRightInd w:val="0"/>
              <w:spacing w:line="500" w:lineRule="exact"/>
              <w:ind w:right="264"/>
              <w:jc w:val="center"/>
              <w:rPr>
                <w:rFonts w:hint="eastAsia" w:ascii="宋体" w:hAnsi="宋体" w:eastAsiaTheme="minorEastAsia"/>
                <w:sz w:val="24"/>
                <w:lang w:val="en-US" w:eastAsia="zh-CN"/>
              </w:rPr>
            </w:pPr>
            <w:r>
              <w:rPr>
                <w:rFonts w:hint="eastAsia" w:ascii="宋体" w:hAnsi="宋体"/>
                <w:sz w:val="24"/>
              </w:rPr>
              <w:t>1</w:t>
            </w:r>
            <w:r>
              <w:rPr>
                <w:rFonts w:hint="eastAsia" w:ascii="宋体" w:hAnsi="宋体"/>
                <w:sz w:val="24"/>
                <w:lang w:val="en-US" w:eastAsia="zh-CN"/>
              </w:rPr>
              <w:t>3</w:t>
            </w:r>
          </w:p>
        </w:tc>
        <w:tc>
          <w:tcPr>
            <w:tcW w:w="1248" w:type="dxa"/>
            <w:vAlign w:val="center"/>
          </w:tcPr>
          <w:p w14:paraId="548FC553">
            <w:pPr>
              <w:autoSpaceDE w:val="0"/>
              <w:autoSpaceDN w:val="0"/>
              <w:adjustRightInd w:val="0"/>
              <w:spacing w:line="500" w:lineRule="exact"/>
              <w:jc w:val="center"/>
              <w:rPr>
                <w:rFonts w:ascii="宋体" w:hAnsi="宋体"/>
                <w:b/>
                <w:sz w:val="24"/>
              </w:rPr>
            </w:pPr>
            <w:r>
              <w:rPr>
                <w:rFonts w:hint="eastAsia" w:ascii="宋体" w:hAnsi="宋体"/>
                <w:sz w:val="24"/>
              </w:rPr>
              <w:t>本采购项目核心产品、</w:t>
            </w:r>
            <w:r>
              <w:rPr>
                <w:rFonts w:hint="eastAsia" w:ascii="宋体" w:hAnsi="宋体" w:cs="宋体"/>
                <w:kern w:val="0"/>
                <w:sz w:val="24"/>
              </w:rPr>
              <w:t>实质性</w:t>
            </w:r>
            <w:r>
              <w:rPr>
                <w:rFonts w:ascii="宋体" w:hAnsi="宋体" w:cs="宋体"/>
                <w:kern w:val="0"/>
                <w:sz w:val="24"/>
              </w:rPr>
              <w:t>指标</w:t>
            </w:r>
            <w:r>
              <w:rPr>
                <w:rFonts w:hint="eastAsia" w:ascii="宋体" w:hAnsi="宋体"/>
                <w:b/>
                <w:sz w:val="24"/>
              </w:rPr>
              <w:t>（实质性</w:t>
            </w:r>
            <w:r>
              <w:rPr>
                <w:rFonts w:ascii="宋体" w:hAnsi="宋体"/>
                <w:b/>
                <w:sz w:val="24"/>
              </w:rPr>
              <w:t>要求）</w:t>
            </w:r>
          </w:p>
        </w:tc>
        <w:tc>
          <w:tcPr>
            <w:tcW w:w="6479" w:type="dxa"/>
          </w:tcPr>
          <w:p w14:paraId="1AA743F5">
            <w:pPr>
              <w:spacing w:line="500" w:lineRule="exact"/>
              <w:ind w:right="105" w:rightChars="50" w:firstLine="480" w:firstLineChars="200"/>
              <w:rPr>
                <w:rFonts w:ascii="宋体" w:hAnsi="宋体"/>
                <w:sz w:val="24"/>
                <w:u w:val="single"/>
              </w:rPr>
            </w:pPr>
            <w:r>
              <w:rPr>
                <w:rFonts w:hint="eastAsia" w:ascii="宋体" w:hAnsi="宋体"/>
                <w:sz w:val="24"/>
              </w:rPr>
              <w:t>一</w:t>
            </w:r>
            <w:r>
              <w:rPr>
                <w:rFonts w:ascii="宋体" w:hAnsi="宋体"/>
                <w:sz w:val="24"/>
              </w:rPr>
              <w:t>、</w:t>
            </w:r>
            <w:r>
              <w:rPr>
                <w:rFonts w:hint="eastAsia" w:ascii="宋体" w:hAnsi="宋体"/>
                <w:sz w:val="24"/>
              </w:rPr>
              <w:t>核心</w:t>
            </w:r>
            <w:r>
              <w:rPr>
                <w:rFonts w:ascii="宋体" w:hAnsi="宋体"/>
                <w:sz w:val="24"/>
              </w:rPr>
              <w:t>产品是指</w:t>
            </w:r>
            <w:r>
              <w:rPr>
                <w:rFonts w:hint="eastAsia" w:ascii="宋体" w:hAnsi="宋体"/>
                <w:sz w:val="24"/>
              </w:rPr>
              <w:t>招标</w:t>
            </w:r>
            <w:r>
              <w:rPr>
                <w:rFonts w:ascii="宋体" w:hAnsi="宋体"/>
                <w:sz w:val="24"/>
              </w:rPr>
              <w:t>文件第五章中打</w:t>
            </w:r>
            <w:r>
              <w:rPr>
                <w:rFonts w:hint="eastAsia" w:ascii="宋体" w:hAnsi="宋体"/>
                <w:sz w:val="24"/>
              </w:rPr>
              <w:t>“■”符号</w:t>
            </w:r>
            <w:r>
              <w:rPr>
                <w:rFonts w:ascii="宋体" w:hAnsi="宋体"/>
                <w:sz w:val="24"/>
              </w:rPr>
              <w:t>的产品</w:t>
            </w:r>
            <w:r>
              <w:rPr>
                <w:rFonts w:hint="eastAsia" w:ascii="宋体" w:hAnsi="宋体"/>
                <w:sz w:val="24"/>
              </w:rPr>
              <w:t>，</w:t>
            </w:r>
            <w:r>
              <w:rPr>
                <w:rFonts w:hint="eastAsia" w:ascii="宋体" w:hAnsi="宋体"/>
                <w:b/>
                <w:sz w:val="24"/>
              </w:rPr>
              <w:t>具体内容：</w:t>
            </w:r>
            <w:r>
              <w:rPr>
                <w:rFonts w:hint="eastAsia" w:ascii="宋体" w:hAnsi="宋体"/>
                <w:b/>
                <w:sz w:val="24"/>
                <w:u w:val="single"/>
              </w:rPr>
              <w:t>折叠床；</w:t>
            </w:r>
          </w:p>
          <w:p w14:paraId="551B4D3D">
            <w:pPr>
              <w:spacing w:line="500" w:lineRule="exact"/>
              <w:ind w:right="105" w:rightChars="50" w:firstLine="480" w:firstLineChars="200"/>
              <w:rPr>
                <w:rFonts w:ascii="宋体" w:hAnsi="宋体"/>
                <w:sz w:val="24"/>
              </w:rPr>
            </w:pPr>
            <w:r>
              <w:rPr>
                <w:rFonts w:hint="eastAsia" w:ascii="宋体" w:hAnsi="宋体"/>
                <w:sz w:val="24"/>
              </w:rPr>
              <w:t>二</w:t>
            </w:r>
            <w:r>
              <w:rPr>
                <w:rFonts w:ascii="宋体" w:hAnsi="宋体"/>
                <w:sz w:val="24"/>
              </w:rPr>
              <w:t>、</w:t>
            </w:r>
            <w:r>
              <w:rPr>
                <w:rFonts w:hint="eastAsia" w:ascii="宋体" w:hAnsi="宋体"/>
                <w:sz w:val="24"/>
              </w:rPr>
              <w:t>实质性</w:t>
            </w:r>
            <w:r>
              <w:rPr>
                <w:rFonts w:ascii="宋体" w:hAnsi="宋体"/>
                <w:sz w:val="24"/>
              </w:rPr>
              <w:t>指标</w:t>
            </w:r>
            <w:r>
              <w:rPr>
                <w:rFonts w:hint="eastAsia" w:ascii="宋体" w:hAnsi="宋体"/>
                <w:sz w:val="24"/>
              </w:rPr>
              <w:t>是指</w:t>
            </w:r>
            <w:r>
              <w:rPr>
                <w:rFonts w:hint="eastAsia" w:ascii="宋体" w:hAnsi="宋体"/>
                <w:sz w:val="24"/>
                <w:highlight w:val="none"/>
              </w:rPr>
              <w:t>招标</w:t>
            </w:r>
            <w:r>
              <w:rPr>
                <w:rFonts w:ascii="宋体" w:hAnsi="宋体"/>
                <w:sz w:val="24"/>
                <w:highlight w:val="none"/>
              </w:rPr>
              <w:t>文件</w:t>
            </w:r>
            <w:r>
              <w:rPr>
                <w:rFonts w:hint="eastAsia" w:ascii="宋体" w:hAnsi="宋体"/>
                <w:sz w:val="24"/>
              </w:rPr>
              <w:t>第五章中</w:t>
            </w:r>
            <w:r>
              <w:rPr>
                <w:rFonts w:hint="eastAsia" w:ascii="宋体" w:hAnsi="宋体"/>
                <w:sz w:val="24"/>
                <w:lang w:val="en-US" w:eastAsia="zh-CN"/>
              </w:rPr>
              <w:t xml:space="preserve">全部内容 </w:t>
            </w:r>
            <w:r>
              <w:rPr>
                <w:rFonts w:hint="eastAsia" w:ascii="宋体" w:hAnsi="宋体"/>
                <w:sz w:val="24"/>
              </w:rPr>
              <w:t>；</w:t>
            </w:r>
          </w:p>
          <w:p w14:paraId="134B94D3">
            <w:pPr>
              <w:spacing w:line="500" w:lineRule="exact"/>
              <w:ind w:right="105" w:rightChars="50"/>
              <w:rPr>
                <w:rFonts w:ascii="宋体" w:hAnsi="宋体"/>
                <w:b/>
                <w:sz w:val="24"/>
              </w:rPr>
            </w:pPr>
          </w:p>
        </w:tc>
      </w:tr>
      <w:tr w14:paraId="341F3E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15B83DFA">
            <w:pPr>
              <w:spacing w:line="500" w:lineRule="exact"/>
              <w:ind w:firstLine="120" w:firstLineChars="50"/>
              <w:rPr>
                <w:rFonts w:hint="eastAsia" w:ascii="宋体" w:hAnsi="宋体" w:eastAsiaTheme="minorEastAsia"/>
                <w:sz w:val="24"/>
                <w:lang w:val="en-US" w:eastAsia="zh-CN"/>
              </w:rPr>
            </w:pPr>
            <w:r>
              <w:rPr>
                <w:rFonts w:hint="eastAsia" w:ascii="宋体" w:hAnsi="宋体"/>
                <w:sz w:val="24"/>
              </w:rPr>
              <w:t>1</w:t>
            </w:r>
            <w:r>
              <w:rPr>
                <w:rFonts w:hint="eastAsia" w:ascii="宋体" w:hAnsi="宋体"/>
                <w:sz w:val="24"/>
                <w:lang w:val="en-US" w:eastAsia="zh-CN"/>
              </w:rPr>
              <w:t>4</w:t>
            </w:r>
          </w:p>
        </w:tc>
        <w:tc>
          <w:tcPr>
            <w:tcW w:w="1248" w:type="dxa"/>
            <w:tcBorders>
              <w:right w:val="single" w:color="auto" w:sz="4" w:space="0"/>
            </w:tcBorders>
            <w:vAlign w:val="center"/>
          </w:tcPr>
          <w:p w14:paraId="563EA0D3">
            <w:pPr>
              <w:spacing w:line="500" w:lineRule="exact"/>
              <w:ind w:firstLine="120" w:firstLineChars="50"/>
              <w:jc w:val="center"/>
              <w:rPr>
                <w:rFonts w:ascii="宋体" w:hAnsi="宋体"/>
                <w:sz w:val="24"/>
              </w:rPr>
            </w:pPr>
            <w:r>
              <w:rPr>
                <w:rFonts w:hint="eastAsia" w:ascii="宋体" w:hAnsi="宋体"/>
                <w:sz w:val="24"/>
              </w:rPr>
              <w:t>资格性审查</w:t>
            </w:r>
            <w:r>
              <w:rPr>
                <w:rFonts w:hint="eastAsia" w:ascii="宋体" w:hAnsi="宋体"/>
                <w:b/>
                <w:sz w:val="24"/>
              </w:rPr>
              <w:t>（实质性</w:t>
            </w:r>
            <w:r>
              <w:rPr>
                <w:rFonts w:ascii="宋体" w:hAnsi="宋体"/>
                <w:b/>
                <w:sz w:val="24"/>
              </w:rPr>
              <w:t>要求）</w:t>
            </w:r>
          </w:p>
        </w:tc>
        <w:tc>
          <w:tcPr>
            <w:tcW w:w="6479" w:type="dxa"/>
            <w:tcBorders>
              <w:left w:val="single" w:color="auto" w:sz="4" w:space="0"/>
            </w:tcBorders>
          </w:tcPr>
          <w:p w14:paraId="18093BDD">
            <w:pPr>
              <w:spacing w:line="340" w:lineRule="exact"/>
              <w:ind w:firstLine="420"/>
              <w:rPr>
                <w:rFonts w:ascii="宋体" w:hAnsi="宋体"/>
                <w:spacing w:val="-8"/>
                <w:sz w:val="24"/>
              </w:rPr>
            </w:pPr>
            <w:r>
              <w:rPr>
                <w:rFonts w:hint="eastAsia" w:ascii="宋体" w:hAnsi="宋体"/>
                <w:spacing w:val="-8"/>
                <w:sz w:val="24"/>
              </w:rPr>
              <w:t>一、法人或者其他组织的营业执照等证明文件（有效的工商营业执照、组织机构代码证和税务登记证、或多证合一的营业执照），自然人的身份证明；</w:t>
            </w:r>
          </w:p>
          <w:p w14:paraId="563F00D4">
            <w:pPr>
              <w:spacing w:line="340" w:lineRule="exact"/>
              <w:ind w:firstLine="448" w:firstLineChars="200"/>
              <w:rPr>
                <w:rFonts w:ascii="宋体" w:hAnsi="宋体"/>
                <w:spacing w:val="-8"/>
                <w:sz w:val="24"/>
              </w:rPr>
            </w:pPr>
            <w:r>
              <w:rPr>
                <w:rFonts w:hint="eastAsia" w:ascii="宋体" w:hAnsi="宋体"/>
                <w:spacing w:val="-8"/>
                <w:sz w:val="24"/>
              </w:rPr>
              <w:t>二、财务状况报告（经合法审计机构出具的</w:t>
            </w:r>
            <w:r>
              <w:rPr>
                <w:rFonts w:hint="eastAsia" w:ascii="宋体" w:hAnsi="宋体"/>
                <w:color w:val="000000"/>
                <w:spacing w:val="-8"/>
                <w:sz w:val="24"/>
              </w:rPr>
              <w:t>近三年内任意一年</w:t>
            </w:r>
            <w:r>
              <w:rPr>
                <w:rFonts w:hint="eastAsia" w:ascii="宋体" w:hAnsi="宋体"/>
                <w:spacing w:val="-8"/>
                <w:sz w:val="24"/>
              </w:rPr>
              <w:t>财务审计报告，或银行出具的资信证明）；</w:t>
            </w:r>
          </w:p>
          <w:p w14:paraId="2949AA5B">
            <w:pPr>
              <w:spacing w:line="340" w:lineRule="exact"/>
              <w:ind w:firstLine="448" w:firstLineChars="200"/>
              <w:rPr>
                <w:rFonts w:ascii="宋体" w:hAnsi="宋体"/>
                <w:color w:val="000000"/>
                <w:spacing w:val="-8"/>
                <w:sz w:val="24"/>
              </w:rPr>
            </w:pPr>
            <w:r>
              <w:rPr>
                <w:rFonts w:hint="eastAsia" w:ascii="宋体" w:hAnsi="宋体"/>
                <w:color w:val="000000"/>
                <w:spacing w:val="-8"/>
                <w:sz w:val="24"/>
              </w:rPr>
              <w:t>三、依法缴纳税收证明（税务机关出具的近两年内任意一个月缴税凭证或完税凭证）；</w:t>
            </w:r>
          </w:p>
          <w:p w14:paraId="7FF426E0">
            <w:pPr>
              <w:spacing w:line="340" w:lineRule="exact"/>
              <w:ind w:firstLine="448" w:firstLineChars="200"/>
              <w:rPr>
                <w:rFonts w:ascii="宋体" w:hAnsi="宋体"/>
                <w:color w:val="000000"/>
                <w:spacing w:val="-8"/>
                <w:sz w:val="24"/>
              </w:rPr>
            </w:pPr>
            <w:r>
              <w:rPr>
                <w:rFonts w:hint="eastAsia" w:ascii="宋体" w:hAnsi="宋体"/>
                <w:color w:val="000000"/>
                <w:spacing w:val="-8"/>
                <w:sz w:val="24"/>
              </w:rPr>
              <w:t>四、社会保障资金证明（缴纳近两年内任意一个月用人单位社会保险凭证或参保证明）；</w:t>
            </w:r>
          </w:p>
          <w:p w14:paraId="73967A73">
            <w:pPr>
              <w:spacing w:line="340" w:lineRule="exact"/>
              <w:ind w:firstLine="448" w:firstLineChars="200"/>
              <w:rPr>
                <w:rFonts w:ascii="宋体" w:hAnsi="宋体"/>
                <w:color w:val="000000"/>
                <w:spacing w:val="-8"/>
                <w:sz w:val="24"/>
              </w:rPr>
            </w:pPr>
            <w:r>
              <w:rPr>
                <w:rFonts w:hint="eastAsia" w:ascii="宋体" w:hAnsi="宋体"/>
                <w:color w:val="000000"/>
                <w:spacing w:val="-8"/>
                <w:sz w:val="24"/>
              </w:rPr>
              <w:t>五、具备履行合同所需的设备和专业技术能力的证明材料；</w:t>
            </w:r>
          </w:p>
          <w:p w14:paraId="6058966F">
            <w:pPr>
              <w:spacing w:line="420" w:lineRule="exact"/>
              <w:ind w:firstLine="448" w:firstLineChars="200"/>
              <w:rPr>
                <w:rFonts w:ascii="宋体" w:hAnsi="宋体"/>
                <w:sz w:val="24"/>
              </w:rPr>
            </w:pPr>
            <w:r>
              <w:rPr>
                <w:rFonts w:hint="eastAsia" w:ascii="宋体" w:hAnsi="宋体"/>
                <w:spacing w:val="-8"/>
                <w:sz w:val="24"/>
              </w:rPr>
              <w:t>六、</w:t>
            </w:r>
            <w:r>
              <w:rPr>
                <w:rFonts w:hint="eastAsia" w:ascii="宋体" w:hAnsi="宋体"/>
                <w:sz w:val="24"/>
              </w:rPr>
              <w:t>参加此项目政府采购活动前三年内，在经营活动中没有重大违法记录的声明；</w:t>
            </w:r>
          </w:p>
          <w:p w14:paraId="706B7643">
            <w:pPr>
              <w:spacing w:line="420" w:lineRule="exact"/>
              <w:ind w:firstLine="480" w:firstLineChars="200"/>
              <w:rPr>
                <w:rFonts w:ascii="宋体" w:hAnsi="宋体"/>
                <w:sz w:val="24"/>
              </w:rPr>
            </w:pPr>
            <w:r>
              <w:rPr>
                <w:rFonts w:hint="eastAsia" w:ascii="宋体" w:hAnsi="宋体"/>
                <w:sz w:val="24"/>
              </w:rPr>
              <w:t>七、须知前附表第5条要求的信用信息查询记录；</w:t>
            </w:r>
          </w:p>
          <w:p w14:paraId="4993E2D1">
            <w:pPr>
              <w:spacing w:line="420" w:lineRule="exact"/>
              <w:ind w:firstLine="480" w:firstLineChars="200"/>
              <w:rPr>
                <w:rFonts w:ascii="宋体" w:hAnsi="宋体"/>
                <w:color w:val="FF0000"/>
                <w:sz w:val="24"/>
              </w:rPr>
            </w:pPr>
            <w:r>
              <w:rPr>
                <w:rFonts w:hint="eastAsia" w:ascii="宋体" w:hAnsi="宋体"/>
                <w:color w:val="FF0000"/>
                <w:sz w:val="24"/>
              </w:rPr>
              <w:t>八、</w:t>
            </w:r>
            <w:r>
              <w:rPr>
                <w:rFonts w:hint="eastAsia" w:ascii="宋体" w:hAnsi="宋体"/>
                <w:color w:val="FF0000"/>
                <w:sz w:val="24"/>
                <w:lang w:val="en-US" w:eastAsia="zh-CN"/>
              </w:rPr>
              <w:t>招标公告</w:t>
            </w:r>
            <w:r>
              <w:rPr>
                <w:rFonts w:hint="eastAsia" w:ascii="宋体" w:hAnsi="宋体"/>
                <w:color w:val="FF0000"/>
                <w:sz w:val="24"/>
              </w:rPr>
              <w:t>第</w:t>
            </w:r>
            <w:r>
              <w:rPr>
                <w:rFonts w:hint="eastAsia" w:ascii="宋体" w:hAnsi="宋体"/>
                <w:color w:val="FF0000"/>
                <w:sz w:val="24"/>
                <w:lang w:val="en-US" w:eastAsia="zh-CN"/>
              </w:rPr>
              <w:t>2</w:t>
            </w:r>
            <w:r>
              <w:rPr>
                <w:rFonts w:hint="eastAsia" w:ascii="宋体" w:hAnsi="宋体"/>
                <w:color w:val="FF0000"/>
                <w:sz w:val="24"/>
              </w:rPr>
              <w:t>条所要求的其他条件；</w:t>
            </w:r>
          </w:p>
          <w:p w14:paraId="75A41083">
            <w:pPr>
              <w:ind w:firstLine="480" w:firstLineChars="200"/>
              <w:rPr>
                <w:rFonts w:ascii="宋体" w:hAnsi="宋体"/>
                <w:sz w:val="24"/>
                <w:lang w:val="zh-CN"/>
              </w:rPr>
            </w:pPr>
          </w:p>
        </w:tc>
      </w:tr>
      <w:tr w14:paraId="3D678C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39" w:type="dxa"/>
            <w:vAlign w:val="center"/>
          </w:tcPr>
          <w:p w14:paraId="3DD31D86">
            <w:pPr>
              <w:spacing w:line="500" w:lineRule="exact"/>
              <w:ind w:firstLine="120" w:firstLineChars="50"/>
              <w:rPr>
                <w:rFonts w:hint="eastAsia" w:ascii="宋体" w:hAnsi="宋体" w:eastAsiaTheme="minorEastAsia"/>
                <w:sz w:val="24"/>
                <w:lang w:val="en-US" w:eastAsia="zh-CN"/>
              </w:rPr>
            </w:pPr>
            <w:r>
              <w:rPr>
                <w:rFonts w:hint="eastAsia" w:ascii="宋体" w:hAnsi="宋体"/>
                <w:sz w:val="24"/>
              </w:rPr>
              <w:t>1</w:t>
            </w:r>
            <w:r>
              <w:rPr>
                <w:rFonts w:hint="eastAsia" w:ascii="宋体" w:hAnsi="宋体"/>
                <w:sz w:val="24"/>
                <w:lang w:val="en-US" w:eastAsia="zh-CN"/>
              </w:rPr>
              <w:t>5</w:t>
            </w:r>
          </w:p>
        </w:tc>
        <w:tc>
          <w:tcPr>
            <w:tcW w:w="1248" w:type="dxa"/>
            <w:tcBorders>
              <w:right w:val="single" w:color="auto" w:sz="4" w:space="0"/>
            </w:tcBorders>
            <w:vAlign w:val="center"/>
          </w:tcPr>
          <w:p w14:paraId="504C72DD">
            <w:pPr>
              <w:spacing w:line="500" w:lineRule="exact"/>
              <w:ind w:firstLine="120" w:firstLineChars="50"/>
              <w:jc w:val="center"/>
              <w:rPr>
                <w:rFonts w:ascii="宋体" w:hAnsi="宋体"/>
                <w:sz w:val="24"/>
              </w:rPr>
            </w:pPr>
            <w:r>
              <w:rPr>
                <w:rFonts w:hint="eastAsia" w:ascii="宋体" w:hAnsi="宋体"/>
                <w:sz w:val="24"/>
              </w:rPr>
              <w:t>其他要求</w:t>
            </w:r>
          </w:p>
        </w:tc>
        <w:tc>
          <w:tcPr>
            <w:tcW w:w="6479" w:type="dxa"/>
            <w:tcBorders>
              <w:left w:val="single" w:color="auto" w:sz="4" w:space="0"/>
            </w:tcBorders>
          </w:tcPr>
          <w:p w14:paraId="6EEABCBC">
            <w:pPr>
              <w:spacing w:line="340" w:lineRule="exact"/>
              <w:ind w:firstLine="420"/>
              <w:rPr>
                <w:rFonts w:ascii="宋体" w:hAnsi="宋体"/>
                <w:spacing w:val="-8"/>
                <w:sz w:val="24"/>
              </w:rPr>
            </w:pPr>
          </w:p>
        </w:tc>
      </w:tr>
    </w:tbl>
    <w:p w14:paraId="461F5BBE">
      <w:pPr>
        <w:pStyle w:val="4"/>
        <w:spacing w:line="240" w:lineRule="atLeast"/>
        <w:rPr>
          <w:rFonts w:ascii="黑体" w:hAnsi="黑体"/>
        </w:rPr>
      </w:pPr>
      <w:bookmarkStart w:id="55" w:name="_Toc1676"/>
      <w:r>
        <w:rPr>
          <w:rFonts w:hint="eastAsia" w:ascii="黑体" w:hAnsi="黑体"/>
        </w:rPr>
        <w:t>二、总  则</w:t>
      </w:r>
      <w:bookmarkEnd w:id="55"/>
    </w:p>
    <w:p w14:paraId="537C7FA1">
      <w:pPr>
        <w:spacing w:line="500" w:lineRule="exact"/>
        <w:ind w:firstLine="482" w:firstLineChars="200"/>
        <w:rPr>
          <w:rFonts w:ascii="宋体" w:hAnsi="宋体"/>
          <w:b/>
          <w:sz w:val="24"/>
        </w:rPr>
      </w:pPr>
      <w:bookmarkStart w:id="56" w:name="_Toc183582205"/>
      <w:bookmarkStart w:id="57" w:name="_Toc183682342"/>
      <w:bookmarkStart w:id="58" w:name="_Toc217446034"/>
      <w:r>
        <w:rPr>
          <w:rFonts w:hint="eastAsia" w:ascii="宋体" w:hAnsi="宋体"/>
          <w:b/>
          <w:sz w:val="24"/>
        </w:rPr>
        <w:t>1、</w:t>
      </w:r>
      <w:bookmarkEnd w:id="56"/>
      <w:bookmarkEnd w:id="57"/>
      <w:r>
        <w:rPr>
          <w:rFonts w:hint="eastAsia" w:ascii="宋体" w:hAnsi="宋体"/>
          <w:b/>
          <w:sz w:val="24"/>
        </w:rPr>
        <w:t xml:space="preserve"> 适用范围</w:t>
      </w:r>
      <w:bookmarkEnd w:id="58"/>
    </w:p>
    <w:p w14:paraId="525DB8AC">
      <w:pPr>
        <w:spacing w:line="500" w:lineRule="exact"/>
        <w:ind w:firstLine="480" w:firstLineChars="200"/>
        <w:rPr>
          <w:rFonts w:ascii="宋体" w:hAnsi="宋体"/>
          <w:sz w:val="24"/>
        </w:rPr>
      </w:pPr>
      <w:r>
        <w:rPr>
          <w:rFonts w:hint="eastAsia" w:ascii="宋体" w:hAnsi="宋体"/>
          <w:sz w:val="24"/>
        </w:rPr>
        <w:t>本招标文件仅适用于本次公开招标采购项目。</w:t>
      </w:r>
    </w:p>
    <w:p w14:paraId="38F1C6E2">
      <w:pPr>
        <w:spacing w:line="500" w:lineRule="exact"/>
        <w:ind w:firstLine="482" w:firstLineChars="200"/>
        <w:rPr>
          <w:rFonts w:ascii="宋体" w:hAnsi="宋体"/>
          <w:b/>
          <w:sz w:val="24"/>
        </w:rPr>
      </w:pPr>
      <w:bookmarkStart w:id="59" w:name="_Toc183582206"/>
      <w:bookmarkStart w:id="60" w:name="_Toc183682343"/>
      <w:bookmarkStart w:id="61" w:name="_Toc217446035"/>
      <w:r>
        <w:rPr>
          <w:rFonts w:hint="eastAsia" w:ascii="宋体" w:hAnsi="宋体"/>
          <w:b/>
          <w:sz w:val="24"/>
        </w:rPr>
        <w:t xml:space="preserve">2、 </w:t>
      </w:r>
      <w:bookmarkEnd w:id="59"/>
      <w:bookmarkEnd w:id="60"/>
      <w:r>
        <w:rPr>
          <w:rFonts w:hint="eastAsia" w:ascii="宋体" w:hAnsi="宋体"/>
          <w:b/>
          <w:sz w:val="24"/>
        </w:rPr>
        <w:t>有关定义</w:t>
      </w:r>
      <w:bookmarkEnd w:id="61"/>
    </w:p>
    <w:p w14:paraId="36FC9B13">
      <w:pPr>
        <w:spacing w:line="500" w:lineRule="exact"/>
        <w:ind w:firstLine="480" w:firstLineChars="200"/>
        <w:rPr>
          <w:rFonts w:ascii="宋体" w:hAnsi="宋体"/>
          <w:sz w:val="24"/>
        </w:rPr>
      </w:pPr>
      <w:r>
        <w:rPr>
          <w:rFonts w:hint="eastAsia" w:ascii="宋体" w:hAnsi="宋体"/>
          <w:sz w:val="24"/>
        </w:rPr>
        <w:t>（1）“采购人”系指依法进行政府采购的国家机关、事业单位、团体组织。</w:t>
      </w:r>
    </w:p>
    <w:p w14:paraId="71DDF5A0">
      <w:pPr>
        <w:spacing w:line="500" w:lineRule="exact"/>
        <w:ind w:firstLine="480" w:firstLineChars="200"/>
        <w:rPr>
          <w:rFonts w:ascii="宋体" w:hAnsi="宋体"/>
          <w:sz w:val="24"/>
        </w:rPr>
      </w:pPr>
      <w:r>
        <w:rPr>
          <w:rFonts w:hint="eastAsia" w:ascii="宋体" w:hAnsi="宋体"/>
          <w:sz w:val="24"/>
        </w:rPr>
        <w:t>（2）“采购代理机构” 系指根据采购人的委托依法办理招标事宜的采购机构（简称“招标人”）。</w:t>
      </w:r>
    </w:p>
    <w:p w14:paraId="07B46666">
      <w:pPr>
        <w:spacing w:line="500" w:lineRule="exact"/>
        <w:ind w:firstLine="480" w:firstLineChars="200"/>
        <w:rPr>
          <w:rFonts w:ascii="宋体" w:hAnsi="宋体"/>
          <w:sz w:val="24"/>
        </w:rPr>
      </w:pPr>
      <w:r>
        <w:rPr>
          <w:rFonts w:hint="eastAsia" w:ascii="宋体" w:hAnsi="宋体"/>
          <w:sz w:val="24"/>
        </w:rPr>
        <w:t>（3）“招标采购单位”系指“采购人”和“采购代理机构”的统称。</w:t>
      </w:r>
    </w:p>
    <w:p w14:paraId="38961F1D">
      <w:pPr>
        <w:spacing w:line="500" w:lineRule="exact"/>
        <w:ind w:firstLine="480" w:firstLineChars="200"/>
        <w:rPr>
          <w:rFonts w:ascii="宋体" w:hAnsi="宋体"/>
          <w:sz w:val="24"/>
        </w:rPr>
      </w:pPr>
      <w:r>
        <w:rPr>
          <w:rFonts w:hint="eastAsia" w:ascii="宋体" w:hAnsi="宋体"/>
          <w:sz w:val="24"/>
        </w:rPr>
        <w:t>（4）“投标人”系指</w:t>
      </w:r>
      <w:r>
        <w:rPr>
          <w:rFonts w:hint="eastAsia" w:ascii="宋体" w:hAnsi="宋体"/>
          <w:sz w:val="24"/>
          <w:lang w:eastAsia="zh-CN"/>
        </w:rPr>
        <w:t>下载</w:t>
      </w:r>
      <w:r>
        <w:rPr>
          <w:rFonts w:hint="eastAsia" w:ascii="宋体" w:hAnsi="宋体"/>
          <w:sz w:val="24"/>
        </w:rPr>
        <w:t>了招标文件</w:t>
      </w:r>
      <w:r>
        <w:rPr>
          <w:rFonts w:hint="eastAsia" w:ascii="宋体" w:hAnsi="宋体"/>
          <w:sz w:val="24"/>
          <w:highlight w:val="none"/>
        </w:rPr>
        <w:t>拟参加投标和</w:t>
      </w:r>
      <w:r>
        <w:rPr>
          <w:rFonts w:hint="eastAsia" w:ascii="宋体" w:hAnsi="宋体"/>
          <w:sz w:val="24"/>
        </w:rPr>
        <w:t>向采购人提供货物及相应服务的投标人。</w:t>
      </w:r>
    </w:p>
    <w:p w14:paraId="2E2E4ED4">
      <w:pPr>
        <w:spacing w:line="500" w:lineRule="exact"/>
        <w:ind w:firstLine="482" w:firstLineChars="200"/>
        <w:rPr>
          <w:rFonts w:ascii="宋体" w:hAnsi="宋体"/>
          <w:b/>
          <w:sz w:val="24"/>
        </w:rPr>
      </w:pPr>
      <w:bookmarkStart w:id="62" w:name="_Toc217390843"/>
      <w:bookmarkStart w:id="63" w:name="_Toc183682344"/>
      <w:bookmarkStart w:id="64" w:name="_Toc183582207"/>
      <w:bookmarkStart w:id="65" w:name="_Toc217446036"/>
      <w:r>
        <w:rPr>
          <w:rFonts w:hint="eastAsia" w:ascii="宋体" w:hAnsi="宋体"/>
          <w:b/>
          <w:sz w:val="24"/>
        </w:rPr>
        <w:t>3、 参与投标的投标人应具备以下条件</w:t>
      </w:r>
      <w:bookmarkEnd w:id="62"/>
      <w:bookmarkEnd w:id="63"/>
      <w:bookmarkEnd w:id="64"/>
      <w:bookmarkEnd w:id="65"/>
      <w:r>
        <w:rPr>
          <w:rFonts w:hint="eastAsia" w:ascii="宋体" w:hAnsi="宋体"/>
          <w:b/>
          <w:sz w:val="24"/>
        </w:rPr>
        <w:t>（实质性要求）：</w:t>
      </w:r>
    </w:p>
    <w:p w14:paraId="625253D7">
      <w:pPr>
        <w:ind w:firstLine="480" w:firstLineChars="200"/>
        <w:rPr>
          <w:rFonts w:ascii="宋体" w:hAnsi="宋体"/>
          <w:sz w:val="24"/>
        </w:rPr>
      </w:pPr>
      <w:r>
        <w:rPr>
          <w:rFonts w:hint="eastAsia" w:ascii="宋体" w:hAnsi="宋体"/>
          <w:sz w:val="24"/>
        </w:rPr>
        <w:t>（1）本招标文件资格条件要求；</w:t>
      </w:r>
    </w:p>
    <w:p w14:paraId="319A3A91">
      <w:pPr>
        <w:ind w:firstLine="480" w:firstLineChars="200"/>
        <w:rPr>
          <w:rFonts w:ascii="宋体" w:hAnsi="宋体"/>
          <w:sz w:val="24"/>
        </w:rPr>
      </w:pPr>
      <w:r>
        <w:rPr>
          <w:rFonts w:hint="eastAsia" w:ascii="宋体" w:hAnsi="宋体"/>
          <w:sz w:val="24"/>
        </w:rPr>
        <w:t>（2）遵守国家有关的法律、法规、规章和其他政策制度</w:t>
      </w:r>
    </w:p>
    <w:p w14:paraId="342C0DFF">
      <w:pPr>
        <w:spacing w:line="500" w:lineRule="exact"/>
        <w:ind w:firstLine="482" w:firstLineChars="200"/>
        <w:rPr>
          <w:rFonts w:ascii="宋体" w:hAnsi="宋体"/>
          <w:b/>
          <w:sz w:val="24"/>
        </w:rPr>
      </w:pPr>
      <w:bookmarkStart w:id="66" w:name="_Toc217446037"/>
      <w:bookmarkStart w:id="67" w:name="_Toc183682345"/>
      <w:bookmarkStart w:id="68" w:name="_Toc183582208"/>
      <w:r>
        <w:rPr>
          <w:rFonts w:hint="eastAsia" w:ascii="宋体" w:hAnsi="宋体"/>
          <w:b/>
          <w:sz w:val="24"/>
        </w:rPr>
        <w:t>4、 投标费用</w:t>
      </w:r>
      <w:bookmarkEnd w:id="66"/>
      <w:bookmarkEnd w:id="67"/>
      <w:bookmarkEnd w:id="68"/>
    </w:p>
    <w:p w14:paraId="290FBF45">
      <w:pPr>
        <w:spacing w:line="500" w:lineRule="exact"/>
        <w:ind w:firstLine="480" w:firstLineChars="200"/>
        <w:rPr>
          <w:rFonts w:ascii="宋体" w:hAnsi="宋体"/>
          <w:sz w:val="24"/>
        </w:rPr>
      </w:pPr>
      <w:r>
        <w:rPr>
          <w:rFonts w:hint="eastAsia" w:ascii="宋体" w:hAnsi="宋体"/>
          <w:sz w:val="24"/>
        </w:rPr>
        <w:t>投标人参加投标的有关费用由投标人自行承担。</w:t>
      </w:r>
    </w:p>
    <w:p w14:paraId="2416F274">
      <w:pPr>
        <w:spacing w:line="500" w:lineRule="exact"/>
        <w:ind w:firstLine="482" w:firstLineChars="200"/>
        <w:rPr>
          <w:rFonts w:ascii="宋体" w:hAnsi="宋体"/>
          <w:b/>
          <w:sz w:val="24"/>
        </w:rPr>
      </w:pPr>
      <w:r>
        <w:rPr>
          <w:rFonts w:hint="eastAsia" w:ascii="宋体" w:hAnsi="宋体"/>
          <w:b/>
          <w:sz w:val="24"/>
        </w:rPr>
        <w:t>5、充分、公平竞争保障措施（实质性要求）</w:t>
      </w:r>
    </w:p>
    <w:p w14:paraId="44D83802">
      <w:pPr>
        <w:spacing w:line="500" w:lineRule="exact"/>
        <w:ind w:firstLine="482" w:firstLineChars="200"/>
        <w:rPr>
          <w:rFonts w:ascii="宋体" w:hAnsi="宋体"/>
          <w:b/>
          <w:sz w:val="24"/>
        </w:rPr>
      </w:pPr>
      <w:r>
        <w:rPr>
          <w:rFonts w:hint="eastAsia" w:ascii="宋体" w:hAnsi="宋体"/>
          <w:b/>
          <w:sz w:val="24"/>
        </w:rPr>
        <w:t>（1</w:t>
      </w:r>
      <w:r>
        <w:rPr>
          <w:rFonts w:ascii="宋体" w:hAnsi="宋体"/>
          <w:b/>
          <w:sz w:val="24"/>
        </w:rPr>
        <w:t>）</w:t>
      </w:r>
      <w:r>
        <w:rPr>
          <w:rFonts w:hint="eastAsia" w:ascii="宋体" w:hAnsi="宋体"/>
          <w:b/>
          <w:sz w:val="24"/>
        </w:rPr>
        <w:t>同</w:t>
      </w:r>
      <w:r>
        <w:rPr>
          <w:rFonts w:ascii="宋体" w:hAnsi="宋体"/>
          <w:b/>
          <w:sz w:val="24"/>
        </w:rPr>
        <w:t>品牌产品处理。</w:t>
      </w:r>
    </w:p>
    <w:p w14:paraId="437CF6C6">
      <w:pPr>
        <w:spacing w:line="500" w:lineRule="exact"/>
        <w:ind w:firstLine="480" w:firstLineChars="200"/>
        <w:rPr>
          <w:rFonts w:hint="eastAsia" w:ascii="宋体" w:hAnsi="宋体"/>
          <w:sz w:val="24"/>
        </w:rPr>
      </w:pPr>
      <w:r>
        <w:rPr>
          <w:rFonts w:hint="eastAsia" w:ascii="宋体" w:hAnsi="宋体"/>
          <w:sz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6CA4C8">
      <w:pPr>
        <w:spacing w:line="500" w:lineRule="exact"/>
        <w:ind w:firstLine="480" w:firstLineChars="200"/>
        <w:rPr>
          <w:rFonts w:hint="eastAsia" w:ascii="宋体" w:hAnsi="宋体"/>
          <w:sz w:val="24"/>
        </w:rPr>
      </w:pPr>
      <w:r>
        <w:rPr>
          <w:rFonts w:hint="eastAsia" w:ascii="宋体" w:hAnsi="宋体"/>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5E184FC">
      <w:pPr>
        <w:spacing w:line="500" w:lineRule="exact"/>
        <w:ind w:firstLine="480" w:firstLineChars="200"/>
        <w:rPr>
          <w:rFonts w:hint="eastAsia" w:ascii="宋体" w:hAnsi="宋体"/>
          <w:sz w:val="24"/>
        </w:rPr>
      </w:pPr>
      <w:r>
        <w:rPr>
          <w:rFonts w:hint="eastAsia" w:ascii="宋体" w:hAnsi="宋体"/>
          <w:sz w:val="24"/>
        </w:rPr>
        <w:t>非单一产品采购项目，采购人应当根据采购项目技术构成、产品价格比重等合理确定核心产品，并在招标文件中载明。多家投标人提供的核心产品品牌相同的，按前两款规定处理。</w:t>
      </w:r>
    </w:p>
    <w:p w14:paraId="0F3829ED">
      <w:pPr>
        <w:spacing w:line="500" w:lineRule="exact"/>
        <w:ind w:firstLine="480" w:firstLineChars="200"/>
        <w:rPr>
          <w:rFonts w:ascii="宋体" w:hAnsi="宋体"/>
          <w:sz w:val="24"/>
        </w:rPr>
      </w:pPr>
      <w:r>
        <w:rPr>
          <w:rFonts w:hint="eastAsia" w:ascii="宋体" w:hAnsi="宋体"/>
          <w:sz w:val="24"/>
        </w:rPr>
        <w:t>本采购项目核心产品为：</w:t>
      </w:r>
      <w:r>
        <w:rPr>
          <w:rFonts w:hint="eastAsia" w:ascii="宋体" w:hAnsi="宋体"/>
          <w:sz w:val="24"/>
          <w:lang w:val="zh-CN"/>
        </w:rPr>
        <w:t>见投标</w:t>
      </w:r>
      <w:r>
        <w:rPr>
          <w:rFonts w:ascii="宋体" w:hAnsi="宋体"/>
          <w:sz w:val="24"/>
          <w:lang w:val="zh-CN"/>
        </w:rPr>
        <w:t>须知前附表</w:t>
      </w:r>
      <w:r>
        <w:rPr>
          <w:rFonts w:hint="eastAsia" w:ascii="宋体" w:hAnsi="宋体"/>
          <w:sz w:val="24"/>
        </w:rPr>
        <w:t>。</w:t>
      </w:r>
    </w:p>
    <w:p w14:paraId="2B39607C">
      <w:pPr>
        <w:spacing w:line="500" w:lineRule="exact"/>
        <w:ind w:firstLine="482" w:firstLineChars="200"/>
        <w:rPr>
          <w:rFonts w:ascii="宋体" w:hAnsi="宋体"/>
          <w:b/>
          <w:sz w:val="24"/>
        </w:rPr>
      </w:pPr>
      <w:r>
        <w:rPr>
          <w:rFonts w:hint="eastAsia" w:ascii="宋体" w:hAnsi="宋体"/>
          <w:b/>
          <w:sz w:val="24"/>
        </w:rPr>
        <w:t>（2）利害关系投标人处理。</w:t>
      </w:r>
    </w:p>
    <w:p w14:paraId="3C64F7A4">
      <w:pPr>
        <w:spacing w:line="500" w:lineRule="exact"/>
        <w:ind w:firstLine="480" w:firstLineChars="200"/>
        <w:rPr>
          <w:rFonts w:ascii="宋体" w:hAnsi="宋体"/>
          <w:sz w:val="24"/>
        </w:rPr>
      </w:pPr>
      <w:r>
        <w:rPr>
          <w:rFonts w:hint="eastAsia" w:ascii="宋体" w:hAnsi="宋体"/>
          <w:sz w:val="24"/>
        </w:rPr>
        <w:t>单位负责人为同一人或者存在直接控股、管理关系的不同投标人不得参加同一合同项下的政府采购活动，否则</w:t>
      </w:r>
      <w:r>
        <w:rPr>
          <w:rFonts w:ascii="宋体" w:hAnsi="宋体"/>
          <w:sz w:val="24"/>
        </w:rPr>
        <w:t>，均作无效处理</w:t>
      </w:r>
      <w:r>
        <w:rPr>
          <w:rFonts w:hint="eastAsia" w:ascii="宋体" w:hAnsi="宋体"/>
          <w:sz w:val="24"/>
        </w:rPr>
        <w:t>。采购项目实行资格预审的，单位负责人为同一人或者存在直接控股、管理关系的不同投标人可以参加资格预审，但只能选择其中一家符合条件的投标人参加后续的政府采购活动。</w:t>
      </w:r>
    </w:p>
    <w:p w14:paraId="56E18924">
      <w:pPr>
        <w:spacing w:line="500" w:lineRule="exact"/>
        <w:ind w:firstLine="482" w:firstLineChars="200"/>
        <w:rPr>
          <w:rFonts w:ascii="宋体" w:hAnsi="宋体"/>
          <w:b/>
          <w:sz w:val="24"/>
        </w:rPr>
      </w:pPr>
      <w:r>
        <w:rPr>
          <w:rFonts w:hint="eastAsia" w:ascii="宋体" w:hAnsi="宋体"/>
          <w:b/>
          <w:sz w:val="24"/>
        </w:rPr>
        <w:t>（</w:t>
      </w:r>
      <w:r>
        <w:rPr>
          <w:rFonts w:ascii="宋体" w:hAnsi="宋体"/>
          <w:b/>
          <w:sz w:val="24"/>
        </w:rPr>
        <w:t>3</w:t>
      </w:r>
      <w:r>
        <w:rPr>
          <w:rFonts w:hint="eastAsia" w:ascii="宋体" w:hAnsi="宋体"/>
          <w:b/>
          <w:sz w:val="24"/>
        </w:rPr>
        <w:t>）前期参与投标人处理。</w:t>
      </w:r>
    </w:p>
    <w:p w14:paraId="25287192">
      <w:pPr>
        <w:spacing w:line="500" w:lineRule="exact"/>
        <w:ind w:firstLine="480" w:firstLineChars="200"/>
        <w:rPr>
          <w:rFonts w:ascii="宋体" w:hAnsi="宋体"/>
          <w:sz w:val="24"/>
        </w:rPr>
      </w:pPr>
      <w:r>
        <w:rPr>
          <w:rFonts w:hint="eastAsia" w:ascii="宋体" w:hAnsi="宋体"/>
          <w:sz w:val="24"/>
        </w:rPr>
        <w:t>为采购项目提供整体设计、规范编制或者项目管理、监理、检测等服务的投标人，不得再参加该采购项目的其他采购活动。投标人为采购人、采购代理机构在确定采购需求、编制招标文件过程中提供咨询论证，其提供的咨询论证意见成为招标文件中规定的投标人资格条件、技术服务商务要求、评标因素和标准、政府采购合同等实质性内容条款的，视同为采购项目提供规范编制。</w:t>
      </w:r>
    </w:p>
    <w:p w14:paraId="4B3D6A3A">
      <w:pPr>
        <w:spacing w:line="500" w:lineRule="exact"/>
        <w:ind w:firstLine="482" w:firstLineChars="200"/>
        <w:rPr>
          <w:rFonts w:ascii="宋体" w:hAnsi="宋体"/>
          <w:b/>
          <w:sz w:val="24"/>
        </w:rPr>
      </w:pPr>
      <w:r>
        <w:rPr>
          <w:rFonts w:hint="eastAsia" w:ascii="宋体" w:hAnsi="宋体"/>
          <w:b/>
          <w:sz w:val="24"/>
        </w:rPr>
        <w:t>（4）利害关系代理人处理。</w:t>
      </w:r>
    </w:p>
    <w:p w14:paraId="62119A0D">
      <w:pPr>
        <w:spacing w:line="500" w:lineRule="exact"/>
        <w:ind w:firstLine="480" w:firstLineChars="200"/>
        <w:rPr>
          <w:rFonts w:ascii="宋体" w:hAnsi="宋体"/>
          <w:sz w:val="24"/>
        </w:rPr>
      </w:pPr>
      <w:r>
        <w:rPr>
          <w:rFonts w:hint="eastAsia" w:ascii="宋体" w:hAnsi="宋体"/>
          <w:sz w:val="24"/>
        </w:rPr>
        <w:t>两家以上的投标人不得在同一合同项下的采购项目中，同时委托同一个自然人、同一家庭的人员、同一单位的人员作为其代理人，否则，其投标文件均作为无效处理。</w:t>
      </w:r>
    </w:p>
    <w:p w14:paraId="7CE5DFBF">
      <w:pPr>
        <w:pStyle w:val="4"/>
        <w:spacing w:line="240" w:lineRule="atLeast"/>
        <w:rPr>
          <w:rFonts w:ascii="黑体" w:hAnsi="黑体"/>
        </w:rPr>
      </w:pPr>
      <w:bookmarkStart w:id="69" w:name="_Toc183582209"/>
      <w:bookmarkStart w:id="70" w:name="_Toc77400779"/>
      <w:bookmarkStart w:id="71" w:name="_Toc13486"/>
      <w:bookmarkStart w:id="72" w:name="_Toc183682346"/>
      <w:bookmarkStart w:id="73" w:name="_Toc217446038"/>
      <w:bookmarkStart w:id="74" w:name="_Toc89075875"/>
      <w:r>
        <w:rPr>
          <w:rFonts w:hint="eastAsia" w:ascii="黑体" w:hAnsi="黑体"/>
        </w:rPr>
        <w:t>三、招标文件</w:t>
      </w:r>
      <w:bookmarkEnd w:id="69"/>
      <w:bookmarkEnd w:id="70"/>
      <w:bookmarkEnd w:id="71"/>
      <w:bookmarkEnd w:id="72"/>
      <w:bookmarkEnd w:id="73"/>
      <w:bookmarkEnd w:id="74"/>
    </w:p>
    <w:p w14:paraId="76B9BFF6">
      <w:pPr>
        <w:spacing w:line="500" w:lineRule="exact"/>
        <w:ind w:firstLine="482" w:firstLineChars="200"/>
        <w:rPr>
          <w:rFonts w:ascii="宋体" w:hAnsi="宋体"/>
          <w:b/>
          <w:sz w:val="24"/>
        </w:rPr>
      </w:pPr>
      <w:bookmarkStart w:id="75" w:name="_Toc183582210"/>
      <w:bookmarkStart w:id="76" w:name="_Toc183682347"/>
      <w:bookmarkStart w:id="77" w:name="_Toc217446039"/>
      <w:r>
        <w:rPr>
          <w:rFonts w:hint="eastAsia" w:ascii="宋体" w:hAnsi="宋体"/>
          <w:b/>
          <w:sz w:val="24"/>
        </w:rPr>
        <w:t>1、招标文件的构成</w:t>
      </w:r>
      <w:bookmarkEnd w:id="75"/>
      <w:bookmarkEnd w:id="76"/>
      <w:bookmarkEnd w:id="77"/>
    </w:p>
    <w:p w14:paraId="02E85C00">
      <w:pPr>
        <w:spacing w:line="50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的内容见</w:t>
      </w:r>
      <w:r>
        <w:rPr>
          <w:rFonts w:ascii="宋体" w:hAnsi="宋体"/>
          <w:sz w:val="24"/>
        </w:rPr>
        <w:t>投标须知前附表</w:t>
      </w:r>
      <w:r>
        <w:rPr>
          <w:rFonts w:hint="eastAsia" w:ascii="宋体" w:hAnsi="宋体"/>
          <w:sz w:val="24"/>
        </w:rPr>
        <w:t>。</w:t>
      </w:r>
    </w:p>
    <w:p w14:paraId="71B33BDD">
      <w:pPr>
        <w:spacing w:line="500" w:lineRule="exact"/>
        <w:ind w:firstLine="480" w:firstLineChars="200"/>
        <w:rPr>
          <w:rFonts w:ascii="宋体" w:hAnsi="宋体"/>
          <w:sz w:val="24"/>
        </w:rPr>
      </w:pPr>
      <w:r>
        <w:rPr>
          <w:rFonts w:hint="eastAsia" w:ascii="宋体" w:hAnsi="宋体"/>
          <w:sz w:val="24"/>
        </w:rPr>
        <w:t>（2）投标人收到招标文件时，应检查页数和附件数量。投标人发现任何页数或附件数量的遗缺，任何数字或词汇模糊不清，任何词义含混不清，应告之采购代理机构补全或澄清。如果投标人不按上述提出要求而造成不良后果，采购代理机构不承担责任。</w:t>
      </w:r>
    </w:p>
    <w:p w14:paraId="54C716A2">
      <w:pPr>
        <w:spacing w:line="500" w:lineRule="exact"/>
        <w:ind w:firstLine="482" w:firstLineChars="200"/>
        <w:rPr>
          <w:rFonts w:ascii="宋体" w:hAnsi="宋体"/>
          <w:b/>
          <w:sz w:val="24"/>
        </w:rPr>
      </w:pPr>
      <w:bookmarkStart w:id="78" w:name="_Toc183682348"/>
      <w:bookmarkStart w:id="79" w:name="_Toc183582211"/>
      <w:bookmarkStart w:id="80" w:name="_Toc217446040"/>
      <w:r>
        <w:rPr>
          <w:rFonts w:hint="eastAsia" w:ascii="宋体" w:hAnsi="宋体"/>
          <w:b/>
          <w:sz w:val="24"/>
        </w:rPr>
        <w:t>2、 招标文件的澄清</w:t>
      </w:r>
      <w:bookmarkEnd w:id="78"/>
      <w:bookmarkEnd w:id="79"/>
      <w:r>
        <w:rPr>
          <w:rFonts w:hint="eastAsia" w:ascii="宋体" w:hAnsi="宋体"/>
          <w:b/>
          <w:sz w:val="24"/>
        </w:rPr>
        <w:t>和修改</w:t>
      </w:r>
      <w:bookmarkEnd w:id="80"/>
    </w:p>
    <w:p w14:paraId="2643D8AD">
      <w:pPr>
        <w:spacing w:line="500" w:lineRule="exact"/>
        <w:ind w:firstLine="480" w:firstLineChars="200"/>
        <w:rPr>
          <w:rFonts w:ascii="宋体" w:hAnsi="宋体"/>
          <w:sz w:val="24"/>
        </w:rPr>
      </w:pPr>
      <w:r>
        <w:rPr>
          <w:rFonts w:hint="eastAsia" w:ascii="宋体" w:hAnsi="宋体"/>
          <w:sz w:val="24"/>
        </w:rPr>
        <w:t>（1）在投标截止时间前，招标采购单位可以对招标文件进行澄清或者修改。</w:t>
      </w:r>
    </w:p>
    <w:p w14:paraId="33D1262F">
      <w:pPr>
        <w:spacing w:line="500" w:lineRule="exact"/>
        <w:ind w:firstLine="480" w:firstLineChars="200"/>
        <w:rPr>
          <w:rFonts w:ascii="宋体" w:hAnsi="宋体"/>
          <w:sz w:val="24"/>
        </w:rPr>
      </w:pPr>
      <w:r>
        <w:rPr>
          <w:rFonts w:hint="eastAsia" w:ascii="宋体" w:hAnsi="宋体"/>
          <w:sz w:val="24"/>
        </w:rPr>
        <w:t>（2）招标采购单位对已发出的招标文件进行澄清或者修改，应当以</w:t>
      </w:r>
      <w:r>
        <w:rPr>
          <w:rFonts w:hint="eastAsia" w:ascii="宋体" w:hAnsi="宋体"/>
          <w:sz w:val="24"/>
          <w:lang w:val="en-US" w:eastAsia="zh-CN"/>
        </w:rPr>
        <w:t>书面</w:t>
      </w:r>
      <w:r>
        <w:rPr>
          <w:rFonts w:hint="eastAsia" w:ascii="宋体" w:hAnsi="宋体"/>
          <w:sz w:val="24"/>
        </w:rPr>
        <w:t>形式将澄清或者修改的内容通知所有</w:t>
      </w:r>
      <w:r>
        <w:rPr>
          <w:rFonts w:hint="eastAsia" w:ascii="宋体" w:hAnsi="宋体"/>
          <w:sz w:val="24"/>
          <w:lang w:eastAsia="zh-CN"/>
        </w:rPr>
        <w:t>下载</w:t>
      </w:r>
      <w:r>
        <w:rPr>
          <w:rFonts w:hint="eastAsia" w:ascii="宋体" w:hAnsi="宋体"/>
          <w:sz w:val="24"/>
        </w:rPr>
        <w:t>了招标文件的投标人，同时在发布本公告相同</w:t>
      </w:r>
      <w:r>
        <w:rPr>
          <w:rFonts w:hint="eastAsia"/>
        </w:rPr>
        <w:t>网站</w:t>
      </w:r>
      <w:r>
        <w:rPr>
          <w:rFonts w:hint="eastAsia" w:ascii="宋体" w:hAnsi="宋体"/>
          <w:sz w:val="24"/>
        </w:rPr>
        <w:t>上发布更正公告。该澄清或者修改的内容为招标文件的组成部分，澄清或者修改的内容可能影响投标文件、资格预审文件编制的，采购人或者采购代理机构发布公告通知投标人的时间，应当在投标截止时间至少1</w:t>
      </w:r>
      <w:r>
        <w:rPr>
          <w:rFonts w:ascii="宋体" w:hAnsi="宋体"/>
          <w:sz w:val="24"/>
        </w:rPr>
        <w:t>5</w:t>
      </w:r>
      <w:r>
        <w:rPr>
          <w:rFonts w:hint="eastAsia" w:ascii="宋体" w:hAnsi="宋体"/>
          <w:sz w:val="24"/>
        </w:rPr>
        <w:t>日前，不足上述时间的，应当顺延提交投标文件的截止时间。</w:t>
      </w:r>
    </w:p>
    <w:p w14:paraId="596F09FF">
      <w:pPr>
        <w:spacing w:line="500" w:lineRule="exact"/>
        <w:ind w:firstLine="480" w:firstLineChars="200"/>
        <w:rPr>
          <w:rFonts w:hint="eastAsia" w:ascii="宋体" w:hAnsi="宋体"/>
          <w:sz w:val="24"/>
        </w:rPr>
      </w:pPr>
      <w:r>
        <w:rPr>
          <w:rFonts w:hint="eastAsia" w:ascii="宋体" w:hAnsi="宋体"/>
          <w:sz w:val="24"/>
        </w:rPr>
        <w:t>（3）投标人认为需要对招标文件进行澄清或者修改的，可以以书面形式向招标采购单位提出申请。</w:t>
      </w:r>
    </w:p>
    <w:p w14:paraId="37ED9841">
      <w:pPr>
        <w:spacing w:line="500" w:lineRule="exact"/>
        <w:ind w:firstLine="480" w:firstLineChars="200"/>
        <w:rPr>
          <w:rFonts w:hint="eastAsia" w:ascii="宋体" w:hAnsi="宋体"/>
          <w:sz w:val="24"/>
        </w:rPr>
      </w:pPr>
      <w:r>
        <w:rPr>
          <w:rFonts w:hint="eastAsia" w:ascii="宋体" w:hAnsi="宋体"/>
          <w:sz w:val="24"/>
        </w:rPr>
        <w:t>（4）投标人需及时关注</w:t>
      </w:r>
      <w:r>
        <w:rPr>
          <w:rFonts w:hint="eastAsia" w:ascii="宋体" w:hAnsi="宋体"/>
          <w:color w:val="FF0000"/>
          <w:sz w:val="24"/>
        </w:rPr>
        <w:t>政采云平台https://www.zcygov.cn/</w:t>
      </w:r>
      <w:r>
        <w:rPr>
          <w:rFonts w:hint="eastAsia" w:ascii="宋体" w:hAnsi="宋体"/>
          <w:sz w:val="24"/>
        </w:rPr>
        <w:t>发布的变更公告和澄清文件,如因自身原因未及时关注其后果自行承担。</w:t>
      </w:r>
    </w:p>
    <w:p w14:paraId="3D0DE6B5">
      <w:pPr>
        <w:spacing w:line="500" w:lineRule="exact"/>
        <w:ind w:firstLine="482" w:firstLineChars="200"/>
        <w:rPr>
          <w:rFonts w:ascii="宋体" w:hAnsi="宋体"/>
          <w:b/>
          <w:sz w:val="24"/>
        </w:rPr>
      </w:pPr>
      <w:bookmarkStart w:id="81" w:name="_Toc217446041"/>
      <w:bookmarkStart w:id="82" w:name="_Toc208848971"/>
      <w:r>
        <w:rPr>
          <w:rFonts w:hint="eastAsia" w:ascii="宋体" w:hAnsi="宋体"/>
          <w:b/>
          <w:sz w:val="24"/>
        </w:rPr>
        <w:t xml:space="preserve">3、 </w:t>
      </w:r>
      <w:bookmarkEnd w:id="81"/>
      <w:bookmarkEnd w:id="82"/>
      <w:r>
        <w:rPr>
          <w:rFonts w:hint="eastAsia" w:ascii="宋体" w:hAnsi="宋体"/>
          <w:b/>
          <w:sz w:val="24"/>
        </w:rPr>
        <w:t>现场勘查</w:t>
      </w:r>
      <w:r>
        <w:rPr>
          <w:rFonts w:ascii="宋体" w:hAnsi="宋体"/>
          <w:b/>
          <w:sz w:val="24"/>
        </w:rPr>
        <w:t>及答疑</w:t>
      </w:r>
    </w:p>
    <w:p w14:paraId="339A63BB">
      <w:pPr>
        <w:pStyle w:val="76"/>
        <w:rPr>
          <w:rFonts w:hint="eastAsia" w:eastAsia="华文楷体"/>
          <w:lang w:val="en-US" w:eastAsia="zh-CN"/>
        </w:rPr>
      </w:pPr>
      <w:r>
        <w:rPr>
          <w:rFonts w:hint="eastAsia"/>
          <w:lang w:val="en-US" w:eastAsia="zh-CN"/>
        </w:rPr>
        <w:t>无</w:t>
      </w:r>
    </w:p>
    <w:p w14:paraId="71DEC984">
      <w:pPr>
        <w:pStyle w:val="4"/>
        <w:spacing w:line="240" w:lineRule="atLeast"/>
        <w:rPr>
          <w:rFonts w:ascii="黑体" w:hAnsi="黑体"/>
        </w:rPr>
      </w:pPr>
      <w:bookmarkStart w:id="83" w:name="_Toc217446042"/>
      <w:bookmarkStart w:id="84" w:name="_Toc17236"/>
      <w:bookmarkStart w:id="85" w:name="_Toc183682351"/>
      <w:bookmarkStart w:id="86" w:name="_Toc89075876"/>
      <w:bookmarkStart w:id="87" w:name="_Toc183582214"/>
      <w:bookmarkStart w:id="88" w:name="_Toc77400780"/>
      <w:r>
        <w:rPr>
          <w:rFonts w:hint="eastAsia" w:ascii="黑体" w:hAnsi="黑体"/>
        </w:rPr>
        <w:t>四、投标文件</w:t>
      </w:r>
      <w:bookmarkEnd w:id="83"/>
      <w:bookmarkEnd w:id="84"/>
      <w:bookmarkEnd w:id="85"/>
      <w:bookmarkEnd w:id="86"/>
      <w:bookmarkEnd w:id="87"/>
      <w:bookmarkEnd w:id="88"/>
    </w:p>
    <w:p w14:paraId="345386A7">
      <w:pPr>
        <w:spacing w:line="500" w:lineRule="exact"/>
        <w:ind w:firstLine="482" w:firstLineChars="200"/>
        <w:rPr>
          <w:rFonts w:ascii="宋体" w:hAnsi="宋体"/>
          <w:b/>
          <w:bCs/>
          <w:sz w:val="24"/>
        </w:rPr>
      </w:pPr>
      <w:bookmarkStart w:id="89" w:name="_Toc183682352"/>
      <w:bookmarkStart w:id="90" w:name="_Toc217446043"/>
      <w:bookmarkStart w:id="91" w:name="_Toc183582215"/>
      <w:r>
        <w:rPr>
          <w:rFonts w:hint="eastAsia" w:ascii="宋体" w:hAnsi="宋体"/>
          <w:b/>
          <w:bCs/>
          <w:sz w:val="24"/>
        </w:rPr>
        <w:t>1、投标文件的语言</w:t>
      </w:r>
      <w:r>
        <w:rPr>
          <w:rFonts w:hint="eastAsia" w:ascii="宋体" w:hAnsi="宋体"/>
          <w:b/>
          <w:sz w:val="24"/>
        </w:rPr>
        <w:t>（实质性要求）</w:t>
      </w:r>
    </w:p>
    <w:p w14:paraId="2A2D4E5E">
      <w:pPr>
        <w:spacing w:line="500" w:lineRule="exact"/>
        <w:ind w:firstLine="480" w:firstLineChars="200"/>
        <w:rPr>
          <w:rFonts w:ascii="宋体" w:hAnsi="宋体"/>
          <w:sz w:val="24"/>
        </w:rPr>
      </w:pPr>
      <w:r>
        <w:rPr>
          <w:rFonts w:hint="eastAsia" w:ascii="宋体" w:hAnsi="宋体"/>
          <w:sz w:val="24"/>
        </w:rPr>
        <w:t>（1） 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被视为无效材料。投标人的法定代表人为外籍人士的，法定代表人的签字和护照除外。</w:t>
      </w:r>
    </w:p>
    <w:p w14:paraId="07EBA67F">
      <w:pPr>
        <w:spacing w:line="500" w:lineRule="exact"/>
        <w:ind w:firstLine="480" w:firstLineChars="200"/>
        <w:rPr>
          <w:rFonts w:ascii="宋体" w:hAnsi="宋体"/>
          <w:sz w:val="24"/>
        </w:rPr>
      </w:pPr>
      <w:r>
        <w:rPr>
          <w:rFonts w:hint="eastAsia" w:ascii="宋体" w:hAnsi="宋体"/>
          <w:sz w:val="24"/>
        </w:rPr>
        <w:t>（2） 翻译的中文资料与外文资料如果出现差异和矛盾时，以中文为准。涉嫌虚假响应的按照相关法律法规处理。</w:t>
      </w:r>
    </w:p>
    <w:p w14:paraId="3BB9F7C0">
      <w:pPr>
        <w:spacing w:line="500" w:lineRule="exact"/>
        <w:ind w:firstLine="482" w:firstLineChars="200"/>
        <w:rPr>
          <w:rFonts w:ascii="宋体" w:hAnsi="宋体"/>
          <w:b/>
          <w:sz w:val="24"/>
        </w:rPr>
      </w:pPr>
      <w:r>
        <w:rPr>
          <w:rFonts w:hint="eastAsia" w:ascii="宋体" w:hAnsi="宋体"/>
          <w:b/>
          <w:sz w:val="24"/>
        </w:rPr>
        <w:t>2、计量单位（实质性要求）</w:t>
      </w:r>
    </w:p>
    <w:p w14:paraId="078137D7">
      <w:pPr>
        <w:spacing w:line="500" w:lineRule="exact"/>
        <w:ind w:firstLine="480" w:firstLineChars="200"/>
        <w:rPr>
          <w:rFonts w:ascii="宋体" w:hAnsi="宋体"/>
          <w:sz w:val="24"/>
        </w:rPr>
      </w:pPr>
      <w:r>
        <w:rPr>
          <w:rFonts w:hint="eastAsia" w:ascii="宋体" w:hAnsi="宋体"/>
          <w:sz w:val="24"/>
        </w:rPr>
        <w:t>除招标文件中另有规定外，本次采购项目所有合同项下的投标均采用国家法定的计量单位。</w:t>
      </w:r>
    </w:p>
    <w:p w14:paraId="57D128DD">
      <w:pPr>
        <w:spacing w:line="500" w:lineRule="exact"/>
        <w:ind w:firstLine="482" w:firstLineChars="200"/>
        <w:rPr>
          <w:rFonts w:ascii="宋体" w:hAnsi="宋体"/>
          <w:b/>
          <w:sz w:val="24"/>
        </w:rPr>
      </w:pPr>
      <w:r>
        <w:rPr>
          <w:rFonts w:hint="eastAsia" w:ascii="宋体" w:hAnsi="宋体"/>
          <w:b/>
          <w:sz w:val="24"/>
        </w:rPr>
        <w:t>3、 投标货币（实质性要求）</w:t>
      </w:r>
    </w:p>
    <w:p w14:paraId="33EB6371">
      <w:pPr>
        <w:spacing w:line="500" w:lineRule="exact"/>
        <w:ind w:firstLine="480" w:firstLineChars="200"/>
        <w:rPr>
          <w:rFonts w:ascii="宋体" w:hAnsi="宋体"/>
          <w:sz w:val="24"/>
        </w:rPr>
      </w:pPr>
      <w:r>
        <w:rPr>
          <w:rFonts w:hint="eastAsia" w:ascii="宋体" w:hAnsi="宋体"/>
          <w:sz w:val="24"/>
        </w:rPr>
        <w:t>本次招标项目的投标均以人民币报价。</w:t>
      </w:r>
    </w:p>
    <w:p w14:paraId="17E84062">
      <w:pPr>
        <w:spacing w:line="500" w:lineRule="exact"/>
        <w:ind w:firstLine="482" w:firstLineChars="200"/>
        <w:rPr>
          <w:rFonts w:hint="eastAsia" w:ascii="宋体" w:hAnsi="宋体"/>
          <w:b/>
          <w:color w:val="FF0000"/>
          <w:sz w:val="24"/>
        </w:rPr>
      </w:pPr>
      <w:r>
        <w:rPr>
          <w:rFonts w:hint="eastAsia" w:ascii="宋体" w:hAnsi="宋体"/>
          <w:b/>
          <w:color w:val="FF0000"/>
          <w:sz w:val="24"/>
        </w:rPr>
        <w:t>4、</w:t>
      </w:r>
      <w:bookmarkStart w:id="92" w:name="_Toc217446046"/>
      <w:bookmarkStart w:id="93" w:name="OLE_LINK9"/>
      <w:bookmarkStart w:id="94" w:name="OLE_LINK10"/>
      <w:r>
        <w:rPr>
          <w:rFonts w:hint="eastAsia" w:ascii="宋体" w:hAnsi="宋体"/>
          <w:b/>
          <w:color w:val="FF0000"/>
          <w:sz w:val="24"/>
        </w:rPr>
        <w:t xml:space="preserve"> 联合体投标</w:t>
      </w:r>
      <w:bookmarkEnd w:id="92"/>
      <w:r>
        <w:rPr>
          <w:rFonts w:hint="eastAsia" w:ascii="宋体" w:hAnsi="宋体"/>
          <w:b/>
          <w:color w:val="FF0000"/>
          <w:sz w:val="24"/>
        </w:rPr>
        <w:t>（实质性要求）</w:t>
      </w:r>
    </w:p>
    <w:p w14:paraId="653CE504">
      <w:pPr>
        <w:pStyle w:val="76"/>
        <w:rPr>
          <w:rFonts w:hint="default" w:eastAsia="华文楷体"/>
          <w:lang w:val="en-US" w:eastAsia="zh-CN"/>
        </w:rPr>
      </w:pPr>
      <w:r>
        <w:rPr>
          <w:rFonts w:hint="eastAsia"/>
          <w:lang w:val="en-US" w:eastAsia="zh-CN"/>
        </w:rPr>
        <w:t>不接受</w:t>
      </w:r>
    </w:p>
    <w:bookmarkEnd w:id="93"/>
    <w:bookmarkEnd w:id="94"/>
    <w:p w14:paraId="7B3C6F25">
      <w:pPr>
        <w:spacing w:line="500" w:lineRule="exact"/>
        <w:ind w:firstLine="482" w:firstLineChars="200"/>
        <w:rPr>
          <w:rFonts w:ascii="宋体" w:hAnsi="宋体"/>
          <w:b/>
          <w:bCs/>
          <w:sz w:val="24"/>
        </w:rPr>
      </w:pPr>
      <w:r>
        <w:rPr>
          <w:rFonts w:hint="eastAsia" w:ascii="宋体" w:hAnsi="宋体"/>
          <w:b/>
          <w:sz w:val="24"/>
        </w:rPr>
        <w:t>5、知识产权（实质性要求）</w:t>
      </w:r>
    </w:p>
    <w:p w14:paraId="68AC1B2B">
      <w:pPr>
        <w:spacing w:line="500" w:lineRule="exact"/>
        <w:ind w:firstLine="480" w:firstLineChars="200"/>
        <w:rPr>
          <w:rFonts w:ascii="宋体" w:hAnsi="宋体"/>
          <w:sz w:val="24"/>
        </w:rPr>
      </w:pPr>
      <w:r>
        <w:rPr>
          <w:rFonts w:hint="eastAsia" w:ascii="宋体" w:hAnsi="宋体"/>
          <w:sz w:val="24"/>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0456C1E">
      <w:pPr>
        <w:spacing w:line="500" w:lineRule="exact"/>
        <w:ind w:firstLine="480" w:firstLineChars="200"/>
        <w:rPr>
          <w:rFonts w:ascii="宋体" w:hAnsi="宋体"/>
          <w:sz w:val="24"/>
        </w:rPr>
      </w:pPr>
      <w:r>
        <w:rPr>
          <w:rFonts w:hint="eastAsia" w:ascii="宋体" w:hAnsi="宋体"/>
          <w:sz w:val="24"/>
        </w:rPr>
        <w:t>（2）采购人享有本项目实施过程中产生的知识成果及知识产权。</w:t>
      </w:r>
    </w:p>
    <w:p w14:paraId="674B11EB">
      <w:pPr>
        <w:spacing w:line="500" w:lineRule="exact"/>
        <w:ind w:firstLine="480" w:firstLineChars="200"/>
        <w:rPr>
          <w:rFonts w:ascii="宋体" w:hAnsi="宋体"/>
          <w:sz w:val="24"/>
        </w:rPr>
      </w:pPr>
      <w:r>
        <w:rPr>
          <w:rFonts w:hint="eastAsia" w:ascii="宋体" w:hAnsi="宋体"/>
          <w:sz w:val="24"/>
        </w:rPr>
        <w:t>（3）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14:paraId="59CF96E4">
      <w:pPr>
        <w:spacing w:line="500" w:lineRule="exact"/>
        <w:ind w:firstLine="480" w:firstLineChars="200"/>
        <w:rPr>
          <w:rFonts w:ascii="宋体" w:hAnsi="宋体"/>
          <w:sz w:val="24"/>
        </w:rPr>
      </w:pPr>
      <w:r>
        <w:rPr>
          <w:rFonts w:hint="eastAsia" w:ascii="宋体" w:hAnsi="宋体"/>
          <w:sz w:val="24"/>
        </w:rPr>
        <w:t xml:space="preserve">（4）如采用投标人所不拥有的知识产权，则在投标报价中必须包括合法获取该知识产权的相关费用。 </w:t>
      </w:r>
    </w:p>
    <w:p w14:paraId="4299252E">
      <w:pPr>
        <w:spacing w:line="500" w:lineRule="exact"/>
        <w:ind w:firstLine="482" w:firstLineChars="200"/>
        <w:rPr>
          <w:rFonts w:ascii="宋体" w:hAnsi="宋体"/>
          <w:b/>
          <w:sz w:val="24"/>
        </w:rPr>
      </w:pPr>
      <w:r>
        <w:rPr>
          <w:rFonts w:hint="eastAsia" w:ascii="宋体" w:hAnsi="宋体"/>
          <w:b/>
          <w:sz w:val="24"/>
        </w:rPr>
        <w:t>6、投标文件的组成</w:t>
      </w:r>
    </w:p>
    <w:p w14:paraId="66DB9E86">
      <w:pPr>
        <w:spacing w:line="500" w:lineRule="exact"/>
        <w:ind w:firstLine="480" w:firstLineChars="200"/>
        <w:rPr>
          <w:rFonts w:ascii="宋体" w:hAnsi="宋体"/>
          <w:sz w:val="24"/>
        </w:rPr>
      </w:pPr>
      <w:r>
        <w:rPr>
          <w:rFonts w:hint="eastAsia" w:ascii="宋体" w:hAnsi="宋体"/>
          <w:sz w:val="24"/>
        </w:rPr>
        <w:t xml:space="preserve"> 投标人应按照招标文件的规定和要求编制投标文件。投标人编写的投标文件应包括的内容</w:t>
      </w:r>
      <w:r>
        <w:rPr>
          <w:rFonts w:ascii="宋体" w:hAnsi="宋体"/>
          <w:sz w:val="24"/>
        </w:rPr>
        <w:t>见投标须知前附表</w:t>
      </w:r>
      <w:r>
        <w:rPr>
          <w:rFonts w:hint="eastAsia" w:ascii="宋体" w:hAnsi="宋体"/>
          <w:sz w:val="24"/>
        </w:rPr>
        <w:t>。</w:t>
      </w:r>
    </w:p>
    <w:p w14:paraId="3C0E7A6C">
      <w:pPr>
        <w:spacing w:line="500" w:lineRule="exact"/>
        <w:ind w:firstLine="482" w:firstLineChars="200"/>
        <w:rPr>
          <w:rFonts w:ascii="宋体" w:hAnsi="宋体"/>
          <w:b/>
          <w:sz w:val="24"/>
        </w:rPr>
      </w:pPr>
      <w:r>
        <w:rPr>
          <w:rFonts w:hint="eastAsia" w:ascii="宋体" w:hAnsi="宋体"/>
          <w:b/>
          <w:sz w:val="24"/>
        </w:rPr>
        <w:t>7、投标文件格式</w:t>
      </w:r>
    </w:p>
    <w:p w14:paraId="50B9B022">
      <w:pPr>
        <w:spacing w:line="50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 xml:space="preserve"> 投标人应当执行招标文件第八章的规定要求。</w:t>
      </w:r>
    </w:p>
    <w:p w14:paraId="706F0B0D">
      <w:pPr>
        <w:spacing w:line="500" w:lineRule="exact"/>
        <w:ind w:firstLine="480" w:firstLineChars="200"/>
        <w:rPr>
          <w:rFonts w:ascii="宋体" w:hAnsi="宋体"/>
          <w:sz w:val="24"/>
        </w:rPr>
      </w:pPr>
      <w:r>
        <w:rPr>
          <w:rFonts w:hint="eastAsia" w:ascii="宋体" w:hAnsi="宋体"/>
          <w:sz w:val="24"/>
        </w:rPr>
        <w:t>（2） 对于没有格式要求的部分由投标人自行编写。</w:t>
      </w:r>
    </w:p>
    <w:p w14:paraId="6D66514C">
      <w:pPr>
        <w:spacing w:line="500" w:lineRule="exact"/>
        <w:ind w:firstLine="482" w:firstLineChars="200"/>
        <w:rPr>
          <w:rFonts w:ascii="宋体" w:hAnsi="宋体"/>
          <w:b/>
          <w:sz w:val="24"/>
        </w:rPr>
      </w:pPr>
      <w:r>
        <w:rPr>
          <w:rFonts w:hint="eastAsia" w:ascii="宋体" w:hAnsi="宋体"/>
          <w:b/>
          <w:bCs/>
          <w:sz w:val="24"/>
        </w:rPr>
        <w:t>8、投标保证金</w:t>
      </w:r>
      <w:r>
        <w:rPr>
          <w:rFonts w:hint="eastAsia" w:ascii="宋体" w:hAnsi="宋体"/>
          <w:b/>
          <w:sz w:val="24"/>
        </w:rPr>
        <w:t>（实质性要求）</w:t>
      </w:r>
    </w:p>
    <w:p w14:paraId="7D1A9006">
      <w:pPr>
        <w:spacing w:line="500" w:lineRule="exact"/>
        <w:ind w:firstLine="480" w:firstLineChars="200"/>
        <w:rPr>
          <w:rFonts w:hint="default" w:ascii="宋体" w:hAnsi="宋体" w:eastAsiaTheme="minorEastAsia"/>
          <w:sz w:val="24"/>
          <w:lang w:val="en-US" w:eastAsia="zh-CN"/>
        </w:rPr>
      </w:pPr>
      <w:bookmarkStart w:id="95" w:name="OLE_LINK35"/>
      <w:bookmarkStart w:id="96" w:name="OLE_LINK14"/>
      <w:bookmarkStart w:id="97" w:name="OLE_LINK36"/>
      <w:bookmarkStart w:id="98" w:name="OLE_LINK13"/>
      <w:bookmarkStart w:id="99" w:name="OLE_LINK12"/>
      <w:r>
        <w:rPr>
          <w:rFonts w:hint="eastAsia" w:ascii="宋体" w:hAnsi="宋体"/>
          <w:sz w:val="24"/>
          <w:lang w:val="en-US" w:eastAsia="zh-CN"/>
        </w:rPr>
        <w:t>不收取</w:t>
      </w:r>
    </w:p>
    <w:p w14:paraId="3C2D7856">
      <w:pPr>
        <w:spacing w:line="500" w:lineRule="exact"/>
        <w:ind w:firstLine="480" w:firstLineChars="200"/>
        <w:rPr>
          <w:rFonts w:ascii="宋体" w:hAnsi="宋体"/>
          <w:sz w:val="24"/>
        </w:rPr>
      </w:pPr>
      <w:r>
        <w:rPr>
          <w:rFonts w:hint="eastAsia" w:ascii="宋体" w:hAnsi="宋体"/>
          <w:sz w:val="24"/>
        </w:rPr>
        <w:t>（1）投标人投标时，必须按照本招标文件规定的方式、数额等内容提交投标保证金，并作为其投标的一部分。</w:t>
      </w:r>
    </w:p>
    <w:p w14:paraId="076B010B">
      <w:pPr>
        <w:spacing w:line="500" w:lineRule="exact"/>
        <w:ind w:firstLine="480" w:firstLineChars="200"/>
        <w:rPr>
          <w:rFonts w:ascii="宋体" w:hAnsi="宋体"/>
          <w:sz w:val="24"/>
        </w:rPr>
      </w:pPr>
      <w:r>
        <w:rPr>
          <w:rFonts w:hint="eastAsia" w:ascii="宋体" w:hAnsi="宋体"/>
          <w:sz w:val="24"/>
        </w:rPr>
        <w:t>（2）投标保证金的递交方式：</w:t>
      </w:r>
      <w:r>
        <w:rPr>
          <w:rFonts w:hint="eastAsia" w:ascii="宋体" w:hAnsi="宋体" w:cs="宋体"/>
          <w:sz w:val="24"/>
        </w:rPr>
        <w:t>详见投标须知前附表。</w:t>
      </w:r>
    </w:p>
    <w:p w14:paraId="5892891C">
      <w:pPr>
        <w:spacing w:line="360" w:lineRule="exact"/>
        <w:ind w:firstLine="480" w:firstLineChars="200"/>
        <w:jc w:val="left"/>
        <w:rPr>
          <w:rFonts w:ascii="宋体" w:hAnsi="宋体"/>
          <w:spacing w:val="-8"/>
          <w:sz w:val="24"/>
        </w:rPr>
      </w:pPr>
      <w:r>
        <w:rPr>
          <w:rFonts w:hint="eastAsia" w:ascii="宋体" w:hAnsi="宋体"/>
          <w:sz w:val="24"/>
        </w:rPr>
        <w:t>（3）未按</w:t>
      </w:r>
      <w:r>
        <w:rPr>
          <w:rFonts w:hint="eastAsia" w:ascii="宋体" w:hAnsi="宋体"/>
          <w:spacing w:val="-8"/>
          <w:sz w:val="24"/>
        </w:rPr>
        <w:t>规定时间和要求提交投标保证金的投标，将被视为非响应性</w:t>
      </w:r>
      <w:r>
        <w:rPr>
          <w:rFonts w:ascii="宋体" w:hAnsi="宋体"/>
          <w:spacing w:val="-8"/>
          <w:sz w:val="24"/>
        </w:rPr>
        <w:t>投标而予拒绝</w:t>
      </w:r>
      <w:r>
        <w:rPr>
          <w:rFonts w:hint="eastAsia" w:ascii="宋体" w:hAnsi="宋体"/>
          <w:spacing w:val="-8"/>
          <w:sz w:val="24"/>
        </w:rPr>
        <w:t>。</w:t>
      </w:r>
    </w:p>
    <w:p w14:paraId="03E1C949">
      <w:pPr>
        <w:spacing w:line="360" w:lineRule="exact"/>
        <w:jc w:val="left"/>
        <w:rPr>
          <w:rFonts w:ascii="宋体" w:hAnsi="宋体"/>
          <w:sz w:val="24"/>
        </w:rPr>
      </w:pPr>
      <w:r>
        <w:rPr>
          <w:rFonts w:hint="eastAsia" w:ascii="宋体" w:hAnsi="宋体"/>
          <w:spacing w:val="-8"/>
          <w:sz w:val="24"/>
        </w:rPr>
        <w:t xml:space="preserve"> </w:t>
      </w:r>
      <w:r>
        <w:rPr>
          <w:rFonts w:hint="eastAsia" w:ascii="宋体" w:hAnsi="宋体"/>
          <w:sz w:val="24"/>
        </w:rPr>
        <w:t xml:space="preserve">   （4）未中标人的投标保证金，采购中心将在中标通知书发出之日起5个工作日内退回原汇入帐户。</w:t>
      </w:r>
    </w:p>
    <w:p w14:paraId="42C1C061">
      <w:pPr>
        <w:spacing w:line="360" w:lineRule="exact"/>
        <w:ind w:firstLine="480"/>
        <w:rPr>
          <w:rFonts w:ascii="宋体" w:hAnsi="宋体"/>
          <w:b/>
          <w:color w:val="00B0F0"/>
          <w:sz w:val="24"/>
        </w:rPr>
      </w:pPr>
      <w:r>
        <w:rPr>
          <w:rFonts w:hint="eastAsia" w:ascii="宋体" w:hAnsi="宋体"/>
          <w:sz w:val="24"/>
        </w:rPr>
        <w:t>（5）</w:t>
      </w:r>
      <w:r>
        <w:rPr>
          <w:rFonts w:hint="eastAsia" w:ascii="宋体" w:hAnsi="宋体"/>
          <w:b/>
          <w:sz w:val="24"/>
        </w:rPr>
        <w:t>中标人的投标保证金，采购中心将根据</w:t>
      </w:r>
      <w:r>
        <w:rPr>
          <w:rFonts w:ascii="宋体" w:hAnsi="宋体"/>
          <w:b/>
          <w:sz w:val="24"/>
        </w:rPr>
        <w:t>采购人或中标人上传的合同扫描件</w:t>
      </w:r>
      <w:r>
        <w:rPr>
          <w:rFonts w:hint="eastAsia" w:ascii="宋体" w:hAnsi="宋体"/>
          <w:b/>
          <w:sz w:val="24"/>
        </w:rPr>
        <w:t>，</w:t>
      </w:r>
      <w:r>
        <w:rPr>
          <w:rFonts w:ascii="宋体" w:hAnsi="宋体"/>
          <w:b/>
          <w:sz w:val="24"/>
        </w:rPr>
        <w:t>签发中标人投标保证金退付指令或中标人持该项目的合同原件，到中心项目评审科办理保证金退付手续。</w:t>
      </w:r>
      <w:r>
        <w:rPr>
          <w:rFonts w:hint="eastAsia" w:ascii="宋体" w:hAnsi="宋体"/>
          <w:b/>
          <w:sz w:val="24"/>
        </w:rPr>
        <w:t>中心</w:t>
      </w:r>
      <w:r>
        <w:rPr>
          <w:rFonts w:ascii="宋体" w:hAnsi="宋体"/>
          <w:b/>
          <w:sz w:val="24"/>
        </w:rPr>
        <w:t>在</w:t>
      </w:r>
      <w:r>
        <w:rPr>
          <w:rFonts w:hint="eastAsia" w:ascii="宋体" w:hAnsi="宋体"/>
          <w:b/>
          <w:sz w:val="24"/>
        </w:rPr>
        <w:t>5个工作日内退回原汇入帐户。</w:t>
      </w:r>
    </w:p>
    <w:p w14:paraId="7C369734">
      <w:pPr>
        <w:spacing w:line="360" w:lineRule="exact"/>
        <w:rPr>
          <w:rFonts w:ascii="宋体" w:hAnsi="宋体"/>
          <w:spacing w:val="-8"/>
          <w:sz w:val="24"/>
        </w:rPr>
      </w:pPr>
      <w:r>
        <w:rPr>
          <w:rFonts w:hint="eastAsia" w:ascii="宋体" w:hAnsi="宋体"/>
          <w:spacing w:val="-8"/>
          <w:sz w:val="24"/>
        </w:rPr>
        <w:t xml:space="preserve">     （6）有下列情形之一时，投标人的投标保证金将被</w:t>
      </w:r>
      <w:r>
        <w:rPr>
          <w:rFonts w:hint="eastAsia" w:ascii="宋体" w:hAnsi="宋体"/>
          <w:spacing w:val="-8"/>
          <w:sz w:val="24"/>
          <w:lang w:val="en-US" w:eastAsia="zh-CN"/>
        </w:rPr>
        <w:t>暂扣并报主管部门处理</w:t>
      </w:r>
      <w:r>
        <w:rPr>
          <w:rFonts w:hint="eastAsia" w:ascii="宋体" w:hAnsi="宋体"/>
          <w:spacing w:val="-8"/>
          <w:sz w:val="24"/>
        </w:rPr>
        <w:t>。</w:t>
      </w:r>
    </w:p>
    <w:p w14:paraId="09AB5C07">
      <w:pPr>
        <w:spacing w:line="500" w:lineRule="exact"/>
        <w:ind w:firstLine="224" w:firstLineChars="100"/>
        <w:rPr>
          <w:rFonts w:ascii="宋体" w:hAnsi="宋体"/>
          <w:sz w:val="24"/>
        </w:rPr>
      </w:pPr>
      <w:r>
        <w:rPr>
          <w:rFonts w:hint="eastAsia" w:ascii="宋体" w:hAnsi="宋体"/>
          <w:spacing w:val="-8"/>
          <w:sz w:val="24"/>
        </w:rPr>
        <w:t xml:space="preserve">     </w:t>
      </w:r>
      <w:r>
        <w:rPr>
          <w:rFonts w:hint="eastAsia" w:ascii="宋体" w:hAnsi="宋体"/>
          <w:sz w:val="24"/>
        </w:rPr>
        <w:t>①在招标文件规定的投标截止时间后撤回投标的；</w:t>
      </w:r>
    </w:p>
    <w:p w14:paraId="2628E3E2">
      <w:pPr>
        <w:spacing w:line="500" w:lineRule="exact"/>
        <w:ind w:firstLine="720" w:firstLineChars="300"/>
        <w:rPr>
          <w:rFonts w:ascii="宋体" w:hAnsi="宋体"/>
          <w:sz w:val="24"/>
        </w:rPr>
      </w:pPr>
      <w:r>
        <w:rPr>
          <w:rFonts w:hint="eastAsia" w:ascii="宋体" w:hAnsi="宋体"/>
          <w:sz w:val="24"/>
        </w:rPr>
        <w:t>②在采购人确定中标人以前放弃中标候选资格的；</w:t>
      </w:r>
    </w:p>
    <w:p w14:paraId="4ABD0C88">
      <w:pPr>
        <w:spacing w:line="500" w:lineRule="exact"/>
        <w:ind w:firstLine="720" w:firstLineChars="300"/>
        <w:rPr>
          <w:rFonts w:ascii="宋体" w:hAnsi="宋体"/>
          <w:sz w:val="24"/>
        </w:rPr>
      </w:pPr>
      <w:r>
        <w:rPr>
          <w:rFonts w:hint="eastAsia" w:ascii="宋体" w:hAnsi="宋体"/>
          <w:sz w:val="24"/>
        </w:rPr>
        <w:t>③中标后无正当理由放弃中标、不</w:t>
      </w:r>
      <w:r>
        <w:rPr>
          <w:rFonts w:hint="eastAsia" w:ascii="宋体" w:hAnsi="宋体"/>
          <w:sz w:val="24"/>
          <w:lang w:eastAsia="zh-CN"/>
        </w:rPr>
        <w:t>下载</w:t>
      </w:r>
      <w:r>
        <w:rPr>
          <w:rFonts w:hint="eastAsia" w:ascii="宋体" w:hAnsi="宋体"/>
          <w:sz w:val="24"/>
        </w:rPr>
        <w:t>或者不接收中标通知书的；</w:t>
      </w:r>
    </w:p>
    <w:p w14:paraId="00D8BE51">
      <w:pPr>
        <w:spacing w:line="500" w:lineRule="exact"/>
        <w:ind w:firstLine="720" w:firstLineChars="300"/>
        <w:rPr>
          <w:rFonts w:ascii="宋体" w:hAnsi="宋体"/>
          <w:sz w:val="24"/>
        </w:rPr>
      </w:pPr>
      <w:r>
        <w:rPr>
          <w:rFonts w:hint="eastAsia" w:ascii="宋体" w:hAnsi="宋体"/>
          <w:sz w:val="24"/>
        </w:rPr>
        <w:t>④由于中标人的原因未能按照招标文件的规定与采购人签订合同的；</w:t>
      </w:r>
    </w:p>
    <w:p w14:paraId="7F626AA9">
      <w:pPr>
        <w:spacing w:line="500" w:lineRule="exact"/>
        <w:ind w:firstLine="720" w:firstLineChars="300"/>
        <w:rPr>
          <w:rFonts w:ascii="宋体" w:hAnsi="宋体"/>
          <w:sz w:val="24"/>
        </w:rPr>
      </w:pPr>
      <w:r>
        <w:rPr>
          <w:rFonts w:hint="eastAsia" w:ascii="宋体" w:hAnsi="宋体"/>
          <w:sz w:val="24"/>
        </w:rPr>
        <w:t>⑤由于中标人的原因未能按照招标文件的规定交纳履约保证金的；</w:t>
      </w:r>
    </w:p>
    <w:p w14:paraId="7D7B3933">
      <w:pPr>
        <w:spacing w:line="500" w:lineRule="exact"/>
        <w:ind w:firstLine="720" w:firstLineChars="300"/>
        <w:rPr>
          <w:rFonts w:ascii="宋体" w:hAnsi="宋体"/>
          <w:sz w:val="24"/>
        </w:rPr>
      </w:pPr>
      <w:r>
        <w:rPr>
          <w:rFonts w:hint="eastAsia" w:ascii="宋体" w:hAnsi="宋体"/>
          <w:sz w:val="24"/>
        </w:rPr>
        <w:t>⑥投标人提供虚假资料的；</w:t>
      </w:r>
    </w:p>
    <w:p w14:paraId="14E8BEA1">
      <w:pPr>
        <w:spacing w:line="500" w:lineRule="exact"/>
        <w:ind w:firstLine="720" w:firstLineChars="300"/>
        <w:rPr>
          <w:rFonts w:ascii="宋体" w:hAnsi="宋体"/>
          <w:sz w:val="24"/>
        </w:rPr>
      </w:pPr>
      <w:r>
        <w:rPr>
          <w:rFonts w:hint="eastAsia" w:ascii="宋体" w:hAnsi="宋体"/>
          <w:sz w:val="24"/>
        </w:rPr>
        <w:t>⑦投标有效期内，投标人在政府采购活动中有违法、违规、违纪行为；</w:t>
      </w:r>
    </w:p>
    <w:p w14:paraId="6123ACDD">
      <w:pPr>
        <w:spacing w:line="360" w:lineRule="exact"/>
        <w:ind w:firstLine="707" w:firstLineChars="316"/>
        <w:rPr>
          <w:rFonts w:ascii="宋体" w:hAnsi="宋体"/>
          <w:spacing w:val="-8"/>
          <w:sz w:val="24"/>
        </w:rPr>
      </w:pPr>
      <w:r>
        <w:rPr>
          <w:rFonts w:hint="eastAsia" w:ascii="宋体" w:hAnsi="宋体"/>
          <w:spacing w:val="-8"/>
          <w:sz w:val="24"/>
        </w:rPr>
        <w:t>⑧投标人在开标过程中不遵守相关规定，扰乱会场秩序；</w:t>
      </w:r>
    </w:p>
    <w:p w14:paraId="5B4978E3">
      <w:pPr>
        <w:spacing w:line="360" w:lineRule="exact"/>
        <w:rPr>
          <w:rFonts w:ascii="宋体" w:hAnsi="宋体"/>
          <w:spacing w:val="-8"/>
          <w:sz w:val="24"/>
        </w:rPr>
      </w:pPr>
      <w:r>
        <w:rPr>
          <w:rFonts w:hint="eastAsia" w:ascii="宋体" w:hAnsi="宋体"/>
          <w:spacing w:val="-8"/>
          <w:sz w:val="24"/>
        </w:rPr>
        <w:t xml:space="preserve">       ⑨投标人有中华人民共和国财政部令第87号，第37条所述的串标行为之一的；</w:t>
      </w:r>
    </w:p>
    <w:p w14:paraId="6FD95D6F">
      <w:pPr>
        <w:spacing w:line="340" w:lineRule="exact"/>
        <w:ind w:left="708" w:hanging="707" w:hangingChars="316"/>
        <w:rPr>
          <w:rFonts w:ascii="宋体" w:hAnsi="宋体"/>
          <w:spacing w:val="-8"/>
          <w:sz w:val="24"/>
        </w:rPr>
      </w:pPr>
      <w:r>
        <w:rPr>
          <w:rFonts w:hint="eastAsia" w:ascii="宋体" w:hAnsi="宋体"/>
          <w:spacing w:val="-8"/>
          <w:sz w:val="24"/>
        </w:rPr>
        <w:t xml:space="preserve">       ⑩由于投标人投标文件制作不规范,不但造成自身投标资格被取消,而且还造成本次招标废标,给招标单位和采购单位造成损失的；</w:t>
      </w:r>
    </w:p>
    <w:p w14:paraId="4E12715E">
      <w:pPr>
        <w:spacing w:line="340" w:lineRule="exact"/>
        <w:ind w:firstLine="707" w:firstLineChars="316"/>
        <w:rPr>
          <w:rFonts w:ascii="宋体" w:hAnsi="宋体"/>
          <w:spacing w:val="-8"/>
          <w:sz w:val="24"/>
        </w:rPr>
      </w:pPr>
      <w:r>
        <w:rPr>
          <w:rFonts w:ascii="Cambria Math" w:hAnsi="Cambria Math" w:cs="Cambria Math"/>
          <w:spacing w:val="-8"/>
          <w:sz w:val="24"/>
        </w:rPr>
        <w:t>⑪</w:t>
      </w:r>
      <w:r>
        <w:rPr>
          <w:rFonts w:hint="eastAsia" w:ascii="宋体" w:hAnsi="宋体"/>
          <w:spacing w:val="-8"/>
          <w:sz w:val="24"/>
        </w:rPr>
        <w:t xml:space="preserve"> 无理质疑干扰正常政府采购工作的，或不按规定程序时限履行相关手续；</w:t>
      </w:r>
    </w:p>
    <w:p w14:paraId="39BF0FF0">
      <w:pPr>
        <w:spacing w:line="340" w:lineRule="exact"/>
        <w:rPr>
          <w:rFonts w:ascii="宋体" w:hAnsi="宋体"/>
          <w:color w:val="548DD4"/>
          <w:spacing w:val="-8"/>
          <w:sz w:val="24"/>
        </w:rPr>
      </w:pPr>
      <w:r>
        <w:rPr>
          <w:rFonts w:hint="eastAsia" w:ascii="宋体" w:hAnsi="宋体"/>
          <w:color w:val="548DD4"/>
          <w:spacing w:val="-8"/>
          <w:sz w:val="24"/>
        </w:rPr>
        <w:t xml:space="preserve">       </w:t>
      </w:r>
      <w:r>
        <w:rPr>
          <w:rFonts w:ascii="Cambria Math" w:hAnsi="Cambria Math" w:cs="Cambria Math"/>
          <w:color w:val="548DD4"/>
          <w:spacing w:val="-8"/>
          <w:sz w:val="24"/>
        </w:rPr>
        <w:t>⑫</w:t>
      </w:r>
      <w:r>
        <w:rPr>
          <w:rFonts w:hint="eastAsia" w:ascii="Cambria Math" w:hAnsi="Cambria Math" w:cs="Cambria Math"/>
          <w:color w:val="548DD4"/>
          <w:spacing w:val="-8"/>
          <w:sz w:val="24"/>
        </w:rPr>
        <w:t>无正当理由，</w:t>
      </w:r>
      <w:r>
        <w:rPr>
          <w:rFonts w:hint="eastAsia" w:ascii="宋体" w:hAnsi="宋体"/>
          <w:color w:val="548DD4"/>
          <w:spacing w:val="-8"/>
          <w:sz w:val="24"/>
        </w:rPr>
        <w:t>未按时参加开标会的。</w:t>
      </w:r>
    </w:p>
    <w:p w14:paraId="7625565F">
      <w:pPr>
        <w:ind w:firstLine="480" w:firstLineChars="200"/>
        <w:rPr>
          <w:lang w:val="zh-CN"/>
        </w:rPr>
      </w:pPr>
      <w:r>
        <w:rPr>
          <w:rFonts w:hint="eastAsia" w:ascii="宋体" w:hAnsi="宋体"/>
          <w:sz w:val="24"/>
          <w:lang w:val="zh-CN"/>
        </w:rPr>
        <w:t>（7）退款单位名称与投标单位名称必须保持一致。</w:t>
      </w:r>
      <w:r>
        <w:rPr>
          <w:rFonts w:hint="eastAsia"/>
        </w:rPr>
        <w:t xml:space="preserve"> </w:t>
      </w:r>
    </w:p>
    <w:p w14:paraId="7D8042D3">
      <w:pPr>
        <w:spacing w:line="500" w:lineRule="exact"/>
        <w:ind w:firstLine="480" w:firstLineChars="200"/>
        <w:rPr>
          <w:rFonts w:ascii="宋体" w:hAnsi="宋体"/>
          <w:sz w:val="24"/>
        </w:rPr>
      </w:pPr>
      <w:r>
        <w:rPr>
          <w:rFonts w:hint="eastAsia" w:ascii="宋体" w:hAnsi="宋体"/>
          <w:sz w:val="24"/>
          <w:lang w:val="zh-CN"/>
        </w:rPr>
        <w:t>（8）</w:t>
      </w:r>
      <w:r>
        <w:rPr>
          <w:rFonts w:hint="eastAsia" w:ascii="宋体" w:hAnsi="宋体"/>
          <w:sz w:val="24"/>
        </w:rPr>
        <w:t>交款单位名称与退款单位名称不一致的，由原交款单位提供名称变更后的营业执照原件和复印件或由工商部门出具的名称变更证明书，核实无误后按一般退款手续和程序办理。</w:t>
      </w:r>
    </w:p>
    <w:p w14:paraId="63FB26C4">
      <w:pPr>
        <w:spacing w:line="500" w:lineRule="exact"/>
        <w:ind w:firstLine="480" w:firstLineChars="200"/>
        <w:rPr>
          <w:rFonts w:ascii="宋体" w:hAnsi="宋体"/>
          <w:sz w:val="24"/>
        </w:rPr>
      </w:pPr>
      <w:r>
        <w:rPr>
          <w:rFonts w:hint="eastAsia" w:ascii="宋体" w:hAnsi="宋体"/>
          <w:sz w:val="24"/>
        </w:rPr>
        <w:t xml:space="preserve">（9）其他特殊退款要求由投标单位提出书面申请报中心审批后办理。 </w:t>
      </w:r>
    </w:p>
    <w:p w14:paraId="7819CA34">
      <w:pPr>
        <w:spacing w:line="500" w:lineRule="exact"/>
        <w:ind w:firstLine="480" w:firstLineChars="200"/>
        <w:rPr>
          <w:rFonts w:ascii="宋体" w:hAnsi="宋体"/>
          <w:sz w:val="24"/>
        </w:rPr>
      </w:pPr>
      <w:r>
        <w:rPr>
          <w:rFonts w:hint="eastAsia" w:ascii="宋体" w:hAnsi="宋体"/>
          <w:sz w:val="24"/>
        </w:rPr>
        <w:t xml:space="preserve">（10）退款一律采用转账方式。 </w:t>
      </w:r>
    </w:p>
    <w:bookmarkEnd w:id="95"/>
    <w:bookmarkEnd w:id="96"/>
    <w:bookmarkEnd w:id="97"/>
    <w:bookmarkEnd w:id="98"/>
    <w:bookmarkEnd w:id="99"/>
    <w:p w14:paraId="617EBBF1">
      <w:pPr>
        <w:spacing w:line="500" w:lineRule="exact"/>
        <w:ind w:firstLine="482" w:firstLineChars="200"/>
        <w:rPr>
          <w:rFonts w:ascii="宋体" w:hAnsi="宋体"/>
          <w:b/>
          <w:sz w:val="24"/>
        </w:rPr>
      </w:pPr>
      <w:r>
        <w:rPr>
          <w:rFonts w:hint="eastAsia" w:ascii="宋体" w:hAnsi="宋体"/>
          <w:b/>
          <w:sz w:val="24"/>
        </w:rPr>
        <w:t>9、投标有效期（实质性要求）</w:t>
      </w:r>
    </w:p>
    <w:p w14:paraId="31F1081E">
      <w:pPr>
        <w:spacing w:line="500" w:lineRule="exact"/>
        <w:ind w:firstLine="480" w:firstLineChars="200"/>
        <w:rPr>
          <w:rFonts w:ascii="宋体" w:hAnsi="宋体"/>
          <w:sz w:val="24"/>
        </w:rPr>
      </w:pPr>
      <w:r>
        <w:rPr>
          <w:rFonts w:hint="eastAsia" w:ascii="宋体" w:hAnsi="宋体"/>
          <w:sz w:val="24"/>
        </w:rPr>
        <w:t>（1）本项目投标有效期见投标</w:t>
      </w:r>
      <w:r>
        <w:rPr>
          <w:rFonts w:ascii="宋体" w:hAnsi="宋体"/>
          <w:sz w:val="24"/>
        </w:rPr>
        <w:t>须知前附表</w:t>
      </w:r>
      <w:r>
        <w:rPr>
          <w:rFonts w:hint="eastAsia" w:ascii="宋体" w:hAnsi="宋体"/>
          <w:sz w:val="24"/>
        </w:rPr>
        <w:t>。投标人投标文件中必须载明投标有效期，投标文件中载明的投标有效期可以长于招标文件规定的期限，但不得短于招标文件规定的期限。否则，其投标文件将作为无效处理。</w:t>
      </w:r>
    </w:p>
    <w:p w14:paraId="6889A259">
      <w:pPr>
        <w:spacing w:line="500" w:lineRule="exact"/>
        <w:ind w:firstLine="480" w:firstLineChars="200"/>
        <w:rPr>
          <w:rFonts w:ascii="宋体" w:hAnsi="宋体"/>
          <w:sz w:val="24"/>
        </w:rPr>
      </w:pPr>
      <w:r>
        <w:rPr>
          <w:rFonts w:hint="eastAsia" w:ascii="宋体" w:hAnsi="宋体"/>
          <w:sz w:val="24"/>
        </w:rPr>
        <w:t xml:space="preserve">（2）因不可抗力事件或者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 </w:t>
      </w:r>
    </w:p>
    <w:p w14:paraId="7495D31E">
      <w:pPr>
        <w:spacing w:line="500" w:lineRule="exact"/>
        <w:ind w:firstLine="482" w:firstLineChars="200"/>
        <w:rPr>
          <w:rFonts w:ascii="宋体" w:hAnsi="宋体"/>
          <w:b/>
          <w:bCs/>
          <w:sz w:val="24"/>
        </w:rPr>
      </w:pPr>
      <w:r>
        <w:rPr>
          <w:rFonts w:hint="eastAsia" w:ascii="宋体" w:hAnsi="宋体"/>
          <w:b/>
          <w:bCs/>
          <w:sz w:val="24"/>
        </w:rPr>
        <w:t>10、</w:t>
      </w:r>
      <w:r>
        <w:rPr>
          <w:rFonts w:hint="eastAsia" w:ascii="宋体" w:hAnsi="宋体"/>
          <w:bCs/>
          <w:color w:val="FF0000"/>
          <w:sz w:val="24"/>
        </w:rPr>
        <w:t>投标文件的制</w:t>
      </w:r>
      <w:r>
        <w:rPr>
          <w:rFonts w:hint="eastAsia" w:ascii="宋体" w:hAnsi="宋体"/>
          <w:bCs/>
          <w:color w:val="FF0000"/>
          <w:sz w:val="24"/>
          <w:lang w:eastAsia="zh-CN"/>
        </w:rPr>
        <w:t>作</w:t>
      </w:r>
      <w:r>
        <w:rPr>
          <w:rFonts w:hint="eastAsia" w:ascii="宋体" w:hAnsi="宋体"/>
          <w:bCs/>
          <w:color w:val="FF0000"/>
          <w:sz w:val="24"/>
        </w:rPr>
        <w:t>和签署</w:t>
      </w:r>
    </w:p>
    <w:p w14:paraId="1A43DF4B">
      <w:pPr>
        <w:spacing w:line="500" w:lineRule="exact"/>
        <w:ind w:firstLine="480" w:firstLineChars="200"/>
        <w:rPr>
          <w:rFonts w:hint="eastAsia" w:ascii="宋体" w:hAnsi="宋体"/>
          <w:color w:val="auto"/>
          <w:sz w:val="24"/>
        </w:rPr>
      </w:pPr>
      <w:bookmarkStart w:id="100" w:name="_Toc217446053"/>
      <w:bookmarkStart w:id="101" w:name="_Toc308164803"/>
      <w:bookmarkStart w:id="102" w:name="_Toc89075877"/>
      <w:bookmarkStart w:id="103" w:name="_Toc77400781"/>
      <w:bookmarkStart w:id="104" w:name="_Toc183582226"/>
      <w:bookmarkStart w:id="105" w:name="_Toc183682363"/>
      <w:r>
        <w:rPr>
          <w:rFonts w:hint="eastAsia" w:ascii="宋体" w:hAnsi="宋体"/>
          <w:color w:val="auto"/>
          <w:sz w:val="24"/>
        </w:rPr>
        <w:t>1</w:t>
      </w:r>
      <w:r>
        <w:rPr>
          <w:rFonts w:hint="eastAsia" w:ascii="宋体" w:hAnsi="宋体"/>
          <w:color w:val="auto"/>
          <w:sz w:val="24"/>
          <w:lang w:eastAsia="zh-CN"/>
        </w:rPr>
        <w:t>、</w:t>
      </w:r>
      <w:r>
        <w:rPr>
          <w:rFonts w:hint="eastAsia" w:ascii="宋体" w:hAnsi="宋体"/>
          <w:color w:val="auto"/>
          <w:sz w:val="24"/>
        </w:rPr>
        <w:t>投标方应完整地按照规定填写投标函、法定代表人（负责人）授权委托书、投标报价明细表等内容；投标文件要编制目录及页码，响应文件规格采用A4幅面</w:t>
      </w:r>
      <w:r>
        <w:rPr>
          <w:rFonts w:hint="eastAsia" w:ascii="宋体" w:hAnsi="宋体"/>
          <w:color w:val="auto"/>
          <w:sz w:val="24"/>
          <w:lang w:eastAsia="zh-CN"/>
        </w:rPr>
        <w:t>，</w:t>
      </w:r>
      <w:r>
        <w:rPr>
          <w:rFonts w:hint="eastAsia" w:ascii="宋体" w:hAnsi="宋体"/>
          <w:color w:val="auto"/>
          <w:sz w:val="24"/>
        </w:rPr>
        <w:t>使用不小于5号字的标准字体。</w:t>
      </w:r>
    </w:p>
    <w:p w14:paraId="7395D72E">
      <w:pPr>
        <w:spacing w:line="500" w:lineRule="exact"/>
        <w:ind w:firstLine="480" w:firstLineChars="200"/>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w:t>
      </w:r>
      <w:r>
        <w:rPr>
          <w:rFonts w:hint="eastAsia" w:ascii="宋体" w:hAnsi="宋体"/>
          <w:color w:val="auto"/>
          <w:sz w:val="24"/>
        </w:rPr>
        <w:t>投标文件须按要求加盖投标方公章及投标人签字。</w:t>
      </w:r>
    </w:p>
    <w:bookmarkEnd w:id="100"/>
    <w:bookmarkEnd w:id="101"/>
    <w:bookmarkEnd w:id="102"/>
    <w:bookmarkEnd w:id="103"/>
    <w:bookmarkEnd w:id="104"/>
    <w:bookmarkEnd w:id="105"/>
    <w:p w14:paraId="31B42808">
      <w:pPr>
        <w:spacing w:line="500" w:lineRule="exact"/>
        <w:ind w:firstLine="480" w:firstLineChars="200"/>
        <w:rPr>
          <w:rFonts w:hint="eastAsia" w:ascii="宋体" w:hAnsi="宋体"/>
          <w:color w:val="FF0000"/>
          <w:sz w:val="24"/>
          <w:lang w:eastAsia="zh-CN"/>
        </w:rPr>
      </w:pPr>
      <w:r>
        <w:rPr>
          <w:rFonts w:hint="eastAsia" w:ascii="宋体" w:hAnsi="宋体"/>
          <w:color w:val="FF0000"/>
          <w:sz w:val="24"/>
        </w:rPr>
        <w:t>3</w:t>
      </w:r>
      <w:r>
        <w:rPr>
          <w:rFonts w:hint="eastAsia" w:ascii="宋体" w:hAnsi="宋体"/>
          <w:color w:val="FF0000"/>
          <w:sz w:val="24"/>
          <w:lang w:eastAsia="zh-CN"/>
        </w:rPr>
        <w:t>、供应商应在投标文件递交截止时间前上传电子投标文件。各供应商使用 CA 锁制作的投标文件符合网上开标要求才可进入评审阶段 ， “ 政采云 ” 平台（https://www.zcygov.cn/）支持投标文件远程解密，供应商应提前确认好 CA锁及电脑等设备使用正常。逾期上传的或因供应商原因未</w:t>
      </w:r>
      <w:r>
        <w:rPr>
          <w:rFonts w:hint="eastAsia" w:ascii="宋体" w:hAnsi="宋体"/>
          <w:color w:val="FF0000"/>
          <w:sz w:val="24"/>
          <w:lang w:val="en-US" w:eastAsia="zh-CN"/>
        </w:rPr>
        <w:t>在规定时间内</w:t>
      </w:r>
      <w:r>
        <w:rPr>
          <w:rFonts w:hint="eastAsia" w:ascii="宋体" w:hAnsi="宋体"/>
          <w:color w:val="FF0000"/>
          <w:sz w:val="24"/>
          <w:lang w:eastAsia="zh-CN"/>
        </w:rPr>
        <w:t>进行解密的电子投标文件，平台将予以拒收，其投标无效。</w:t>
      </w:r>
    </w:p>
    <w:p w14:paraId="0A24E050">
      <w:pPr>
        <w:spacing w:line="500" w:lineRule="exact"/>
        <w:ind w:firstLine="482" w:firstLineChars="200"/>
        <w:rPr>
          <w:rFonts w:ascii="宋体" w:hAnsi="宋体"/>
          <w:b/>
          <w:bCs/>
          <w:sz w:val="24"/>
        </w:rPr>
      </w:pPr>
      <w:r>
        <w:rPr>
          <w:rFonts w:hint="eastAsia" w:ascii="宋体" w:hAnsi="宋体"/>
          <w:b/>
          <w:bCs/>
          <w:sz w:val="24"/>
        </w:rPr>
        <w:t>1</w:t>
      </w:r>
      <w:r>
        <w:rPr>
          <w:rFonts w:hint="eastAsia" w:ascii="宋体" w:hAnsi="宋体"/>
          <w:b/>
          <w:bCs/>
          <w:sz w:val="24"/>
          <w:lang w:val="en-US" w:eastAsia="zh-CN"/>
        </w:rPr>
        <w:t>1</w:t>
      </w:r>
      <w:r>
        <w:rPr>
          <w:rFonts w:hint="eastAsia" w:ascii="宋体" w:hAnsi="宋体"/>
          <w:b/>
          <w:bCs/>
          <w:sz w:val="24"/>
        </w:rPr>
        <w:t>、投标文件的修改和撤回</w:t>
      </w:r>
    </w:p>
    <w:p w14:paraId="722736FF">
      <w:pPr>
        <w:spacing w:line="500" w:lineRule="exact"/>
        <w:ind w:firstLine="480" w:firstLineChars="200"/>
        <w:rPr>
          <w:rFonts w:ascii="宋体" w:hAnsi="宋体"/>
          <w:sz w:val="24"/>
        </w:rPr>
      </w:pPr>
      <w:r>
        <w:rPr>
          <w:rFonts w:hint="eastAsia" w:ascii="宋体" w:hAnsi="宋体"/>
          <w:sz w:val="24"/>
        </w:rPr>
        <w:t>（1） 投标人在递交了投标文件后，可以修改或撤回其投标文件，但必须在规定的投标截止时间前，以书面形式通知采购代理机构，否则不受理。</w:t>
      </w:r>
    </w:p>
    <w:p w14:paraId="1E0F3B9B">
      <w:pPr>
        <w:spacing w:line="500" w:lineRule="exact"/>
        <w:ind w:firstLine="480" w:firstLineChars="200"/>
        <w:rPr>
          <w:rFonts w:ascii="宋体" w:hAnsi="宋体"/>
          <w:sz w:val="24"/>
        </w:rPr>
      </w:pPr>
      <w:r>
        <w:rPr>
          <w:rFonts w:hint="eastAsia" w:ascii="宋体" w:hAnsi="宋体"/>
          <w:sz w:val="24"/>
        </w:rPr>
        <w:t>（2）投标人的修改书或撤回通知书，应由其法定代表人或授权代表签署并盖单位印章。修改书应按投标须知第11条规定进行密封和标注，并在密封袋上标注“修改”字样，否则不受理。</w:t>
      </w:r>
    </w:p>
    <w:p w14:paraId="7B611617">
      <w:pPr>
        <w:spacing w:line="500" w:lineRule="exact"/>
        <w:ind w:firstLine="480" w:firstLineChars="200"/>
        <w:rPr>
          <w:rFonts w:ascii="宋体" w:hAnsi="宋体"/>
          <w:sz w:val="24"/>
        </w:rPr>
      </w:pPr>
      <w:r>
        <w:rPr>
          <w:rFonts w:hint="eastAsia" w:ascii="宋体" w:hAnsi="宋体"/>
          <w:sz w:val="24"/>
        </w:rPr>
        <w:t>（3）在投标截止时间之后，投标人不得对其递交的投标文件做任何修改、撤回，否则</w:t>
      </w:r>
      <w:r>
        <w:rPr>
          <w:rFonts w:ascii="宋体" w:hAnsi="宋体"/>
          <w:sz w:val="24"/>
        </w:rPr>
        <w:t>，</w:t>
      </w:r>
      <w:r>
        <w:rPr>
          <w:rFonts w:hint="eastAsia" w:ascii="宋体" w:hAnsi="宋体"/>
          <w:sz w:val="24"/>
        </w:rPr>
        <w:t>将按照有关规定进行相应处理。</w:t>
      </w:r>
    </w:p>
    <w:p w14:paraId="38742A18">
      <w:pPr>
        <w:spacing w:line="500" w:lineRule="exact"/>
        <w:ind w:firstLine="480" w:firstLineChars="200"/>
        <w:rPr>
          <w:rFonts w:ascii="宋体"/>
          <w:sz w:val="24"/>
        </w:rPr>
      </w:pPr>
      <w:r>
        <w:rPr>
          <w:rFonts w:hint="eastAsia" w:ascii="宋体" w:hAnsi="宋体"/>
          <w:sz w:val="24"/>
        </w:rPr>
        <w:t>（4）投标人在投标截止时间前，撤回投标文件的，</w:t>
      </w:r>
      <w:r>
        <w:rPr>
          <w:rFonts w:hint="eastAsia" w:ascii="宋体"/>
          <w:sz w:val="24"/>
        </w:rPr>
        <w:t>采购代理</w:t>
      </w:r>
      <w:r>
        <w:rPr>
          <w:rFonts w:ascii="宋体"/>
          <w:sz w:val="24"/>
        </w:rPr>
        <w:t>机构应当退还</w:t>
      </w:r>
      <w:r>
        <w:rPr>
          <w:rFonts w:hint="eastAsia" w:ascii="宋体"/>
          <w:sz w:val="24"/>
        </w:rPr>
        <w:t>其投标</w:t>
      </w:r>
      <w:r>
        <w:rPr>
          <w:rFonts w:ascii="宋体"/>
          <w:sz w:val="24"/>
        </w:rPr>
        <w:t>保证金</w:t>
      </w:r>
      <w:r>
        <w:rPr>
          <w:rFonts w:hint="eastAsia" w:ascii="宋体"/>
          <w:sz w:val="24"/>
        </w:rPr>
        <w:t>，</w:t>
      </w:r>
      <w:r>
        <w:rPr>
          <w:rFonts w:ascii="宋体"/>
          <w:sz w:val="24"/>
        </w:rPr>
        <w:t>但因</w:t>
      </w:r>
      <w:r>
        <w:rPr>
          <w:rFonts w:hint="eastAsia" w:ascii="宋体"/>
          <w:sz w:val="24"/>
        </w:rPr>
        <w:t>投标人撤回投标文件</w:t>
      </w:r>
      <w:r>
        <w:rPr>
          <w:rFonts w:ascii="宋体"/>
          <w:sz w:val="24"/>
        </w:rPr>
        <w:t>导致整个采购项目不能</w:t>
      </w:r>
      <w:r>
        <w:rPr>
          <w:rFonts w:hint="eastAsia" w:ascii="宋体"/>
          <w:sz w:val="24"/>
        </w:rPr>
        <w:t>再顺利</w:t>
      </w:r>
      <w:r>
        <w:rPr>
          <w:rFonts w:ascii="宋体"/>
          <w:sz w:val="24"/>
        </w:rPr>
        <w:t>进行</w:t>
      </w:r>
      <w:r>
        <w:rPr>
          <w:rFonts w:hint="eastAsia" w:ascii="宋体"/>
          <w:sz w:val="24"/>
        </w:rPr>
        <w:t>的</w:t>
      </w:r>
      <w:r>
        <w:rPr>
          <w:rFonts w:ascii="宋体"/>
          <w:sz w:val="24"/>
        </w:rPr>
        <w:t>除外</w:t>
      </w:r>
      <w:r>
        <w:rPr>
          <w:rFonts w:hint="eastAsia" w:ascii="宋体"/>
          <w:sz w:val="24"/>
        </w:rPr>
        <w:t>。</w:t>
      </w:r>
    </w:p>
    <w:bookmarkEnd w:id="89"/>
    <w:bookmarkEnd w:id="90"/>
    <w:bookmarkEnd w:id="91"/>
    <w:p w14:paraId="3F102F24">
      <w:pPr>
        <w:pStyle w:val="4"/>
        <w:spacing w:line="240" w:lineRule="atLeast"/>
        <w:rPr>
          <w:rFonts w:ascii="黑体" w:hAnsi="黑体"/>
        </w:rPr>
      </w:pPr>
      <w:bookmarkStart w:id="106" w:name="_Toc308164805"/>
      <w:bookmarkStart w:id="107" w:name="_Toc2354"/>
      <w:bookmarkStart w:id="108" w:name="_Toc183682368"/>
      <w:bookmarkStart w:id="109" w:name="_Toc89075878"/>
      <w:bookmarkStart w:id="110" w:name="_Toc77400782"/>
      <w:bookmarkStart w:id="111" w:name="_Toc183582231"/>
      <w:bookmarkStart w:id="112" w:name="_Toc217446056"/>
      <w:r>
        <w:rPr>
          <w:rFonts w:hint="eastAsia" w:ascii="黑体" w:hAnsi="黑体"/>
        </w:rPr>
        <w:t>五、开标和中标</w:t>
      </w:r>
      <w:bookmarkEnd w:id="106"/>
      <w:bookmarkEnd w:id="107"/>
      <w:bookmarkEnd w:id="108"/>
      <w:bookmarkEnd w:id="109"/>
      <w:bookmarkEnd w:id="110"/>
      <w:bookmarkEnd w:id="111"/>
      <w:bookmarkEnd w:id="112"/>
    </w:p>
    <w:p w14:paraId="51C0EFB6">
      <w:pPr>
        <w:spacing w:line="500" w:lineRule="exact"/>
        <w:ind w:firstLine="482" w:firstLineChars="200"/>
        <w:rPr>
          <w:rFonts w:ascii="宋体" w:hAnsi="宋体"/>
          <w:b/>
          <w:bCs/>
          <w:sz w:val="24"/>
        </w:rPr>
      </w:pPr>
      <w:bookmarkStart w:id="113" w:name="_Toc183682369"/>
      <w:bookmarkStart w:id="114" w:name="_Toc217446057"/>
      <w:bookmarkStart w:id="115" w:name="_Toc183582232"/>
      <w:bookmarkStart w:id="116" w:name="_Toc308164806"/>
      <w:r>
        <w:rPr>
          <w:rFonts w:hint="eastAsia" w:ascii="宋体" w:hAnsi="宋体"/>
          <w:b/>
          <w:bCs/>
          <w:sz w:val="24"/>
        </w:rPr>
        <w:t>1、开标</w:t>
      </w:r>
    </w:p>
    <w:p w14:paraId="4CBD7EC9">
      <w:pPr>
        <w:spacing w:line="500" w:lineRule="exact"/>
        <w:ind w:firstLine="480" w:firstLineChars="200"/>
        <w:rPr>
          <w:rFonts w:ascii="宋体" w:hAnsi="宋体"/>
          <w:color w:val="auto"/>
          <w:sz w:val="24"/>
        </w:rPr>
      </w:pPr>
      <w:r>
        <w:rPr>
          <w:rFonts w:hint="eastAsia" w:ascii="宋体" w:hAnsi="宋体"/>
          <w:color w:val="auto"/>
          <w:sz w:val="24"/>
        </w:rPr>
        <w:t>（1）开标在招标文件规定的时间和地点公开进行，采购人、投标人须派代表参加。</w:t>
      </w:r>
    </w:p>
    <w:p w14:paraId="4C826C74">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）投标文件中开标一览表内容与投标文件中相应内容不一致的，以开标一览表为准。</w:t>
      </w:r>
    </w:p>
    <w:p w14:paraId="0023BF6A">
      <w:pPr>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）唱标时，“开标一览表”中的大写金额与小写金额不一致的，以大写金额为准。</w:t>
      </w:r>
    </w:p>
    <w:p w14:paraId="43044D50">
      <w:pPr>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）所有投标唱标完毕，如投标人代表对宣读的“开标一览表”上的内容有异议的，应在获得开标会主持人同意后当场提出。如确实属于唱标人员宣读错了的，经现场监督人员核实后，当场予以更正。</w:t>
      </w:r>
    </w:p>
    <w:p w14:paraId="19A26160">
      <w:pPr>
        <w:spacing w:line="500" w:lineRule="exact"/>
        <w:ind w:firstLine="482" w:firstLineChars="200"/>
        <w:rPr>
          <w:rFonts w:ascii="宋体" w:hAnsi="宋体"/>
          <w:b/>
          <w:sz w:val="24"/>
        </w:rPr>
      </w:pPr>
      <w:r>
        <w:rPr>
          <w:rFonts w:hint="eastAsia" w:ascii="宋体" w:hAnsi="宋体"/>
          <w:b/>
          <w:sz w:val="24"/>
        </w:rPr>
        <w:t>2、 开标程序</w:t>
      </w:r>
    </w:p>
    <w:p w14:paraId="22E3DA47">
      <w:pPr>
        <w:spacing w:line="500" w:lineRule="exact"/>
        <w:ind w:firstLine="480" w:firstLineChars="200"/>
        <w:rPr>
          <w:rFonts w:ascii="宋体" w:hAnsi="宋体"/>
          <w:sz w:val="24"/>
        </w:rPr>
      </w:pPr>
      <w:r>
        <w:rPr>
          <w:rFonts w:hint="eastAsia" w:ascii="宋体" w:hAnsi="宋体"/>
          <w:sz w:val="24"/>
        </w:rPr>
        <w:t>开标会主持人按照招标文件规定的开标时间宣布开标，按照规定要求主持开标会。开标将按以下程序进行：</w:t>
      </w:r>
    </w:p>
    <w:p w14:paraId="6E124C6E">
      <w:pPr>
        <w:numPr>
          <w:ilvl w:val="0"/>
          <w:numId w:val="22"/>
        </w:numPr>
        <w:spacing w:line="500" w:lineRule="exact"/>
        <w:ind w:left="-60" w:leftChars="0" w:firstLine="480" w:firstLineChars="0"/>
        <w:rPr>
          <w:rFonts w:hint="eastAsia" w:ascii="宋体" w:hAnsi="宋体"/>
          <w:sz w:val="24"/>
        </w:rPr>
      </w:pPr>
      <w:r>
        <w:rPr>
          <w:rFonts w:hint="eastAsia" w:ascii="宋体" w:hAnsi="宋体"/>
          <w:sz w:val="24"/>
        </w:rPr>
        <w:t>宣布开标会开始。</w:t>
      </w:r>
    </w:p>
    <w:p w14:paraId="1B2FE158">
      <w:pPr>
        <w:numPr>
          <w:ilvl w:val="0"/>
          <w:numId w:val="22"/>
        </w:numPr>
        <w:spacing w:line="500" w:lineRule="exact"/>
        <w:ind w:left="-60" w:leftChars="0" w:firstLine="480" w:firstLineChars="0"/>
        <w:rPr>
          <w:rFonts w:ascii="宋体" w:hAnsi="宋体"/>
          <w:sz w:val="24"/>
        </w:rPr>
      </w:pPr>
      <w:r>
        <w:rPr>
          <w:rFonts w:hint="eastAsia" w:ascii="宋体" w:hAnsi="宋体"/>
          <w:color w:val="0000FF"/>
          <w:sz w:val="24"/>
        </w:rPr>
        <w:t>开标唱标。</w:t>
      </w:r>
    </w:p>
    <w:p w14:paraId="29B3394D">
      <w:pPr>
        <w:spacing w:line="5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）宣布开标会结束。</w:t>
      </w:r>
    </w:p>
    <w:p w14:paraId="27811768">
      <w:pPr>
        <w:spacing w:line="500" w:lineRule="exact"/>
        <w:ind w:firstLine="482" w:firstLineChars="200"/>
        <w:rPr>
          <w:rFonts w:ascii="宋体" w:hAnsi="宋体"/>
          <w:b/>
          <w:sz w:val="24"/>
        </w:rPr>
      </w:pPr>
      <w:r>
        <w:rPr>
          <w:rFonts w:hint="eastAsia" w:ascii="宋体" w:hAnsi="宋体"/>
          <w:b/>
          <w:sz w:val="24"/>
        </w:rPr>
        <w:t>3、评标结果公告</w:t>
      </w:r>
    </w:p>
    <w:p w14:paraId="6A73BB88">
      <w:pPr>
        <w:spacing w:line="500" w:lineRule="exact"/>
        <w:ind w:firstLine="480" w:firstLineChars="200"/>
        <w:rPr>
          <w:rFonts w:ascii="宋体" w:hAnsi="宋体"/>
          <w:sz w:val="24"/>
        </w:rPr>
      </w:pPr>
      <w:r>
        <w:rPr>
          <w:rFonts w:hint="eastAsia" w:ascii="宋体" w:hAnsi="宋体"/>
          <w:sz w:val="24"/>
        </w:rPr>
        <w:t>见投标</w:t>
      </w:r>
      <w:r>
        <w:rPr>
          <w:rFonts w:ascii="宋体" w:hAnsi="宋体"/>
          <w:sz w:val="24"/>
        </w:rPr>
        <w:t>须知前附表。</w:t>
      </w:r>
    </w:p>
    <w:p w14:paraId="0D0BC4A2">
      <w:pPr>
        <w:spacing w:line="500" w:lineRule="exact"/>
        <w:ind w:firstLine="482" w:firstLineChars="200"/>
        <w:rPr>
          <w:rFonts w:ascii="宋体" w:hAnsi="宋体"/>
          <w:b/>
          <w:bCs/>
          <w:sz w:val="24"/>
        </w:rPr>
      </w:pPr>
      <w:r>
        <w:rPr>
          <w:rFonts w:hint="eastAsia" w:ascii="宋体" w:hAnsi="宋体"/>
          <w:b/>
          <w:bCs/>
          <w:sz w:val="24"/>
        </w:rPr>
        <w:t>4、中标通知书</w:t>
      </w:r>
    </w:p>
    <w:p w14:paraId="170B5AA7">
      <w:pPr>
        <w:spacing w:line="500" w:lineRule="exact"/>
        <w:ind w:firstLine="480" w:firstLineChars="200"/>
        <w:rPr>
          <w:rFonts w:ascii="宋体" w:hAnsi="宋体"/>
          <w:sz w:val="24"/>
        </w:rPr>
      </w:pPr>
      <w:r>
        <w:rPr>
          <w:rFonts w:hint="eastAsia" w:ascii="宋体" w:hAnsi="宋体"/>
          <w:sz w:val="24"/>
        </w:rPr>
        <w:t>（1）中标通知书为签订政府采购合同的依据之一，是合同的有效组成部分。</w:t>
      </w:r>
    </w:p>
    <w:p w14:paraId="069557E6">
      <w:pPr>
        <w:spacing w:line="500" w:lineRule="exact"/>
        <w:ind w:firstLine="480" w:firstLineChars="200"/>
        <w:rPr>
          <w:rFonts w:ascii="宋体" w:hAnsi="宋体"/>
          <w:color w:val="FF0000"/>
          <w:sz w:val="24"/>
        </w:rPr>
      </w:pPr>
      <w:r>
        <w:rPr>
          <w:rFonts w:hint="eastAsia" w:ascii="宋体" w:hAnsi="宋体"/>
          <w:sz w:val="24"/>
          <w:highlight w:val="none"/>
        </w:rPr>
        <w:t>（2）投标人中标后，拒绝领取中标通知书的，</w:t>
      </w:r>
      <w:r>
        <w:rPr>
          <w:rFonts w:hint="eastAsia" w:ascii="宋体" w:hAnsi="宋体"/>
          <w:color w:val="000000" w:themeColor="text1"/>
          <w:sz w:val="24"/>
          <w:highlight w:val="none"/>
          <w14:textFill>
            <w14:solidFill>
              <w14:schemeClr w14:val="tx1"/>
            </w14:solidFill>
          </w14:textFill>
        </w:rPr>
        <w:t>采购代理机构将采取邮寄或其他通讯方式，按照投标人投标文件中的地址发出中标通知书</w:t>
      </w:r>
      <w:r>
        <w:rPr>
          <w:rFonts w:hint="eastAsia" w:ascii="宋体" w:hAnsi="宋体"/>
          <w:color w:val="000000" w:themeColor="text1"/>
          <w:sz w:val="24"/>
          <w14:textFill>
            <w14:solidFill>
              <w14:schemeClr w14:val="tx1"/>
            </w14:solidFill>
          </w14:textFill>
        </w:rPr>
        <w:t>。</w:t>
      </w:r>
    </w:p>
    <w:p w14:paraId="42497A82">
      <w:pPr>
        <w:spacing w:line="500" w:lineRule="exact"/>
        <w:ind w:firstLine="480" w:firstLineChars="200"/>
        <w:rPr>
          <w:rFonts w:ascii="宋体" w:hAnsi="宋体"/>
          <w:sz w:val="24"/>
        </w:rPr>
      </w:pPr>
      <w:r>
        <w:rPr>
          <w:rFonts w:hint="eastAsia" w:ascii="宋体" w:hAnsi="宋体"/>
          <w:sz w:val="24"/>
        </w:rPr>
        <w:t>（3）中标通知书对采购人和中标人均具有法律效力。中标通知书发出后，采购人改变中标结果，或者中标人无正当理由放弃中标的，应当承担相应的法律责任。</w:t>
      </w:r>
    </w:p>
    <w:p w14:paraId="1A43B900">
      <w:pPr>
        <w:spacing w:line="500" w:lineRule="exact"/>
        <w:ind w:firstLine="480" w:firstLineChars="200"/>
        <w:rPr>
          <w:rFonts w:ascii="宋体" w:hAnsi="宋体"/>
          <w:sz w:val="24"/>
        </w:rPr>
      </w:pPr>
      <w:r>
        <w:rPr>
          <w:rFonts w:hint="eastAsia" w:ascii="宋体" w:hAnsi="宋体"/>
          <w:sz w:val="24"/>
        </w:rPr>
        <w:t>（4）中标人的投标文件本应作为无效处理或者有政府采购法律法规规章制度规定的中标无效情形的，招标采购单位在取得有权主体认定以后，将宣布发出的中标通知书无效，并收回发出的中标通知书（中标人也应当缴回），依法重新确定中标人或者重新开展采购活动。</w:t>
      </w:r>
    </w:p>
    <w:p w14:paraId="7E416329">
      <w:pPr>
        <w:spacing w:line="500" w:lineRule="exact"/>
        <w:rPr>
          <w:rFonts w:ascii="宋体" w:hAnsi="宋体"/>
          <w:sz w:val="24"/>
        </w:rPr>
      </w:pPr>
      <w:r>
        <w:rPr>
          <w:rFonts w:ascii="宋体" w:hAnsi="宋体"/>
          <w:sz w:val="24"/>
        </w:rPr>
        <w:t xml:space="preserve">    </w:t>
      </w:r>
      <w:r>
        <w:rPr>
          <w:rFonts w:hint="eastAsia" w:ascii="宋体" w:hAnsi="宋体"/>
          <w:sz w:val="24"/>
        </w:rPr>
        <w:t>（5）中标公告</w:t>
      </w:r>
      <w:r>
        <w:rPr>
          <w:rFonts w:ascii="宋体" w:hAnsi="宋体"/>
          <w:sz w:val="24"/>
        </w:rPr>
        <w:t>发出后，中标人自行</w:t>
      </w:r>
      <w:r>
        <w:rPr>
          <w:rFonts w:hint="eastAsia" w:ascii="宋体" w:hAnsi="宋体"/>
          <w:sz w:val="24"/>
          <w:lang w:eastAsia="zh-CN"/>
        </w:rPr>
        <w:t>下载</w:t>
      </w:r>
      <w:r>
        <w:rPr>
          <w:rFonts w:ascii="宋体" w:hAnsi="宋体"/>
          <w:sz w:val="24"/>
        </w:rPr>
        <w:t>中标通知书。</w:t>
      </w:r>
      <w:bookmarkEnd w:id="113"/>
      <w:bookmarkEnd w:id="114"/>
      <w:bookmarkEnd w:id="115"/>
      <w:bookmarkEnd w:id="116"/>
    </w:p>
    <w:p w14:paraId="5F5ACE2B">
      <w:pPr>
        <w:pStyle w:val="4"/>
        <w:spacing w:line="240" w:lineRule="atLeast"/>
        <w:rPr>
          <w:rFonts w:ascii="黑体" w:hAnsi="黑体"/>
        </w:rPr>
      </w:pPr>
      <w:bookmarkStart w:id="117" w:name="_Toc27479"/>
      <w:bookmarkStart w:id="118" w:name="_Toc308164810"/>
      <w:bookmarkStart w:id="119" w:name="_Toc217446064"/>
      <w:bookmarkStart w:id="120" w:name="_Toc183582240"/>
      <w:bookmarkStart w:id="121" w:name="_Toc183682377"/>
      <w:r>
        <w:rPr>
          <w:rFonts w:hint="eastAsia" w:ascii="黑体" w:hAnsi="黑体"/>
        </w:rPr>
        <w:t>六、签订及履行合同和验收</w:t>
      </w:r>
      <w:bookmarkEnd w:id="117"/>
      <w:bookmarkEnd w:id="118"/>
      <w:bookmarkEnd w:id="119"/>
    </w:p>
    <w:p w14:paraId="1FC6BECA">
      <w:pPr>
        <w:spacing w:line="500" w:lineRule="exact"/>
        <w:ind w:firstLine="480" w:firstLineChars="200"/>
        <w:rPr>
          <w:rFonts w:ascii="宋体" w:hAnsi="宋体"/>
          <w:b/>
          <w:sz w:val="24"/>
        </w:rPr>
      </w:pPr>
      <w:bookmarkStart w:id="122" w:name="_Toc308164811"/>
      <w:bookmarkStart w:id="123" w:name="_Toc217446065"/>
      <w:r>
        <w:rPr>
          <w:rFonts w:hint="eastAsia" w:ascii="宋体" w:hAnsi="宋体"/>
          <w:sz w:val="24"/>
        </w:rPr>
        <w:t>1、</w:t>
      </w:r>
      <w:r>
        <w:rPr>
          <w:rFonts w:hint="eastAsia" w:ascii="宋体" w:hAnsi="宋体"/>
          <w:b/>
          <w:sz w:val="24"/>
        </w:rPr>
        <w:t xml:space="preserve"> </w:t>
      </w:r>
      <w:r>
        <w:rPr>
          <w:rFonts w:hint="eastAsia" w:ascii="宋体" w:hAnsi="宋体"/>
          <w:sz w:val="24"/>
        </w:rPr>
        <w:t>签订合同</w:t>
      </w:r>
    </w:p>
    <w:p w14:paraId="7B3B4D41">
      <w:pPr>
        <w:spacing w:line="500" w:lineRule="exact"/>
        <w:ind w:firstLine="480" w:firstLineChars="200"/>
        <w:rPr>
          <w:rFonts w:ascii="宋体" w:hAnsi="宋体"/>
          <w:sz w:val="24"/>
        </w:rPr>
      </w:pPr>
      <w:r>
        <w:rPr>
          <w:rFonts w:hint="eastAsia" w:ascii="宋体" w:hAnsi="宋体"/>
          <w:sz w:val="24"/>
        </w:rPr>
        <w:t>（1）中标人应在中标通知书发出之日起三十日内（或采购文件中</w:t>
      </w:r>
      <w:r>
        <w:rPr>
          <w:rFonts w:ascii="宋体" w:hAnsi="宋体"/>
          <w:sz w:val="24"/>
        </w:rPr>
        <w:t>规定</w:t>
      </w:r>
      <w:r>
        <w:rPr>
          <w:rFonts w:hint="eastAsia" w:ascii="宋体" w:hAnsi="宋体"/>
          <w:sz w:val="24"/>
        </w:rPr>
        <w:t>另一个</w:t>
      </w:r>
      <w:r>
        <w:rPr>
          <w:rFonts w:ascii="宋体" w:hAnsi="宋体"/>
          <w:sz w:val="24"/>
        </w:rPr>
        <w:t>较短的时间）</w:t>
      </w:r>
      <w:r>
        <w:rPr>
          <w:rFonts w:hint="eastAsia" w:ascii="宋体" w:hAnsi="宋体"/>
          <w:sz w:val="24"/>
        </w:rPr>
        <w:t>与采购人签订采购合同。由于中标人的原因逾期未与采购人签订采购合同的，将视为放弃中标，取消其中标资格并将按相关规定进行处理。由于</w:t>
      </w:r>
      <w:r>
        <w:rPr>
          <w:rFonts w:ascii="宋体" w:hAnsi="宋体"/>
          <w:sz w:val="24"/>
        </w:rPr>
        <w:t>采购人</w:t>
      </w:r>
      <w:r>
        <w:rPr>
          <w:rFonts w:hint="eastAsia" w:ascii="宋体" w:hAnsi="宋体"/>
          <w:sz w:val="24"/>
        </w:rPr>
        <w:t>的原因逾期未与中标人签订采购合同的，将按相关规定进行处理。</w:t>
      </w:r>
    </w:p>
    <w:p w14:paraId="33CEEAA6">
      <w:pPr>
        <w:spacing w:line="500" w:lineRule="exact"/>
        <w:ind w:firstLine="480" w:firstLineChars="200"/>
        <w:rPr>
          <w:rFonts w:ascii="宋体" w:hAnsi="宋体"/>
          <w:sz w:val="24"/>
        </w:rPr>
      </w:pPr>
      <w:r>
        <w:rPr>
          <w:rFonts w:hint="eastAsia" w:ascii="宋体" w:hAnsi="宋体"/>
          <w:sz w:val="24"/>
        </w:rPr>
        <w:t>（2）采购人不得向中标人提出任何不合理的要求，作为签订合同的条件，不得与中标人私下订立背离合同实质性内容的任何协议，所签订的合同不得对招标文件和中标人投标文件确定的事项进行修改。</w:t>
      </w:r>
    </w:p>
    <w:p w14:paraId="56861380">
      <w:pPr>
        <w:spacing w:line="500" w:lineRule="exact"/>
        <w:ind w:firstLine="480" w:firstLineChars="200"/>
        <w:rPr>
          <w:rFonts w:ascii="宋体" w:hAnsi="宋体"/>
          <w:sz w:val="24"/>
        </w:rPr>
      </w:pPr>
      <w:r>
        <w:rPr>
          <w:rFonts w:hint="eastAsia" w:ascii="宋体" w:hAnsi="宋体"/>
          <w:sz w:val="24"/>
        </w:rPr>
        <w:t>（3）中标人因不可抗力原因不能履行采购合同或放弃中标的，经请示主管部门同意后，可依法重新确定中标人或者重新开展招标活动。</w:t>
      </w:r>
    </w:p>
    <w:p w14:paraId="6283B0F9">
      <w:pPr>
        <w:spacing w:line="500" w:lineRule="exact"/>
        <w:ind w:firstLine="480" w:firstLineChars="200"/>
        <w:rPr>
          <w:rFonts w:ascii="宋体" w:hAnsi="宋体"/>
          <w:b/>
          <w:color w:val="FF0000"/>
          <w:sz w:val="24"/>
        </w:rPr>
      </w:pPr>
      <w:r>
        <w:rPr>
          <w:rFonts w:hint="eastAsia" w:ascii="宋体" w:hAnsi="宋体"/>
          <w:sz w:val="24"/>
        </w:rPr>
        <w:t>2</w:t>
      </w:r>
      <w:r>
        <w:rPr>
          <w:rFonts w:hint="eastAsia" w:ascii="宋体" w:hAnsi="宋体"/>
          <w:b/>
          <w:sz w:val="24"/>
        </w:rPr>
        <w:t>、</w:t>
      </w:r>
      <w:r>
        <w:rPr>
          <w:rFonts w:hint="eastAsia" w:ascii="宋体" w:hAnsi="宋体"/>
          <w:b/>
          <w:color w:val="FF0000"/>
          <w:sz w:val="24"/>
        </w:rPr>
        <w:t xml:space="preserve"> </w:t>
      </w:r>
      <w:r>
        <w:rPr>
          <w:rFonts w:hint="eastAsia" w:ascii="宋体" w:hAnsi="宋体"/>
          <w:color w:val="FF0000"/>
          <w:sz w:val="24"/>
        </w:rPr>
        <w:t>履约保证金：无</w:t>
      </w:r>
    </w:p>
    <w:p w14:paraId="68AA6841">
      <w:pPr>
        <w:widowControl/>
        <w:snapToGrid w:val="0"/>
        <w:spacing w:before="120" w:beforeLines="50"/>
        <w:ind w:firstLine="960" w:firstLineChars="400"/>
        <w:jc w:val="left"/>
        <w:rPr>
          <w:rFonts w:hint="default" w:ascii="宋体" w:hAnsi="宋体" w:eastAsiaTheme="minorEastAsia"/>
          <w:color w:val="FF0000"/>
          <w:sz w:val="24"/>
          <w:u w:val="none"/>
          <w:lang w:val="en-US" w:eastAsia="zh-CN" w:bidi="en-US"/>
        </w:rPr>
      </w:pPr>
      <w:r>
        <w:rPr>
          <w:rFonts w:hint="eastAsia" w:ascii="宋体" w:hAnsi="宋体"/>
          <w:color w:val="FF0000"/>
          <w:sz w:val="24"/>
        </w:rPr>
        <w:t>（1）</w:t>
      </w:r>
      <w:r>
        <w:rPr>
          <w:rFonts w:hint="eastAsia" w:ascii="宋体" w:hAnsi="宋体"/>
          <w:color w:val="FF0000"/>
          <w:sz w:val="24"/>
          <w:lang w:bidi="en-US"/>
        </w:rPr>
        <w:t>履约</w:t>
      </w:r>
      <w:r>
        <w:rPr>
          <w:rFonts w:ascii="宋体" w:hAnsi="宋体"/>
          <w:color w:val="FF0000"/>
          <w:sz w:val="24"/>
          <w:lang w:bidi="en-US"/>
        </w:rPr>
        <w:t>保证金</w:t>
      </w:r>
      <w:r>
        <w:rPr>
          <w:rFonts w:hint="eastAsia" w:ascii="宋体" w:hAnsi="宋体"/>
          <w:color w:val="FF0000"/>
          <w:sz w:val="24"/>
          <w:lang w:bidi="en-US"/>
        </w:rPr>
        <w:t>金额：政府采购合同金额的</w:t>
      </w:r>
      <w:r>
        <w:rPr>
          <w:rFonts w:hint="eastAsia" w:ascii="宋体" w:hAnsi="宋体"/>
          <w:color w:val="FF0000"/>
          <w:sz w:val="24"/>
          <w:u w:val="single"/>
          <w:lang w:bidi="en-US"/>
        </w:rPr>
        <w:t xml:space="preserve">    </w:t>
      </w:r>
      <w:r>
        <w:rPr>
          <w:rFonts w:hint="eastAsia" w:ascii="宋体" w:hAnsi="宋体"/>
          <w:color w:val="FF0000"/>
          <w:sz w:val="24"/>
          <w:lang w:bidi="en-US"/>
        </w:rPr>
        <w:t>%</w:t>
      </w:r>
      <w:r>
        <w:rPr>
          <w:rFonts w:hint="eastAsia" w:ascii="宋体" w:hAnsi="宋体"/>
          <w:color w:val="FF0000"/>
          <w:sz w:val="24"/>
          <w:lang w:eastAsia="zh-CN" w:bidi="en-US"/>
        </w:rPr>
        <w:t>。</w:t>
      </w:r>
      <w:r>
        <w:rPr>
          <w:rFonts w:hint="eastAsia" w:ascii="宋体" w:hAnsi="宋体"/>
          <w:color w:val="FF0000"/>
          <w:sz w:val="24"/>
          <w:lang w:val="en-US" w:eastAsia="zh-CN" w:bidi="en-US"/>
        </w:rPr>
        <w:t>返还时间</w:t>
      </w:r>
      <w:r>
        <w:rPr>
          <w:rFonts w:hint="eastAsia" w:ascii="宋体" w:hAnsi="宋体"/>
          <w:color w:val="FF0000"/>
          <w:sz w:val="24"/>
          <w:u w:val="single"/>
          <w:lang w:val="en-US" w:eastAsia="zh-CN" w:bidi="en-US"/>
        </w:rPr>
        <w:t xml:space="preserve">       </w:t>
      </w:r>
      <w:r>
        <w:rPr>
          <w:rFonts w:hint="eastAsia" w:ascii="宋体" w:hAnsi="宋体"/>
          <w:color w:val="FF0000"/>
          <w:sz w:val="24"/>
          <w:u w:val="none"/>
          <w:lang w:val="en-US" w:eastAsia="zh-CN" w:bidi="en-US"/>
        </w:rPr>
        <w:t>。</w:t>
      </w:r>
    </w:p>
    <w:p w14:paraId="0F05523A">
      <w:pPr>
        <w:spacing w:line="500" w:lineRule="exact"/>
        <w:ind w:right="105" w:rightChars="50" w:firstLine="960" w:firstLineChars="400"/>
        <w:rPr>
          <w:rFonts w:ascii="宋体" w:hAnsi="宋体"/>
          <w:sz w:val="24"/>
          <w:lang w:bidi="en-US"/>
        </w:rPr>
      </w:pPr>
      <w:r>
        <w:rPr>
          <w:rFonts w:hint="eastAsia" w:ascii="宋体" w:hAnsi="宋体"/>
          <w:color w:val="FF0000"/>
          <w:sz w:val="24"/>
        </w:rPr>
        <w:t>（2）中标人应在合同签订之前交纳招标文件规定数额的履约保证金，</w:t>
      </w:r>
      <w:r>
        <w:rPr>
          <w:rFonts w:ascii="宋体" w:hAnsi="宋体"/>
          <w:color w:val="FF0000"/>
          <w:sz w:val="24"/>
        </w:rPr>
        <w:t>具体交纳方式由采购人决定</w:t>
      </w:r>
      <w:r>
        <w:rPr>
          <w:rFonts w:hint="eastAsia" w:ascii="宋体" w:hAnsi="宋体"/>
          <w:color w:val="FF0000"/>
          <w:sz w:val="24"/>
          <w:lang w:eastAsia="zh-CN"/>
        </w:rPr>
        <w:t>，</w:t>
      </w:r>
      <w:r>
        <w:rPr>
          <w:rFonts w:hint="eastAsia" w:ascii="宋体" w:hAnsi="宋体"/>
          <w:color w:val="FF0000"/>
          <w:sz w:val="24"/>
          <w:lang w:val="en-US" w:eastAsia="zh-CN"/>
        </w:rPr>
        <w:t>支持本票、汇票、支票、保函（保险保函、银行保函）缴纳</w:t>
      </w:r>
      <w:r>
        <w:rPr>
          <w:rFonts w:hint="eastAsia" w:ascii="宋体" w:hAnsi="宋体"/>
          <w:color w:val="FF0000"/>
          <w:sz w:val="24"/>
        </w:rPr>
        <w:t>。</w:t>
      </w:r>
    </w:p>
    <w:p w14:paraId="4898DA17">
      <w:pPr>
        <w:widowControl/>
        <w:snapToGrid w:val="0"/>
        <w:spacing w:before="120" w:beforeLines="50"/>
        <w:ind w:firstLine="960" w:firstLineChars="400"/>
        <w:jc w:val="left"/>
        <w:rPr>
          <w:rFonts w:hint="eastAsia" w:ascii="宋体" w:hAnsi="宋体"/>
          <w:color w:val="FF0000"/>
          <w:sz w:val="24"/>
        </w:rPr>
      </w:pPr>
      <w:r>
        <w:rPr>
          <w:rFonts w:hint="eastAsia" w:ascii="宋体" w:hAnsi="宋体"/>
          <w:color w:val="FF0000"/>
          <w:sz w:val="24"/>
        </w:rPr>
        <w:t>（3）如果中标人在规定的合同签订时间内，没有按照招标文件的规定</w:t>
      </w:r>
      <w:r>
        <w:rPr>
          <w:rFonts w:hint="eastAsia" w:ascii="宋体" w:hAnsi="宋体"/>
          <w:color w:val="FF0000"/>
          <w:sz w:val="24"/>
          <w:lang w:val="en-US" w:eastAsia="zh-CN"/>
        </w:rPr>
        <w:t>向采购人</w:t>
      </w:r>
      <w:r>
        <w:rPr>
          <w:rFonts w:hint="eastAsia" w:ascii="宋体" w:hAnsi="宋体"/>
          <w:color w:val="FF0000"/>
          <w:sz w:val="24"/>
        </w:rPr>
        <w:t>交纳履约保证金，且又无正当理由的，将视为放弃中标。</w:t>
      </w:r>
    </w:p>
    <w:p w14:paraId="395A5FA7">
      <w:pPr>
        <w:widowControl/>
        <w:snapToGrid w:val="0"/>
        <w:spacing w:before="120" w:beforeLines="50"/>
        <w:ind w:firstLine="960" w:firstLineChars="400"/>
        <w:jc w:val="left"/>
        <w:rPr>
          <w:rFonts w:hint="eastAsia" w:ascii="宋体" w:hAnsi="宋体"/>
          <w:color w:val="FF0000"/>
          <w:sz w:val="24"/>
          <w:lang w:eastAsia="zh-CN"/>
        </w:rPr>
      </w:pPr>
      <w:r>
        <w:rPr>
          <w:rFonts w:hint="eastAsia" w:ascii="宋体" w:hAnsi="宋体"/>
          <w:color w:val="FF0000"/>
          <w:sz w:val="24"/>
          <w:lang w:eastAsia="zh-CN"/>
        </w:rPr>
        <w:t>（</w:t>
      </w:r>
      <w:r>
        <w:rPr>
          <w:rFonts w:hint="eastAsia" w:ascii="宋体" w:hAnsi="宋体"/>
          <w:color w:val="FF0000"/>
          <w:sz w:val="24"/>
          <w:lang w:val="en-US" w:eastAsia="zh-CN"/>
        </w:rPr>
        <w:t>4</w:t>
      </w:r>
      <w:r>
        <w:rPr>
          <w:rFonts w:hint="eastAsia" w:ascii="宋体" w:hAnsi="宋体"/>
          <w:color w:val="FF0000"/>
          <w:sz w:val="24"/>
          <w:lang w:eastAsia="zh-CN"/>
        </w:rPr>
        <w:t>）中标人不履行与招标人订立的合同的，履约保证金不予退还，给招标人造成的损失超过履约保证金数额的，还应当对超过部分予以赔偿；没有提交履约保证金的，应当对招标人的损失承担赔偿责任。</w:t>
      </w:r>
    </w:p>
    <w:p w14:paraId="32E44A5E">
      <w:pPr>
        <w:pStyle w:val="57"/>
        <w:rPr>
          <w:rFonts w:ascii="宋体" w:hAnsi="宋体"/>
          <w:color w:val="FF0000"/>
          <w:sz w:val="24"/>
        </w:rPr>
      </w:pPr>
      <w:r>
        <w:rPr>
          <w:rFonts w:hint="eastAsia" w:ascii="宋体" w:hAnsi="宋体"/>
          <w:color w:val="FF0000"/>
          <w:sz w:val="24"/>
          <w:lang w:eastAsia="zh-CN"/>
        </w:rPr>
        <w:t>（</w:t>
      </w:r>
      <w:r>
        <w:rPr>
          <w:rFonts w:hint="eastAsia" w:ascii="宋体" w:hAnsi="宋体"/>
          <w:color w:val="FF0000"/>
          <w:sz w:val="24"/>
          <w:lang w:val="en-US" w:eastAsia="zh-CN"/>
        </w:rPr>
        <w:t>5</w:t>
      </w:r>
      <w:r>
        <w:rPr>
          <w:rFonts w:hint="eastAsia" w:ascii="宋体" w:hAnsi="宋体"/>
          <w:color w:val="FF0000"/>
          <w:sz w:val="24"/>
          <w:lang w:eastAsia="zh-CN"/>
        </w:rPr>
        <w:t>）</w:t>
      </w:r>
      <w:r>
        <w:rPr>
          <w:rFonts w:hint="eastAsia" w:ascii="宋体" w:hAnsi="宋体"/>
          <w:color w:val="FF0000"/>
          <w:sz w:val="24"/>
          <w:lang w:val="en-US" w:eastAsia="zh-CN"/>
        </w:rPr>
        <w:t>验收合格后不按合同约定返还履约保证金的，造成的损失由采购人承担。</w:t>
      </w:r>
    </w:p>
    <w:p w14:paraId="4FFBA144">
      <w:pPr>
        <w:spacing w:line="500" w:lineRule="exact"/>
        <w:ind w:firstLine="482" w:firstLineChars="200"/>
        <w:rPr>
          <w:rFonts w:ascii="宋体" w:hAnsi="宋体"/>
          <w:b/>
          <w:sz w:val="24"/>
        </w:rPr>
      </w:pPr>
      <w:r>
        <w:rPr>
          <w:rFonts w:hint="eastAsia" w:ascii="宋体" w:hAnsi="宋体"/>
          <w:b/>
          <w:sz w:val="24"/>
        </w:rPr>
        <w:t>3、合同公告</w:t>
      </w:r>
    </w:p>
    <w:p w14:paraId="1DBDEBC1">
      <w:pPr>
        <w:spacing w:line="500" w:lineRule="exact"/>
        <w:ind w:firstLine="480" w:firstLineChars="200"/>
        <w:rPr>
          <w:rFonts w:ascii="宋体" w:hAnsi="宋体"/>
          <w:sz w:val="24"/>
        </w:rPr>
      </w:pPr>
      <w:r>
        <w:rPr>
          <w:rFonts w:hint="eastAsia" w:ascii="宋体" w:hAnsi="宋体"/>
          <w:sz w:val="24"/>
        </w:rPr>
        <w:t>采购人应当自政府采购合同签订（双方当事人均已签字盖章）之日起2个工作日内，将政府采购合同在省级以上人民政府财政部门指定的</w:t>
      </w:r>
      <w:r>
        <w:rPr>
          <w:rFonts w:hint="eastAsia"/>
        </w:rPr>
        <w:t>网站</w:t>
      </w:r>
      <w:r>
        <w:rPr>
          <w:rFonts w:hint="eastAsia" w:ascii="宋体" w:hAnsi="宋体"/>
          <w:sz w:val="24"/>
        </w:rPr>
        <w:t>上公告（</w:t>
      </w:r>
      <w:r>
        <w:rPr>
          <w:rFonts w:hint="eastAsia" w:ascii="宋体" w:hAnsi="宋体"/>
          <w:color w:val="FF0000"/>
          <w:sz w:val="24"/>
        </w:rPr>
        <w:t>政采云平台https://www.zcygov.cn/</w:t>
      </w:r>
      <w:r>
        <w:rPr>
          <w:rFonts w:hint="eastAsia" w:ascii="宋体" w:hAnsi="宋体"/>
          <w:sz w:val="24"/>
        </w:rPr>
        <w:t>），但政府采购合同中涉及国家秘密、商业秘密的内容除外。</w:t>
      </w:r>
    </w:p>
    <w:p w14:paraId="7FDF04D1">
      <w:pPr>
        <w:spacing w:line="500" w:lineRule="exact"/>
        <w:ind w:firstLine="360" w:firstLineChars="150"/>
        <w:rPr>
          <w:rFonts w:ascii="宋体" w:hAnsi="宋体"/>
          <w:sz w:val="24"/>
        </w:rPr>
      </w:pPr>
      <w:r>
        <w:rPr>
          <w:rFonts w:hint="eastAsia" w:ascii="宋体" w:hAnsi="宋体"/>
          <w:sz w:val="24"/>
        </w:rPr>
        <w:t>4、履行合同</w:t>
      </w:r>
    </w:p>
    <w:p w14:paraId="698017A8">
      <w:pPr>
        <w:spacing w:line="500" w:lineRule="exact"/>
        <w:ind w:firstLine="480" w:firstLineChars="200"/>
        <w:rPr>
          <w:rFonts w:ascii="宋体" w:hAnsi="宋体"/>
          <w:sz w:val="24"/>
        </w:rPr>
      </w:pPr>
      <w:r>
        <w:rPr>
          <w:rFonts w:hint="eastAsia" w:ascii="宋体" w:hAnsi="宋体"/>
          <w:sz w:val="24"/>
        </w:rPr>
        <w:t>（1）中标人与采购人签订合同后，合同双方应严格执行合同条款，履行合同规定的义务，保证合同的顺利完成。</w:t>
      </w:r>
    </w:p>
    <w:p w14:paraId="360EB2D3">
      <w:pPr>
        <w:spacing w:line="500" w:lineRule="exact"/>
        <w:ind w:firstLine="480" w:firstLineChars="200"/>
        <w:rPr>
          <w:rFonts w:ascii="宋体" w:hAnsi="宋体"/>
          <w:sz w:val="24"/>
        </w:rPr>
      </w:pPr>
      <w:r>
        <w:rPr>
          <w:rFonts w:hint="eastAsia" w:ascii="宋体" w:hAnsi="宋体"/>
          <w:sz w:val="24"/>
        </w:rPr>
        <w:t>（2）在合同履行过程中，如发生合同纠纷，合同双方应按照《合同法》的有关规定进行处理。</w:t>
      </w:r>
    </w:p>
    <w:p w14:paraId="03F6F60B">
      <w:pPr>
        <w:spacing w:line="500" w:lineRule="exact"/>
        <w:ind w:firstLine="480" w:firstLineChars="200"/>
        <w:rPr>
          <w:rFonts w:ascii="宋体" w:hAnsi="宋体"/>
          <w:b/>
          <w:sz w:val="24"/>
        </w:rPr>
      </w:pPr>
      <w:r>
        <w:rPr>
          <w:rFonts w:hint="eastAsia" w:ascii="宋体" w:hAnsi="宋体"/>
          <w:sz w:val="24"/>
        </w:rPr>
        <w:t>5、 验收</w:t>
      </w:r>
    </w:p>
    <w:p w14:paraId="699D5089">
      <w:pPr>
        <w:spacing w:line="500" w:lineRule="exact"/>
        <w:ind w:firstLine="480" w:firstLineChars="200"/>
        <w:rPr>
          <w:rFonts w:ascii="宋体" w:hAnsi="宋体"/>
          <w:sz w:val="24"/>
        </w:rPr>
      </w:pPr>
      <w:r>
        <w:rPr>
          <w:rFonts w:hint="eastAsia" w:ascii="宋体" w:hAnsi="宋体"/>
          <w:sz w:val="24"/>
        </w:rPr>
        <w:t>（1）本项目采购人应严格按照政府采购相关法律法规的要求进行验收。验收结束后，将验收报告在省级以上人民政府财政部门指定的</w:t>
      </w:r>
      <w:r>
        <w:rPr>
          <w:rFonts w:hint="eastAsia"/>
        </w:rPr>
        <w:t>网站</w:t>
      </w:r>
      <w:r>
        <w:rPr>
          <w:rFonts w:hint="eastAsia" w:ascii="宋体" w:hAnsi="宋体"/>
          <w:sz w:val="24"/>
        </w:rPr>
        <w:t>上公告（</w:t>
      </w:r>
      <w:r>
        <w:rPr>
          <w:rFonts w:hint="eastAsia" w:ascii="宋体"/>
          <w:color w:val="auto"/>
          <w:sz w:val="24"/>
          <w:lang w:val="en-US" w:eastAsia="zh-CN"/>
        </w:rPr>
        <w:t>吉林省政府采购网、中国政府采购网</w:t>
      </w:r>
      <w:r>
        <w:rPr>
          <w:rFonts w:hint="eastAsia" w:ascii="宋体" w:hAnsi="宋体"/>
          <w:sz w:val="24"/>
        </w:rPr>
        <w:t>），但政府采购合同中涉及国家秘密、商业秘密的内容除外。</w:t>
      </w:r>
    </w:p>
    <w:p w14:paraId="401D1EE2">
      <w:pPr>
        <w:spacing w:line="500" w:lineRule="exact"/>
        <w:ind w:firstLine="480" w:firstLineChars="200"/>
        <w:rPr>
          <w:rFonts w:ascii="宋体" w:hAnsi="宋体"/>
          <w:sz w:val="24"/>
        </w:rPr>
      </w:pPr>
      <w:r>
        <w:rPr>
          <w:rFonts w:hint="eastAsia" w:ascii="宋体" w:hAnsi="宋体"/>
          <w:sz w:val="24"/>
        </w:rPr>
        <w:t>（2）验收结果不合</w:t>
      </w:r>
      <w:r>
        <w:rPr>
          <w:rFonts w:hint="eastAsia" w:ascii="宋体" w:hAnsi="宋体"/>
          <w:color w:val="000000"/>
          <w:sz w:val="24"/>
        </w:rPr>
        <w:t>格的，履约保证金将不予</w:t>
      </w:r>
      <w:r>
        <w:rPr>
          <w:rFonts w:hint="eastAsia" w:ascii="宋体" w:hAnsi="宋体"/>
          <w:sz w:val="24"/>
        </w:rPr>
        <w:t>退还，也将不予支付采购资金，采购人呈报本项目同级财政部门按照政府采购法律法规等有关规定给予处罚。</w:t>
      </w:r>
    </w:p>
    <w:p w14:paraId="38F72103">
      <w:pPr>
        <w:spacing w:line="500" w:lineRule="exact"/>
        <w:ind w:firstLine="480" w:firstLineChars="200"/>
        <w:rPr>
          <w:rFonts w:ascii="宋体" w:hAnsi="宋体"/>
          <w:sz w:val="24"/>
        </w:rPr>
      </w:pPr>
      <w:r>
        <w:rPr>
          <w:rFonts w:hint="eastAsia" w:ascii="宋体" w:hAnsi="宋体"/>
          <w:sz w:val="24"/>
        </w:rPr>
        <w:t>6、资金支付</w:t>
      </w:r>
    </w:p>
    <w:p w14:paraId="7873CE77">
      <w:pPr>
        <w:spacing w:line="500" w:lineRule="exact"/>
        <w:ind w:firstLine="480" w:firstLineChars="200"/>
        <w:rPr>
          <w:rFonts w:ascii="宋体" w:hAnsi="宋体"/>
          <w:sz w:val="24"/>
        </w:rPr>
      </w:pPr>
      <w:r>
        <w:rPr>
          <w:rFonts w:hint="eastAsia" w:ascii="宋体" w:hAnsi="宋体"/>
          <w:sz w:val="24"/>
        </w:rPr>
        <w:t>采购人应按照政府采购合同规定，及时向中标人支付采购资金。</w:t>
      </w:r>
    </w:p>
    <w:bookmarkEnd w:id="120"/>
    <w:bookmarkEnd w:id="121"/>
    <w:bookmarkEnd w:id="122"/>
    <w:bookmarkEnd w:id="123"/>
    <w:p w14:paraId="3414DBE2">
      <w:pPr>
        <w:pStyle w:val="4"/>
        <w:spacing w:line="240" w:lineRule="atLeast"/>
        <w:rPr>
          <w:rFonts w:ascii="黑体" w:hAnsi="黑体"/>
        </w:rPr>
      </w:pPr>
      <w:bookmarkStart w:id="124" w:name="_Toc19997"/>
      <w:bookmarkStart w:id="125" w:name="_Toc308164815"/>
      <w:bookmarkStart w:id="126" w:name="_Toc217446074"/>
      <w:bookmarkStart w:id="127" w:name="_Toc183582243"/>
      <w:bookmarkStart w:id="128" w:name="_Toc183682380"/>
      <w:r>
        <w:rPr>
          <w:rFonts w:hint="eastAsia" w:ascii="黑体" w:hAnsi="黑体"/>
        </w:rPr>
        <w:t>七、投标纪律要求</w:t>
      </w:r>
      <w:bookmarkEnd w:id="124"/>
      <w:bookmarkEnd w:id="125"/>
      <w:bookmarkEnd w:id="126"/>
    </w:p>
    <w:p w14:paraId="75BEAED5">
      <w:pPr>
        <w:spacing w:line="500" w:lineRule="exact"/>
        <w:ind w:firstLine="480" w:firstLineChars="200"/>
        <w:rPr>
          <w:rFonts w:ascii="宋体" w:hAnsi="宋体"/>
          <w:sz w:val="24"/>
        </w:rPr>
      </w:pPr>
      <w:bookmarkStart w:id="129" w:name="_Toc308164816"/>
      <w:bookmarkStart w:id="130" w:name="_Toc217446075"/>
      <w:r>
        <w:rPr>
          <w:rFonts w:hint="eastAsia" w:ascii="宋体" w:hAnsi="宋体"/>
          <w:sz w:val="24"/>
        </w:rPr>
        <w:t>投标人参加本项目投标不得有下列情形：</w:t>
      </w:r>
    </w:p>
    <w:p w14:paraId="4BBB7701">
      <w:pPr>
        <w:spacing w:line="500" w:lineRule="exact"/>
        <w:ind w:firstLine="480" w:firstLineChars="200"/>
        <w:rPr>
          <w:rFonts w:ascii="宋体" w:hAnsi="宋体"/>
          <w:sz w:val="24"/>
        </w:rPr>
      </w:pPr>
      <w:r>
        <w:rPr>
          <w:rFonts w:hint="eastAsia" w:ascii="宋体" w:hAnsi="宋体"/>
          <w:sz w:val="24"/>
        </w:rPr>
        <w:t>（1）提供虚假材料谋取中标；</w:t>
      </w:r>
    </w:p>
    <w:p w14:paraId="251E3F8F">
      <w:pPr>
        <w:spacing w:line="500" w:lineRule="exact"/>
        <w:ind w:firstLine="480" w:firstLineChars="200"/>
        <w:rPr>
          <w:rFonts w:ascii="宋体" w:hAnsi="宋体"/>
          <w:sz w:val="24"/>
        </w:rPr>
      </w:pPr>
      <w:r>
        <w:rPr>
          <w:rFonts w:hint="eastAsia" w:ascii="宋体" w:hAnsi="宋体"/>
          <w:sz w:val="24"/>
        </w:rPr>
        <w:t>（2）采取不正当手段诋毁、排挤其他投标人；</w:t>
      </w:r>
    </w:p>
    <w:p w14:paraId="55074E21">
      <w:pPr>
        <w:spacing w:line="500" w:lineRule="exact"/>
        <w:ind w:firstLine="480" w:firstLineChars="200"/>
        <w:rPr>
          <w:rFonts w:ascii="宋体" w:hAnsi="宋体"/>
          <w:sz w:val="24"/>
        </w:rPr>
      </w:pPr>
      <w:r>
        <w:rPr>
          <w:rFonts w:hint="eastAsia" w:ascii="宋体" w:hAnsi="宋体"/>
          <w:sz w:val="24"/>
        </w:rPr>
        <w:t>（3）与招标采购单位、其他投标人恶意串通；</w:t>
      </w:r>
    </w:p>
    <w:p w14:paraId="690AB7F2">
      <w:pPr>
        <w:spacing w:line="500" w:lineRule="exact"/>
        <w:ind w:firstLine="480" w:firstLineChars="200"/>
        <w:rPr>
          <w:rFonts w:ascii="宋体" w:hAnsi="宋体"/>
          <w:sz w:val="24"/>
        </w:rPr>
      </w:pPr>
      <w:r>
        <w:rPr>
          <w:rFonts w:hint="eastAsia" w:ascii="宋体" w:hAnsi="宋体"/>
          <w:sz w:val="24"/>
        </w:rPr>
        <w:t>（4）向招标采购单位、评标委员会成员行贿或者提供其他不正当利益；</w:t>
      </w:r>
    </w:p>
    <w:p w14:paraId="6E7601FF">
      <w:pPr>
        <w:spacing w:line="500" w:lineRule="exact"/>
        <w:ind w:firstLine="480" w:firstLineChars="200"/>
        <w:rPr>
          <w:rFonts w:ascii="宋体" w:hAnsi="宋体"/>
          <w:sz w:val="24"/>
        </w:rPr>
      </w:pPr>
      <w:r>
        <w:rPr>
          <w:rFonts w:hint="eastAsia" w:ascii="宋体" w:hAnsi="宋体"/>
          <w:sz w:val="24"/>
        </w:rPr>
        <w:t>（5）在招标过程中与招标采购单位进行协商谈判；</w:t>
      </w:r>
    </w:p>
    <w:p w14:paraId="5ACD080F">
      <w:pPr>
        <w:spacing w:line="500" w:lineRule="exact"/>
        <w:ind w:firstLine="480" w:firstLineChars="200"/>
        <w:rPr>
          <w:rFonts w:ascii="宋体" w:hAnsi="宋体"/>
          <w:sz w:val="24"/>
        </w:rPr>
      </w:pPr>
      <w:r>
        <w:rPr>
          <w:rFonts w:hint="eastAsia" w:ascii="宋体" w:hAnsi="宋体"/>
          <w:sz w:val="24"/>
        </w:rPr>
        <w:t>（6）中标或者中标后无正当理由拒不与采购人签订政府采购合同；</w:t>
      </w:r>
    </w:p>
    <w:p w14:paraId="3D6F0DD2">
      <w:pPr>
        <w:spacing w:line="500" w:lineRule="exact"/>
        <w:ind w:firstLine="480" w:firstLineChars="200"/>
        <w:rPr>
          <w:rFonts w:ascii="宋体" w:hAnsi="宋体"/>
          <w:sz w:val="24"/>
        </w:rPr>
      </w:pPr>
      <w:r>
        <w:rPr>
          <w:rFonts w:hint="eastAsia" w:ascii="宋体" w:hAnsi="宋体"/>
          <w:sz w:val="24"/>
        </w:rPr>
        <w:t>（7）未按照招标文件确定的事项签订政府采购合同；</w:t>
      </w:r>
    </w:p>
    <w:p w14:paraId="33C500E8">
      <w:pPr>
        <w:spacing w:line="500" w:lineRule="exact"/>
        <w:ind w:firstLine="480" w:firstLineChars="200"/>
        <w:rPr>
          <w:rFonts w:ascii="宋体" w:hAnsi="宋体"/>
          <w:sz w:val="24"/>
        </w:rPr>
      </w:pPr>
      <w:r>
        <w:rPr>
          <w:rFonts w:hint="eastAsia" w:ascii="宋体" w:hAnsi="宋体"/>
          <w:sz w:val="24"/>
        </w:rPr>
        <w:t>（8）将政府采购合同转包或者违规分包；</w:t>
      </w:r>
    </w:p>
    <w:p w14:paraId="4EFAEC6B">
      <w:pPr>
        <w:spacing w:line="500" w:lineRule="exact"/>
        <w:ind w:firstLine="480" w:firstLineChars="200"/>
        <w:rPr>
          <w:rFonts w:ascii="宋体" w:hAnsi="宋体"/>
          <w:sz w:val="24"/>
        </w:rPr>
      </w:pPr>
      <w:r>
        <w:rPr>
          <w:rFonts w:hint="eastAsia" w:ascii="宋体" w:hAnsi="宋体"/>
          <w:sz w:val="24"/>
        </w:rPr>
        <w:t>（9）提供假冒伪劣产品；</w:t>
      </w:r>
    </w:p>
    <w:p w14:paraId="3CC7AE9B">
      <w:pPr>
        <w:spacing w:line="500" w:lineRule="exact"/>
        <w:ind w:firstLine="480" w:firstLineChars="200"/>
        <w:rPr>
          <w:rFonts w:ascii="宋体" w:hAnsi="宋体"/>
          <w:sz w:val="24"/>
        </w:rPr>
      </w:pPr>
      <w:r>
        <w:rPr>
          <w:rFonts w:hint="eastAsia" w:ascii="宋体" w:hAnsi="宋体"/>
          <w:sz w:val="24"/>
        </w:rPr>
        <w:t>（10）擅自变更、中止或者终止政府采购合同；</w:t>
      </w:r>
    </w:p>
    <w:p w14:paraId="5338E630">
      <w:pPr>
        <w:spacing w:line="500" w:lineRule="exact"/>
        <w:ind w:firstLine="480" w:firstLineChars="200"/>
        <w:rPr>
          <w:rFonts w:ascii="宋体" w:hAnsi="宋体"/>
          <w:sz w:val="24"/>
        </w:rPr>
      </w:pPr>
      <w:r>
        <w:rPr>
          <w:rFonts w:hint="eastAsia" w:ascii="宋体" w:hAnsi="宋体"/>
          <w:sz w:val="24"/>
        </w:rPr>
        <w:t>（11）拒绝有关部门的监督检查或者向监督检查部门提供虚假情况；</w:t>
      </w:r>
    </w:p>
    <w:p w14:paraId="0B79A9E5">
      <w:pPr>
        <w:spacing w:line="500" w:lineRule="exact"/>
        <w:ind w:firstLine="480" w:firstLineChars="200"/>
        <w:rPr>
          <w:rFonts w:ascii="宋体" w:hAnsi="宋体"/>
          <w:sz w:val="24"/>
        </w:rPr>
      </w:pPr>
      <w:r>
        <w:rPr>
          <w:rFonts w:hint="eastAsia" w:ascii="宋体" w:hAnsi="宋体"/>
          <w:sz w:val="24"/>
        </w:rPr>
        <w:t>（12）法律法规规定的其他情形。</w:t>
      </w:r>
    </w:p>
    <w:p w14:paraId="107F5D20">
      <w:pPr>
        <w:spacing w:line="500" w:lineRule="exact"/>
        <w:ind w:firstLine="480" w:firstLineChars="200"/>
        <w:rPr>
          <w:rFonts w:ascii="宋体" w:hAnsi="宋体"/>
          <w:sz w:val="24"/>
        </w:rPr>
      </w:pPr>
      <w:r>
        <w:rPr>
          <w:rFonts w:hint="eastAsia" w:ascii="宋体" w:hAnsi="宋体"/>
          <w:sz w:val="24"/>
        </w:rPr>
        <w:t>投标人有上述情形的，按照规定追究法律责任，具备（1）-（10）条情形之一的，同时将取消中标资格或者认定中标无效</w:t>
      </w:r>
      <w:bookmarkStart w:id="131" w:name="OLE_LINK17"/>
      <w:bookmarkStart w:id="132" w:name="OLE_LINK16"/>
      <w:bookmarkStart w:id="133" w:name="OLE_LINK18"/>
      <w:r>
        <w:rPr>
          <w:rFonts w:hint="eastAsia" w:ascii="宋体" w:hAnsi="宋体"/>
          <w:sz w:val="24"/>
        </w:rPr>
        <w:t>，将该投标人列入不良行为记录名单并全额没收保证金，视情节一至三年内不准进入本地政府采购市场，同时在发布本招标公告的网站上公示。</w:t>
      </w:r>
    </w:p>
    <w:bookmarkEnd w:id="129"/>
    <w:bookmarkEnd w:id="130"/>
    <w:bookmarkEnd w:id="131"/>
    <w:bookmarkEnd w:id="132"/>
    <w:bookmarkEnd w:id="133"/>
    <w:p w14:paraId="1D372801">
      <w:pPr>
        <w:pStyle w:val="4"/>
        <w:spacing w:line="240" w:lineRule="atLeast"/>
        <w:rPr>
          <w:rFonts w:ascii="黑体" w:hAnsi="黑体"/>
        </w:rPr>
      </w:pPr>
      <w:bookmarkStart w:id="134" w:name="_Toc308164819"/>
      <w:bookmarkStart w:id="135" w:name="_Toc23773"/>
      <w:bookmarkStart w:id="136" w:name="_Toc217446078"/>
      <w:r>
        <w:rPr>
          <w:rFonts w:hint="eastAsia" w:ascii="黑体" w:hAnsi="黑体"/>
        </w:rPr>
        <w:t>八、询问、质疑和投诉</w:t>
      </w:r>
      <w:bookmarkEnd w:id="134"/>
      <w:bookmarkEnd w:id="135"/>
      <w:bookmarkEnd w:id="136"/>
      <w:bookmarkStart w:id="137" w:name="_Toc217446079"/>
    </w:p>
    <w:bookmarkEnd w:id="137"/>
    <w:p w14:paraId="1B05C96F">
      <w:pPr>
        <w:spacing w:line="500" w:lineRule="exact"/>
        <w:ind w:firstLine="480" w:firstLineChars="200"/>
        <w:rPr>
          <w:rFonts w:ascii="宋体" w:hAnsi="宋体"/>
          <w:sz w:val="24"/>
        </w:rPr>
      </w:pPr>
      <w:r>
        <w:rPr>
          <w:rFonts w:hint="eastAsia" w:ascii="宋体" w:hAnsi="宋体"/>
          <w:sz w:val="24"/>
        </w:rPr>
        <w:t>询问、质疑、投诉的接收和处理严格按照《中华人民共和国政府采购法》、《中华人民共和国政府采购法实施条例》、《政府采购货物和服务招标投标管理办法》、《政府采购供应商投诉处理办法》、《财政部关于加强政府采购供应商投诉受理审查工作的通知》、《松原市政府采购中心质疑答复办法》的规定办理。</w:t>
      </w:r>
    </w:p>
    <w:bookmarkEnd w:id="127"/>
    <w:bookmarkEnd w:id="128"/>
    <w:p w14:paraId="08D7EF7F">
      <w:pPr>
        <w:pStyle w:val="4"/>
        <w:spacing w:line="240" w:lineRule="atLeast"/>
        <w:rPr>
          <w:rFonts w:ascii="黑体" w:hAnsi="黑体"/>
        </w:rPr>
      </w:pPr>
      <w:bookmarkStart w:id="138" w:name="_Toc21337"/>
      <w:r>
        <w:rPr>
          <w:rFonts w:hint="eastAsia" w:ascii="黑体" w:hAnsi="黑体"/>
        </w:rPr>
        <w:t>九、其他</w:t>
      </w:r>
      <w:bookmarkEnd w:id="138"/>
    </w:p>
    <w:p w14:paraId="69F9ACED">
      <w:pPr>
        <w:spacing w:line="500" w:lineRule="exact"/>
        <w:ind w:firstLine="480" w:firstLineChars="200"/>
        <w:rPr>
          <w:rFonts w:ascii="宋体" w:hAnsi="宋体"/>
          <w:sz w:val="24"/>
        </w:rPr>
      </w:pPr>
      <w:r>
        <w:rPr>
          <w:rFonts w:hint="eastAsia" w:ascii="宋体" w:hAnsi="宋体"/>
          <w:sz w:val="24"/>
        </w:rPr>
        <w:t>本招标文件中所引相关法律制度规定，在政府采购中有变化的，按照变化后的相关法律制度规定执行。在本项目投标截止时间届满后，因相关法律制度规定的变化导致不符合相关法律制度规定的，直接按照变化后的相关法律制度规定执行，本招标文件不再做调整。</w:t>
      </w:r>
      <w:bookmarkStart w:id="139" w:name="_Toc469988658"/>
      <w:bookmarkStart w:id="140" w:name="_Toc504292286"/>
      <w:bookmarkStart w:id="141" w:name="_Toc441754751"/>
      <w:bookmarkStart w:id="142" w:name="_Toc217446093"/>
    </w:p>
    <w:p w14:paraId="26CACA87">
      <w:pPr>
        <w:rPr>
          <w:rFonts w:hint="eastAsia" w:ascii="黑体" w:hAnsi="黑体" w:eastAsia="黑体"/>
          <w:sz w:val="44"/>
          <w:szCs w:val="44"/>
        </w:rPr>
      </w:pPr>
      <w:r>
        <w:rPr>
          <w:rFonts w:hint="eastAsia" w:ascii="黑体" w:hAnsi="黑体" w:eastAsia="黑体"/>
          <w:sz w:val="44"/>
          <w:szCs w:val="44"/>
        </w:rPr>
        <w:br w:type="page"/>
      </w:r>
    </w:p>
    <w:p w14:paraId="3E262DBB">
      <w:pPr>
        <w:pStyle w:val="54"/>
        <w:rPr>
          <w:sz w:val="44"/>
          <w:szCs w:val="44"/>
        </w:rPr>
      </w:pPr>
      <w:bookmarkStart w:id="143" w:name="_Toc28639"/>
      <w:r>
        <w:rPr>
          <w:rFonts w:hint="eastAsia" w:ascii="黑体" w:hAnsi="黑体" w:eastAsia="黑体"/>
          <w:sz w:val="44"/>
          <w:szCs w:val="44"/>
        </w:rPr>
        <w:t xml:space="preserve">第三章  </w:t>
      </w:r>
      <w:bookmarkEnd w:id="139"/>
      <w:r>
        <w:rPr>
          <w:rFonts w:hint="eastAsia" w:ascii="黑体" w:hAnsi="黑体" w:eastAsia="黑体"/>
          <w:sz w:val="44"/>
          <w:szCs w:val="44"/>
        </w:rPr>
        <w:t>资格审查和失信行为记录要求及</w:t>
      </w:r>
      <w:r>
        <w:rPr>
          <w:rFonts w:ascii="黑体" w:hAnsi="黑体" w:eastAsia="黑体"/>
          <w:sz w:val="44"/>
          <w:szCs w:val="44"/>
        </w:rPr>
        <w:t>相关证明材料</w:t>
      </w:r>
      <w:bookmarkEnd w:id="140"/>
      <w:bookmarkEnd w:id="143"/>
      <w:r>
        <w:rPr>
          <w:rFonts w:hint="eastAsia"/>
          <w:sz w:val="44"/>
          <w:szCs w:val="44"/>
        </w:rPr>
        <w:t>　　</w:t>
      </w:r>
      <w:r>
        <w:rPr>
          <w:sz w:val="44"/>
          <w:szCs w:val="44"/>
        </w:rPr>
        <w:t>　　　　　　　　　　　　　</w:t>
      </w:r>
    </w:p>
    <w:tbl>
      <w:tblPr>
        <w:tblStyle w:val="58"/>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913"/>
        <w:gridCol w:w="4483"/>
        <w:gridCol w:w="2161"/>
      </w:tblGrid>
      <w:tr w14:paraId="308E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9" w:type="dxa"/>
            <w:shd w:val="clear" w:color="auto" w:fill="auto"/>
            <w:vAlign w:val="center"/>
          </w:tcPr>
          <w:p w14:paraId="06531DC0">
            <w:pPr>
              <w:spacing w:line="500" w:lineRule="exact"/>
              <w:jc w:val="center"/>
              <w:rPr>
                <w:rFonts w:ascii="宋体" w:hAnsi="宋体"/>
                <w:b/>
                <w:sz w:val="28"/>
                <w:szCs w:val="28"/>
              </w:rPr>
            </w:pPr>
            <w:bookmarkStart w:id="144" w:name="OLE_LINK24"/>
            <w:bookmarkStart w:id="145" w:name="OLE_LINK26"/>
            <w:bookmarkStart w:id="146" w:name="OLE_LINK25"/>
            <w:r>
              <w:rPr>
                <w:rFonts w:hint="eastAsia" w:ascii="宋体" w:hAnsi="宋体"/>
                <w:b/>
                <w:sz w:val="28"/>
                <w:szCs w:val="28"/>
              </w:rPr>
              <w:t>序号</w:t>
            </w:r>
          </w:p>
        </w:tc>
        <w:tc>
          <w:tcPr>
            <w:tcW w:w="2913" w:type="dxa"/>
            <w:shd w:val="clear" w:color="auto" w:fill="auto"/>
            <w:vAlign w:val="center"/>
          </w:tcPr>
          <w:p w14:paraId="2FF63157">
            <w:pPr>
              <w:spacing w:line="500" w:lineRule="exact"/>
              <w:jc w:val="center"/>
              <w:rPr>
                <w:rFonts w:ascii="宋体" w:hAnsi="宋体"/>
                <w:b/>
                <w:sz w:val="28"/>
                <w:szCs w:val="28"/>
              </w:rPr>
            </w:pPr>
            <w:r>
              <w:rPr>
                <w:rFonts w:hint="eastAsia" w:ascii="宋体" w:hAnsi="宋体"/>
                <w:b/>
                <w:sz w:val="28"/>
                <w:szCs w:val="28"/>
              </w:rPr>
              <w:t>资格、资质性及其他类似效力要求</w:t>
            </w:r>
          </w:p>
        </w:tc>
        <w:tc>
          <w:tcPr>
            <w:tcW w:w="4483" w:type="dxa"/>
            <w:shd w:val="clear" w:color="auto" w:fill="auto"/>
            <w:vAlign w:val="center"/>
          </w:tcPr>
          <w:p w14:paraId="52AB12E4">
            <w:pPr>
              <w:spacing w:line="500" w:lineRule="exact"/>
              <w:jc w:val="center"/>
              <w:rPr>
                <w:rFonts w:ascii="宋体" w:hAnsi="宋体"/>
                <w:b/>
                <w:sz w:val="28"/>
                <w:szCs w:val="28"/>
              </w:rPr>
            </w:pPr>
            <w:r>
              <w:rPr>
                <w:rFonts w:hint="eastAsia" w:ascii="宋体" w:hAnsi="宋体"/>
                <w:b/>
                <w:sz w:val="28"/>
                <w:szCs w:val="28"/>
              </w:rPr>
              <w:t>相关</w:t>
            </w:r>
            <w:r>
              <w:rPr>
                <w:rFonts w:ascii="宋体" w:hAnsi="宋体"/>
                <w:b/>
                <w:sz w:val="28"/>
                <w:szCs w:val="28"/>
              </w:rPr>
              <w:t>证明材料</w:t>
            </w:r>
          </w:p>
        </w:tc>
        <w:tc>
          <w:tcPr>
            <w:tcW w:w="2161" w:type="dxa"/>
            <w:shd w:val="clear" w:color="auto" w:fill="auto"/>
            <w:vAlign w:val="center"/>
          </w:tcPr>
          <w:p w14:paraId="676803C6">
            <w:pPr>
              <w:spacing w:line="500" w:lineRule="exact"/>
              <w:jc w:val="center"/>
              <w:rPr>
                <w:rFonts w:ascii="宋体" w:hAnsi="宋体"/>
                <w:b/>
                <w:sz w:val="28"/>
                <w:szCs w:val="28"/>
              </w:rPr>
            </w:pPr>
            <w:r>
              <w:rPr>
                <w:rFonts w:hint="eastAsia" w:ascii="宋体" w:hAnsi="宋体"/>
                <w:b/>
                <w:sz w:val="28"/>
                <w:szCs w:val="28"/>
              </w:rPr>
              <w:t>要求</w:t>
            </w:r>
          </w:p>
        </w:tc>
      </w:tr>
      <w:tr w14:paraId="16BF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9" w:type="dxa"/>
            <w:shd w:val="clear" w:color="auto" w:fill="auto"/>
            <w:vAlign w:val="center"/>
          </w:tcPr>
          <w:p w14:paraId="36980106">
            <w:pPr>
              <w:spacing w:line="500" w:lineRule="exact"/>
              <w:jc w:val="center"/>
              <w:rPr>
                <w:rFonts w:ascii="宋体" w:hAnsi="宋体"/>
                <w:b/>
                <w:sz w:val="28"/>
                <w:szCs w:val="28"/>
              </w:rPr>
            </w:pPr>
            <w:r>
              <w:rPr>
                <w:rFonts w:hint="eastAsia" w:ascii="宋体" w:hAnsi="宋体"/>
                <w:b/>
                <w:sz w:val="28"/>
                <w:szCs w:val="28"/>
              </w:rPr>
              <w:t>1</w:t>
            </w:r>
          </w:p>
        </w:tc>
        <w:tc>
          <w:tcPr>
            <w:tcW w:w="2913" w:type="dxa"/>
            <w:shd w:val="clear" w:color="auto" w:fill="auto"/>
            <w:vAlign w:val="center"/>
          </w:tcPr>
          <w:p w14:paraId="7DF88F9A">
            <w:pPr>
              <w:spacing w:line="500" w:lineRule="exact"/>
              <w:jc w:val="center"/>
              <w:rPr>
                <w:rFonts w:ascii="宋体" w:hAnsi="宋体"/>
                <w:b/>
                <w:sz w:val="24"/>
                <w:szCs w:val="24"/>
              </w:rPr>
            </w:pPr>
            <w:r>
              <w:rPr>
                <w:rFonts w:hint="eastAsia" w:ascii="宋体" w:hAnsi="宋体"/>
                <w:b/>
                <w:sz w:val="24"/>
                <w:szCs w:val="24"/>
              </w:rPr>
              <w:t>身份</w:t>
            </w:r>
            <w:r>
              <w:rPr>
                <w:rFonts w:ascii="宋体" w:hAnsi="宋体"/>
                <w:b/>
                <w:sz w:val="24"/>
                <w:szCs w:val="24"/>
              </w:rPr>
              <w:t>证明材料</w:t>
            </w:r>
          </w:p>
        </w:tc>
        <w:tc>
          <w:tcPr>
            <w:tcW w:w="4483" w:type="dxa"/>
            <w:shd w:val="clear" w:color="auto" w:fill="auto"/>
            <w:vAlign w:val="center"/>
          </w:tcPr>
          <w:p w14:paraId="3BBC96A4">
            <w:pPr>
              <w:spacing w:line="500" w:lineRule="exact"/>
              <w:jc w:val="center"/>
              <w:rPr>
                <w:rFonts w:ascii="宋体" w:hAnsi="宋体"/>
                <w:b/>
                <w:sz w:val="24"/>
                <w:szCs w:val="24"/>
              </w:rPr>
            </w:pPr>
            <w:r>
              <w:rPr>
                <w:rFonts w:hint="eastAsia" w:ascii="宋体" w:hAnsi="宋体"/>
                <w:b/>
                <w:sz w:val="24"/>
                <w:szCs w:val="24"/>
              </w:rPr>
              <w:t>投标人</w:t>
            </w:r>
            <w:r>
              <w:rPr>
                <w:rFonts w:ascii="宋体" w:hAnsi="宋体"/>
                <w:b/>
                <w:sz w:val="24"/>
                <w:szCs w:val="24"/>
              </w:rPr>
              <w:t>法定代表人身份证明</w:t>
            </w:r>
          </w:p>
          <w:p w14:paraId="0B2B1569">
            <w:pPr>
              <w:spacing w:line="500" w:lineRule="exact"/>
              <w:jc w:val="center"/>
              <w:rPr>
                <w:rFonts w:ascii="宋体" w:hAnsi="宋体"/>
                <w:b/>
                <w:sz w:val="24"/>
                <w:szCs w:val="24"/>
              </w:rPr>
            </w:pPr>
          </w:p>
        </w:tc>
        <w:tc>
          <w:tcPr>
            <w:tcW w:w="2161" w:type="dxa"/>
            <w:shd w:val="clear" w:color="auto" w:fill="auto"/>
            <w:vAlign w:val="center"/>
          </w:tcPr>
          <w:p w14:paraId="15F271D8">
            <w:pPr>
              <w:spacing w:line="500" w:lineRule="exact"/>
              <w:jc w:val="center"/>
              <w:rPr>
                <w:rFonts w:hint="eastAsia" w:ascii="宋体" w:hAnsi="宋体"/>
                <w:sz w:val="24"/>
                <w:szCs w:val="24"/>
              </w:rPr>
            </w:pPr>
            <w:r>
              <w:rPr>
                <w:rFonts w:hint="eastAsia" w:ascii="宋体" w:hAnsi="宋体"/>
                <w:sz w:val="24"/>
                <w:szCs w:val="24"/>
              </w:rPr>
              <w:t>加盖单位</w:t>
            </w:r>
          </w:p>
          <w:p w14:paraId="0B2A5252">
            <w:pPr>
              <w:spacing w:line="500" w:lineRule="exact"/>
              <w:jc w:val="center"/>
              <w:rPr>
                <w:rFonts w:ascii="宋体" w:hAnsi="宋体"/>
                <w:b/>
                <w:sz w:val="24"/>
                <w:szCs w:val="24"/>
              </w:rPr>
            </w:pPr>
            <w:r>
              <w:rPr>
                <w:rFonts w:hint="eastAsia" w:ascii="宋体" w:hAnsi="宋体"/>
                <w:sz w:val="24"/>
                <w:szCs w:val="24"/>
              </w:rPr>
              <w:t>公章</w:t>
            </w:r>
          </w:p>
        </w:tc>
      </w:tr>
      <w:tr w14:paraId="264B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9" w:type="dxa"/>
            <w:shd w:val="clear" w:color="auto" w:fill="auto"/>
            <w:vAlign w:val="center"/>
          </w:tcPr>
          <w:p w14:paraId="360CD522">
            <w:pPr>
              <w:spacing w:line="500" w:lineRule="exact"/>
              <w:jc w:val="center"/>
              <w:rPr>
                <w:rFonts w:ascii="宋体" w:hAnsi="宋体"/>
                <w:b/>
                <w:sz w:val="28"/>
                <w:szCs w:val="28"/>
              </w:rPr>
            </w:pPr>
            <w:r>
              <w:rPr>
                <w:rFonts w:hint="eastAsia" w:ascii="宋体" w:hAnsi="宋体"/>
                <w:b/>
                <w:sz w:val="28"/>
                <w:szCs w:val="28"/>
              </w:rPr>
              <w:t>2</w:t>
            </w:r>
          </w:p>
        </w:tc>
        <w:tc>
          <w:tcPr>
            <w:tcW w:w="2913" w:type="dxa"/>
            <w:shd w:val="clear" w:color="auto" w:fill="auto"/>
            <w:vAlign w:val="center"/>
          </w:tcPr>
          <w:p w14:paraId="06630CF3">
            <w:pPr>
              <w:spacing w:line="500" w:lineRule="exact"/>
              <w:jc w:val="center"/>
              <w:rPr>
                <w:rFonts w:ascii="宋体" w:hAnsi="宋体"/>
                <w:b/>
                <w:sz w:val="24"/>
                <w:szCs w:val="24"/>
              </w:rPr>
            </w:pPr>
            <w:r>
              <w:rPr>
                <w:rFonts w:hint="eastAsia" w:ascii="宋体" w:hAnsi="宋体"/>
                <w:b/>
                <w:sz w:val="24"/>
                <w:szCs w:val="24"/>
              </w:rPr>
              <w:t>委托授权</w:t>
            </w:r>
          </w:p>
        </w:tc>
        <w:tc>
          <w:tcPr>
            <w:tcW w:w="4483" w:type="dxa"/>
            <w:shd w:val="clear" w:color="auto" w:fill="auto"/>
            <w:vAlign w:val="center"/>
          </w:tcPr>
          <w:p w14:paraId="4D10B8C0">
            <w:pPr>
              <w:spacing w:line="500" w:lineRule="exact"/>
              <w:jc w:val="center"/>
              <w:rPr>
                <w:rFonts w:ascii="宋体" w:hAnsi="宋体"/>
                <w:b/>
                <w:sz w:val="24"/>
                <w:szCs w:val="24"/>
              </w:rPr>
            </w:pPr>
            <w:r>
              <w:rPr>
                <w:rFonts w:ascii="宋体" w:hAnsi="宋体"/>
                <w:b/>
                <w:sz w:val="24"/>
                <w:szCs w:val="24"/>
              </w:rPr>
              <w:t>授权委托书</w:t>
            </w:r>
          </w:p>
        </w:tc>
        <w:tc>
          <w:tcPr>
            <w:tcW w:w="2161" w:type="dxa"/>
            <w:shd w:val="clear" w:color="auto" w:fill="auto"/>
            <w:vAlign w:val="center"/>
          </w:tcPr>
          <w:p w14:paraId="29F774EF">
            <w:pPr>
              <w:spacing w:line="500" w:lineRule="exact"/>
              <w:jc w:val="center"/>
              <w:rPr>
                <w:rFonts w:hint="eastAsia" w:ascii="宋体" w:hAnsi="宋体"/>
                <w:sz w:val="24"/>
                <w:szCs w:val="24"/>
              </w:rPr>
            </w:pPr>
            <w:r>
              <w:rPr>
                <w:rFonts w:hint="eastAsia" w:ascii="宋体" w:hAnsi="宋体"/>
                <w:sz w:val="24"/>
                <w:szCs w:val="24"/>
              </w:rPr>
              <w:t>加盖单位</w:t>
            </w:r>
          </w:p>
          <w:p w14:paraId="6A3C182F">
            <w:pPr>
              <w:spacing w:line="500" w:lineRule="exact"/>
              <w:jc w:val="center"/>
              <w:rPr>
                <w:rFonts w:ascii="宋体" w:hAnsi="宋体"/>
                <w:b/>
                <w:sz w:val="24"/>
                <w:szCs w:val="24"/>
              </w:rPr>
            </w:pPr>
            <w:r>
              <w:rPr>
                <w:rFonts w:hint="eastAsia" w:ascii="宋体" w:hAnsi="宋体"/>
                <w:sz w:val="24"/>
                <w:szCs w:val="24"/>
              </w:rPr>
              <w:t>公章</w:t>
            </w:r>
          </w:p>
        </w:tc>
      </w:tr>
      <w:tr w14:paraId="0E8B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89" w:type="dxa"/>
            <w:shd w:val="clear" w:color="auto" w:fill="auto"/>
          </w:tcPr>
          <w:p w14:paraId="55B6B196">
            <w:pPr>
              <w:spacing w:line="500" w:lineRule="exact"/>
              <w:rPr>
                <w:rFonts w:ascii="宋体" w:hAnsi="宋体"/>
                <w:b/>
                <w:sz w:val="28"/>
                <w:szCs w:val="28"/>
              </w:rPr>
            </w:pPr>
          </w:p>
          <w:p w14:paraId="3A7A2A46">
            <w:pPr>
              <w:spacing w:line="500" w:lineRule="exact"/>
              <w:rPr>
                <w:rFonts w:ascii="宋体" w:hAnsi="宋体"/>
                <w:b/>
                <w:sz w:val="28"/>
                <w:szCs w:val="28"/>
              </w:rPr>
            </w:pPr>
            <w:r>
              <w:rPr>
                <w:rFonts w:ascii="宋体" w:hAnsi="宋体"/>
                <w:b/>
                <w:sz w:val="28"/>
                <w:szCs w:val="28"/>
              </w:rPr>
              <w:t>3</w:t>
            </w:r>
          </w:p>
        </w:tc>
        <w:tc>
          <w:tcPr>
            <w:tcW w:w="2913" w:type="dxa"/>
            <w:shd w:val="clear" w:color="auto" w:fill="auto"/>
          </w:tcPr>
          <w:p w14:paraId="636D4FDF">
            <w:pPr>
              <w:spacing w:line="500" w:lineRule="exact"/>
              <w:rPr>
                <w:rFonts w:ascii="宋体" w:hAnsi="宋体"/>
                <w:b/>
                <w:color w:val="FF0000"/>
                <w:sz w:val="24"/>
                <w:szCs w:val="24"/>
              </w:rPr>
            </w:pPr>
            <w:r>
              <w:rPr>
                <w:rFonts w:hint="eastAsia" w:ascii="宋体" w:hAnsi="宋体"/>
                <w:b/>
                <w:color w:val="FF0000"/>
                <w:sz w:val="24"/>
                <w:szCs w:val="24"/>
              </w:rPr>
              <w:t>具有履行合同所必须的设备和专业技术能力</w:t>
            </w:r>
          </w:p>
        </w:tc>
        <w:tc>
          <w:tcPr>
            <w:tcW w:w="4483" w:type="dxa"/>
            <w:shd w:val="clear" w:color="auto" w:fill="auto"/>
            <w:vAlign w:val="center"/>
          </w:tcPr>
          <w:p w14:paraId="5F904FA5">
            <w:pPr>
              <w:spacing w:line="500" w:lineRule="exact"/>
              <w:jc w:val="center"/>
              <w:rPr>
                <w:rFonts w:ascii="宋体" w:hAnsi="宋体"/>
                <w:color w:val="00B050"/>
                <w:sz w:val="24"/>
                <w:szCs w:val="24"/>
              </w:rPr>
            </w:pPr>
            <w:r>
              <w:rPr>
                <w:rFonts w:hint="eastAsia" w:ascii="宋体" w:hAnsi="宋体"/>
                <w:color w:val="00B050"/>
                <w:sz w:val="24"/>
                <w:szCs w:val="24"/>
              </w:rPr>
              <w:t>投标人基本情况表</w:t>
            </w:r>
          </w:p>
        </w:tc>
        <w:tc>
          <w:tcPr>
            <w:tcW w:w="2161" w:type="dxa"/>
            <w:shd w:val="clear" w:color="auto" w:fill="auto"/>
            <w:vAlign w:val="center"/>
          </w:tcPr>
          <w:p w14:paraId="6C433B7D">
            <w:pPr>
              <w:spacing w:line="500" w:lineRule="exact"/>
              <w:jc w:val="center"/>
              <w:rPr>
                <w:rFonts w:ascii="宋体" w:hAnsi="宋体"/>
                <w:b/>
                <w:color w:val="FF0000"/>
                <w:sz w:val="24"/>
                <w:szCs w:val="24"/>
              </w:rPr>
            </w:pPr>
            <w:r>
              <w:rPr>
                <w:rFonts w:hint="eastAsia" w:ascii="宋体" w:hAnsi="宋体"/>
                <w:sz w:val="24"/>
                <w:szCs w:val="24"/>
              </w:rPr>
              <w:t>加盖单位公章</w:t>
            </w:r>
          </w:p>
        </w:tc>
      </w:tr>
      <w:tr w14:paraId="280B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6D615D2F">
            <w:pPr>
              <w:spacing w:line="500" w:lineRule="exact"/>
              <w:jc w:val="center"/>
              <w:rPr>
                <w:rFonts w:ascii="宋体" w:hAnsi="宋体"/>
                <w:b/>
                <w:sz w:val="28"/>
                <w:szCs w:val="28"/>
              </w:rPr>
            </w:pPr>
            <w:r>
              <w:rPr>
                <w:rFonts w:ascii="宋体" w:hAnsi="宋体"/>
                <w:b/>
                <w:sz w:val="28"/>
                <w:szCs w:val="28"/>
              </w:rPr>
              <w:t>4</w:t>
            </w:r>
          </w:p>
        </w:tc>
        <w:tc>
          <w:tcPr>
            <w:tcW w:w="2913" w:type="dxa"/>
            <w:shd w:val="clear" w:color="auto" w:fill="auto"/>
            <w:vAlign w:val="center"/>
          </w:tcPr>
          <w:p w14:paraId="0AEC90ED">
            <w:pPr>
              <w:spacing w:line="500" w:lineRule="exact"/>
              <w:jc w:val="center"/>
              <w:rPr>
                <w:rFonts w:ascii="宋体" w:hAnsi="宋体"/>
                <w:b/>
                <w:sz w:val="24"/>
                <w:szCs w:val="24"/>
              </w:rPr>
            </w:pPr>
            <w:r>
              <w:rPr>
                <w:rFonts w:hint="eastAsia" w:ascii="宋体" w:hAnsi="宋体"/>
                <w:b/>
                <w:sz w:val="24"/>
                <w:szCs w:val="24"/>
              </w:rPr>
              <w:t>具有独立承担民事责任的能力</w:t>
            </w:r>
          </w:p>
        </w:tc>
        <w:tc>
          <w:tcPr>
            <w:tcW w:w="4483" w:type="dxa"/>
            <w:shd w:val="clear" w:color="auto" w:fill="auto"/>
          </w:tcPr>
          <w:p w14:paraId="2B203724">
            <w:pPr>
              <w:spacing w:line="500" w:lineRule="exact"/>
              <w:rPr>
                <w:rFonts w:ascii="宋体" w:hAnsi="宋体"/>
                <w:sz w:val="24"/>
                <w:szCs w:val="24"/>
              </w:rPr>
            </w:pPr>
            <w:r>
              <w:rPr>
                <w:rFonts w:ascii="宋体" w:hAnsi="宋体"/>
                <w:sz w:val="24"/>
                <w:szCs w:val="24"/>
              </w:rPr>
              <w:t>投标人为</w:t>
            </w:r>
            <w:r>
              <w:rPr>
                <w:rFonts w:hint="eastAsia" w:ascii="宋体" w:hAnsi="宋体"/>
                <w:sz w:val="24"/>
                <w:szCs w:val="24"/>
              </w:rPr>
              <w:t>企业的提供有效的营业执照、税务登记证和组织机构代码证或</w:t>
            </w:r>
            <w:r>
              <w:rPr>
                <w:rFonts w:ascii="宋体" w:hAnsi="宋体"/>
                <w:sz w:val="24"/>
                <w:szCs w:val="24"/>
              </w:rPr>
              <w:t>三证合一的营业执照</w:t>
            </w:r>
            <w:r>
              <w:rPr>
                <w:rFonts w:hint="eastAsia" w:ascii="宋体" w:hAnsi="宋体"/>
                <w:sz w:val="24"/>
                <w:szCs w:val="24"/>
              </w:rPr>
              <w:t>；投标人</w:t>
            </w:r>
            <w:r>
              <w:rPr>
                <w:rFonts w:ascii="宋体" w:hAnsi="宋体"/>
                <w:sz w:val="24"/>
                <w:szCs w:val="24"/>
              </w:rPr>
              <w:t>为事业单位</w:t>
            </w:r>
            <w:r>
              <w:rPr>
                <w:rFonts w:hint="eastAsia" w:ascii="宋体" w:hAnsi="宋体"/>
                <w:sz w:val="24"/>
                <w:szCs w:val="24"/>
              </w:rPr>
              <w:t>的</w:t>
            </w:r>
            <w:r>
              <w:rPr>
                <w:rFonts w:ascii="宋体" w:hAnsi="宋体"/>
                <w:sz w:val="24"/>
                <w:szCs w:val="24"/>
              </w:rPr>
              <w:t>提供</w:t>
            </w:r>
            <w:r>
              <w:rPr>
                <w:rFonts w:hint="eastAsia" w:ascii="宋体" w:hAnsi="宋体"/>
                <w:sz w:val="24"/>
                <w:szCs w:val="24"/>
              </w:rPr>
              <w:t>有效</w:t>
            </w:r>
            <w:r>
              <w:rPr>
                <w:rFonts w:ascii="宋体" w:hAnsi="宋体"/>
                <w:sz w:val="24"/>
                <w:szCs w:val="24"/>
              </w:rPr>
              <w:t>的法人证书</w:t>
            </w:r>
            <w:r>
              <w:rPr>
                <w:rFonts w:hint="eastAsia" w:ascii="宋体" w:hAnsi="宋体"/>
                <w:sz w:val="24"/>
                <w:szCs w:val="24"/>
              </w:rPr>
              <w:t>；</w:t>
            </w:r>
            <w:r>
              <w:rPr>
                <w:rFonts w:ascii="宋体" w:hAnsi="宋体"/>
                <w:sz w:val="24"/>
                <w:szCs w:val="24"/>
              </w:rPr>
              <w:t>投标人为其他组织</w:t>
            </w:r>
            <w:r>
              <w:rPr>
                <w:rFonts w:hint="eastAsia" w:ascii="宋体" w:hAnsi="宋体"/>
                <w:sz w:val="24"/>
                <w:szCs w:val="24"/>
              </w:rPr>
              <w:t>的</w:t>
            </w:r>
            <w:r>
              <w:rPr>
                <w:rFonts w:ascii="宋体" w:hAnsi="宋体"/>
                <w:sz w:val="24"/>
                <w:szCs w:val="24"/>
              </w:rPr>
              <w:t>提供相关证明材料；投标人为自然人的提供</w:t>
            </w:r>
            <w:r>
              <w:rPr>
                <w:rFonts w:hint="eastAsia" w:ascii="宋体" w:hAnsi="宋体"/>
                <w:sz w:val="24"/>
                <w:szCs w:val="24"/>
              </w:rPr>
              <w:t>身份证且</w:t>
            </w:r>
            <w:r>
              <w:rPr>
                <w:rFonts w:ascii="宋体" w:hAnsi="宋体" w:cs="Arial"/>
                <w:sz w:val="24"/>
                <w:szCs w:val="24"/>
              </w:rPr>
              <w:t>具有</w:t>
            </w:r>
            <w:r>
              <w:rPr>
                <w:sz w:val="20"/>
                <w:szCs w:val="21"/>
              </w:rPr>
              <w:fldChar w:fldCharType="begin"/>
            </w:r>
            <w:r>
              <w:rPr>
                <w:sz w:val="20"/>
                <w:szCs w:val="21"/>
              </w:rPr>
              <w:instrText xml:space="preserve"> HYPERLINK "http://baike.baidu.com/view/10761.htm" \t "_blank" </w:instrText>
            </w:r>
            <w:r>
              <w:rPr>
                <w:sz w:val="20"/>
                <w:szCs w:val="21"/>
              </w:rPr>
              <w:fldChar w:fldCharType="separate"/>
            </w:r>
            <w:r>
              <w:rPr>
                <w:rFonts w:ascii="宋体" w:hAnsi="宋体" w:cs="Arial"/>
                <w:sz w:val="24"/>
                <w:szCs w:val="24"/>
              </w:rPr>
              <w:t>完全民事行为能力</w:t>
            </w:r>
            <w:r>
              <w:rPr>
                <w:rFonts w:ascii="宋体" w:hAnsi="宋体" w:cs="Arial"/>
                <w:sz w:val="24"/>
                <w:szCs w:val="24"/>
              </w:rPr>
              <w:fldChar w:fldCharType="end"/>
            </w:r>
            <w:r>
              <w:rPr>
                <w:rFonts w:ascii="宋体" w:hAnsi="宋体"/>
                <w:sz w:val="24"/>
                <w:szCs w:val="24"/>
              </w:rPr>
              <w:t>。</w:t>
            </w:r>
          </w:p>
        </w:tc>
        <w:tc>
          <w:tcPr>
            <w:tcW w:w="2161" w:type="dxa"/>
            <w:shd w:val="clear" w:color="auto" w:fill="auto"/>
            <w:vAlign w:val="center"/>
          </w:tcPr>
          <w:p w14:paraId="57B13963">
            <w:pPr>
              <w:spacing w:line="500" w:lineRule="exact"/>
              <w:jc w:val="center"/>
              <w:rPr>
                <w:rFonts w:hint="eastAsia" w:ascii="宋体" w:hAnsi="宋体"/>
                <w:sz w:val="24"/>
                <w:szCs w:val="24"/>
              </w:rPr>
            </w:pPr>
            <w:r>
              <w:rPr>
                <w:rFonts w:hint="eastAsia" w:ascii="宋体" w:hAnsi="宋体"/>
                <w:sz w:val="24"/>
                <w:szCs w:val="24"/>
              </w:rPr>
              <w:t>加盖单位</w:t>
            </w:r>
          </w:p>
          <w:p w14:paraId="276D0420">
            <w:pPr>
              <w:spacing w:line="500" w:lineRule="exact"/>
              <w:jc w:val="center"/>
              <w:rPr>
                <w:rFonts w:ascii="宋体" w:hAnsi="宋体"/>
                <w:b/>
                <w:sz w:val="24"/>
                <w:szCs w:val="24"/>
              </w:rPr>
            </w:pPr>
            <w:r>
              <w:rPr>
                <w:rFonts w:hint="eastAsia" w:ascii="宋体" w:hAnsi="宋体"/>
                <w:sz w:val="24"/>
                <w:szCs w:val="24"/>
              </w:rPr>
              <w:t>公章</w:t>
            </w:r>
          </w:p>
        </w:tc>
      </w:tr>
      <w:tr w14:paraId="7311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559D4579">
            <w:pPr>
              <w:spacing w:line="500" w:lineRule="exact"/>
              <w:jc w:val="center"/>
              <w:rPr>
                <w:rFonts w:ascii="宋体" w:hAnsi="宋体"/>
                <w:b/>
                <w:sz w:val="28"/>
                <w:szCs w:val="28"/>
              </w:rPr>
            </w:pPr>
            <w:r>
              <w:rPr>
                <w:rFonts w:ascii="宋体" w:hAnsi="宋体"/>
                <w:b/>
                <w:sz w:val="28"/>
                <w:szCs w:val="28"/>
              </w:rPr>
              <w:t>5</w:t>
            </w:r>
          </w:p>
        </w:tc>
        <w:tc>
          <w:tcPr>
            <w:tcW w:w="2913" w:type="dxa"/>
            <w:shd w:val="clear" w:color="auto" w:fill="auto"/>
            <w:vAlign w:val="center"/>
          </w:tcPr>
          <w:p w14:paraId="11849514">
            <w:pPr>
              <w:spacing w:line="500" w:lineRule="exact"/>
              <w:jc w:val="center"/>
              <w:rPr>
                <w:rFonts w:ascii="宋体" w:hAnsi="宋体"/>
                <w:b/>
                <w:sz w:val="24"/>
                <w:szCs w:val="24"/>
              </w:rPr>
            </w:pPr>
            <w:r>
              <w:rPr>
                <w:rFonts w:hint="eastAsia" w:ascii="宋体" w:hAnsi="宋体"/>
                <w:b/>
                <w:sz w:val="24"/>
                <w:szCs w:val="24"/>
              </w:rPr>
              <w:t>财务状况报告</w:t>
            </w:r>
          </w:p>
        </w:tc>
        <w:tc>
          <w:tcPr>
            <w:tcW w:w="4483" w:type="dxa"/>
            <w:shd w:val="clear" w:color="auto" w:fill="auto"/>
          </w:tcPr>
          <w:p w14:paraId="6103CBB5">
            <w:pPr>
              <w:spacing w:line="500" w:lineRule="exact"/>
              <w:rPr>
                <w:rFonts w:ascii="宋体" w:hAnsi="宋体"/>
                <w:sz w:val="24"/>
                <w:szCs w:val="24"/>
              </w:rPr>
            </w:pPr>
            <w:r>
              <w:rPr>
                <w:rFonts w:hint="eastAsia" w:ascii="宋体" w:hAnsi="宋体"/>
                <w:sz w:val="24"/>
                <w:szCs w:val="24"/>
              </w:rPr>
              <w:t>（经合法审计机构出具的</w:t>
            </w:r>
            <w:r>
              <w:rPr>
                <w:rFonts w:hint="eastAsia" w:ascii="宋体" w:hAnsi="宋体"/>
                <w:color w:val="00B050"/>
                <w:sz w:val="24"/>
                <w:szCs w:val="24"/>
              </w:rPr>
              <w:t>近三年内任意一年</w:t>
            </w:r>
            <w:r>
              <w:rPr>
                <w:rFonts w:hint="eastAsia" w:ascii="宋体" w:hAnsi="宋体"/>
                <w:sz w:val="24"/>
                <w:szCs w:val="24"/>
              </w:rPr>
              <w:t>财务审计报告，或银行出具的资信证明）</w:t>
            </w:r>
          </w:p>
        </w:tc>
        <w:tc>
          <w:tcPr>
            <w:tcW w:w="2161" w:type="dxa"/>
            <w:shd w:val="clear" w:color="auto" w:fill="auto"/>
            <w:vAlign w:val="center"/>
          </w:tcPr>
          <w:p w14:paraId="55E21B34">
            <w:pPr>
              <w:spacing w:line="500" w:lineRule="exact"/>
              <w:jc w:val="center"/>
              <w:rPr>
                <w:rFonts w:hint="eastAsia" w:ascii="宋体" w:hAnsi="宋体"/>
                <w:sz w:val="24"/>
                <w:szCs w:val="24"/>
              </w:rPr>
            </w:pPr>
            <w:r>
              <w:rPr>
                <w:rFonts w:hint="eastAsia" w:ascii="宋体" w:hAnsi="宋体"/>
                <w:sz w:val="24"/>
                <w:szCs w:val="24"/>
              </w:rPr>
              <w:t>加盖单位</w:t>
            </w:r>
          </w:p>
          <w:p w14:paraId="4F309C27">
            <w:pPr>
              <w:spacing w:line="500" w:lineRule="exact"/>
              <w:jc w:val="center"/>
              <w:rPr>
                <w:rFonts w:ascii="宋体" w:hAnsi="宋体"/>
                <w:b/>
                <w:sz w:val="24"/>
                <w:szCs w:val="24"/>
              </w:rPr>
            </w:pPr>
            <w:r>
              <w:rPr>
                <w:rFonts w:hint="eastAsia" w:ascii="宋体" w:hAnsi="宋体"/>
                <w:sz w:val="24"/>
                <w:szCs w:val="24"/>
              </w:rPr>
              <w:t>公章</w:t>
            </w:r>
          </w:p>
        </w:tc>
      </w:tr>
      <w:tr w14:paraId="511B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0B83D6D5">
            <w:pPr>
              <w:spacing w:line="500" w:lineRule="exact"/>
              <w:jc w:val="center"/>
              <w:rPr>
                <w:rFonts w:ascii="宋体" w:hAnsi="宋体"/>
                <w:b/>
                <w:sz w:val="28"/>
                <w:szCs w:val="28"/>
              </w:rPr>
            </w:pPr>
            <w:r>
              <w:rPr>
                <w:rFonts w:ascii="宋体" w:hAnsi="宋体"/>
                <w:b/>
                <w:sz w:val="28"/>
                <w:szCs w:val="28"/>
              </w:rPr>
              <w:t>6</w:t>
            </w:r>
          </w:p>
        </w:tc>
        <w:tc>
          <w:tcPr>
            <w:tcW w:w="2913" w:type="dxa"/>
            <w:shd w:val="clear" w:color="auto" w:fill="auto"/>
            <w:vAlign w:val="center"/>
          </w:tcPr>
          <w:p w14:paraId="268311F4">
            <w:pPr>
              <w:spacing w:line="500" w:lineRule="exact"/>
              <w:jc w:val="center"/>
              <w:rPr>
                <w:rFonts w:ascii="宋体" w:hAnsi="宋体"/>
                <w:b/>
                <w:sz w:val="24"/>
                <w:szCs w:val="24"/>
              </w:rPr>
            </w:pPr>
            <w:r>
              <w:rPr>
                <w:rFonts w:hint="eastAsia" w:ascii="宋体" w:hAnsi="宋体"/>
                <w:b/>
                <w:sz w:val="24"/>
                <w:szCs w:val="24"/>
              </w:rPr>
              <w:t>社会保障资金证明</w:t>
            </w:r>
          </w:p>
        </w:tc>
        <w:tc>
          <w:tcPr>
            <w:tcW w:w="4483" w:type="dxa"/>
            <w:shd w:val="clear" w:color="auto" w:fill="auto"/>
          </w:tcPr>
          <w:p w14:paraId="6F7C0B97">
            <w:pPr>
              <w:rPr>
                <w:rFonts w:ascii="宋体" w:hAnsi="宋体"/>
                <w:b/>
                <w:color w:val="00B050"/>
                <w:sz w:val="24"/>
                <w:szCs w:val="24"/>
              </w:rPr>
            </w:pPr>
            <w:r>
              <w:rPr>
                <w:rFonts w:hint="eastAsia" w:ascii="宋体" w:hAnsi="宋体"/>
                <w:b/>
                <w:color w:val="00B050"/>
                <w:sz w:val="24"/>
                <w:szCs w:val="24"/>
              </w:rPr>
              <w:t>缴纳近两年内任意一个月用人单位社会保险凭证或参保证明。</w:t>
            </w:r>
          </w:p>
        </w:tc>
        <w:tc>
          <w:tcPr>
            <w:tcW w:w="2161" w:type="dxa"/>
            <w:shd w:val="clear" w:color="auto" w:fill="auto"/>
            <w:vAlign w:val="center"/>
          </w:tcPr>
          <w:p w14:paraId="6AD60732">
            <w:pPr>
              <w:spacing w:line="500" w:lineRule="exact"/>
              <w:jc w:val="center"/>
              <w:rPr>
                <w:rFonts w:hint="eastAsia" w:ascii="宋体" w:hAnsi="宋体"/>
                <w:sz w:val="24"/>
                <w:szCs w:val="24"/>
              </w:rPr>
            </w:pPr>
            <w:r>
              <w:rPr>
                <w:rFonts w:hint="eastAsia" w:ascii="宋体" w:hAnsi="宋体"/>
                <w:sz w:val="24"/>
                <w:szCs w:val="24"/>
              </w:rPr>
              <w:t>加盖单位</w:t>
            </w:r>
          </w:p>
          <w:p w14:paraId="1D94EBA5">
            <w:pPr>
              <w:spacing w:line="500" w:lineRule="exact"/>
              <w:jc w:val="center"/>
              <w:rPr>
                <w:rFonts w:ascii="宋体" w:hAnsi="宋体"/>
                <w:b/>
                <w:sz w:val="24"/>
                <w:szCs w:val="24"/>
              </w:rPr>
            </w:pPr>
            <w:r>
              <w:rPr>
                <w:rFonts w:hint="eastAsia" w:ascii="宋体" w:hAnsi="宋体"/>
                <w:sz w:val="24"/>
                <w:szCs w:val="24"/>
              </w:rPr>
              <w:t>公章</w:t>
            </w:r>
          </w:p>
        </w:tc>
      </w:tr>
      <w:tr w14:paraId="66BC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77B4CD00">
            <w:pPr>
              <w:spacing w:line="500" w:lineRule="exact"/>
              <w:jc w:val="center"/>
              <w:rPr>
                <w:rFonts w:ascii="宋体" w:hAnsi="宋体"/>
                <w:b/>
                <w:sz w:val="28"/>
                <w:szCs w:val="28"/>
              </w:rPr>
            </w:pPr>
            <w:r>
              <w:rPr>
                <w:rFonts w:ascii="宋体" w:hAnsi="宋体"/>
                <w:b/>
                <w:sz w:val="28"/>
                <w:szCs w:val="28"/>
              </w:rPr>
              <w:t>7</w:t>
            </w:r>
          </w:p>
        </w:tc>
        <w:tc>
          <w:tcPr>
            <w:tcW w:w="2913" w:type="dxa"/>
            <w:shd w:val="clear" w:color="auto" w:fill="auto"/>
            <w:vAlign w:val="center"/>
          </w:tcPr>
          <w:p w14:paraId="6EB8CFCC">
            <w:pPr>
              <w:spacing w:line="500" w:lineRule="exact"/>
              <w:jc w:val="center"/>
              <w:rPr>
                <w:rFonts w:ascii="宋体" w:hAnsi="宋体"/>
                <w:b/>
                <w:sz w:val="24"/>
                <w:szCs w:val="24"/>
              </w:rPr>
            </w:pPr>
            <w:r>
              <w:rPr>
                <w:rFonts w:hint="eastAsia" w:ascii="宋体" w:hAnsi="宋体"/>
                <w:b/>
                <w:sz w:val="24"/>
                <w:szCs w:val="24"/>
              </w:rPr>
              <w:t>依法缴纳税收证明</w:t>
            </w:r>
          </w:p>
        </w:tc>
        <w:tc>
          <w:tcPr>
            <w:tcW w:w="4483" w:type="dxa"/>
            <w:shd w:val="clear" w:color="auto" w:fill="auto"/>
          </w:tcPr>
          <w:p w14:paraId="69A7BA9A">
            <w:pPr>
              <w:spacing w:line="500" w:lineRule="exact"/>
              <w:rPr>
                <w:rFonts w:ascii="宋体" w:hAnsi="宋体"/>
                <w:color w:val="00B050"/>
                <w:sz w:val="24"/>
                <w:szCs w:val="24"/>
              </w:rPr>
            </w:pPr>
            <w:r>
              <w:rPr>
                <w:rFonts w:hint="eastAsia" w:ascii="宋体" w:hAnsi="宋体"/>
                <w:color w:val="00B050"/>
                <w:sz w:val="24"/>
                <w:szCs w:val="24"/>
              </w:rPr>
              <w:t>税务机关出具的近两年内任意一个月缴税凭证或完税凭证</w:t>
            </w:r>
          </w:p>
        </w:tc>
        <w:tc>
          <w:tcPr>
            <w:tcW w:w="2161" w:type="dxa"/>
            <w:shd w:val="clear" w:color="auto" w:fill="auto"/>
            <w:vAlign w:val="center"/>
          </w:tcPr>
          <w:p w14:paraId="20AE42B0">
            <w:pPr>
              <w:spacing w:line="500" w:lineRule="exact"/>
              <w:jc w:val="center"/>
              <w:rPr>
                <w:rFonts w:hint="eastAsia" w:ascii="宋体" w:hAnsi="宋体"/>
                <w:sz w:val="24"/>
                <w:szCs w:val="24"/>
              </w:rPr>
            </w:pPr>
            <w:r>
              <w:rPr>
                <w:rFonts w:hint="eastAsia" w:ascii="宋体" w:hAnsi="宋体"/>
                <w:sz w:val="24"/>
                <w:szCs w:val="24"/>
              </w:rPr>
              <w:t>加盖单位</w:t>
            </w:r>
          </w:p>
          <w:p w14:paraId="5AC0F60A">
            <w:pPr>
              <w:spacing w:line="500" w:lineRule="exact"/>
              <w:jc w:val="center"/>
              <w:rPr>
                <w:rFonts w:ascii="宋体" w:hAnsi="宋体"/>
                <w:b/>
                <w:sz w:val="24"/>
                <w:szCs w:val="24"/>
              </w:rPr>
            </w:pPr>
            <w:r>
              <w:rPr>
                <w:rFonts w:hint="eastAsia" w:ascii="宋体" w:hAnsi="宋体"/>
                <w:sz w:val="24"/>
                <w:szCs w:val="24"/>
              </w:rPr>
              <w:t>公章</w:t>
            </w:r>
          </w:p>
        </w:tc>
      </w:tr>
      <w:tr w14:paraId="298F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50277BC7">
            <w:pPr>
              <w:spacing w:line="500" w:lineRule="exact"/>
              <w:jc w:val="center"/>
              <w:rPr>
                <w:rFonts w:ascii="宋体" w:hAnsi="宋体"/>
                <w:b/>
                <w:sz w:val="28"/>
                <w:szCs w:val="28"/>
              </w:rPr>
            </w:pPr>
            <w:r>
              <w:rPr>
                <w:rFonts w:ascii="宋体" w:hAnsi="宋体"/>
                <w:b/>
                <w:sz w:val="28"/>
                <w:szCs w:val="28"/>
              </w:rPr>
              <w:t>8</w:t>
            </w:r>
          </w:p>
        </w:tc>
        <w:tc>
          <w:tcPr>
            <w:tcW w:w="2913" w:type="dxa"/>
            <w:shd w:val="clear" w:color="auto" w:fill="auto"/>
          </w:tcPr>
          <w:p w14:paraId="06B8A590">
            <w:pPr>
              <w:spacing w:line="500" w:lineRule="exact"/>
              <w:rPr>
                <w:rFonts w:ascii="宋体" w:hAnsi="宋体"/>
                <w:b/>
                <w:sz w:val="24"/>
                <w:szCs w:val="24"/>
              </w:rPr>
            </w:pPr>
            <w:r>
              <w:rPr>
                <w:rFonts w:hint="eastAsia" w:ascii="宋体" w:hAnsi="宋体"/>
                <w:b/>
                <w:sz w:val="24"/>
                <w:szCs w:val="24"/>
              </w:rPr>
              <w:t>投标人参加本次政府采购活动前三年内，在经营活动中没有重大违法记录</w:t>
            </w:r>
          </w:p>
        </w:tc>
        <w:tc>
          <w:tcPr>
            <w:tcW w:w="4483" w:type="dxa"/>
            <w:shd w:val="clear" w:color="auto" w:fill="auto"/>
          </w:tcPr>
          <w:p w14:paraId="31CD19FB">
            <w:pPr>
              <w:spacing w:line="500" w:lineRule="exact"/>
              <w:rPr>
                <w:rFonts w:ascii="宋体" w:hAnsi="宋体"/>
                <w:sz w:val="24"/>
                <w:szCs w:val="24"/>
              </w:rPr>
            </w:pPr>
            <w:r>
              <w:rPr>
                <w:rFonts w:hint="eastAsia" w:ascii="宋体" w:hAnsi="宋体"/>
                <w:sz w:val="24"/>
                <w:szCs w:val="24"/>
              </w:rPr>
              <w:t>投标人参加本次政府采购活动前三年内，在经营活动中没有重大违法记录声明</w:t>
            </w:r>
          </w:p>
        </w:tc>
        <w:tc>
          <w:tcPr>
            <w:tcW w:w="2161" w:type="dxa"/>
            <w:shd w:val="clear" w:color="auto" w:fill="auto"/>
            <w:vAlign w:val="center"/>
          </w:tcPr>
          <w:p w14:paraId="58EE56BC">
            <w:pPr>
              <w:spacing w:line="500" w:lineRule="exact"/>
              <w:jc w:val="center"/>
              <w:rPr>
                <w:rFonts w:ascii="宋体" w:hAnsi="宋体"/>
                <w:b/>
                <w:sz w:val="24"/>
                <w:szCs w:val="24"/>
              </w:rPr>
            </w:pPr>
            <w:r>
              <w:rPr>
                <w:rFonts w:hint="eastAsia" w:ascii="宋体" w:hAnsi="宋体"/>
                <w:sz w:val="24"/>
                <w:szCs w:val="24"/>
              </w:rPr>
              <w:t>加盖单位公章</w:t>
            </w:r>
          </w:p>
        </w:tc>
      </w:tr>
      <w:tr w14:paraId="154B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shd w:val="clear" w:color="auto" w:fill="auto"/>
            <w:vAlign w:val="center"/>
          </w:tcPr>
          <w:p w14:paraId="47EEC077">
            <w:pPr>
              <w:spacing w:line="500" w:lineRule="exact"/>
              <w:jc w:val="center"/>
              <w:rPr>
                <w:rFonts w:ascii="宋体" w:hAnsi="宋体"/>
                <w:b/>
                <w:sz w:val="28"/>
                <w:szCs w:val="28"/>
              </w:rPr>
            </w:pPr>
            <w:r>
              <w:rPr>
                <w:rFonts w:ascii="宋体" w:hAnsi="宋体"/>
                <w:b/>
                <w:sz w:val="28"/>
                <w:szCs w:val="28"/>
              </w:rPr>
              <w:t>9</w:t>
            </w:r>
          </w:p>
        </w:tc>
        <w:tc>
          <w:tcPr>
            <w:tcW w:w="2913" w:type="dxa"/>
            <w:shd w:val="clear" w:color="auto" w:fill="auto"/>
          </w:tcPr>
          <w:p w14:paraId="06F87C9F">
            <w:pPr>
              <w:spacing w:line="500" w:lineRule="exact"/>
              <w:rPr>
                <w:rFonts w:ascii="宋体" w:hAnsi="宋体"/>
                <w:b/>
                <w:sz w:val="24"/>
                <w:szCs w:val="24"/>
              </w:rPr>
            </w:pPr>
            <w:r>
              <w:rPr>
                <w:rFonts w:hint="eastAsia" w:ascii="宋体" w:hAnsi="宋体"/>
                <w:b/>
                <w:sz w:val="24"/>
                <w:szCs w:val="24"/>
              </w:rPr>
              <w:t>具有良好的商业信誉</w:t>
            </w:r>
          </w:p>
        </w:tc>
        <w:tc>
          <w:tcPr>
            <w:tcW w:w="4483" w:type="dxa"/>
            <w:shd w:val="clear" w:color="auto" w:fill="auto"/>
          </w:tcPr>
          <w:p w14:paraId="2BED4C68">
            <w:pPr>
              <w:spacing w:line="500" w:lineRule="exact"/>
              <w:jc w:val="center"/>
              <w:rPr>
                <w:rFonts w:ascii="宋体" w:hAnsi="宋体"/>
                <w:sz w:val="24"/>
                <w:szCs w:val="24"/>
              </w:rPr>
            </w:pPr>
            <w:r>
              <w:rPr>
                <w:rFonts w:hint="eastAsia" w:ascii="宋体" w:hAnsi="宋体"/>
                <w:sz w:val="24"/>
                <w:szCs w:val="24"/>
              </w:rPr>
              <w:t>提供须知前附表第</w:t>
            </w:r>
            <w:r>
              <w:rPr>
                <w:rFonts w:hint="eastAsia" w:ascii="宋体" w:hAnsi="宋体"/>
                <w:sz w:val="24"/>
                <w:szCs w:val="24"/>
                <w:lang w:val="en-US" w:eastAsia="zh-CN"/>
              </w:rPr>
              <w:t>5</w:t>
            </w:r>
            <w:r>
              <w:rPr>
                <w:rFonts w:hint="eastAsia" w:ascii="宋体" w:hAnsi="宋体"/>
                <w:sz w:val="24"/>
                <w:szCs w:val="24"/>
              </w:rPr>
              <w:t>条要求的信用信息查询记录</w:t>
            </w:r>
          </w:p>
        </w:tc>
        <w:tc>
          <w:tcPr>
            <w:tcW w:w="2161" w:type="dxa"/>
            <w:shd w:val="clear" w:color="auto" w:fill="auto"/>
            <w:vAlign w:val="center"/>
          </w:tcPr>
          <w:p w14:paraId="2547CB75">
            <w:pPr>
              <w:spacing w:line="500" w:lineRule="exact"/>
              <w:jc w:val="center"/>
              <w:rPr>
                <w:rFonts w:ascii="宋体" w:hAnsi="宋体"/>
                <w:b/>
                <w:sz w:val="24"/>
                <w:szCs w:val="24"/>
              </w:rPr>
            </w:pPr>
            <w:r>
              <w:rPr>
                <w:rFonts w:hint="eastAsia" w:ascii="宋体" w:hAnsi="宋体"/>
                <w:sz w:val="24"/>
                <w:szCs w:val="24"/>
              </w:rPr>
              <w:t>加盖单位公章</w:t>
            </w:r>
          </w:p>
        </w:tc>
      </w:tr>
      <w:tr w14:paraId="0EB7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9" w:type="dxa"/>
            <w:vMerge w:val="restart"/>
            <w:shd w:val="clear" w:color="auto" w:fill="auto"/>
            <w:vAlign w:val="center"/>
          </w:tcPr>
          <w:p w14:paraId="76AEEE54">
            <w:pPr>
              <w:spacing w:line="500" w:lineRule="exact"/>
              <w:jc w:val="center"/>
              <w:rPr>
                <w:rFonts w:ascii="宋体" w:hAnsi="宋体"/>
                <w:b/>
                <w:color w:val="FF0000"/>
                <w:sz w:val="28"/>
                <w:szCs w:val="28"/>
              </w:rPr>
            </w:pPr>
            <w:r>
              <w:rPr>
                <w:rFonts w:ascii="宋体" w:hAnsi="宋体"/>
                <w:b/>
                <w:color w:val="FF0000"/>
                <w:sz w:val="28"/>
                <w:szCs w:val="28"/>
              </w:rPr>
              <w:t>10</w:t>
            </w:r>
          </w:p>
        </w:tc>
        <w:tc>
          <w:tcPr>
            <w:tcW w:w="2913" w:type="dxa"/>
            <w:vMerge w:val="restart"/>
            <w:shd w:val="clear" w:color="auto" w:fill="auto"/>
            <w:vAlign w:val="center"/>
          </w:tcPr>
          <w:p w14:paraId="2F738CFF">
            <w:pPr>
              <w:jc w:val="center"/>
              <w:rPr>
                <w:rFonts w:hint="eastAsia"/>
                <w:lang w:val="en-US" w:eastAsia="zh-CN"/>
              </w:rPr>
            </w:pPr>
            <w:r>
              <w:rPr>
                <w:rFonts w:hint="eastAsia"/>
                <w:lang w:val="en-US" w:eastAsia="zh-CN"/>
              </w:rPr>
              <w:t>中小企业声明函（残疾人福利性单位声明函或监狱企业证明文件）</w:t>
            </w:r>
          </w:p>
          <w:p w14:paraId="70869498">
            <w:pPr>
              <w:pStyle w:val="2"/>
              <w:rPr>
                <w:rFonts w:hint="default" w:eastAsia="宋体"/>
                <w:lang w:val="en-US" w:eastAsia="zh-CN"/>
              </w:rPr>
            </w:pPr>
          </w:p>
        </w:tc>
        <w:tc>
          <w:tcPr>
            <w:tcW w:w="4483" w:type="dxa"/>
            <w:shd w:val="clear" w:color="auto" w:fill="auto"/>
            <w:vAlign w:val="center"/>
          </w:tcPr>
          <w:p w14:paraId="57C95884">
            <w:pPr>
              <w:spacing w:line="500" w:lineRule="exact"/>
              <w:jc w:val="center"/>
              <w:rPr>
                <w:rFonts w:hint="eastAsia" w:ascii="宋体" w:hAnsi="宋体"/>
                <w:color w:val="FF0000"/>
                <w:sz w:val="24"/>
                <w:szCs w:val="24"/>
                <w:lang w:val="en-US" w:eastAsia="zh-CN"/>
              </w:rPr>
            </w:pPr>
            <w:r>
              <w:rPr>
                <w:rFonts w:hint="eastAsia" w:ascii="宋体" w:hAnsi="宋体"/>
                <w:color w:val="FF0000"/>
                <w:sz w:val="24"/>
                <w:szCs w:val="24"/>
                <w:lang w:val="en-US" w:eastAsia="zh-CN"/>
              </w:rPr>
              <w:t>中小企业声明函</w:t>
            </w:r>
          </w:p>
        </w:tc>
        <w:tc>
          <w:tcPr>
            <w:tcW w:w="2161" w:type="dxa"/>
            <w:shd w:val="clear" w:color="auto" w:fill="auto"/>
            <w:vAlign w:val="center"/>
          </w:tcPr>
          <w:p w14:paraId="48020D1C">
            <w:pPr>
              <w:pStyle w:val="2"/>
              <w:rPr>
                <w:color w:val="FF0000"/>
                <w:sz w:val="20"/>
                <w:szCs w:val="21"/>
              </w:rPr>
            </w:pPr>
            <w:r>
              <w:rPr>
                <w:rFonts w:hint="eastAsia" w:ascii="宋体" w:hAnsi="宋体"/>
                <w:color w:val="FF0000"/>
                <w:sz w:val="24"/>
                <w:szCs w:val="24"/>
              </w:rPr>
              <w:t>加盖单位公章</w:t>
            </w:r>
          </w:p>
        </w:tc>
      </w:tr>
      <w:tr w14:paraId="0972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89" w:type="dxa"/>
            <w:vMerge w:val="continue"/>
            <w:shd w:val="clear" w:color="auto" w:fill="auto"/>
            <w:vAlign w:val="center"/>
          </w:tcPr>
          <w:p w14:paraId="3577A2AF">
            <w:pPr>
              <w:spacing w:line="500" w:lineRule="exact"/>
              <w:jc w:val="center"/>
              <w:rPr>
                <w:rFonts w:ascii="宋体" w:hAnsi="宋体"/>
                <w:b/>
                <w:color w:val="FF0000"/>
                <w:sz w:val="28"/>
                <w:szCs w:val="28"/>
              </w:rPr>
            </w:pPr>
          </w:p>
        </w:tc>
        <w:tc>
          <w:tcPr>
            <w:tcW w:w="2913" w:type="dxa"/>
            <w:vMerge w:val="continue"/>
            <w:shd w:val="clear" w:color="auto" w:fill="auto"/>
            <w:vAlign w:val="center"/>
          </w:tcPr>
          <w:p w14:paraId="158C6C86">
            <w:pPr>
              <w:jc w:val="center"/>
              <w:rPr>
                <w:rFonts w:hint="eastAsia" w:ascii="宋体" w:hAnsi="宋体" w:eastAsia="宋体" w:cs="Times New Roman"/>
                <w:b/>
                <w:color w:val="FF0000"/>
                <w:sz w:val="24"/>
                <w:szCs w:val="24"/>
                <w:lang w:val="en-US" w:eastAsia="zh-CN"/>
              </w:rPr>
            </w:pPr>
          </w:p>
        </w:tc>
        <w:tc>
          <w:tcPr>
            <w:tcW w:w="4483" w:type="dxa"/>
            <w:shd w:val="clear" w:color="auto" w:fill="auto"/>
            <w:vAlign w:val="center"/>
          </w:tcPr>
          <w:p w14:paraId="2B9826E0">
            <w:pPr>
              <w:spacing w:line="500" w:lineRule="exact"/>
              <w:jc w:val="center"/>
              <w:rPr>
                <w:rFonts w:hint="eastAsia" w:ascii="宋体" w:hAnsi="宋体"/>
                <w:color w:val="FF0000"/>
                <w:sz w:val="24"/>
                <w:szCs w:val="24"/>
                <w:lang w:val="en-US" w:eastAsia="zh-CN"/>
              </w:rPr>
            </w:pPr>
            <w:r>
              <w:rPr>
                <w:rFonts w:hint="eastAsia" w:ascii="宋体" w:hAnsi="宋体"/>
                <w:color w:val="FF0000"/>
                <w:sz w:val="24"/>
                <w:szCs w:val="24"/>
                <w:lang w:val="en-US" w:eastAsia="zh-CN"/>
              </w:rPr>
              <w:t>残疾人福利性单位声明函</w:t>
            </w:r>
          </w:p>
        </w:tc>
        <w:tc>
          <w:tcPr>
            <w:tcW w:w="2161" w:type="dxa"/>
            <w:shd w:val="clear" w:color="auto" w:fill="auto"/>
            <w:vAlign w:val="center"/>
          </w:tcPr>
          <w:p w14:paraId="44922849">
            <w:pPr>
              <w:pStyle w:val="2"/>
              <w:rPr>
                <w:color w:val="FF0000"/>
                <w:sz w:val="20"/>
                <w:szCs w:val="21"/>
              </w:rPr>
            </w:pPr>
            <w:r>
              <w:rPr>
                <w:rFonts w:hint="eastAsia" w:ascii="宋体" w:hAnsi="宋体"/>
                <w:color w:val="FF0000"/>
                <w:sz w:val="24"/>
                <w:szCs w:val="24"/>
              </w:rPr>
              <w:t>加盖单位公章</w:t>
            </w:r>
          </w:p>
        </w:tc>
      </w:tr>
      <w:tr w14:paraId="630C7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89" w:type="dxa"/>
            <w:vMerge w:val="continue"/>
            <w:shd w:val="clear" w:color="auto" w:fill="auto"/>
            <w:vAlign w:val="center"/>
          </w:tcPr>
          <w:p w14:paraId="3FB1F2CC">
            <w:pPr>
              <w:spacing w:line="500" w:lineRule="exact"/>
              <w:jc w:val="center"/>
              <w:rPr>
                <w:rFonts w:ascii="宋体" w:hAnsi="宋体"/>
                <w:b/>
                <w:color w:val="FF0000"/>
                <w:sz w:val="28"/>
                <w:szCs w:val="28"/>
              </w:rPr>
            </w:pPr>
          </w:p>
        </w:tc>
        <w:tc>
          <w:tcPr>
            <w:tcW w:w="2913" w:type="dxa"/>
            <w:vMerge w:val="continue"/>
            <w:shd w:val="clear" w:color="auto" w:fill="auto"/>
            <w:vAlign w:val="center"/>
          </w:tcPr>
          <w:p w14:paraId="233013E6">
            <w:pPr>
              <w:jc w:val="center"/>
              <w:rPr>
                <w:rFonts w:hint="eastAsia" w:ascii="宋体" w:hAnsi="宋体" w:eastAsia="宋体" w:cs="Times New Roman"/>
                <w:b/>
                <w:color w:val="FF0000"/>
                <w:sz w:val="24"/>
                <w:szCs w:val="24"/>
                <w:lang w:val="en-US" w:eastAsia="zh-CN"/>
              </w:rPr>
            </w:pPr>
          </w:p>
        </w:tc>
        <w:tc>
          <w:tcPr>
            <w:tcW w:w="4483" w:type="dxa"/>
            <w:shd w:val="clear" w:color="auto" w:fill="auto"/>
            <w:vAlign w:val="center"/>
          </w:tcPr>
          <w:p w14:paraId="1DFC9542">
            <w:pPr>
              <w:spacing w:line="500" w:lineRule="exact"/>
              <w:jc w:val="center"/>
              <w:rPr>
                <w:rFonts w:hint="eastAsia" w:ascii="宋体" w:hAnsi="宋体"/>
                <w:color w:val="FF0000"/>
                <w:sz w:val="24"/>
                <w:szCs w:val="24"/>
                <w:lang w:val="en-US" w:eastAsia="zh-CN"/>
              </w:rPr>
            </w:pPr>
            <w:r>
              <w:rPr>
                <w:rFonts w:hint="eastAsia" w:ascii="宋体" w:hAnsi="宋体"/>
                <w:color w:val="FF0000"/>
                <w:sz w:val="24"/>
                <w:szCs w:val="24"/>
                <w:lang w:val="en-US" w:eastAsia="zh-CN"/>
              </w:rPr>
              <w:t>监狱企业证明文件</w:t>
            </w:r>
          </w:p>
        </w:tc>
        <w:tc>
          <w:tcPr>
            <w:tcW w:w="2161" w:type="dxa"/>
            <w:shd w:val="clear" w:color="auto" w:fill="auto"/>
            <w:vAlign w:val="center"/>
          </w:tcPr>
          <w:p w14:paraId="3C7CBFF5">
            <w:pPr>
              <w:pStyle w:val="2"/>
              <w:rPr>
                <w:color w:val="FF0000"/>
                <w:sz w:val="20"/>
                <w:szCs w:val="21"/>
              </w:rPr>
            </w:pPr>
            <w:r>
              <w:rPr>
                <w:rFonts w:hint="eastAsia" w:ascii="宋体" w:hAnsi="宋体"/>
                <w:color w:val="FF0000"/>
                <w:sz w:val="24"/>
                <w:szCs w:val="24"/>
              </w:rPr>
              <w:t>加盖单位公章</w:t>
            </w:r>
          </w:p>
        </w:tc>
      </w:tr>
    </w:tbl>
    <w:p w14:paraId="023418B0">
      <w:pPr>
        <w:spacing w:line="500" w:lineRule="exact"/>
        <w:rPr>
          <w:rFonts w:hint="eastAsia" w:ascii="宋体" w:hAnsi="宋体"/>
          <w:b/>
          <w:sz w:val="28"/>
          <w:szCs w:val="28"/>
        </w:rPr>
      </w:pPr>
    </w:p>
    <w:p w14:paraId="79D2190E">
      <w:pPr>
        <w:spacing w:line="500" w:lineRule="exact"/>
        <w:rPr>
          <w:rFonts w:ascii="宋体" w:hAnsi="宋体"/>
          <w:b/>
          <w:sz w:val="28"/>
          <w:szCs w:val="28"/>
        </w:rPr>
      </w:pPr>
      <w:r>
        <w:rPr>
          <w:rFonts w:hint="eastAsia" w:ascii="宋体" w:hAnsi="宋体"/>
          <w:b/>
          <w:sz w:val="28"/>
          <w:szCs w:val="28"/>
        </w:rPr>
        <w:t>注：1、重大违法</w:t>
      </w:r>
      <w:r>
        <w:rPr>
          <w:rFonts w:ascii="宋体" w:hAnsi="宋体"/>
          <w:b/>
          <w:sz w:val="28"/>
          <w:szCs w:val="28"/>
        </w:rPr>
        <w:t>记录按照相关法律法规规定执行。</w:t>
      </w:r>
    </w:p>
    <w:p w14:paraId="0440D267">
      <w:pPr>
        <w:spacing w:line="500" w:lineRule="exact"/>
        <w:ind w:firstLine="551" w:firstLineChars="196"/>
        <w:rPr>
          <w:rFonts w:ascii="宋体" w:hAnsi="宋体"/>
          <w:b/>
          <w:sz w:val="28"/>
          <w:szCs w:val="28"/>
        </w:rPr>
      </w:pPr>
      <w:r>
        <w:rPr>
          <w:rFonts w:hint="eastAsia" w:ascii="宋体" w:hAnsi="宋体"/>
          <w:b/>
          <w:sz w:val="28"/>
          <w:szCs w:val="28"/>
        </w:rPr>
        <w:t>2、投标人在参加政府采购活动前，被纳入法院、</w:t>
      </w:r>
      <w:r>
        <w:rPr>
          <w:rFonts w:hint="eastAsia" w:ascii="宋体" w:hAnsi="宋体"/>
          <w:b/>
          <w:sz w:val="28"/>
          <w:szCs w:val="28"/>
          <w:lang w:eastAsia="zh-CN"/>
        </w:rPr>
        <w:t>市场监督管理</w:t>
      </w:r>
      <w:r>
        <w:rPr>
          <w:rFonts w:hint="eastAsia" w:ascii="宋体" w:hAnsi="宋体"/>
          <w:b/>
          <w:sz w:val="28"/>
          <w:szCs w:val="28"/>
        </w:rPr>
        <w:t>部门、税务部门、银行认定的失信名单且在有效期内，或者在前三年政府采购合同履约过程中及其他经营活动履约过程中未依法履约被有关行政部门处罚（处理）的，本项目不认定其具有良好的商业信誉。</w:t>
      </w:r>
    </w:p>
    <w:p w14:paraId="72F5DE81">
      <w:pPr>
        <w:spacing w:line="500" w:lineRule="exact"/>
        <w:ind w:firstLine="551" w:firstLineChars="196"/>
        <w:rPr>
          <w:rFonts w:ascii="宋体" w:hAnsi="宋体"/>
          <w:b/>
          <w:sz w:val="28"/>
          <w:szCs w:val="28"/>
        </w:rPr>
      </w:pPr>
      <w:r>
        <w:rPr>
          <w:rFonts w:hint="eastAsia" w:ascii="宋体" w:hAnsi="宋体"/>
          <w:b/>
          <w:sz w:val="28"/>
          <w:szCs w:val="28"/>
        </w:rPr>
        <w:t>3、投标人必须提供相应充足材料以证明满足上述要求，经审查任意一项不合格做无效处理。</w:t>
      </w:r>
    </w:p>
    <w:p w14:paraId="1386967F">
      <w:pPr>
        <w:spacing w:line="500" w:lineRule="exact"/>
        <w:ind w:firstLine="551" w:firstLineChars="196"/>
        <w:rPr>
          <w:rFonts w:ascii="宋体" w:hAnsi="宋体"/>
          <w:b/>
          <w:sz w:val="28"/>
          <w:szCs w:val="28"/>
        </w:rPr>
      </w:pPr>
      <w:r>
        <w:rPr>
          <w:rFonts w:hint="eastAsia" w:ascii="宋体" w:hAnsi="宋体"/>
          <w:b/>
          <w:sz w:val="28"/>
          <w:szCs w:val="28"/>
        </w:rPr>
        <w:t>4、投标文件-资格部分要严格按照上述表格要求提供，要清晰可辨，如模糊不清不予认定，投标人自行负责。</w:t>
      </w:r>
      <w:bookmarkEnd w:id="144"/>
      <w:bookmarkEnd w:id="145"/>
      <w:bookmarkEnd w:id="146"/>
    </w:p>
    <w:p w14:paraId="0E2750C2">
      <w:pPr>
        <w:pStyle w:val="54"/>
        <w:rPr>
          <w:rFonts w:ascii="黑体" w:hAnsi="黑体" w:eastAsia="黑体"/>
          <w:sz w:val="44"/>
          <w:szCs w:val="44"/>
        </w:rPr>
      </w:pPr>
    </w:p>
    <w:p w14:paraId="3372C4CF">
      <w:pPr>
        <w:rPr>
          <w:rFonts w:hint="eastAsia" w:ascii="黑体" w:hAnsi="黑体" w:eastAsia="黑体"/>
          <w:sz w:val="44"/>
          <w:szCs w:val="44"/>
        </w:rPr>
      </w:pPr>
      <w:r>
        <w:rPr>
          <w:rFonts w:hint="eastAsia" w:ascii="黑体" w:hAnsi="黑体" w:eastAsia="黑体"/>
          <w:sz w:val="44"/>
          <w:szCs w:val="44"/>
        </w:rPr>
        <w:br w:type="page"/>
      </w:r>
    </w:p>
    <w:p w14:paraId="04B31F3E">
      <w:pPr>
        <w:pStyle w:val="54"/>
        <w:rPr>
          <w:rFonts w:ascii="黑体" w:hAnsi="黑体" w:eastAsia="黑体"/>
          <w:sz w:val="44"/>
          <w:szCs w:val="44"/>
        </w:rPr>
      </w:pPr>
      <w:bookmarkStart w:id="147" w:name="_Toc8650"/>
      <w:r>
        <w:rPr>
          <w:rFonts w:hint="eastAsia" w:ascii="黑体" w:hAnsi="黑体" w:eastAsia="黑体"/>
          <w:sz w:val="44"/>
          <w:szCs w:val="44"/>
        </w:rPr>
        <w:t>第四章  投标人符合</w:t>
      </w:r>
      <w:r>
        <w:rPr>
          <w:rFonts w:ascii="黑体" w:hAnsi="黑体" w:eastAsia="黑体"/>
          <w:sz w:val="44"/>
          <w:szCs w:val="44"/>
        </w:rPr>
        <w:t>性</w:t>
      </w:r>
      <w:r>
        <w:rPr>
          <w:rFonts w:hint="eastAsia" w:ascii="黑体" w:hAnsi="黑体" w:eastAsia="黑体"/>
          <w:sz w:val="44"/>
          <w:szCs w:val="44"/>
        </w:rPr>
        <w:t>要求</w:t>
      </w:r>
      <w:r>
        <w:rPr>
          <w:rFonts w:ascii="黑体" w:hAnsi="黑体" w:eastAsia="黑体"/>
          <w:sz w:val="44"/>
          <w:szCs w:val="44"/>
        </w:rPr>
        <w:t>及通过标准</w:t>
      </w:r>
      <w:bookmarkEnd w:id="141"/>
      <w:bookmarkEnd w:id="147"/>
    </w:p>
    <w:tbl>
      <w:tblPr>
        <w:tblStyle w:val="58"/>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248"/>
        <w:gridCol w:w="4238"/>
      </w:tblGrid>
      <w:tr w14:paraId="0701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6" w:type="dxa"/>
            <w:shd w:val="clear" w:color="auto" w:fill="auto"/>
            <w:vAlign w:val="center"/>
          </w:tcPr>
          <w:p w14:paraId="33E70AFE">
            <w:pPr>
              <w:jc w:val="center"/>
              <w:rPr>
                <w:rFonts w:ascii="宋体" w:hAnsi="宋体"/>
                <w:b/>
                <w:kern w:val="0"/>
                <w:sz w:val="24"/>
                <w:lang w:eastAsia="en-US" w:bidi="en-US"/>
              </w:rPr>
            </w:pPr>
            <w:r>
              <w:rPr>
                <w:rFonts w:hint="eastAsia" w:ascii="宋体" w:hAnsi="宋体"/>
                <w:b/>
                <w:kern w:val="0"/>
                <w:sz w:val="24"/>
                <w:lang w:eastAsia="en-US" w:bidi="en-US"/>
              </w:rPr>
              <w:t>序号</w:t>
            </w:r>
          </w:p>
        </w:tc>
        <w:tc>
          <w:tcPr>
            <w:tcW w:w="3248" w:type="dxa"/>
            <w:shd w:val="clear" w:color="auto" w:fill="auto"/>
            <w:vAlign w:val="center"/>
          </w:tcPr>
          <w:p w14:paraId="55E2A820">
            <w:pPr>
              <w:jc w:val="center"/>
              <w:rPr>
                <w:rFonts w:ascii="宋体" w:hAnsi="宋体"/>
                <w:b/>
                <w:kern w:val="0"/>
                <w:sz w:val="24"/>
                <w:lang w:eastAsia="en-US" w:bidi="en-US"/>
              </w:rPr>
            </w:pPr>
            <w:r>
              <w:rPr>
                <w:rFonts w:hint="eastAsia" w:ascii="宋体" w:hAnsi="宋体"/>
                <w:b/>
                <w:kern w:val="0"/>
                <w:sz w:val="24"/>
                <w:lang w:eastAsia="en-US" w:bidi="en-US"/>
              </w:rPr>
              <w:t>审查项目</w:t>
            </w:r>
          </w:p>
        </w:tc>
        <w:tc>
          <w:tcPr>
            <w:tcW w:w="4238" w:type="dxa"/>
            <w:shd w:val="clear" w:color="auto" w:fill="auto"/>
            <w:vAlign w:val="center"/>
          </w:tcPr>
          <w:p w14:paraId="7178F365">
            <w:pPr>
              <w:jc w:val="center"/>
              <w:rPr>
                <w:rFonts w:ascii="宋体" w:hAnsi="宋体"/>
                <w:b/>
                <w:kern w:val="0"/>
                <w:sz w:val="24"/>
                <w:lang w:eastAsia="en-US" w:bidi="en-US"/>
              </w:rPr>
            </w:pPr>
            <w:r>
              <w:rPr>
                <w:rFonts w:hint="eastAsia" w:ascii="宋体" w:hAnsi="宋体"/>
                <w:b/>
                <w:kern w:val="0"/>
                <w:sz w:val="24"/>
                <w:lang w:bidi="en-US"/>
              </w:rPr>
              <w:t>通过</w:t>
            </w:r>
            <w:r>
              <w:rPr>
                <w:rFonts w:hint="eastAsia" w:ascii="宋体" w:hAnsi="宋体"/>
                <w:b/>
                <w:kern w:val="0"/>
                <w:sz w:val="24"/>
                <w:lang w:eastAsia="en-US" w:bidi="en-US"/>
              </w:rPr>
              <w:t>条件</w:t>
            </w:r>
          </w:p>
        </w:tc>
      </w:tr>
      <w:tr w14:paraId="16C2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6" w:type="dxa"/>
            <w:shd w:val="clear" w:color="auto" w:fill="auto"/>
            <w:vAlign w:val="center"/>
          </w:tcPr>
          <w:p w14:paraId="15ACA1BE">
            <w:pPr>
              <w:jc w:val="center"/>
              <w:rPr>
                <w:rFonts w:hint="eastAsia" w:ascii="宋体" w:hAnsi="宋体" w:eastAsiaTheme="minorEastAsia"/>
                <w:b/>
                <w:kern w:val="0"/>
                <w:sz w:val="24"/>
                <w:lang w:eastAsia="zh-CN" w:bidi="en-US"/>
              </w:rPr>
            </w:pPr>
            <w:r>
              <w:rPr>
                <w:rFonts w:hint="eastAsia" w:ascii="宋体" w:hAnsi="宋体"/>
                <w:b/>
                <w:kern w:val="0"/>
                <w:sz w:val="24"/>
                <w:lang w:val="en-US" w:eastAsia="zh-CN" w:bidi="en-US"/>
              </w:rPr>
              <w:t>1</w:t>
            </w:r>
          </w:p>
        </w:tc>
        <w:tc>
          <w:tcPr>
            <w:tcW w:w="3248" w:type="dxa"/>
            <w:shd w:val="clear" w:color="auto" w:fill="auto"/>
            <w:vAlign w:val="center"/>
          </w:tcPr>
          <w:p w14:paraId="680DE814">
            <w:pPr>
              <w:jc w:val="center"/>
              <w:rPr>
                <w:rFonts w:ascii="宋体" w:hAnsi="宋体"/>
                <w:b/>
                <w:kern w:val="0"/>
                <w:sz w:val="24"/>
                <w:lang w:bidi="en-US"/>
              </w:rPr>
            </w:pPr>
            <w:r>
              <w:rPr>
                <w:rFonts w:hint="eastAsia" w:ascii="宋体" w:hAnsi="宋体"/>
                <w:b/>
                <w:kern w:val="0"/>
                <w:sz w:val="24"/>
                <w:lang w:bidi="en-US"/>
              </w:rPr>
              <w:t>投标文件签署、盖章</w:t>
            </w:r>
          </w:p>
        </w:tc>
        <w:tc>
          <w:tcPr>
            <w:tcW w:w="4238" w:type="dxa"/>
            <w:shd w:val="clear" w:color="auto" w:fill="auto"/>
            <w:vAlign w:val="center"/>
          </w:tcPr>
          <w:p w14:paraId="514ED3F3">
            <w:pPr>
              <w:jc w:val="center"/>
              <w:rPr>
                <w:rFonts w:ascii="宋体" w:hAnsi="宋体"/>
                <w:b/>
                <w:kern w:val="0"/>
                <w:sz w:val="24"/>
                <w:lang w:bidi="en-US"/>
              </w:rPr>
            </w:pPr>
            <w:r>
              <w:rPr>
                <w:rFonts w:hint="eastAsia" w:ascii="宋体" w:hAnsi="宋体"/>
                <w:b/>
                <w:kern w:val="0"/>
                <w:sz w:val="24"/>
                <w:lang w:bidi="en-US"/>
              </w:rPr>
              <w:t>符合</w:t>
            </w:r>
            <w:r>
              <w:rPr>
                <w:rFonts w:ascii="宋体" w:hAnsi="宋体"/>
                <w:b/>
                <w:kern w:val="0"/>
                <w:sz w:val="24"/>
                <w:lang w:bidi="en-US"/>
              </w:rPr>
              <w:t>招标文件要求</w:t>
            </w:r>
          </w:p>
        </w:tc>
      </w:tr>
      <w:tr w14:paraId="4462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6" w:type="dxa"/>
            <w:shd w:val="clear" w:color="auto" w:fill="auto"/>
            <w:vAlign w:val="center"/>
          </w:tcPr>
          <w:p w14:paraId="5604E9B6">
            <w:pPr>
              <w:jc w:val="center"/>
              <w:rPr>
                <w:rFonts w:hint="eastAsia" w:ascii="宋体" w:hAnsi="宋体" w:eastAsiaTheme="minorEastAsia"/>
                <w:b/>
                <w:kern w:val="0"/>
                <w:sz w:val="24"/>
                <w:lang w:eastAsia="zh-CN" w:bidi="en-US"/>
              </w:rPr>
            </w:pPr>
            <w:r>
              <w:rPr>
                <w:rFonts w:hint="eastAsia" w:ascii="宋体" w:hAnsi="宋体"/>
                <w:b/>
                <w:kern w:val="0"/>
                <w:sz w:val="24"/>
                <w:lang w:val="en-US" w:eastAsia="zh-CN" w:bidi="en-US"/>
              </w:rPr>
              <w:t>2</w:t>
            </w:r>
          </w:p>
        </w:tc>
        <w:tc>
          <w:tcPr>
            <w:tcW w:w="3248" w:type="dxa"/>
            <w:shd w:val="clear" w:color="auto" w:fill="auto"/>
            <w:vAlign w:val="center"/>
          </w:tcPr>
          <w:p w14:paraId="14269C89">
            <w:pPr>
              <w:jc w:val="center"/>
              <w:rPr>
                <w:rFonts w:ascii="宋体" w:hAnsi="宋体"/>
                <w:b/>
                <w:kern w:val="0"/>
                <w:sz w:val="24"/>
                <w:lang w:bidi="en-US"/>
              </w:rPr>
            </w:pPr>
            <w:r>
              <w:rPr>
                <w:rFonts w:hint="eastAsia" w:ascii="宋体" w:hAnsi="宋体"/>
                <w:b/>
                <w:kern w:val="0"/>
                <w:sz w:val="24"/>
                <w:lang w:bidi="en-US"/>
              </w:rPr>
              <w:t>投标文件组成</w:t>
            </w:r>
          </w:p>
        </w:tc>
        <w:tc>
          <w:tcPr>
            <w:tcW w:w="4238" w:type="dxa"/>
            <w:shd w:val="clear" w:color="auto" w:fill="auto"/>
            <w:vAlign w:val="center"/>
          </w:tcPr>
          <w:p w14:paraId="683916F7">
            <w:pPr>
              <w:jc w:val="center"/>
              <w:rPr>
                <w:rFonts w:ascii="宋体" w:hAnsi="宋体"/>
                <w:b/>
                <w:kern w:val="0"/>
                <w:sz w:val="24"/>
                <w:lang w:bidi="en-US"/>
              </w:rPr>
            </w:pPr>
            <w:r>
              <w:rPr>
                <w:rFonts w:hint="eastAsia" w:ascii="宋体" w:hAnsi="宋体"/>
                <w:b/>
                <w:kern w:val="0"/>
                <w:sz w:val="24"/>
                <w:lang w:bidi="en-US"/>
              </w:rPr>
              <w:t>符合</w:t>
            </w:r>
            <w:r>
              <w:rPr>
                <w:rFonts w:ascii="宋体" w:hAnsi="宋体"/>
                <w:b/>
                <w:kern w:val="0"/>
                <w:sz w:val="24"/>
                <w:lang w:bidi="en-US"/>
              </w:rPr>
              <w:t>招标文件要求</w:t>
            </w:r>
          </w:p>
        </w:tc>
      </w:tr>
      <w:tr w14:paraId="3500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6" w:type="dxa"/>
            <w:shd w:val="clear" w:color="auto" w:fill="auto"/>
            <w:vAlign w:val="center"/>
          </w:tcPr>
          <w:p w14:paraId="0ED9A99C">
            <w:pPr>
              <w:jc w:val="center"/>
              <w:rPr>
                <w:rFonts w:hint="eastAsia" w:ascii="宋体" w:hAnsi="宋体" w:eastAsiaTheme="minorEastAsia"/>
                <w:b/>
                <w:kern w:val="0"/>
                <w:sz w:val="24"/>
                <w:lang w:eastAsia="zh-CN" w:bidi="en-US"/>
              </w:rPr>
            </w:pPr>
            <w:r>
              <w:rPr>
                <w:rFonts w:hint="eastAsia" w:ascii="宋体" w:hAnsi="宋体"/>
                <w:b/>
                <w:kern w:val="0"/>
                <w:sz w:val="24"/>
                <w:lang w:val="en-US" w:eastAsia="zh-CN" w:bidi="en-US"/>
              </w:rPr>
              <w:t>3</w:t>
            </w:r>
          </w:p>
        </w:tc>
        <w:tc>
          <w:tcPr>
            <w:tcW w:w="3248" w:type="dxa"/>
            <w:shd w:val="clear" w:color="auto" w:fill="auto"/>
            <w:vAlign w:val="center"/>
          </w:tcPr>
          <w:p w14:paraId="6F815ED7">
            <w:pPr>
              <w:jc w:val="center"/>
              <w:rPr>
                <w:rFonts w:ascii="宋体" w:hAnsi="宋体"/>
                <w:b/>
                <w:kern w:val="0"/>
                <w:sz w:val="24"/>
                <w:lang w:bidi="en-US"/>
              </w:rPr>
            </w:pPr>
            <w:r>
              <w:rPr>
                <w:rFonts w:hint="eastAsia" w:ascii="宋体" w:hAnsi="宋体"/>
                <w:b/>
                <w:kern w:val="0"/>
                <w:sz w:val="24"/>
                <w:lang w:bidi="en-US"/>
              </w:rPr>
              <w:t>投标文件的格式、语言、计量单位、报价货币、知识产权、投标有效期等</w:t>
            </w:r>
          </w:p>
        </w:tc>
        <w:tc>
          <w:tcPr>
            <w:tcW w:w="4238" w:type="dxa"/>
            <w:shd w:val="clear" w:color="auto" w:fill="auto"/>
            <w:vAlign w:val="center"/>
          </w:tcPr>
          <w:p w14:paraId="6632DC93">
            <w:pPr>
              <w:jc w:val="center"/>
              <w:rPr>
                <w:rFonts w:ascii="宋体" w:hAnsi="宋体"/>
                <w:b/>
                <w:kern w:val="0"/>
                <w:sz w:val="24"/>
                <w:lang w:bidi="en-US"/>
              </w:rPr>
            </w:pPr>
            <w:r>
              <w:rPr>
                <w:rFonts w:hint="eastAsia" w:ascii="宋体" w:hAnsi="宋体"/>
                <w:b/>
                <w:kern w:val="0"/>
                <w:sz w:val="24"/>
                <w:lang w:bidi="en-US"/>
              </w:rPr>
              <w:t>符合</w:t>
            </w:r>
            <w:r>
              <w:rPr>
                <w:rFonts w:ascii="宋体" w:hAnsi="宋体"/>
                <w:b/>
                <w:kern w:val="0"/>
                <w:sz w:val="24"/>
                <w:lang w:bidi="en-US"/>
              </w:rPr>
              <w:t>招标文件要求</w:t>
            </w:r>
          </w:p>
        </w:tc>
      </w:tr>
      <w:tr w14:paraId="1210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16" w:type="dxa"/>
            <w:shd w:val="clear" w:color="auto" w:fill="auto"/>
            <w:vAlign w:val="center"/>
          </w:tcPr>
          <w:p w14:paraId="24F80CD7">
            <w:pPr>
              <w:jc w:val="center"/>
              <w:rPr>
                <w:rFonts w:hint="eastAsia" w:ascii="宋体" w:hAnsi="宋体" w:eastAsiaTheme="minorEastAsia"/>
                <w:b/>
                <w:kern w:val="0"/>
                <w:sz w:val="24"/>
                <w:lang w:eastAsia="zh-CN" w:bidi="en-US"/>
              </w:rPr>
            </w:pPr>
            <w:r>
              <w:rPr>
                <w:rFonts w:hint="eastAsia" w:ascii="宋体" w:hAnsi="宋体"/>
                <w:b/>
                <w:kern w:val="0"/>
                <w:sz w:val="24"/>
                <w:lang w:val="en-US" w:eastAsia="zh-CN" w:bidi="en-US"/>
              </w:rPr>
              <w:t>4</w:t>
            </w:r>
          </w:p>
        </w:tc>
        <w:tc>
          <w:tcPr>
            <w:tcW w:w="3248" w:type="dxa"/>
            <w:shd w:val="clear" w:color="auto" w:fill="auto"/>
            <w:vAlign w:val="center"/>
          </w:tcPr>
          <w:p w14:paraId="0B2A2D79">
            <w:pPr>
              <w:jc w:val="center"/>
              <w:rPr>
                <w:rFonts w:ascii="宋体" w:hAnsi="宋体"/>
                <w:b/>
                <w:kern w:val="0"/>
                <w:sz w:val="24"/>
                <w:lang w:bidi="en-US"/>
              </w:rPr>
            </w:pPr>
            <w:r>
              <w:rPr>
                <w:rFonts w:hint="eastAsia" w:ascii="宋体" w:hAnsi="宋体"/>
                <w:b/>
                <w:kern w:val="0"/>
                <w:sz w:val="24"/>
                <w:lang w:bidi="en-US"/>
              </w:rPr>
              <w:t>投标文件报价</w:t>
            </w:r>
          </w:p>
        </w:tc>
        <w:tc>
          <w:tcPr>
            <w:tcW w:w="4238" w:type="dxa"/>
            <w:shd w:val="clear" w:color="auto" w:fill="auto"/>
            <w:vAlign w:val="center"/>
          </w:tcPr>
          <w:p w14:paraId="1360C03D">
            <w:pPr>
              <w:ind w:firstLine="482" w:firstLineChars="200"/>
              <w:jc w:val="left"/>
              <w:rPr>
                <w:rFonts w:ascii="宋体" w:hAnsi="宋体"/>
                <w:b/>
                <w:kern w:val="0"/>
                <w:sz w:val="24"/>
                <w:lang w:bidi="en-US"/>
              </w:rPr>
            </w:pPr>
            <w:r>
              <w:rPr>
                <w:rFonts w:hint="eastAsia" w:ascii="宋体" w:hAnsi="宋体"/>
                <w:b/>
                <w:kern w:val="0"/>
                <w:sz w:val="24"/>
                <w:lang w:bidi="en-US"/>
              </w:rPr>
              <w:t>不超过</w:t>
            </w:r>
            <w:r>
              <w:rPr>
                <w:rFonts w:ascii="宋体" w:hAnsi="宋体"/>
                <w:b/>
                <w:kern w:val="0"/>
                <w:sz w:val="24"/>
                <w:lang w:bidi="en-US"/>
              </w:rPr>
              <w:t>预算</w:t>
            </w:r>
            <w:r>
              <w:rPr>
                <w:rFonts w:hint="eastAsia" w:ascii="宋体" w:hAnsi="宋体"/>
                <w:b/>
                <w:kern w:val="0"/>
                <w:sz w:val="24"/>
                <w:lang w:bidi="en-US"/>
              </w:rPr>
              <w:t>金额且不低于采购预算50%或者不低于其他有效投标人报价算术平均价40%；</w:t>
            </w:r>
          </w:p>
          <w:p w14:paraId="45DAA276">
            <w:pPr>
              <w:ind w:firstLine="482" w:firstLineChars="200"/>
              <w:jc w:val="left"/>
              <w:rPr>
                <w:rFonts w:ascii="宋体" w:hAnsi="宋体"/>
                <w:b/>
                <w:kern w:val="0"/>
                <w:sz w:val="24"/>
                <w:lang w:bidi="en-US"/>
              </w:rPr>
            </w:pPr>
            <w:r>
              <w:rPr>
                <w:rFonts w:hint="eastAsia" w:ascii="宋体" w:hAnsi="宋体"/>
                <w:b/>
                <w:kern w:val="0"/>
                <w:sz w:val="24"/>
                <w:lang w:bidi="en-US"/>
              </w:rPr>
              <w:t>不超过</w:t>
            </w:r>
            <w:r>
              <w:rPr>
                <w:rFonts w:ascii="宋体" w:hAnsi="宋体"/>
                <w:b/>
                <w:kern w:val="0"/>
                <w:sz w:val="24"/>
                <w:lang w:bidi="en-US"/>
              </w:rPr>
              <w:t>预算</w:t>
            </w:r>
            <w:r>
              <w:rPr>
                <w:rFonts w:hint="eastAsia" w:ascii="宋体" w:hAnsi="宋体"/>
                <w:b/>
                <w:kern w:val="0"/>
                <w:sz w:val="24"/>
                <w:lang w:bidi="en-US"/>
              </w:rPr>
              <w:t>金额但低于采购预算50%或者低于其他有效投标人报价算术平均价40%的</w:t>
            </w:r>
            <w:r>
              <w:rPr>
                <w:rFonts w:ascii="宋体" w:hAnsi="宋体"/>
                <w:b/>
                <w:kern w:val="0"/>
                <w:sz w:val="24"/>
                <w:lang w:bidi="en-US"/>
              </w:rPr>
              <w:t>，</w:t>
            </w:r>
            <w:r>
              <w:rPr>
                <w:rFonts w:hint="eastAsia" w:ascii="宋体" w:hAnsi="宋体"/>
                <w:b/>
                <w:kern w:val="0"/>
                <w:sz w:val="24"/>
                <w:lang w:bidi="en-US"/>
              </w:rPr>
              <w:t>投标人提供有效书面说明且能够证明其报价合理性的。</w:t>
            </w:r>
          </w:p>
        </w:tc>
      </w:tr>
      <w:tr w14:paraId="29FB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6" w:type="dxa"/>
            <w:shd w:val="clear" w:color="auto" w:fill="auto"/>
            <w:vAlign w:val="center"/>
          </w:tcPr>
          <w:p w14:paraId="5F85C57F">
            <w:pPr>
              <w:jc w:val="center"/>
              <w:rPr>
                <w:rFonts w:hint="eastAsia" w:ascii="宋体" w:hAnsi="宋体" w:eastAsiaTheme="minorEastAsia"/>
                <w:b/>
                <w:kern w:val="0"/>
                <w:sz w:val="24"/>
                <w:lang w:eastAsia="zh-CN" w:bidi="en-US"/>
              </w:rPr>
            </w:pPr>
            <w:r>
              <w:rPr>
                <w:rFonts w:hint="eastAsia" w:ascii="宋体" w:hAnsi="宋体"/>
                <w:b/>
                <w:kern w:val="0"/>
                <w:sz w:val="24"/>
                <w:lang w:val="en-US" w:eastAsia="zh-CN" w:bidi="en-US"/>
              </w:rPr>
              <w:t>5</w:t>
            </w:r>
          </w:p>
        </w:tc>
        <w:tc>
          <w:tcPr>
            <w:tcW w:w="3248" w:type="dxa"/>
            <w:shd w:val="clear" w:color="auto" w:fill="auto"/>
            <w:vAlign w:val="center"/>
          </w:tcPr>
          <w:p w14:paraId="3E38C598">
            <w:pPr>
              <w:jc w:val="center"/>
              <w:rPr>
                <w:rFonts w:ascii="宋体" w:hAnsi="宋体"/>
                <w:b/>
                <w:kern w:val="0"/>
                <w:sz w:val="24"/>
                <w:lang w:bidi="en-US"/>
              </w:rPr>
            </w:pPr>
            <w:r>
              <w:rPr>
                <w:rFonts w:hint="eastAsia" w:ascii="宋体" w:hAnsi="宋体"/>
                <w:b/>
                <w:kern w:val="0"/>
                <w:sz w:val="24"/>
                <w:lang w:bidi="en-US"/>
              </w:rPr>
              <w:t>投标文件技术、服务应答内容</w:t>
            </w:r>
          </w:p>
        </w:tc>
        <w:tc>
          <w:tcPr>
            <w:tcW w:w="4238" w:type="dxa"/>
            <w:shd w:val="clear" w:color="auto" w:fill="auto"/>
            <w:vAlign w:val="center"/>
          </w:tcPr>
          <w:p w14:paraId="5C29A39C">
            <w:pPr>
              <w:jc w:val="center"/>
              <w:rPr>
                <w:rFonts w:ascii="宋体" w:hAnsi="宋体"/>
                <w:b/>
                <w:kern w:val="0"/>
                <w:sz w:val="24"/>
                <w:lang w:bidi="en-US"/>
              </w:rPr>
            </w:pPr>
            <w:r>
              <w:rPr>
                <w:rFonts w:hint="eastAsia" w:ascii="宋体" w:hAnsi="宋体"/>
                <w:b/>
                <w:kern w:val="0"/>
                <w:sz w:val="24"/>
                <w:lang w:bidi="en-US"/>
              </w:rPr>
              <w:t>符合</w:t>
            </w:r>
            <w:r>
              <w:rPr>
                <w:rFonts w:ascii="宋体" w:hAnsi="宋体"/>
                <w:b/>
                <w:kern w:val="0"/>
                <w:sz w:val="24"/>
                <w:lang w:bidi="en-US"/>
              </w:rPr>
              <w:t>招标文件要求</w:t>
            </w:r>
          </w:p>
        </w:tc>
      </w:tr>
      <w:tr w14:paraId="0A07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6" w:type="dxa"/>
            <w:shd w:val="clear" w:color="auto" w:fill="auto"/>
            <w:vAlign w:val="center"/>
          </w:tcPr>
          <w:p w14:paraId="162AB21A">
            <w:pPr>
              <w:jc w:val="center"/>
              <w:rPr>
                <w:rFonts w:hint="eastAsia" w:ascii="宋体" w:hAnsi="宋体" w:eastAsiaTheme="minorEastAsia"/>
                <w:b/>
                <w:kern w:val="0"/>
                <w:sz w:val="24"/>
                <w:lang w:eastAsia="zh-CN" w:bidi="en-US"/>
              </w:rPr>
            </w:pPr>
            <w:r>
              <w:rPr>
                <w:rFonts w:hint="eastAsia" w:ascii="宋体" w:hAnsi="宋体"/>
                <w:b/>
                <w:kern w:val="0"/>
                <w:sz w:val="24"/>
                <w:lang w:val="en-US" w:eastAsia="zh-CN" w:bidi="en-US"/>
              </w:rPr>
              <w:t>6</w:t>
            </w:r>
          </w:p>
        </w:tc>
        <w:tc>
          <w:tcPr>
            <w:tcW w:w="3248" w:type="dxa"/>
            <w:shd w:val="clear" w:color="auto" w:fill="auto"/>
            <w:vAlign w:val="center"/>
          </w:tcPr>
          <w:p w14:paraId="0BEA0672">
            <w:pPr>
              <w:jc w:val="center"/>
              <w:rPr>
                <w:rFonts w:ascii="宋体" w:hAnsi="宋体"/>
                <w:b/>
                <w:kern w:val="0"/>
                <w:sz w:val="24"/>
                <w:lang w:bidi="en-US"/>
              </w:rPr>
            </w:pPr>
            <w:r>
              <w:rPr>
                <w:rFonts w:hint="eastAsia" w:ascii="宋体" w:hAnsi="宋体"/>
                <w:b/>
                <w:kern w:val="0"/>
                <w:sz w:val="24"/>
                <w:lang w:bidi="en-US"/>
              </w:rPr>
              <w:t>投标履约时间、方式、数量和其他政府采购合同主要内容</w:t>
            </w:r>
          </w:p>
        </w:tc>
        <w:tc>
          <w:tcPr>
            <w:tcW w:w="4238" w:type="dxa"/>
            <w:shd w:val="clear" w:color="auto" w:fill="auto"/>
            <w:vAlign w:val="center"/>
          </w:tcPr>
          <w:p w14:paraId="072AD26D">
            <w:pPr>
              <w:jc w:val="center"/>
              <w:rPr>
                <w:rFonts w:ascii="宋体" w:hAnsi="宋体"/>
                <w:b/>
                <w:kern w:val="0"/>
                <w:sz w:val="24"/>
                <w:lang w:bidi="en-US"/>
              </w:rPr>
            </w:pPr>
            <w:r>
              <w:rPr>
                <w:rFonts w:hint="eastAsia" w:ascii="宋体" w:hAnsi="宋体"/>
                <w:b/>
                <w:kern w:val="0"/>
                <w:sz w:val="24"/>
                <w:lang w:bidi="en-US"/>
              </w:rPr>
              <w:t>符合</w:t>
            </w:r>
            <w:r>
              <w:rPr>
                <w:rFonts w:ascii="宋体" w:hAnsi="宋体"/>
                <w:b/>
                <w:kern w:val="0"/>
                <w:sz w:val="24"/>
                <w:lang w:bidi="en-US"/>
              </w:rPr>
              <w:t>招标文件要求</w:t>
            </w:r>
          </w:p>
        </w:tc>
      </w:tr>
      <w:tr w14:paraId="72BF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6" w:type="dxa"/>
            <w:shd w:val="clear" w:color="auto" w:fill="auto"/>
            <w:vAlign w:val="center"/>
          </w:tcPr>
          <w:p w14:paraId="3E7E2672">
            <w:pPr>
              <w:jc w:val="center"/>
              <w:rPr>
                <w:rFonts w:hint="eastAsia" w:ascii="宋体" w:hAnsi="宋体" w:eastAsiaTheme="minorEastAsia"/>
                <w:b/>
                <w:kern w:val="0"/>
                <w:sz w:val="24"/>
                <w:lang w:eastAsia="zh-CN" w:bidi="en-US"/>
              </w:rPr>
            </w:pPr>
            <w:r>
              <w:rPr>
                <w:rFonts w:hint="eastAsia" w:ascii="宋体" w:hAnsi="宋体"/>
                <w:b/>
                <w:kern w:val="0"/>
                <w:sz w:val="24"/>
                <w:lang w:val="en-US" w:eastAsia="zh-CN" w:bidi="en-US"/>
              </w:rPr>
              <w:t>7</w:t>
            </w:r>
          </w:p>
        </w:tc>
        <w:tc>
          <w:tcPr>
            <w:tcW w:w="3248" w:type="dxa"/>
            <w:shd w:val="clear" w:color="auto" w:fill="auto"/>
            <w:vAlign w:val="center"/>
          </w:tcPr>
          <w:p w14:paraId="7581729F">
            <w:pPr>
              <w:jc w:val="center"/>
              <w:rPr>
                <w:rFonts w:ascii="宋体" w:hAnsi="宋体"/>
                <w:b/>
                <w:kern w:val="0"/>
                <w:sz w:val="24"/>
                <w:lang w:bidi="en-US"/>
              </w:rPr>
            </w:pPr>
            <w:r>
              <w:rPr>
                <w:rFonts w:hint="eastAsia" w:ascii="宋体" w:hAnsi="宋体"/>
                <w:b/>
                <w:kern w:val="0"/>
                <w:sz w:val="24"/>
                <w:lang w:bidi="en-US"/>
              </w:rPr>
              <w:t>招标文件规定的其他实质性内容</w:t>
            </w:r>
          </w:p>
        </w:tc>
        <w:tc>
          <w:tcPr>
            <w:tcW w:w="4238" w:type="dxa"/>
            <w:shd w:val="clear" w:color="auto" w:fill="auto"/>
            <w:vAlign w:val="center"/>
          </w:tcPr>
          <w:p w14:paraId="7B20A50C">
            <w:pPr>
              <w:jc w:val="center"/>
              <w:rPr>
                <w:rFonts w:ascii="宋体" w:hAnsi="宋体"/>
                <w:b/>
                <w:kern w:val="0"/>
                <w:sz w:val="24"/>
                <w:lang w:bidi="en-US"/>
              </w:rPr>
            </w:pPr>
            <w:r>
              <w:rPr>
                <w:rFonts w:hint="eastAsia" w:ascii="宋体" w:hAnsi="宋体"/>
                <w:b/>
                <w:kern w:val="0"/>
                <w:sz w:val="24"/>
                <w:lang w:bidi="en-US"/>
              </w:rPr>
              <w:t>符合</w:t>
            </w:r>
            <w:r>
              <w:rPr>
                <w:rFonts w:ascii="宋体" w:hAnsi="宋体"/>
                <w:b/>
                <w:kern w:val="0"/>
                <w:sz w:val="24"/>
                <w:lang w:bidi="en-US"/>
              </w:rPr>
              <w:t>招标文件要求</w:t>
            </w:r>
          </w:p>
        </w:tc>
      </w:tr>
    </w:tbl>
    <w:p w14:paraId="58936EBF">
      <w:pPr>
        <w:jc w:val="left"/>
        <w:rPr>
          <w:rFonts w:ascii="宋体" w:hAnsi="宋体"/>
          <w:b/>
          <w:kern w:val="0"/>
          <w:sz w:val="28"/>
          <w:szCs w:val="28"/>
          <w:lang w:bidi="en-US"/>
        </w:rPr>
      </w:pPr>
    </w:p>
    <w:p w14:paraId="6853992C">
      <w:pPr>
        <w:jc w:val="left"/>
        <w:rPr>
          <w:rFonts w:ascii="宋体" w:hAnsi="宋体"/>
          <w:b/>
          <w:kern w:val="0"/>
          <w:sz w:val="28"/>
          <w:szCs w:val="28"/>
          <w:lang w:bidi="en-US"/>
        </w:rPr>
      </w:pPr>
    </w:p>
    <w:p w14:paraId="4C3070E7">
      <w:pPr>
        <w:jc w:val="left"/>
        <w:rPr>
          <w:rFonts w:ascii="宋体" w:hAnsi="宋体"/>
          <w:b/>
          <w:kern w:val="0"/>
          <w:sz w:val="28"/>
          <w:szCs w:val="28"/>
          <w:lang w:bidi="en-US"/>
        </w:rPr>
      </w:pPr>
    </w:p>
    <w:p w14:paraId="2F35BA0D">
      <w:pPr>
        <w:jc w:val="left"/>
        <w:rPr>
          <w:rFonts w:ascii="宋体" w:hAnsi="宋体"/>
          <w:b/>
          <w:kern w:val="0"/>
          <w:sz w:val="28"/>
          <w:szCs w:val="28"/>
          <w:lang w:bidi="en-US"/>
        </w:rPr>
      </w:pPr>
    </w:p>
    <w:p w14:paraId="263471F2">
      <w:pPr>
        <w:jc w:val="left"/>
        <w:rPr>
          <w:rFonts w:ascii="宋体" w:hAnsi="宋体"/>
          <w:b/>
          <w:kern w:val="0"/>
          <w:sz w:val="28"/>
          <w:szCs w:val="28"/>
          <w:lang w:bidi="en-US"/>
        </w:rPr>
      </w:pPr>
    </w:p>
    <w:p w14:paraId="54704630">
      <w:pPr>
        <w:jc w:val="left"/>
        <w:rPr>
          <w:rFonts w:ascii="宋体" w:hAnsi="宋体"/>
          <w:b/>
          <w:kern w:val="0"/>
          <w:sz w:val="28"/>
          <w:szCs w:val="28"/>
          <w:lang w:bidi="en-US"/>
        </w:rPr>
      </w:pPr>
    </w:p>
    <w:p w14:paraId="4924E380">
      <w:pPr>
        <w:jc w:val="left"/>
        <w:rPr>
          <w:rFonts w:ascii="宋体" w:hAnsi="宋体"/>
          <w:b/>
          <w:kern w:val="0"/>
          <w:sz w:val="28"/>
          <w:szCs w:val="28"/>
          <w:lang w:bidi="en-US"/>
        </w:rPr>
      </w:pPr>
    </w:p>
    <w:p w14:paraId="69AC7BC6">
      <w:pPr>
        <w:jc w:val="left"/>
        <w:rPr>
          <w:rFonts w:ascii="宋体" w:hAnsi="宋体"/>
          <w:b/>
          <w:kern w:val="0"/>
          <w:sz w:val="28"/>
          <w:szCs w:val="28"/>
          <w:lang w:bidi="en-US"/>
        </w:rPr>
      </w:pPr>
    </w:p>
    <w:p w14:paraId="26CED0D4">
      <w:pPr>
        <w:jc w:val="left"/>
        <w:rPr>
          <w:rFonts w:ascii="宋体" w:hAnsi="宋体"/>
          <w:b/>
          <w:kern w:val="0"/>
          <w:sz w:val="28"/>
          <w:szCs w:val="28"/>
          <w:lang w:bidi="en-US"/>
        </w:rPr>
      </w:pPr>
    </w:p>
    <w:p w14:paraId="72346DBB">
      <w:pPr>
        <w:jc w:val="left"/>
        <w:rPr>
          <w:rFonts w:ascii="宋体" w:hAnsi="宋体"/>
          <w:b/>
          <w:kern w:val="0"/>
          <w:sz w:val="28"/>
          <w:szCs w:val="28"/>
          <w:lang w:bidi="en-US"/>
        </w:rPr>
      </w:pPr>
    </w:p>
    <w:p w14:paraId="7216869D">
      <w:pPr>
        <w:pStyle w:val="54"/>
        <w:rPr>
          <w:rFonts w:ascii="黑体" w:hAnsi="黑体" w:eastAsia="黑体"/>
          <w:w w:val="90"/>
          <w:sz w:val="44"/>
          <w:szCs w:val="44"/>
        </w:rPr>
      </w:pPr>
      <w:bookmarkStart w:id="148" w:name="_Toc7998"/>
      <w:r>
        <w:rPr>
          <w:rFonts w:hint="eastAsia" w:ascii="黑体" w:hAnsi="黑体" w:eastAsia="黑体"/>
          <w:w w:val="90"/>
          <w:sz w:val="44"/>
          <w:szCs w:val="44"/>
        </w:rPr>
        <w:t>第五章 招标项目技术、服务及其他商务要求</w:t>
      </w:r>
      <w:bookmarkEnd w:id="142"/>
      <w:bookmarkEnd w:id="148"/>
      <w:bookmarkStart w:id="149" w:name="OLE_LINK29"/>
      <w:bookmarkStart w:id="150" w:name="OLE_LINK30"/>
    </w:p>
    <w:bookmarkEnd w:id="149"/>
    <w:bookmarkEnd w:id="150"/>
    <w:p w14:paraId="15AABCA2">
      <w:pPr>
        <w:pStyle w:val="4"/>
        <w:spacing w:before="0" w:after="0" w:line="700" w:lineRule="exact"/>
        <w:rPr>
          <w:rFonts w:hint="eastAsia" w:ascii="黑体" w:hAnsi="黑体"/>
        </w:rPr>
      </w:pPr>
      <w:bookmarkStart w:id="151" w:name="_Toc217446095"/>
      <w:bookmarkStart w:id="152" w:name="_Toc12344"/>
      <w:r>
        <w:rPr>
          <w:rFonts w:hint="eastAsia" w:ascii="黑体" w:hAnsi="黑体"/>
          <w:lang w:eastAsia="zh-CN"/>
        </w:rPr>
        <w:t>一</w:t>
      </w:r>
      <w:r>
        <w:rPr>
          <w:rFonts w:hint="eastAsia" w:ascii="黑体" w:hAnsi="黑体"/>
        </w:rPr>
        <w:t>、项目清单及</w:t>
      </w:r>
      <w:bookmarkEnd w:id="151"/>
      <w:r>
        <w:rPr>
          <w:rFonts w:hint="eastAsia" w:ascii="黑体" w:hAnsi="黑体"/>
        </w:rPr>
        <w:t>技术</w:t>
      </w:r>
      <w:r>
        <w:rPr>
          <w:rFonts w:ascii="黑体" w:hAnsi="黑体"/>
        </w:rPr>
        <w:t>参数要求</w:t>
      </w:r>
      <w:bookmarkEnd w:id="152"/>
    </w:p>
    <w:tbl>
      <w:tblPr>
        <w:tblStyle w:val="58"/>
        <w:tblpPr w:leftFromText="180" w:rightFromText="180" w:vertAnchor="text" w:horzAnchor="page" w:tblpX="588" w:tblpY="663"/>
        <w:tblOverlap w:val="never"/>
        <w:tblW w:w="108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9"/>
        <w:gridCol w:w="697"/>
        <w:gridCol w:w="6783"/>
        <w:gridCol w:w="904"/>
        <w:gridCol w:w="794"/>
        <w:gridCol w:w="1038"/>
      </w:tblGrid>
      <w:tr w14:paraId="159E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59" w:type="dxa"/>
            <w:vAlign w:val="center"/>
          </w:tcPr>
          <w:p w14:paraId="449501CC">
            <w:pPr>
              <w:snapToGrid w:val="0"/>
              <w:spacing w:line="60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序</w:t>
            </w:r>
            <w:r>
              <w:rPr>
                <w:rFonts w:ascii="宋体" w:hAnsi="宋体" w:eastAsia="宋体" w:cs="Arial"/>
                <w:color w:val="000000"/>
                <w:kern w:val="0"/>
                <w:sz w:val="22"/>
                <w:szCs w:val="22"/>
              </w:rPr>
              <w:t>号</w:t>
            </w:r>
          </w:p>
        </w:tc>
        <w:tc>
          <w:tcPr>
            <w:tcW w:w="697" w:type="dxa"/>
            <w:vAlign w:val="center"/>
          </w:tcPr>
          <w:p w14:paraId="2947DB89">
            <w:pPr>
              <w:snapToGrid w:val="0"/>
              <w:spacing w:line="60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货</w:t>
            </w:r>
            <w:r>
              <w:rPr>
                <w:rFonts w:ascii="宋体" w:hAnsi="宋体" w:eastAsia="宋体" w:cs="Arial"/>
                <w:color w:val="000000"/>
                <w:kern w:val="0"/>
                <w:sz w:val="22"/>
                <w:szCs w:val="22"/>
              </w:rPr>
              <w:t>物名称</w:t>
            </w:r>
          </w:p>
        </w:tc>
        <w:tc>
          <w:tcPr>
            <w:tcW w:w="6783" w:type="dxa"/>
            <w:vAlign w:val="center"/>
          </w:tcPr>
          <w:p w14:paraId="72158DE4">
            <w:pPr>
              <w:snapToGrid w:val="0"/>
              <w:spacing w:line="60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技</w:t>
            </w:r>
            <w:r>
              <w:rPr>
                <w:rFonts w:ascii="宋体" w:hAnsi="宋体" w:eastAsia="宋体" w:cs="Arial"/>
                <w:color w:val="000000"/>
                <w:kern w:val="0"/>
                <w:sz w:val="22"/>
                <w:szCs w:val="22"/>
              </w:rPr>
              <w:t>术参数及配置要求</w:t>
            </w:r>
          </w:p>
        </w:tc>
        <w:tc>
          <w:tcPr>
            <w:tcW w:w="904" w:type="dxa"/>
            <w:vAlign w:val="center"/>
          </w:tcPr>
          <w:p w14:paraId="405DA986">
            <w:pPr>
              <w:snapToGrid w:val="0"/>
              <w:spacing w:line="600" w:lineRule="exact"/>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数</w:t>
            </w:r>
            <w:r>
              <w:rPr>
                <w:rFonts w:ascii="宋体" w:hAnsi="宋体" w:eastAsia="宋体" w:cs="Arial"/>
                <w:color w:val="000000"/>
                <w:kern w:val="0"/>
                <w:sz w:val="22"/>
                <w:szCs w:val="22"/>
              </w:rPr>
              <w:t>量及</w:t>
            </w:r>
            <w:r>
              <w:rPr>
                <w:rFonts w:hint="eastAsia" w:ascii="宋体" w:hAnsi="宋体" w:eastAsia="宋体" w:cs="Arial"/>
                <w:color w:val="000000"/>
                <w:kern w:val="0"/>
                <w:sz w:val="22"/>
                <w:szCs w:val="22"/>
              </w:rPr>
              <w:t>单</w:t>
            </w:r>
            <w:r>
              <w:rPr>
                <w:rFonts w:ascii="宋体" w:hAnsi="宋体" w:eastAsia="宋体" w:cs="Arial"/>
                <w:color w:val="000000"/>
                <w:kern w:val="0"/>
                <w:sz w:val="22"/>
                <w:szCs w:val="22"/>
              </w:rPr>
              <w:t>位</w:t>
            </w:r>
          </w:p>
        </w:tc>
        <w:tc>
          <w:tcPr>
            <w:tcW w:w="794" w:type="dxa"/>
            <w:vAlign w:val="center"/>
          </w:tcPr>
          <w:p w14:paraId="65903679">
            <w:pPr>
              <w:snapToGrid w:val="0"/>
              <w:spacing w:line="600" w:lineRule="exact"/>
              <w:jc w:val="center"/>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lang w:eastAsia="zh-CN"/>
              </w:rPr>
              <w:t>单价（元）</w:t>
            </w:r>
          </w:p>
        </w:tc>
        <w:tc>
          <w:tcPr>
            <w:tcW w:w="1038" w:type="dxa"/>
            <w:vAlign w:val="center"/>
          </w:tcPr>
          <w:p w14:paraId="0259E629">
            <w:pPr>
              <w:snapToGrid w:val="0"/>
              <w:spacing w:line="600" w:lineRule="exact"/>
              <w:jc w:val="center"/>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lang w:eastAsia="zh-CN"/>
              </w:rPr>
              <w:t>金额（元）</w:t>
            </w:r>
          </w:p>
        </w:tc>
      </w:tr>
      <w:tr w14:paraId="43D9D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59" w:type="dxa"/>
            <w:vAlign w:val="center"/>
          </w:tcPr>
          <w:p w14:paraId="4F6F2E42">
            <w:pPr>
              <w:snapToGrid w:val="0"/>
              <w:spacing w:line="600" w:lineRule="exact"/>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1</w:t>
            </w:r>
            <w:r>
              <w:rPr>
                <w:rFonts w:hint="eastAsia" w:ascii="宋体" w:hAnsi="宋体" w:eastAsia="宋体"/>
                <w:color w:val="auto"/>
                <w:kern w:val="0"/>
                <w:sz w:val="28"/>
                <w:szCs w:val="28"/>
              </w:rPr>
              <w:t>■</w:t>
            </w:r>
          </w:p>
        </w:tc>
        <w:tc>
          <w:tcPr>
            <w:tcW w:w="697" w:type="dxa"/>
            <w:vAlign w:val="center"/>
          </w:tcPr>
          <w:p w14:paraId="6AF138F6">
            <w:pPr>
              <w:snapToGrid w:val="0"/>
              <w:spacing w:line="600" w:lineRule="exact"/>
              <w:jc w:val="center"/>
              <w:rPr>
                <w:rFonts w:hint="eastAsia" w:ascii="宋体" w:hAnsi="宋体" w:eastAsia="宋体" w:cs="Arial"/>
                <w:color w:val="000000"/>
                <w:kern w:val="0"/>
                <w:sz w:val="32"/>
                <w:szCs w:val="32"/>
                <w:lang w:eastAsia="zh-CN"/>
              </w:rPr>
            </w:pPr>
            <w:r>
              <w:rPr>
                <w:rFonts w:hint="eastAsia" w:ascii="宋体" w:hAnsi="宋体" w:eastAsia="宋体" w:cs="Arial"/>
                <w:color w:val="000000"/>
                <w:kern w:val="0"/>
                <w:sz w:val="32"/>
                <w:szCs w:val="32"/>
                <w:lang w:eastAsia="zh-CN"/>
              </w:rPr>
              <w:t>折叠床</w:t>
            </w:r>
          </w:p>
        </w:tc>
        <w:tc>
          <w:tcPr>
            <w:tcW w:w="6783" w:type="dxa"/>
            <w:vAlign w:val="center"/>
          </w:tcPr>
          <w:p w14:paraId="4703CBC7">
            <w:pPr>
              <w:pStyle w:val="535"/>
              <w:spacing w:before="360" w:after="360" w:line="240" w:lineRule="auto"/>
              <w:rPr>
                <w:rFonts w:hint="eastAsia"/>
                <w:bCs/>
              </w:rPr>
            </w:pPr>
            <w:bookmarkStart w:id="153" w:name="_Toc22653"/>
            <w:bookmarkStart w:id="154" w:name="_Toc9803"/>
            <w:bookmarkStart w:id="155" w:name="SectionMark4"/>
            <w:r>
              <w:rPr>
                <w:rFonts w:hint="eastAsia"/>
                <w:bCs/>
              </w:rPr>
              <w:t>救灾专用 木板折叠床技术文件</w:t>
            </w:r>
            <w:bookmarkEnd w:id="153"/>
            <w:bookmarkEnd w:id="154"/>
          </w:p>
          <w:p w14:paraId="06DA2047">
            <w:pPr>
              <w:pStyle w:val="536"/>
              <w:ind w:left="0"/>
              <w:rPr>
                <w:rFonts w:hint="eastAsia"/>
              </w:rPr>
            </w:pPr>
            <w:bookmarkStart w:id="156" w:name="_Toc71215105"/>
            <w:bookmarkStart w:id="157" w:name="_Toc71087681"/>
            <w:bookmarkStart w:id="158" w:name="_Toc10369"/>
            <w:bookmarkStart w:id="159" w:name="_Toc71215190"/>
            <w:bookmarkStart w:id="160" w:name="_Toc69291558"/>
            <w:bookmarkStart w:id="161" w:name="_Toc20154"/>
            <w:bookmarkStart w:id="162" w:name="_Toc69291596"/>
            <w:bookmarkStart w:id="163" w:name="_Toc71087731"/>
            <w:bookmarkStart w:id="164" w:name="_Toc334455143"/>
            <w:r>
              <w:rPr>
                <w:rFonts w:hint="eastAsia"/>
              </w:rPr>
              <w:t>范围</w:t>
            </w:r>
            <w:bookmarkEnd w:id="156"/>
            <w:bookmarkEnd w:id="157"/>
            <w:bookmarkEnd w:id="158"/>
            <w:bookmarkEnd w:id="159"/>
            <w:bookmarkEnd w:id="160"/>
            <w:bookmarkEnd w:id="161"/>
            <w:bookmarkEnd w:id="162"/>
            <w:bookmarkEnd w:id="163"/>
            <w:bookmarkEnd w:id="164"/>
          </w:p>
          <w:p w14:paraId="23A8F0DA">
            <w:pPr>
              <w:ind w:firstLine="420" w:firstLineChars="200"/>
              <w:rPr>
                <w:rFonts w:hint="eastAsia" w:ascii="宋体"/>
              </w:rPr>
            </w:pPr>
            <w:r>
              <w:rPr>
                <w:rFonts w:hint="eastAsia" w:ascii="宋体"/>
              </w:rPr>
              <w:t>本标准规定了救灾专用</w:t>
            </w:r>
            <w:r>
              <w:rPr>
                <w:rFonts w:hint="eastAsia"/>
              </w:rPr>
              <w:t>木板折叠床的</w:t>
            </w:r>
            <w:r>
              <w:rPr>
                <w:rFonts w:hint="eastAsia" w:ascii="宋体"/>
              </w:rPr>
              <w:t>要求、试验方法、检验规则及标志、包装、运输与贮存。</w:t>
            </w:r>
          </w:p>
          <w:p w14:paraId="3A7FD0D5">
            <w:pPr>
              <w:pStyle w:val="269"/>
              <w:ind w:firstLine="420"/>
              <w:rPr>
                <w:rFonts w:hint="eastAsia"/>
              </w:rPr>
            </w:pPr>
            <w:r>
              <w:rPr>
                <w:rFonts w:hint="eastAsia"/>
              </w:rPr>
              <w:t>本标准适用于</w:t>
            </w:r>
            <w:r>
              <w:rPr>
                <w:rFonts w:hint="eastAsia" w:hAnsi="宋体"/>
              </w:rPr>
              <w:t>以胶合板为床板材料，以冷弯矩形</w:t>
            </w:r>
            <w:r>
              <w:rPr>
                <w:rFonts w:hAnsi="宋体"/>
              </w:rPr>
              <w:t>钢管为</w:t>
            </w:r>
            <w:r>
              <w:rPr>
                <w:rFonts w:hint="eastAsia" w:hAnsi="宋体"/>
              </w:rPr>
              <w:t>床</w:t>
            </w:r>
            <w:r>
              <w:rPr>
                <w:rFonts w:hAnsi="宋体"/>
              </w:rPr>
              <w:t>架</w:t>
            </w:r>
            <w:r>
              <w:rPr>
                <w:rFonts w:hint="eastAsia" w:hAnsi="宋体"/>
              </w:rPr>
              <w:t>生产的救灾专用</w:t>
            </w:r>
            <w:r>
              <w:rPr>
                <w:rFonts w:hint="eastAsia"/>
              </w:rPr>
              <w:t>木板折叠床，以下简称木板折叠床。</w:t>
            </w:r>
          </w:p>
          <w:p w14:paraId="3824A6B3">
            <w:pPr>
              <w:pStyle w:val="536"/>
              <w:ind w:left="0"/>
              <w:rPr>
                <w:rFonts w:hint="eastAsia"/>
              </w:rPr>
            </w:pPr>
            <w:bookmarkStart w:id="165" w:name="_Toc3752"/>
            <w:bookmarkStart w:id="166" w:name="_Toc71087682"/>
            <w:bookmarkStart w:id="167" w:name="_Toc71215191"/>
            <w:bookmarkStart w:id="168" w:name="_Toc71087732"/>
            <w:bookmarkStart w:id="169" w:name="_Toc5896"/>
            <w:bookmarkStart w:id="170" w:name="_Toc71215106"/>
            <w:bookmarkStart w:id="171" w:name="_Toc69291597"/>
            <w:bookmarkStart w:id="172" w:name="_Toc334455144"/>
            <w:bookmarkStart w:id="173" w:name="_Toc69291559"/>
            <w:r>
              <w:rPr>
                <w:rFonts w:hint="eastAsia"/>
              </w:rPr>
              <w:t>规范性引用文件</w:t>
            </w:r>
            <w:bookmarkEnd w:id="165"/>
            <w:bookmarkEnd w:id="166"/>
            <w:bookmarkEnd w:id="167"/>
            <w:bookmarkEnd w:id="168"/>
            <w:bookmarkEnd w:id="169"/>
            <w:bookmarkEnd w:id="170"/>
            <w:bookmarkEnd w:id="171"/>
            <w:bookmarkEnd w:id="172"/>
            <w:bookmarkEnd w:id="173"/>
            <w:r>
              <w:rPr>
                <w:rFonts w:hint="eastAsia"/>
                <w:lang w:val="en-US" w:eastAsia="zh-CN"/>
              </w:rPr>
              <w:t xml:space="preserve">    </w:t>
            </w:r>
          </w:p>
          <w:p w14:paraId="74D1DAF3">
            <w:pPr>
              <w:pStyle w:val="269"/>
              <w:ind w:firstLine="420"/>
              <w:rPr>
                <w:rFonts w:hint="eastAsia" w:hAnsi="宋体"/>
              </w:rPr>
            </w:pPr>
            <w:r>
              <w:rPr>
                <w:rFonts w:hint="eastAsia" w:hAnsi="宋体"/>
              </w:rPr>
              <w:t>下列文件对于本文件的应用是必不可少的。凡是注日期的引用文件，仅注日期的版本适用于本文件。凡是不注日期的引用文件，其最新版本（包括所有的修改单）适用于本文件。</w:t>
            </w:r>
          </w:p>
          <w:p w14:paraId="5FCC4299">
            <w:pPr>
              <w:pStyle w:val="269"/>
              <w:ind w:firstLine="420"/>
              <w:rPr>
                <w:rFonts w:hint="eastAsia"/>
              </w:rPr>
            </w:pPr>
            <w:bookmarkStart w:id="174" w:name="_Toc69291598"/>
            <w:bookmarkStart w:id="175" w:name="_Toc71087733"/>
            <w:bookmarkStart w:id="176" w:name="_Toc71215107"/>
            <w:bookmarkStart w:id="177" w:name="_Toc69291560"/>
            <w:bookmarkStart w:id="178" w:name="_Toc71087683"/>
            <w:bookmarkStart w:id="179" w:name="_Toc71215192"/>
            <w:r>
              <w:rPr>
                <w:rFonts w:hint="eastAsia"/>
              </w:rPr>
              <w:t>GB/T 6543-2008  运输包装用单瓦楞纸箱和双瓦楞纸箱</w:t>
            </w:r>
          </w:p>
          <w:p w14:paraId="2D9993B0">
            <w:pPr>
              <w:pStyle w:val="269"/>
              <w:ind w:firstLine="420"/>
              <w:rPr>
                <w:rFonts w:hint="eastAsia"/>
              </w:rPr>
            </w:pPr>
            <w:r>
              <w:rPr>
                <w:rFonts w:hint="eastAsia"/>
              </w:rPr>
              <w:t>GB/T 6728-2002  结构用冷弯空心型钢尺寸、外形、重量级允许偏差</w:t>
            </w:r>
          </w:p>
          <w:p w14:paraId="5CBD9650">
            <w:pPr>
              <w:pStyle w:val="269"/>
              <w:ind w:firstLine="420"/>
              <w:rPr>
                <w:rFonts w:hint="eastAsia"/>
                <w:color w:val="auto"/>
              </w:rPr>
            </w:pPr>
            <w:r>
              <w:rPr>
                <w:rFonts w:hint="eastAsia" w:ascii="宋体" w:hAnsi="宋体" w:eastAsia="宋体" w:cs="宋体"/>
                <w:b w:val="0"/>
                <w:bCs w:val="0"/>
                <w:kern w:val="0"/>
                <w:szCs w:val="20"/>
              </w:rPr>
              <w:t>GB/T9846-2015</w:t>
            </w:r>
            <w:r>
              <w:rPr>
                <w:rFonts w:hint="eastAsia"/>
                <w:color w:val="auto"/>
              </w:rPr>
              <w:t xml:space="preserve">  胶合板  胶合板通用技术条件</w:t>
            </w:r>
          </w:p>
          <w:p w14:paraId="3D93D9E4">
            <w:pPr>
              <w:pStyle w:val="269"/>
              <w:ind w:firstLine="420"/>
              <w:rPr>
                <w:rFonts w:hint="eastAsia"/>
                <w:color w:val="auto"/>
              </w:rPr>
            </w:pPr>
            <w:r>
              <w:rPr>
                <w:rFonts w:hint="eastAsia"/>
                <w:color w:val="auto"/>
              </w:rPr>
              <w:t>GB/T 11253-2007  碳素结构钢冷轧薄钢板及钢带</w:t>
            </w:r>
          </w:p>
          <w:p w14:paraId="417719CF">
            <w:pPr>
              <w:pStyle w:val="269"/>
              <w:ind w:firstLine="420"/>
              <w:rPr>
                <w:rFonts w:hint="eastAsia"/>
                <w:color w:val="auto"/>
              </w:rPr>
            </w:pPr>
            <w:r>
              <w:rPr>
                <w:rFonts w:hint="eastAsia"/>
                <w:color w:val="auto"/>
              </w:rPr>
              <w:t>GB/T 13793-2008  直缝电焊钢管</w:t>
            </w:r>
          </w:p>
          <w:p w14:paraId="1623A1AD">
            <w:pPr>
              <w:pStyle w:val="269"/>
              <w:ind w:firstLine="420"/>
              <w:rPr>
                <w:rFonts w:hint="eastAsia"/>
                <w:color w:val="auto"/>
              </w:rPr>
            </w:pPr>
            <w:r>
              <w:rPr>
                <w:rFonts w:hint="eastAsia"/>
                <w:color w:val="auto"/>
              </w:rPr>
              <w:t>QB/T 3817-2009  轻工产品金属镀层和化学覆盖层的厚度测试方法  金相显微镜法</w:t>
            </w:r>
          </w:p>
          <w:p w14:paraId="7059D007">
            <w:pPr>
              <w:pStyle w:val="536"/>
              <w:ind w:left="0"/>
              <w:rPr>
                <w:rFonts w:hint="default"/>
                <w:sz w:val="52"/>
                <w:szCs w:val="52"/>
                <w:lang w:val="en-US"/>
              </w:rPr>
            </w:pPr>
            <w:bookmarkStart w:id="180" w:name="_Toc334455147"/>
            <w:bookmarkStart w:id="181" w:name="_Toc16251"/>
            <w:bookmarkStart w:id="182" w:name="_Toc1932"/>
            <w:r>
              <w:rPr>
                <w:rFonts w:hint="eastAsia"/>
              </w:rPr>
              <w:t>要求</w:t>
            </w:r>
            <w:bookmarkEnd w:id="174"/>
            <w:bookmarkEnd w:id="175"/>
            <w:bookmarkEnd w:id="176"/>
            <w:bookmarkEnd w:id="177"/>
            <w:bookmarkEnd w:id="178"/>
            <w:bookmarkEnd w:id="179"/>
            <w:bookmarkEnd w:id="180"/>
            <w:bookmarkEnd w:id="181"/>
            <w:bookmarkEnd w:id="182"/>
          </w:p>
          <w:bookmarkEnd w:id="155"/>
          <w:p w14:paraId="3539A9BC">
            <w:pPr>
              <w:pStyle w:val="434"/>
              <w:ind w:left="420" w:leftChars="200" w:firstLine="0" w:firstLineChars="0"/>
              <w:rPr>
                <w:rFonts w:hint="eastAsia"/>
              </w:rPr>
            </w:pPr>
            <w:bookmarkStart w:id="183" w:name="_Toc334455148"/>
            <w:bookmarkStart w:id="184" w:name="_Toc12158"/>
            <w:bookmarkStart w:id="185" w:name="_Toc20744"/>
            <w:bookmarkStart w:id="186" w:name="_Toc71087735"/>
            <w:bookmarkStart w:id="187" w:name="_Toc71215193"/>
            <w:bookmarkStart w:id="188" w:name="_Toc69291600"/>
            <w:r>
              <w:rPr>
                <w:rFonts w:hint="eastAsia"/>
              </w:rPr>
              <w:t>样式</w:t>
            </w:r>
            <w:bookmarkEnd w:id="183"/>
            <w:r>
              <w:rPr>
                <w:rFonts w:hint="eastAsia"/>
              </w:rPr>
              <w:t>尺寸</w:t>
            </w:r>
            <w:bookmarkEnd w:id="184"/>
            <w:bookmarkEnd w:id="185"/>
          </w:p>
          <w:p w14:paraId="2757632C">
            <w:pPr>
              <w:pStyle w:val="282"/>
              <w:numPr>
                <w:ilvl w:val="3"/>
                <w:numId w:val="0"/>
              </w:numPr>
              <w:ind w:leftChars="200" w:firstLine="1050" w:firstLineChars="500"/>
              <w:rPr>
                <w:rFonts w:hint="eastAsia"/>
              </w:rPr>
            </w:pPr>
            <w:r>
              <w:rPr>
                <w:rFonts w:hint="eastAsia"/>
              </w:rPr>
              <w:t>木板折叠床床架的样式及尺寸</w:t>
            </w:r>
            <w:r>
              <w:t>见图1</w:t>
            </w:r>
            <w:r>
              <w:rPr>
                <w:rFonts w:hint="eastAsia"/>
              </w:rPr>
              <w:t>。</w:t>
            </w:r>
          </w:p>
          <w:p w14:paraId="1E6F3972">
            <w:pPr>
              <w:pStyle w:val="269"/>
              <w:ind w:firstLine="360"/>
              <w:jc w:val="right"/>
              <w:rPr>
                <w:rFonts w:hint="eastAsia"/>
              </w:rPr>
            </w:pPr>
            <w:r>
              <w:rPr>
                <w:rFonts w:hint="eastAsia" w:hAnsi="宋体"/>
                <w:sz w:val="18"/>
                <w:szCs w:val="18"/>
              </w:rPr>
              <w:t>单位为毫米</w:t>
            </w:r>
          </w:p>
          <w:p w14:paraId="0F9FF5D6">
            <w:pPr>
              <w:pStyle w:val="269"/>
              <w:tabs>
                <w:tab w:val="left" w:pos="8610"/>
              </w:tabs>
              <w:ind w:firstLine="0" w:firstLineChars="0"/>
              <w:jc w:val="center"/>
              <w:rPr>
                <w:rFonts w:hint="eastAsia" w:eastAsia="宋体"/>
                <w:lang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2464435</wp:posOffset>
                      </wp:positionH>
                      <wp:positionV relativeFrom="paragraph">
                        <wp:posOffset>3669665</wp:posOffset>
                      </wp:positionV>
                      <wp:extent cx="15240" cy="2540"/>
                      <wp:effectExtent l="9525" t="9525" r="13335" b="6985"/>
                      <wp:wrapNone/>
                      <wp:docPr id="5" name="墨迹 63"/>
                      <wp:cNvGraphicFramePr/>
                      <a:graphic xmlns:a="http://schemas.openxmlformats.org/drawingml/2006/main">
                        <a:graphicData uri="http://schemas.microsoft.com/office/word/2010/wordprocessingInk">
                          <mc:AlternateContent xmlns:a14="http://schemas.microsoft.com/office/drawing/2010/main">
                            <mc:Choice Requires="a14">
                              <w14:contentPart bwMode="clr" r:id="rId11">
                                <w14:nvContentPartPr>
                                  <w14:cNvPr id="5" name="墨迹 63"/>
                                  <w14:cNvContentPartPr/>
                                </w14:nvContentPartPr>
                                <w14:xfrm>
                                  <a:off x="3693160" y="6955790"/>
                                  <a:ext cx="9525" cy="635"/>
                                </w14:xfrm>
                              </w14:contentPart>
                            </mc:Choice>
                          </mc:AlternateContent>
                        </a:graphicData>
                      </a:graphic>
                    </wp:anchor>
                  </w:drawing>
                </mc:Choice>
                <mc:Fallback>
                  <w:pict>
                    <v:shape id="墨迹 63" o:spid="_x0000_s1026" o:spt="75" style="position:absolute;left:0pt;margin-left:194.05pt;margin-top:288.95pt;height:0.2pt;width:1.2pt;z-index:251679744;mso-width-relative:page;mso-height-relative:page;" coordsize="21600,21600" o:gfxdata="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">
                      <v:imagedata r:id="rId12" o:title=""/>
                      <o:lock v:ext="edit"/>
                    </v:shape>
                  </w:pict>
                </mc:Fallback>
              </mc:AlternateContent>
            </w:r>
            <w:r>
              <w:rPr>
                <w:rFonts w:hint="eastAsia" w:eastAsia="宋体"/>
                <w:lang w:eastAsia="zh-CN"/>
              </w:rPr>
              <w:drawing>
                <wp:inline distT="0" distB="0" distL="114300" distR="114300">
                  <wp:extent cx="4081145" cy="5066665"/>
                  <wp:effectExtent l="0" t="0" r="14605" b="635"/>
                  <wp:docPr id="26" name="图片 64" descr="305c2aa4e13186e3ddbc7e5f05407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4" descr="305c2aa4e13186e3ddbc7e5f054078a"/>
                          <pic:cNvPicPr>
                            <a:picLocks noChangeAspect="1"/>
                          </pic:cNvPicPr>
                        </pic:nvPicPr>
                        <pic:blipFill>
                          <a:blip r:embed="rId13"/>
                          <a:stretch>
                            <a:fillRect/>
                          </a:stretch>
                        </pic:blipFill>
                        <pic:spPr>
                          <a:xfrm>
                            <a:off x="0" y="0"/>
                            <a:ext cx="4081145" cy="5066665"/>
                          </a:xfrm>
                          <a:prstGeom prst="rect">
                            <a:avLst/>
                          </a:prstGeom>
                          <a:noFill/>
                          <a:ln>
                            <a:noFill/>
                          </a:ln>
                        </pic:spPr>
                      </pic:pic>
                    </a:graphicData>
                  </a:graphic>
                </wp:inline>
              </w:drawing>
            </w:r>
          </w:p>
          <w:p w14:paraId="65C31BF2">
            <w:pPr>
              <w:pStyle w:val="537"/>
              <w:ind w:left="1224" w:leftChars="583" w:firstLine="1512" w:firstLineChars="720"/>
              <w:jc w:val="both"/>
              <w:rPr>
                <w:rFonts w:hint="eastAsia"/>
              </w:rPr>
            </w:pPr>
            <w:r>
              <w:rPr>
                <w:rFonts w:hint="eastAsia"/>
              </w:rPr>
              <w:t>床架样式及尺寸</w:t>
            </w:r>
          </w:p>
          <w:p w14:paraId="43C54519">
            <w:pPr>
              <w:pStyle w:val="282"/>
              <w:numPr>
                <w:ilvl w:val="3"/>
                <w:numId w:val="0"/>
              </w:numPr>
              <w:ind w:left="1260" w:leftChars="0"/>
              <w:rPr>
                <w:rFonts w:hint="eastAsia"/>
              </w:rPr>
            </w:pPr>
          </w:p>
          <w:p w14:paraId="0C6F27C9">
            <w:pPr>
              <w:pStyle w:val="282"/>
              <w:numPr>
                <w:ilvl w:val="3"/>
                <w:numId w:val="0"/>
              </w:numPr>
              <w:ind w:left="1260" w:leftChars="0"/>
              <w:rPr>
                <w:rFonts w:hint="eastAsia"/>
              </w:rPr>
            </w:pPr>
          </w:p>
          <w:p w14:paraId="5F34E01C">
            <w:pPr>
              <w:pStyle w:val="282"/>
              <w:numPr>
                <w:ilvl w:val="3"/>
                <w:numId w:val="0"/>
              </w:numPr>
              <w:ind w:left="1260" w:leftChars="0"/>
              <w:rPr>
                <w:rFonts w:hint="eastAsia"/>
              </w:rPr>
            </w:pPr>
            <w:r>
              <w:rPr>
                <w:rFonts w:hint="eastAsia"/>
              </w:rPr>
              <w:t>木板折叠床成品样式见图2。</w:t>
            </w:r>
          </w:p>
          <w:p w14:paraId="0E4E9A70">
            <w:pPr>
              <w:pStyle w:val="269"/>
              <w:ind w:firstLine="360"/>
              <w:jc w:val="right"/>
              <w:rPr>
                <w:rFonts w:hint="eastAsia"/>
              </w:rPr>
            </w:pPr>
            <w:r>
              <w:rPr>
                <w:rFonts w:hint="eastAsia"/>
                <w:lang w:val="en-US" w:eastAsia="zh-CN"/>
              </w:rPr>
              <w:drawing>
                <wp:anchor distT="0" distB="0" distL="114300" distR="114300" simplePos="0" relativeHeight="251687936" behindDoc="1" locked="0" layoutInCell="1" allowOverlap="1">
                  <wp:simplePos x="0" y="0"/>
                  <wp:positionH relativeFrom="column">
                    <wp:posOffset>-135890</wp:posOffset>
                  </wp:positionH>
                  <wp:positionV relativeFrom="paragraph">
                    <wp:posOffset>129540</wp:posOffset>
                  </wp:positionV>
                  <wp:extent cx="4107815" cy="3112770"/>
                  <wp:effectExtent l="0" t="0" r="6985" b="11430"/>
                  <wp:wrapThrough wrapText="bothSides">
                    <wp:wrapPolygon>
                      <wp:start x="0" y="0"/>
                      <wp:lineTo x="0" y="21415"/>
                      <wp:lineTo x="21537" y="21415"/>
                      <wp:lineTo x="21537" y="0"/>
                      <wp:lineTo x="0" y="0"/>
                    </wp:wrapPolygon>
                  </wp:wrapThrough>
                  <wp:docPr id="27" name="图片 78" descr="b259385a55d5f2c848e13e4a486e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8" descr="b259385a55d5f2c848e13e4a486ec10"/>
                          <pic:cNvPicPr>
                            <a:picLocks noChangeAspect="1"/>
                          </pic:cNvPicPr>
                        </pic:nvPicPr>
                        <pic:blipFill>
                          <a:blip r:embed="rId14"/>
                          <a:stretch>
                            <a:fillRect/>
                          </a:stretch>
                        </pic:blipFill>
                        <pic:spPr>
                          <a:xfrm>
                            <a:off x="0" y="0"/>
                            <a:ext cx="4107815" cy="3112770"/>
                          </a:xfrm>
                          <a:prstGeom prst="rect">
                            <a:avLst/>
                          </a:prstGeom>
                          <a:noFill/>
                          <a:ln>
                            <a:noFill/>
                          </a:ln>
                        </pic:spPr>
                      </pic:pic>
                    </a:graphicData>
                  </a:graphic>
                </wp:anchor>
              </w:drawing>
            </w:r>
            <w:r>
              <w:rPr>
                <w:rFonts w:hint="eastAsia" w:hAnsi="宋体"/>
                <w:sz w:val="18"/>
                <w:szCs w:val="18"/>
              </w:rPr>
              <w:t>单位为毫米</w:t>
            </w:r>
          </w:p>
          <w:p w14:paraId="23E02581">
            <w:pPr>
              <w:pStyle w:val="269"/>
              <w:ind w:left="0" w:leftChars="0" w:firstLine="0" w:firstLineChars="0"/>
              <w:rPr>
                <w:rFonts w:hint="default" w:eastAsia="宋体"/>
                <w:lang w:val="en-US" w:eastAsia="zh-CN"/>
              </w:rPr>
            </w:pPr>
            <w:r>
              <w:rPr>
                <w:rFonts w:hint="eastAsia"/>
                <w:lang w:val="en-US" w:eastAsia="zh-CN"/>
              </w:rPr>
              <w:t xml:space="preserve">   </w:t>
            </w:r>
          </w:p>
          <w:p w14:paraId="4EA47A88">
            <w:pPr>
              <w:pStyle w:val="537"/>
              <w:ind w:left="1029" w:leftChars="490" w:firstLine="1709" w:firstLineChars="814"/>
              <w:jc w:val="both"/>
              <w:rPr>
                <w:rFonts w:hint="eastAsia"/>
              </w:rPr>
            </w:pPr>
            <w:r>
              <w:rPr>
                <w:rFonts w:hint="eastAsia"/>
              </w:rPr>
              <w:t>成品样式及尺寸</w:t>
            </w:r>
          </w:p>
          <w:p w14:paraId="7F5C54E6">
            <w:pPr>
              <w:pStyle w:val="282"/>
              <w:numPr>
                <w:ilvl w:val="3"/>
                <w:numId w:val="0"/>
              </w:numPr>
              <w:ind w:leftChars="200" w:firstLine="1050" w:firstLineChars="500"/>
              <w:rPr>
                <w:rFonts w:hint="eastAsia" w:ascii="Times New Roman"/>
              </w:rPr>
            </w:pPr>
            <w:r>
              <w:rPr>
                <w:rFonts w:hint="eastAsia"/>
              </w:rPr>
              <w:t>木板折叠床</w:t>
            </w:r>
            <w:r>
              <w:rPr>
                <w:rFonts w:hint="eastAsia" w:ascii="Times New Roman"/>
              </w:rPr>
              <w:t>由床板、床架两部分构成。</w:t>
            </w:r>
          </w:p>
          <w:p w14:paraId="40D85297">
            <w:pPr>
              <w:pStyle w:val="434"/>
              <w:ind w:left="420" w:leftChars="200" w:firstLine="0" w:firstLineChars="0"/>
              <w:rPr>
                <w:rFonts w:hint="eastAsia"/>
              </w:rPr>
            </w:pPr>
            <w:bookmarkStart w:id="189" w:name="_Toc30091"/>
            <w:bookmarkStart w:id="190" w:name="_Toc334455149"/>
            <w:bookmarkStart w:id="191" w:name="_Toc6934"/>
            <w:r>
              <w:rPr>
                <w:rFonts w:hint="eastAsia"/>
              </w:rPr>
              <w:t>颜色</w:t>
            </w:r>
            <w:bookmarkEnd w:id="189"/>
            <w:bookmarkEnd w:id="190"/>
            <w:bookmarkEnd w:id="191"/>
          </w:p>
          <w:bookmarkEnd w:id="186"/>
          <w:bookmarkEnd w:id="187"/>
          <w:bookmarkEnd w:id="188"/>
          <w:p w14:paraId="7D1814AD">
            <w:pPr>
              <w:ind w:left="420" w:leftChars="200" w:firstLine="0" w:firstLineChars="0"/>
              <w:jc w:val="left"/>
            </w:pPr>
            <w:bookmarkStart w:id="192" w:name="_Toc71215194"/>
            <w:bookmarkStart w:id="193" w:name="_Toc334455150"/>
            <w:bookmarkStart w:id="194" w:name="_Toc69291601"/>
            <w:bookmarkStart w:id="195" w:name="_Toc71087736"/>
            <w:r>
              <w:rPr>
                <w:rFonts w:hint="eastAsia"/>
              </w:rPr>
              <w:t>木板折叠床床架颜色为天蓝色。胶合板</w:t>
            </w:r>
            <w:r>
              <w:t>颜色为木料原色</w:t>
            </w:r>
            <w:r>
              <w:rPr>
                <w:rFonts w:hint="eastAsia"/>
              </w:rPr>
              <w:t>。</w:t>
            </w:r>
          </w:p>
          <w:p w14:paraId="09431850">
            <w:pPr>
              <w:pStyle w:val="434"/>
              <w:ind w:left="420" w:leftChars="200" w:firstLine="0" w:firstLineChars="0"/>
              <w:rPr>
                <w:rFonts w:ascii="Times New Roman"/>
              </w:rPr>
            </w:pPr>
            <w:bookmarkStart w:id="196" w:name="_Toc32345"/>
            <w:bookmarkStart w:id="197" w:name="_Toc27854"/>
            <w:r>
              <w:rPr>
                <w:rFonts w:ascii="Times New Roman"/>
              </w:rPr>
              <w:t>材料</w:t>
            </w:r>
            <w:bookmarkEnd w:id="192"/>
            <w:bookmarkEnd w:id="193"/>
            <w:bookmarkEnd w:id="194"/>
            <w:bookmarkEnd w:id="195"/>
            <w:bookmarkEnd w:id="196"/>
            <w:bookmarkEnd w:id="197"/>
          </w:p>
          <w:p w14:paraId="0CBA6953">
            <w:pPr>
              <w:pStyle w:val="282"/>
              <w:numPr>
                <w:ilvl w:val="3"/>
                <w:numId w:val="0"/>
              </w:numPr>
              <w:ind w:left="420" w:leftChars="200" w:firstLine="0" w:firstLineChars="0"/>
              <w:rPr>
                <w:rFonts w:hint="eastAsia" w:ascii="Times New Roman" w:hAnsi="宋体"/>
              </w:rPr>
            </w:pPr>
            <w:bookmarkStart w:id="198" w:name="_Toc71215195"/>
            <w:bookmarkStart w:id="199" w:name="_Toc71087737"/>
            <w:bookmarkStart w:id="200" w:name="_Toc69291602"/>
            <w:r>
              <w:rPr>
                <w:rFonts w:hint="eastAsia"/>
              </w:rPr>
              <w:t>木板折叠床</w:t>
            </w:r>
            <w:r>
              <w:rPr>
                <w:rFonts w:ascii="Times New Roman" w:hAnsi="宋体"/>
              </w:rPr>
              <w:t>的</w:t>
            </w:r>
            <w:r>
              <w:rPr>
                <w:rFonts w:hint="eastAsia" w:ascii="Times New Roman" w:hAnsi="宋体"/>
              </w:rPr>
              <w:t>主要</w:t>
            </w:r>
            <w:r>
              <w:rPr>
                <w:rFonts w:ascii="Times New Roman" w:hAnsi="宋体"/>
              </w:rPr>
              <w:t>材料规格和质量要求应符合表</w:t>
            </w:r>
            <w:r>
              <w:rPr>
                <w:rFonts w:hint="eastAsia" w:ascii="Times New Roman" w:hAnsi="宋体"/>
              </w:rPr>
              <w:t>1</w:t>
            </w:r>
            <w:r>
              <w:rPr>
                <w:rFonts w:ascii="Times New Roman" w:hAnsi="宋体"/>
              </w:rPr>
              <w:t>的规定。</w:t>
            </w:r>
            <w:bookmarkEnd w:id="198"/>
            <w:bookmarkEnd w:id="199"/>
            <w:bookmarkEnd w:id="200"/>
          </w:p>
          <w:p w14:paraId="51C04DE0">
            <w:pPr>
              <w:pStyle w:val="361"/>
              <w:spacing w:before="156" w:beforeLines="50"/>
              <w:ind w:left="0"/>
            </w:pPr>
            <w:r>
              <w:rPr>
                <w:rFonts w:hint="eastAsia" w:ascii="Times New Roman"/>
              </w:rPr>
              <w:t>主要</w:t>
            </w:r>
            <w:r>
              <w:rPr>
                <w:rFonts w:ascii="Times New Roman"/>
              </w:rPr>
              <w:t>材料规格和质量要求</w:t>
            </w:r>
          </w:p>
          <w:tbl>
            <w:tblPr>
              <w:tblStyle w:val="58"/>
              <w:tblW w:w="6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23"/>
              <w:gridCol w:w="1898"/>
              <w:gridCol w:w="1154"/>
            </w:tblGrid>
            <w:tr w14:paraId="2D7F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4" w:type="dxa"/>
                  <w:tcBorders>
                    <w:top w:val="single" w:color="auto" w:sz="12" w:space="0"/>
                    <w:left w:val="single" w:color="auto" w:sz="12" w:space="0"/>
                    <w:bottom w:val="single" w:color="auto" w:sz="12" w:space="0"/>
                    <w:right w:val="single" w:color="auto" w:sz="4" w:space="0"/>
                  </w:tcBorders>
                  <w:noWrap w:val="0"/>
                  <w:vAlign w:val="center"/>
                </w:tcPr>
                <w:p w14:paraId="447E87AF">
                  <w:pPr>
                    <w:pStyle w:val="269"/>
                    <w:widowControl w:val="0"/>
                    <w:spacing w:line="36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材料名称</w:t>
                  </w:r>
                </w:p>
              </w:tc>
              <w:tc>
                <w:tcPr>
                  <w:tcW w:w="2523" w:type="dxa"/>
                  <w:tcBorders>
                    <w:top w:val="single" w:color="auto" w:sz="12" w:space="0"/>
                    <w:left w:val="single" w:color="auto" w:sz="4" w:space="0"/>
                    <w:bottom w:val="single" w:color="auto" w:sz="12" w:space="0"/>
                    <w:right w:val="single" w:color="auto" w:sz="4" w:space="0"/>
                  </w:tcBorders>
                  <w:noWrap w:val="0"/>
                  <w:vAlign w:val="center"/>
                </w:tcPr>
                <w:p w14:paraId="0FF9D8D0">
                  <w:pPr>
                    <w:pStyle w:val="269"/>
                    <w:widowControl w:val="0"/>
                    <w:spacing w:line="360" w:lineRule="auto"/>
                    <w:ind w:firstLine="0" w:firstLineChars="0"/>
                    <w:jc w:val="center"/>
                    <w:rPr>
                      <w:rFonts w:hint="eastAsia" w:ascii="宋体" w:hAnsi="宋体" w:eastAsia="宋体" w:cs="宋体"/>
                      <w:sz w:val="18"/>
                      <w:szCs w:val="18"/>
                    </w:rPr>
                  </w:pPr>
                  <w:r>
                    <w:rPr>
                      <w:rFonts w:hint="eastAsia" w:ascii="宋体" w:hAnsi="宋体" w:eastAsia="宋体" w:cs="宋体"/>
                      <w:sz w:val="18"/>
                      <w:szCs w:val="18"/>
                    </w:rPr>
                    <w:t>材料规格</w:t>
                  </w:r>
                </w:p>
              </w:tc>
              <w:tc>
                <w:tcPr>
                  <w:tcW w:w="1898" w:type="dxa"/>
                  <w:tcBorders>
                    <w:top w:val="single" w:color="auto" w:sz="12" w:space="0"/>
                    <w:bottom w:val="single" w:color="auto" w:sz="12" w:space="0"/>
                  </w:tcBorders>
                  <w:noWrap w:val="0"/>
                  <w:vAlign w:val="center"/>
                </w:tcPr>
                <w:p w14:paraId="580D80A5">
                  <w:pPr>
                    <w:pStyle w:val="269"/>
                    <w:widowControl w:val="0"/>
                    <w:spacing w:line="360" w:lineRule="auto"/>
                    <w:ind w:firstLine="0" w:firstLineChars="0"/>
                    <w:jc w:val="center"/>
                    <w:rPr>
                      <w:rFonts w:hint="eastAsia" w:ascii="宋体" w:hAnsi="宋体" w:eastAsia="宋体" w:cs="宋体"/>
                      <w:sz w:val="18"/>
                      <w:szCs w:val="18"/>
                    </w:rPr>
                  </w:pPr>
                  <w:r>
                    <w:rPr>
                      <w:rFonts w:hint="eastAsia" w:ascii="宋体" w:hAnsi="宋体" w:eastAsia="宋体" w:cs="宋体"/>
                      <w:kern w:val="2"/>
                      <w:sz w:val="18"/>
                      <w:szCs w:val="18"/>
                    </w:rPr>
                    <w:t>质量要求</w:t>
                  </w:r>
                </w:p>
              </w:tc>
              <w:tc>
                <w:tcPr>
                  <w:tcW w:w="1154" w:type="dxa"/>
                  <w:tcBorders>
                    <w:top w:val="single" w:color="auto" w:sz="12" w:space="0"/>
                    <w:bottom w:val="single" w:color="auto" w:sz="12" w:space="0"/>
                    <w:right w:val="single" w:color="auto" w:sz="12" w:space="0"/>
                  </w:tcBorders>
                  <w:noWrap w:val="0"/>
                  <w:vAlign w:val="center"/>
                </w:tcPr>
                <w:p w14:paraId="7EBF9B8E">
                  <w:pPr>
                    <w:pStyle w:val="269"/>
                    <w:widowControl w:val="0"/>
                    <w:spacing w:line="360" w:lineRule="auto"/>
                    <w:ind w:firstLine="0" w:firstLineChars="0"/>
                    <w:jc w:val="center"/>
                    <w:rPr>
                      <w:rFonts w:hint="eastAsia" w:ascii="宋体" w:hAnsi="宋体" w:eastAsia="宋体" w:cs="宋体"/>
                      <w:sz w:val="18"/>
                      <w:szCs w:val="18"/>
                    </w:rPr>
                  </w:pPr>
                  <w:r>
                    <w:rPr>
                      <w:rFonts w:hint="eastAsia" w:ascii="宋体" w:hAnsi="宋体" w:eastAsia="宋体" w:cs="宋体"/>
                      <w:kern w:val="2"/>
                      <w:sz w:val="18"/>
                      <w:szCs w:val="18"/>
                    </w:rPr>
                    <w:t>用    途</w:t>
                  </w:r>
                </w:p>
              </w:tc>
            </w:tr>
            <w:tr w14:paraId="2CFE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84" w:type="dxa"/>
                  <w:tcBorders>
                    <w:left w:val="single" w:color="auto" w:sz="12" w:space="0"/>
                    <w:right w:val="single" w:color="auto" w:sz="4" w:space="0"/>
                  </w:tcBorders>
                  <w:noWrap w:val="0"/>
                  <w:vAlign w:val="center"/>
                </w:tcPr>
                <w:p w14:paraId="729F0B8F">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矩管</w:t>
                  </w:r>
                </w:p>
              </w:tc>
              <w:tc>
                <w:tcPr>
                  <w:tcW w:w="2523" w:type="dxa"/>
                  <w:tcBorders>
                    <w:left w:val="single" w:color="auto" w:sz="4" w:space="0"/>
                    <w:right w:val="single" w:color="auto" w:sz="4" w:space="0"/>
                  </w:tcBorders>
                  <w:noWrap w:val="0"/>
                  <w:vAlign w:val="center"/>
                </w:tcPr>
                <w:p w14:paraId="0B018076">
                  <w:pPr>
                    <w:adjustRightInd w:val="0"/>
                    <w:snapToGrid w:val="0"/>
                    <w:spacing w:line="0" w:lineRule="atLeast"/>
                    <w:jc w:val="center"/>
                    <w:rPr>
                      <w:rFonts w:hint="eastAsia" w:ascii="宋体" w:hAnsi="宋体" w:eastAsia="宋体" w:cs="宋体"/>
                      <w:kern w:val="18"/>
                      <w:sz w:val="18"/>
                      <w:szCs w:val="18"/>
                    </w:rPr>
                  </w:pPr>
                  <w:r>
                    <w:rPr>
                      <w:rFonts w:hint="eastAsia" w:ascii="宋体" w:hAnsi="宋体" w:eastAsia="宋体" w:cs="宋体"/>
                      <w:sz w:val="18"/>
                      <w:szCs w:val="18"/>
                    </w:rPr>
                    <w:t>Q215  40 mm×20 mm×1.2 mm</w:t>
                  </w:r>
                </w:p>
              </w:tc>
              <w:tc>
                <w:tcPr>
                  <w:tcW w:w="1898" w:type="dxa"/>
                  <w:vMerge w:val="restart"/>
                  <w:noWrap w:val="0"/>
                  <w:vAlign w:val="center"/>
                </w:tcPr>
                <w:p w14:paraId="386B9904">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GB/T 6728</w:t>
                  </w:r>
                </w:p>
              </w:tc>
              <w:tc>
                <w:tcPr>
                  <w:tcW w:w="1154" w:type="dxa"/>
                  <w:tcBorders>
                    <w:right w:val="single" w:color="auto" w:sz="12" w:space="0"/>
                  </w:tcBorders>
                  <w:noWrap w:val="0"/>
                  <w:vAlign w:val="center"/>
                </w:tcPr>
                <w:p w14:paraId="32C20E0E">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床架</w:t>
                  </w:r>
                </w:p>
              </w:tc>
            </w:tr>
            <w:tr w14:paraId="262D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4" w:type="dxa"/>
                  <w:tcBorders>
                    <w:left w:val="single" w:color="auto" w:sz="12" w:space="0"/>
                    <w:right w:val="single" w:color="auto" w:sz="4" w:space="0"/>
                  </w:tcBorders>
                  <w:noWrap w:val="0"/>
                  <w:vAlign w:val="center"/>
                </w:tcPr>
                <w:p w14:paraId="7822DE59">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矩管</w:t>
                  </w:r>
                </w:p>
              </w:tc>
              <w:tc>
                <w:tcPr>
                  <w:tcW w:w="2523" w:type="dxa"/>
                  <w:tcBorders>
                    <w:left w:val="single" w:color="auto" w:sz="4" w:space="0"/>
                    <w:right w:val="single" w:color="auto" w:sz="4" w:space="0"/>
                  </w:tcBorders>
                  <w:noWrap w:val="0"/>
                  <w:vAlign w:val="center"/>
                </w:tcPr>
                <w:p w14:paraId="0BD7AA88">
                  <w:pPr>
                    <w:adjustRightInd w:val="0"/>
                    <w:snapToGrid w:val="0"/>
                    <w:spacing w:line="0" w:lineRule="atLeast"/>
                    <w:jc w:val="center"/>
                    <w:rPr>
                      <w:rFonts w:hint="eastAsia" w:ascii="宋体" w:hAnsi="宋体" w:eastAsia="宋体" w:cs="宋体"/>
                      <w:kern w:val="18"/>
                      <w:sz w:val="18"/>
                      <w:szCs w:val="18"/>
                    </w:rPr>
                  </w:pPr>
                  <w:r>
                    <w:rPr>
                      <w:rFonts w:hint="eastAsia" w:ascii="宋体" w:hAnsi="宋体" w:eastAsia="宋体" w:cs="宋体"/>
                      <w:sz w:val="18"/>
                      <w:szCs w:val="18"/>
                    </w:rPr>
                    <w:t>Q215  25 mm×25 mm×1.2 mm</w:t>
                  </w:r>
                </w:p>
              </w:tc>
              <w:tc>
                <w:tcPr>
                  <w:tcW w:w="1898" w:type="dxa"/>
                  <w:vMerge w:val="continue"/>
                  <w:noWrap w:val="0"/>
                  <w:vAlign w:val="center"/>
                </w:tcPr>
                <w:p w14:paraId="1DA246D0">
                  <w:pPr>
                    <w:pStyle w:val="269"/>
                    <w:ind w:firstLine="0" w:firstLineChars="0"/>
                    <w:jc w:val="center"/>
                    <w:rPr>
                      <w:rFonts w:hint="eastAsia" w:ascii="宋体" w:hAnsi="宋体" w:eastAsia="宋体" w:cs="宋体"/>
                      <w:sz w:val="18"/>
                      <w:szCs w:val="18"/>
                    </w:rPr>
                  </w:pPr>
                </w:p>
              </w:tc>
              <w:tc>
                <w:tcPr>
                  <w:tcW w:w="1154" w:type="dxa"/>
                  <w:tcBorders>
                    <w:right w:val="single" w:color="auto" w:sz="12" w:space="0"/>
                  </w:tcBorders>
                  <w:noWrap w:val="0"/>
                  <w:vAlign w:val="center"/>
                </w:tcPr>
                <w:p w14:paraId="70EE418C">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床档</w:t>
                  </w:r>
                </w:p>
              </w:tc>
            </w:tr>
            <w:tr w14:paraId="08A7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4" w:type="dxa"/>
                  <w:tcBorders>
                    <w:left w:val="single" w:color="auto" w:sz="12" w:space="0"/>
                    <w:right w:val="single" w:color="auto" w:sz="4" w:space="0"/>
                  </w:tcBorders>
                  <w:noWrap w:val="0"/>
                  <w:vAlign w:val="center"/>
                </w:tcPr>
                <w:p w14:paraId="1884C62A">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矩管</w:t>
                  </w:r>
                </w:p>
              </w:tc>
              <w:tc>
                <w:tcPr>
                  <w:tcW w:w="2523" w:type="dxa"/>
                  <w:tcBorders>
                    <w:left w:val="single" w:color="auto" w:sz="4" w:space="0"/>
                    <w:right w:val="single" w:color="auto" w:sz="4" w:space="0"/>
                  </w:tcBorders>
                  <w:noWrap w:val="0"/>
                  <w:vAlign w:val="center"/>
                </w:tcPr>
                <w:p w14:paraId="7609246B">
                  <w:pPr>
                    <w:adjustRightInd w:val="0"/>
                    <w:snapToGrid w:val="0"/>
                    <w:spacing w:line="0" w:lineRule="atLeast"/>
                    <w:jc w:val="center"/>
                    <w:rPr>
                      <w:rFonts w:hint="eastAsia" w:ascii="宋体" w:hAnsi="宋体" w:eastAsia="宋体" w:cs="宋体"/>
                      <w:kern w:val="18"/>
                      <w:sz w:val="18"/>
                      <w:szCs w:val="18"/>
                    </w:rPr>
                  </w:pPr>
                  <w:r>
                    <w:rPr>
                      <w:rFonts w:hint="eastAsia" w:ascii="宋体" w:hAnsi="宋体" w:eastAsia="宋体" w:cs="宋体"/>
                      <w:sz w:val="18"/>
                      <w:szCs w:val="18"/>
                    </w:rPr>
                    <w:t>Q215  20 mm×20 mm×1.2 mm</w:t>
                  </w:r>
                </w:p>
              </w:tc>
              <w:tc>
                <w:tcPr>
                  <w:tcW w:w="1898" w:type="dxa"/>
                  <w:vMerge w:val="continue"/>
                  <w:noWrap w:val="0"/>
                  <w:vAlign w:val="center"/>
                </w:tcPr>
                <w:p w14:paraId="739811A4">
                  <w:pPr>
                    <w:pStyle w:val="269"/>
                    <w:ind w:firstLine="0" w:firstLineChars="0"/>
                    <w:jc w:val="center"/>
                    <w:rPr>
                      <w:rFonts w:hint="eastAsia" w:ascii="宋体" w:hAnsi="宋体" w:eastAsia="宋体" w:cs="宋体"/>
                      <w:sz w:val="18"/>
                      <w:szCs w:val="18"/>
                    </w:rPr>
                  </w:pPr>
                </w:p>
              </w:tc>
              <w:tc>
                <w:tcPr>
                  <w:tcW w:w="1154" w:type="dxa"/>
                  <w:tcBorders>
                    <w:right w:val="single" w:color="auto" w:sz="12" w:space="0"/>
                  </w:tcBorders>
                  <w:noWrap w:val="0"/>
                  <w:vAlign w:val="center"/>
                </w:tcPr>
                <w:p w14:paraId="015C7CEF">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床中腿</w:t>
                  </w:r>
                </w:p>
              </w:tc>
            </w:tr>
            <w:tr w14:paraId="472A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4" w:type="dxa"/>
                  <w:tcBorders>
                    <w:left w:val="single" w:color="auto" w:sz="12" w:space="0"/>
                    <w:right w:val="single" w:color="auto" w:sz="4" w:space="0"/>
                  </w:tcBorders>
                  <w:noWrap w:val="0"/>
                  <w:vAlign w:val="center"/>
                </w:tcPr>
                <w:p w14:paraId="2067722A">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钢管</w:t>
                  </w:r>
                </w:p>
              </w:tc>
              <w:tc>
                <w:tcPr>
                  <w:tcW w:w="2523" w:type="dxa"/>
                  <w:tcBorders>
                    <w:left w:val="single" w:color="auto" w:sz="4" w:space="0"/>
                    <w:right w:val="single" w:color="auto" w:sz="4" w:space="0"/>
                  </w:tcBorders>
                  <w:noWrap w:val="0"/>
                  <w:vAlign w:val="center"/>
                </w:tcPr>
                <w:p w14:paraId="24EAC956">
                  <w:pPr>
                    <w:adjustRightInd w:val="0"/>
                    <w:snapToGrid w:val="0"/>
                    <w:spacing w:line="0" w:lineRule="atLeast"/>
                    <w:jc w:val="center"/>
                    <w:rPr>
                      <w:rFonts w:hint="eastAsia" w:ascii="宋体" w:hAnsi="宋体" w:eastAsia="宋体" w:cs="宋体"/>
                      <w:kern w:val="18"/>
                    </w:rPr>
                  </w:pPr>
                  <w:r>
                    <w:rPr>
                      <w:rFonts w:hint="eastAsia" w:ascii="宋体" w:hAnsi="宋体" w:eastAsia="宋体" w:cs="宋体"/>
                      <w:sz w:val="18"/>
                      <w:szCs w:val="18"/>
                    </w:rPr>
                    <w:t>Q215  φ22 mm×1.2 mm</w:t>
                  </w:r>
                </w:p>
              </w:tc>
              <w:tc>
                <w:tcPr>
                  <w:tcW w:w="1898" w:type="dxa"/>
                  <w:vMerge w:val="restart"/>
                  <w:noWrap w:val="0"/>
                  <w:vAlign w:val="center"/>
                </w:tcPr>
                <w:p w14:paraId="2D9AB0C0">
                  <w:pPr>
                    <w:pStyle w:val="269"/>
                    <w:ind w:left="0" w:leftChars="0" w:firstLine="0" w:firstLineChars="0"/>
                    <w:jc w:val="center"/>
                    <w:rPr>
                      <w:rFonts w:hint="eastAsia" w:ascii="宋体" w:hAnsi="宋体" w:eastAsia="宋体" w:cs="宋体"/>
                      <w:kern w:val="18"/>
                    </w:rPr>
                  </w:pPr>
                  <w:r>
                    <w:rPr>
                      <w:rFonts w:hint="eastAsia" w:ascii="宋体" w:hAnsi="宋体" w:eastAsia="宋体" w:cs="宋体"/>
                      <w:sz w:val="18"/>
                      <w:szCs w:val="18"/>
                    </w:rPr>
                    <w:t>GB/T 13793</w:t>
                  </w:r>
                </w:p>
              </w:tc>
              <w:tc>
                <w:tcPr>
                  <w:tcW w:w="1154" w:type="dxa"/>
                  <w:tcBorders>
                    <w:right w:val="single" w:color="auto" w:sz="12" w:space="0"/>
                  </w:tcBorders>
                  <w:noWrap w:val="0"/>
                  <w:vAlign w:val="center"/>
                </w:tcPr>
                <w:p w14:paraId="7F157657">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床头</w:t>
                  </w:r>
                </w:p>
              </w:tc>
            </w:tr>
            <w:tr w14:paraId="2FE5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4" w:type="dxa"/>
                  <w:tcBorders>
                    <w:left w:val="single" w:color="auto" w:sz="12" w:space="0"/>
                    <w:right w:val="single" w:color="auto" w:sz="4" w:space="0"/>
                  </w:tcBorders>
                  <w:noWrap w:val="0"/>
                  <w:vAlign w:val="center"/>
                </w:tcPr>
                <w:p w14:paraId="61EE1390">
                  <w:pPr>
                    <w:pStyle w:val="269"/>
                    <w:ind w:firstLine="0" w:firstLineChars="0"/>
                    <w:jc w:val="center"/>
                    <w:rPr>
                      <w:rFonts w:hint="eastAsia" w:ascii="宋体" w:hAnsi="宋体" w:eastAsia="宋体" w:cs="宋体"/>
                      <w:kern w:val="18"/>
                    </w:rPr>
                  </w:pPr>
                  <w:r>
                    <w:rPr>
                      <w:rFonts w:hint="eastAsia" w:ascii="宋体" w:hAnsi="宋体" w:eastAsia="宋体" w:cs="宋体"/>
                      <w:sz w:val="18"/>
                      <w:szCs w:val="18"/>
                    </w:rPr>
                    <w:t>钢管</w:t>
                  </w:r>
                </w:p>
              </w:tc>
              <w:tc>
                <w:tcPr>
                  <w:tcW w:w="2523" w:type="dxa"/>
                  <w:tcBorders>
                    <w:left w:val="single" w:color="auto" w:sz="4" w:space="0"/>
                    <w:right w:val="single" w:color="auto" w:sz="4" w:space="0"/>
                  </w:tcBorders>
                  <w:noWrap w:val="0"/>
                  <w:vAlign w:val="center"/>
                </w:tcPr>
                <w:p w14:paraId="562CEEAB">
                  <w:pPr>
                    <w:adjustRightInd w:val="0"/>
                    <w:snapToGrid w:val="0"/>
                    <w:spacing w:line="0" w:lineRule="atLeast"/>
                    <w:jc w:val="center"/>
                    <w:rPr>
                      <w:rFonts w:hint="eastAsia" w:ascii="宋体" w:hAnsi="宋体" w:eastAsia="宋体" w:cs="宋体"/>
                      <w:kern w:val="18"/>
                    </w:rPr>
                  </w:pPr>
                  <w:r>
                    <w:rPr>
                      <w:rFonts w:hint="eastAsia" w:ascii="宋体" w:hAnsi="宋体" w:eastAsia="宋体" w:cs="宋体"/>
                      <w:sz w:val="18"/>
                      <w:szCs w:val="18"/>
                    </w:rPr>
                    <w:t>Q215  φ19 mm×1.2 mm</w:t>
                  </w:r>
                </w:p>
              </w:tc>
              <w:tc>
                <w:tcPr>
                  <w:tcW w:w="1898" w:type="dxa"/>
                  <w:vMerge w:val="continue"/>
                  <w:noWrap w:val="0"/>
                  <w:vAlign w:val="center"/>
                </w:tcPr>
                <w:p w14:paraId="25B56784">
                  <w:pPr>
                    <w:pStyle w:val="269"/>
                    <w:ind w:firstLine="420"/>
                    <w:jc w:val="center"/>
                    <w:rPr>
                      <w:rFonts w:hint="eastAsia" w:ascii="宋体" w:hAnsi="宋体" w:eastAsia="宋体" w:cs="宋体"/>
                      <w:kern w:val="18"/>
                    </w:rPr>
                  </w:pPr>
                </w:p>
              </w:tc>
              <w:tc>
                <w:tcPr>
                  <w:tcW w:w="1154" w:type="dxa"/>
                  <w:tcBorders>
                    <w:right w:val="single" w:color="auto" w:sz="12" w:space="0"/>
                  </w:tcBorders>
                  <w:noWrap w:val="0"/>
                  <w:vAlign w:val="center"/>
                </w:tcPr>
                <w:p w14:paraId="12B1FEC3">
                  <w:pPr>
                    <w:pStyle w:val="269"/>
                    <w:ind w:firstLine="0" w:firstLineChars="0"/>
                    <w:jc w:val="center"/>
                    <w:rPr>
                      <w:rFonts w:hint="eastAsia" w:ascii="宋体" w:hAnsi="宋体" w:eastAsia="宋体" w:cs="宋体"/>
                      <w:kern w:val="18"/>
                    </w:rPr>
                  </w:pPr>
                  <w:r>
                    <w:rPr>
                      <w:rFonts w:hint="eastAsia" w:ascii="宋体" w:hAnsi="宋体" w:eastAsia="宋体" w:cs="宋体"/>
                      <w:sz w:val="18"/>
                      <w:szCs w:val="18"/>
                    </w:rPr>
                    <w:t>床头、床中腿横撑</w:t>
                  </w:r>
                </w:p>
              </w:tc>
            </w:tr>
            <w:tr w14:paraId="764C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dxa"/>
                  <w:tcBorders>
                    <w:left w:val="single" w:color="auto" w:sz="12" w:space="0"/>
                    <w:right w:val="single" w:color="auto" w:sz="4" w:space="0"/>
                  </w:tcBorders>
                  <w:noWrap w:val="0"/>
                  <w:vAlign w:val="center"/>
                </w:tcPr>
                <w:p w14:paraId="19464D91">
                  <w:pPr>
                    <w:pStyle w:val="269"/>
                    <w:ind w:firstLine="0" w:firstLineChars="0"/>
                    <w:jc w:val="center"/>
                    <w:rPr>
                      <w:rFonts w:hint="eastAsia" w:ascii="宋体" w:hAnsi="宋体" w:eastAsia="宋体" w:cs="宋体"/>
                      <w:kern w:val="18"/>
                    </w:rPr>
                  </w:pPr>
                  <w:r>
                    <w:rPr>
                      <w:rFonts w:hint="eastAsia" w:ascii="宋体" w:hAnsi="宋体" w:eastAsia="宋体" w:cs="宋体"/>
                      <w:sz w:val="18"/>
                      <w:szCs w:val="18"/>
                    </w:rPr>
                    <w:t>钢管</w:t>
                  </w:r>
                </w:p>
              </w:tc>
              <w:tc>
                <w:tcPr>
                  <w:tcW w:w="2523" w:type="dxa"/>
                  <w:tcBorders>
                    <w:left w:val="single" w:color="auto" w:sz="4" w:space="0"/>
                    <w:right w:val="single" w:color="auto" w:sz="4" w:space="0"/>
                  </w:tcBorders>
                  <w:noWrap w:val="0"/>
                  <w:vAlign w:val="center"/>
                </w:tcPr>
                <w:p w14:paraId="163D3744">
                  <w:pPr>
                    <w:adjustRightInd w:val="0"/>
                    <w:snapToGrid w:val="0"/>
                    <w:spacing w:line="0" w:lineRule="atLeast"/>
                    <w:jc w:val="center"/>
                    <w:rPr>
                      <w:rFonts w:hint="eastAsia" w:ascii="宋体" w:hAnsi="宋体" w:eastAsia="宋体" w:cs="宋体"/>
                      <w:kern w:val="18"/>
                    </w:rPr>
                  </w:pPr>
                  <w:r>
                    <w:rPr>
                      <w:rFonts w:hint="eastAsia" w:ascii="宋体" w:hAnsi="宋体" w:eastAsia="宋体" w:cs="宋体"/>
                      <w:sz w:val="18"/>
                      <w:szCs w:val="18"/>
                    </w:rPr>
                    <w:t>Q215  φ16 mm×1.2 mm</w:t>
                  </w:r>
                </w:p>
              </w:tc>
              <w:tc>
                <w:tcPr>
                  <w:tcW w:w="1898" w:type="dxa"/>
                  <w:vMerge w:val="continue"/>
                  <w:noWrap w:val="0"/>
                  <w:vAlign w:val="center"/>
                </w:tcPr>
                <w:p w14:paraId="170A2253">
                  <w:pPr>
                    <w:pStyle w:val="269"/>
                    <w:ind w:firstLine="0" w:firstLineChars="0"/>
                    <w:jc w:val="center"/>
                    <w:rPr>
                      <w:rFonts w:hint="eastAsia" w:ascii="宋体" w:hAnsi="宋体" w:eastAsia="宋体" w:cs="宋体"/>
                      <w:kern w:val="18"/>
                    </w:rPr>
                  </w:pPr>
                </w:p>
              </w:tc>
              <w:tc>
                <w:tcPr>
                  <w:tcW w:w="1154" w:type="dxa"/>
                  <w:tcBorders>
                    <w:right w:val="single" w:color="auto" w:sz="12" w:space="0"/>
                  </w:tcBorders>
                  <w:noWrap w:val="0"/>
                  <w:vAlign w:val="center"/>
                </w:tcPr>
                <w:p w14:paraId="0C918563">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床头竖撑</w:t>
                  </w:r>
                </w:p>
              </w:tc>
            </w:tr>
            <w:tr w14:paraId="5146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4" w:type="dxa"/>
                  <w:tcBorders>
                    <w:left w:val="single" w:color="auto" w:sz="12" w:space="0"/>
                    <w:right w:val="single" w:color="auto" w:sz="4" w:space="0"/>
                  </w:tcBorders>
                  <w:noWrap w:val="0"/>
                  <w:vAlign w:val="center"/>
                </w:tcPr>
                <w:p w14:paraId="7AC622BA">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钢板</w:t>
                  </w:r>
                </w:p>
              </w:tc>
              <w:tc>
                <w:tcPr>
                  <w:tcW w:w="2523" w:type="dxa"/>
                  <w:tcBorders>
                    <w:left w:val="single" w:color="auto" w:sz="4" w:space="0"/>
                    <w:right w:val="single" w:color="auto" w:sz="4" w:space="0"/>
                  </w:tcBorders>
                  <w:noWrap w:val="0"/>
                  <w:vAlign w:val="center"/>
                </w:tcPr>
                <w:p w14:paraId="65F70526">
                  <w:pPr>
                    <w:adjustRightInd w:val="0"/>
                    <w:snapToGrid w:val="0"/>
                    <w:spacing w:line="0" w:lineRule="atLeast"/>
                    <w:jc w:val="center"/>
                    <w:rPr>
                      <w:rFonts w:hint="eastAsia" w:ascii="宋体" w:hAnsi="宋体" w:eastAsia="宋体" w:cs="宋体"/>
                      <w:sz w:val="18"/>
                      <w:szCs w:val="18"/>
                    </w:rPr>
                  </w:pPr>
                  <w:r>
                    <w:rPr>
                      <w:rFonts w:hint="eastAsia" w:ascii="宋体" w:hAnsi="宋体" w:eastAsia="宋体" w:cs="宋体"/>
                      <w:sz w:val="18"/>
                      <w:szCs w:val="18"/>
                    </w:rPr>
                    <w:t>Q195-</w:t>
                  </w:r>
                  <w:r>
                    <w:rPr>
                      <w:rFonts w:hint="eastAsia" w:ascii="宋体" w:hAnsi="宋体" w:eastAsia="宋体" w:cs="宋体"/>
                    </w:rPr>
                    <w:t xml:space="preserve"> </w:t>
                  </w:r>
                  <w:r>
                    <w:rPr>
                      <w:rFonts w:hint="eastAsia" w:ascii="宋体" w:hAnsi="宋体" w:eastAsia="宋体" w:cs="宋体"/>
                      <w:sz w:val="18"/>
                      <w:szCs w:val="18"/>
                    </w:rPr>
                    <w:t>Q235  t 3.0</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mm</w:t>
                  </w:r>
                </w:p>
              </w:tc>
              <w:tc>
                <w:tcPr>
                  <w:tcW w:w="1898" w:type="dxa"/>
                  <w:noWrap w:val="0"/>
                  <w:vAlign w:val="center"/>
                </w:tcPr>
                <w:p w14:paraId="0C463D7E">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GB/T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912-2008</w:t>
                  </w:r>
                </w:p>
              </w:tc>
              <w:tc>
                <w:tcPr>
                  <w:tcW w:w="1154" w:type="dxa"/>
                  <w:tcBorders>
                    <w:right w:val="single" w:color="auto" w:sz="12" w:space="0"/>
                  </w:tcBorders>
                  <w:noWrap w:val="0"/>
                  <w:vAlign w:val="center"/>
                </w:tcPr>
                <w:p w14:paraId="423C733D">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连接件</w:t>
                  </w:r>
                </w:p>
              </w:tc>
            </w:tr>
            <w:tr w14:paraId="2592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84" w:type="dxa"/>
                  <w:tcBorders>
                    <w:left w:val="single" w:color="auto" w:sz="12" w:space="0"/>
                    <w:right w:val="single" w:color="auto" w:sz="4" w:space="0"/>
                  </w:tcBorders>
                  <w:noWrap w:val="0"/>
                  <w:vAlign w:val="center"/>
                </w:tcPr>
                <w:p w14:paraId="3A3E5D51">
                  <w:pPr>
                    <w:pStyle w:val="36"/>
                    <w:pBdr>
                      <w:bottom w:val="none" w:color="auto" w:sz="0" w:space="0"/>
                    </w:pBdr>
                    <w:tabs>
                      <w:tab w:val="clear" w:pos="4153"/>
                      <w:tab w:val="clear" w:pos="8306"/>
                    </w:tabs>
                    <w:spacing w:line="0" w:lineRule="atLeast"/>
                    <w:rPr>
                      <w:rFonts w:hint="eastAsia" w:ascii="宋体" w:hAnsi="宋体" w:eastAsia="宋体" w:cs="宋体"/>
                      <w:kern w:val="18"/>
                    </w:rPr>
                  </w:pPr>
                  <w:r>
                    <w:rPr>
                      <w:rFonts w:hint="eastAsia" w:ascii="宋体" w:hAnsi="宋体" w:eastAsia="宋体" w:cs="宋体"/>
                      <w:kern w:val="18"/>
                    </w:rPr>
                    <w:t>胶合板</w:t>
                  </w:r>
                </w:p>
              </w:tc>
              <w:tc>
                <w:tcPr>
                  <w:tcW w:w="2523" w:type="dxa"/>
                  <w:tcBorders>
                    <w:left w:val="single" w:color="auto" w:sz="4" w:space="0"/>
                    <w:right w:val="single" w:color="auto" w:sz="4" w:space="0"/>
                  </w:tcBorders>
                  <w:noWrap w:val="0"/>
                  <w:vAlign w:val="center"/>
                </w:tcPr>
                <w:p w14:paraId="5E7CDFDA">
                  <w:pPr>
                    <w:widowControl/>
                    <w:jc w:val="center"/>
                    <w:rPr>
                      <w:rFonts w:hint="eastAsia" w:ascii="宋体" w:hAnsi="宋体" w:eastAsia="宋体" w:cs="宋体"/>
                      <w:sz w:val="18"/>
                      <w:szCs w:val="18"/>
                    </w:rPr>
                  </w:pPr>
                  <w:r>
                    <w:rPr>
                      <w:rFonts w:hint="eastAsia" w:ascii="宋体" w:hAnsi="宋体" w:eastAsia="宋体" w:cs="宋体"/>
                      <w:sz w:val="18"/>
                      <w:szCs w:val="18"/>
                    </w:rPr>
                    <w:t xml:space="preserve">厚度8.0 mm </w:t>
                  </w:r>
                </w:p>
                <w:p w14:paraId="6D5C0628">
                  <w:pPr>
                    <w:widowControl/>
                    <w:jc w:val="center"/>
                    <w:rPr>
                      <w:rFonts w:hint="eastAsia" w:ascii="宋体" w:hAnsi="宋体" w:eastAsia="宋体" w:cs="宋体"/>
                      <w:color w:val="FF0000"/>
                      <w:sz w:val="18"/>
                      <w:szCs w:val="18"/>
                    </w:rPr>
                  </w:pPr>
                  <w:r>
                    <w:rPr>
                      <w:rFonts w:hint="eastAsia" w:ascii="宋体" w:hAnsi="宋体" w:eastAsia="宋体" w:cs="宋体"/>
                      <w:sz w:val="18"/>
                      <w:szCs w:val="18"/>
                    </w:rPr>
                    <w:t>甲醛释放量: E</w:t>
                  </w:r>
                  <w:r>
                    <w:rPr>
                      <w:rFonts w:hint="eastAsia" w:ascii="宋体" w:hAnsi="宋体" w:eastAsia="宋体" w:cs="宋体"/>
                      <w:sz w:val="18"/>
                      <w:szCs w:val="18"/>
                      <w:lang w:val="en-US" w:eastAsia="zh-CN"/>
                    </w:rPr>
                    <w:t>0级</w:t>
                  </w:r>
                  <w:r>
                    <w:rPr>
                      <w:rFonts w:hint="eastAsia" w:ascii="宋体" w:hAnsi="宋体" w:eastAsia="宋体" w:cs="宋体"/>
                      <w:sz w:val="18"/>
                      <w:szCs w:val="18"/>
                    </w:rPr>
                    <w:t>³</w:t>
                  </w:r>
                </w:p>
              </w:tc>
              <w:tc>
                <w:tcPr>
                  <w:tcW w:w="1898" w:type="dxa"/>
                  <w:noWrap w:val="0"/>
                  <w:vAlign w:val="center"/>
                </w:tcPr>
                <w:p w14:paraId="42E2E71F">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附录A</w:t>
                  </w:r>
                </w:p>
                <w:p w14:paraId="779DE08A">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GB/T39600-2021 E0级</w:t>
                  </w:r>
                </w:p>
              </w:tc>
              <w:tc>
                <w:tcPr>
                  <w:tcW w:w="1154" w:type="dxa"/>
                  <w:tcBorders>
                    <w:right w:val="single" w:color="auto" w:sz="12" w:space="0"/>
                  </w:tcBorders>
                  <w:noWrap w:val="0"/>
                  <w:vAlign w:val="center"/>
                </w:tcPr>
                <w:p w14:paraId="0CD3926D">
                  <w:pPr>
                    <w:pStyle w:val="36"/>
                    <w:pBdr>
                      <w:bottom w:val="none" w:color="auto" w:sz="0" w:space="0"/>
                    </w:pBdr>
                    <w:tabs>
                      <w:tab w:val="clear" w:pos="4153"/>
                      <w:tab w:val="clear" w:pos="8306"/>
                    </w:tabs>
                    <w:spacing w:line="0" w:lineRule="atLeast"/>
                    <w:jc w:val="center"/>
                    <w:rPr>
                      <w:rFonts w:hint="eastAsia" w:ascii="宋体" w:hAnsi="宋体" w:eastAsia="宋体" w:cs="宋体"/>
                      <w:kern w:val="18"/>
                    </w:rPr>
                  </w:pPr>
                  <w:r>
                    <w:rPr>
                      <w:rFonts w:hint="eastAsia" w:ascii="宋体" w:hAnsi="宋体" w:eastAsia="宋体" w:cs="宋体"/>
                      <w:kern w:val="18"/>
                    </w:rPr>
                    <w:t>床面板</w:t>
                  </w:r>
                </w:p>
              </w:tc>
            </w:tr>
            <w:tr w14:paraId="6BD8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4" w:type="dxa"/>
                  <w:tcBorders>
                    <w:left w:val="single" w:color="auto" w:sz="12" w:space="0"/>
                    <w:bottom w:val="single" w:color="auto" w:sz="4" w:space="0"/>
                    <w:right w:val="single" w:color="auto" w:sz="4" w:space="0"/>
                  </w:tcBorders>
                  <w:noWrap w:val="0"/>
                  <w:vAlign w:val="center"/>
                </w:tcPr>
                <w:p w14:paraId="06E58A20">
                  <w:pPr>
                    <w:widowControl/>
                    <w:jc w:val="center"/>
                    <w:rPr>
                      <w:rFonts w:hint="eastAsia" w:ascii="宋体" w:hAnsi="宋体" w:eastAsia="宋体" w:cs="宋体"/>
                      <w:sz w:val="18"/>
                      <w:szCs w:val="18"/>
                    </w:rPr>
                  </w:pPr>
                  <w:r>
                    <w:rPr>
                      <w:rFonts w:hint="eastAsia" w:ascii="宋体" w:hAnsi="宋体" w:eastAsia="宋体" w:cs="宋体"/>
                      <w:sz w:val="18"/>
                      <w:szCs w:val="18"/>
                    </w:rPr>
                    <w:t>扁圆头半空心铆钉</w:t>
                  </w:r>
                </w:p>
              </w:tc>
              <w:tc>
                <w:tcPr>
                  <w:tcW w:w="2523" w:type="dxa"/>
                  <w:tcBorders>
                    <w:left w:val="single" w:color="auto" w:sz="4" w:space="0"/>
                    <w:bottom w:val="single" w:color="auto" w:sz="4" w:space="0"/>
                    <w:right w:val="single" w:color="auto" w:sz="4" w:space="0"/>
                  </w:tcBorders>
                  <w:noWrap w:val="0"/>
                  <w:vAlign w:val="center"/>
                </w:tcPr>
                <w:p w14:paraId="366B28DD">
                  <w:pPr>
                    <w:widowControl/>
                    <w:jc w:val="center"/>
                    <w:rPr>
                      <w:rFonts w:hint="eastAsia" w:ascii="宋体" w:hAnsi="宋体" w:eastAsia="宋体" w:cs="宋体"/>
                      <w:sz w:val="18"/>
                      <w:szCs w:val="18"/>
                    </w:rPr>
                  </w:pPr>
                  <w:r>
                    <w:rPr>
                      <w:rFonts w:hint="eastAsia" w:ascii="宋体" w:hAnsi="宋体" w:eastAsia="宋体" w:cs="宋体"/>
                      <w:sz w:val="18"/>
                      <w:szCs w:val="18"/>
                    </w:rPr>
                    <w:t>镀锌</w:t>
                  </w:r>
                </w:p>
              </w:tc>
              <w:tc>
                <w:tcPr>
                  <w:tcW w:w="1898" w:type="dxa"/>
                  <w:tcBorders>
                    <w:bottom w:val="single" w:color="auto" w:sz="4" w:space="0"/>
                  </w:tcBorders>
                  <w:noWrap w:val="0"/>
                  <w:vAlign w:val="center"/>
                </w:tcPr>
                <w:p w14:paraId="26A0B5CA">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GB/T 876</w:t>
                  </w:r>
                </w:p>
              </w:tc>
              <w:tc>
                <w:tcPr>
                  <w:tcW w:w="1154" w:type="dxa"/>
                  <w:tcBorders>
                    <w:bottom w:val="single" w:color="auto" w:sz="4" w:space="0"/>
                    <w:right w:val="single" w:color="auto" w:sz="12" w:space="0"/>
                  </w:tcBorders>
                  <w:noWrap w:val="0"/>
                  <w:vAlign w:val="center"/>
                </w:tcPr>
                <w:p w14:paraId="0576BB42">
                  <w:pPr>
                    <w:widowControl/>
                    <w:jc w:val="center"/>
                    <w:rPr>
                      <w:rFonts w:hint="eastAsia" w:ascii="宋体" w:hAnsi="宋体" w:eastAsia="宋体" w:cs="宋体"/>
                      <w:sz w:val="18"/>
                      <w:szCs w:val="18"/>
                    </w:rPr>
                  </w:pPr>
                  <w:r>
                    <w:rPr>
                      <w:rFonts w:hint="eastAsia" w:ascii="宋体" w:hAnsi="宋体" w:eastAsia="宋体" w:cs="宋体"/>
                      <w:sz w:val="18"/>
                      <w:szCs w:val="18"/>
                    </w:rPr>
                    <w:t>固定连接件</w:t>
                  </w:r>
                </w:p>
              </w:tc>
            </w:tr>
            <w:tr w14:paraId="51CAB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4" w:type="dxa"/>
                  <w:tcBorders>
                    <w:top w:val="single" w:color="auto" w:sz="4" w:space="0"/>
                    <w:left w:val="single" w:color="auto" w:sz="12" w:space="0"/>
                    <w:bottom w:val="single" w:color="auto" w:sz="4" w:space="0"/>
                    <w:right w:val="single" w:color="auto" w:sz="4" w:space="0"/>
                  </w:tcBorders>
                  <w:noWrap w:val="0"/>
                  <w:vAlign w:val="center"/>
                </w:tcPr>
                <w:p w14:paraId="47F5A1F3">
                  <w:pPr>
                    <w:widowControl/>
                    <w:jc w:val="center"/>
                    <w:rPr>
                      <w:rFonts w:hint="eastAsia" w:ascii="宋体" w:hAnsi="宋体" w:eastAsia="宋体" w:cs="宋体"/>
                      <w:sz w:val="18"/>
                      <w:szCs w:val="18"/>
                    </w:rPr>
                  </w:pPr>
                  <w:r>
                    <w:rPr>
                      <w:rFonts w:hint="eastAsia" w:ascii="宋体" w:hAnsi="宋体" w:eastAsia="宋体" w:cs="宋体"/>
                      <w:sz w:val="18"/>
                      <w:szCs w:val="18"/>
                    </w:rPr>
                    <w:t>强攻螺丝</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3B9A20C2">
                  <w:pPr>
                    <w:widowControl/>
                    <w:jc w:val="center"/>
                    <w:rPr>
                      <w:rFonts w:hint="eastAsia" w:ascii="宋体" w:hAnsi="宋体" w:eastAsia="宋体" w:cs="宋体"/>
                      <w:sz w:val="18"/>
                      <w:szCs w:val="18"/>
                    </w:rPr>
                  </w:pPr>
                  <w:r>
                    <w:rPr>
                      <w:rFonts w:hint="eastAsia" w:ascii="宋体" w:hAnsi="宋体" w:eastAsia="宋体" w:cs="宋体"/>
                      <w:sz w:val="18"/>
                      <w:szCs w:val="18"/>
                    </w:rPr>
                    <w:t>M4mm</w:t>
                  </w:r>
                </w:p>
              </w:tc>
              <w:tc>
                <w:tcPr>
                  <w:tcW w:w="1898" w:type="dxa"/>
                  <w:tcBorders>
                    <w:top w:val="single" w:color="auto" w:sz="4" w:space="0"/>
                    <w:bottom w:val="single" w:color="auto" w:sz="4" w:space="0"/>
                  </w:tcBorders>
                  <w:noWrap w:val="0"/>
                  <w:vAlign w:val="center"/>
                </w:tcPr>
                <w:p w14:paraId="290FF7C6">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GB/T 830</w:t>
                  </w:r>
                </w:p>
              </w:tc>
              <w:tc>
                <w:tcPr>
                  <w:tcW w:w="1154" w:type="dxa"/>
                  <w:tcBorders>
                    <w:top w:val="single" w:color="auto" w:sz="4" w:space="0"/>
                    <w:bottom w:val="single" w:color="auto" w:sz="4" w:space="0"/>
                    <w:right w:val="single" w:color="auto" w:sz="12" w:space="0"/>
                  </w:tcBorders>
                  <w:noWrap w:val="0"/>
                  <w:vAlign w:val="center"/>
                </w:tcPr>
                <w:p w14:paraId="4DED2FEC">
                  <w:pPr>
                    <w:widowControl/>
                    <w:jc w:val="center"/>
                    <w:rPr>
                      <w:rFonts w:hint="eastAsia" w:ascii="宋体" w:hAnsi="宋体" w:eastAsia="宋体" w:cs="宋体"/>
                      <w:sz w:val="18"/>
                      <w:szCs w:val="18"/>
                    </w:rPr>
                  </w:pPr>
                  <w:r>
                    <w:rPr>
                      <w:rFonts w:hint="eastAsia" w:ascii="宋体" w:hAnsi="宋体" w:eastAsia="宋体" w:cs="宋体"/>
                      <w:sz w:val="18"/>
                      <w:szCs w:val="18"/>
                    </w:rPr>
                    <w:t>固定床面板</w:t>
                  </w:r>
                </w:p>
              </w:tc>
            </w:tr>
            <w:tr w14:paraId="0FE2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4" w:type="dxa"/>
                  <w:tcBorders>
                    <w:top w:val="single" w:color="auto" w:sz="4" w:space="0"/>
                    <w:left w:val="single" w:color="auto" w:sz="12" w:space="0"/>
                    <w:bottom w:val="single" w:color="auto" w:sz="4" w:space="0"/>
                    <w:right w:val="single" w:color="auto" w:sz="4" w:space="0"/>
                  </w:tcBorders>
                  <w:noWrap w:val="0"/>
                  <w:vAlign w:val="center"/>
                </w:tcPr>
                <w:p w14:paraId="50C98A59">
                  <w:pPr>
                    <w:widowControl/>
                    <w:jc w:val="center"/>
                    <w:rPr>
                      <w:rFonts w:hint="eastAsia" w:ascii="宋体" w:hAnsi="宋体" w:eastAsia="宋体" w:cs="宋体"/>
                      <w:sz w:val="18"/>
                      <w:szCs w:val="18"/>
                    </w:rPr>
                  </w:pPr>
                  <w:r>
                    <w:rPr>
                      <w:rFonts w:hint="eastAsia" w:ascii="宋体" w:hAnsi="宋体" w:eastAsia="宋体" w:cs="宋体"/>
                      <w:sz w:val="18"/>
                      <w:szCs w:val="18"/>
                    </w:rPr>
                    <w:t>螺钉</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535DD6FA">
                  <w:pPr>
                    <w:widowControl/>
                    <w:jc w:val="center"/>
                    <w:rPr>
                      <w:rFonts w:hint="eastAsia" w:ascii="宋体" w:hAnsi="宋体" w:eastAsia="宋体" w:cs="宋体"/>
                      <w:sz w:val="18"/>
                      <w:szCs w:val="18"/>
                    </w:rPr>
                  </w:pPr>
                  <w:r>
                    <w:rPr>
                      <w:rFonts w:hint="eastAsia" w:ascii="宋体" w:hAnsi="宋体" w:eastAsia="宋体" w:cs="宋体"/>
                      <w:sz w:val="18"/>
                      <w:szCs w:val="18"/>
                    </w:rPr>
                    <w:t>M6mm</w:t>
                  </w:r>
                </w:p>
              </w:tc>
              <w:tc>
                <w:tcPr>
                  <w:tcW w:w="1898" w:type="dxa"/>
                  <w:tcBorders>
                    <w:top w:val="single" w:color="auto" w:sz="4" w:space="0"/>
                    <w:bottom w:val="single" w:color="auto" w:sz="4" w:space="0"/>
                  </w:tcBorders>
                  <w:noWrap w:val="0"/>
                  <w:vAlign w:val="center"/>
                </w:tcPr>
                <w:p w14:paraId="26149089">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GB/T 822</w:t>
                  </w:r>
                </w:p>
              </w:tc>
              <w:tc>
                <w:tcPr>
                  <w:tcW w:w="1154" w:type="dxa"/>
                  <w:tcBorders>
                    <w:top w:val="single" w:color="auto" w:sz="4" w:space="0"/>
                    <w:bottom w:val="single" w:color="auto" w:sz="4" w:space="0"/>
                    <w:right w:val="single" w:color="auto" w:sz="12" w:space="0"/>
                  </w:tcBorders>
                  <w:noWrap w:val="0"/>
                  <w:vAlign w:val="center"/>
                </w:tcPr>
                <w:p w14:paraId="2AFF3FB3">
                  <w:pPr>
                    <w:widowControl/>
                    <w:jc w:val="center"/>
                    <w:rPr>
                      <w:rFonts w:hint="eastAsia" w:ascii="宋体" w:hAnsi="宋体" w:eastAsia="宋体" w:cs="宋体"/>
                      <w:sz w:val="18"/>
                      <w:szCs w:val="18"/>
                    </w:rPr>
                  </w:pPr>
                  <w:r>
                    <w:rPr>
                      <w:rFonts w:hint="eastAsia" w:ascii="宋体" w:hAnsi="宋体" w:eastAsia="宋体" w:cs="宋体"/>
                      <w:sz w:val="18"/>
                      <w:szCs w:val="18"/>
                    </w:rPr>
                    <w:t>固定连接件</w:t>
                  </w:r>
                </w:p>
              </w:tc>
            </w:tr>
            <w:tr w14:paraId="495E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4" w:type="dxa"/>
                  <w:tcBorders>
                    <w:top w:val="single" w:color="auto" w:sz="4" w:space="0"/>
                    <w:left w:val="single" w:color="auto" w:sz="12" w:space="0"/>
                    <w:bottom w:val="single" w:color="auto" w:sz="12" w:space="0"/>
                    <w:right w:val="single" w:color="auto" w:sz="4" w:space="0"/>
                  </w:tcBorders>
                  <w:noWrap w:val="0"/>
                  <w:vAlign w:val="center"/>
                </w:tcPr>
                <w:p w14:paraId="3C8D4B28">
                  <w:pPr>
                    <w:widowControl/>
                    <w:jc w:val="center"/>
                    <w:rPr>
                      <w:rFonts w:hint="eastAsia" w:ascii="宋体" w:hAnsi="宋体" w:eastAsia="宋体" w:cs="宋体"/>
                      <w:sz w:val="18"/>
                      <w:szCs w:val="18"/>
                    </w:rPr>
                  </w:pPr>
                  <w:r>
                    <w:rPr>
                      <w:rFonts w:hint="eastAsia" w:ascii="宋体" w:hAnsi="宋体" w:eastAsia="宋体" w:cs="宋体"/>
                      <w:sz w:val="18"/>
                      <w:szCs w:val="18"/>
                    </w:rPr>
                    <w:t>螺母</w:t>
                  </w:r>
                </w:p>
              </w:tc>
              <w:tc>
                <w:tcPr>
                  <w:tcW w:w="2523" w:type="dxa"/>
                  <w:tcBorders>
                    <w:top w:val="single" w:color="auto" w:sz="4" w:space="0"/>
                    <w:left w:val="single" w:color="auto" w:sz="4" w:space="0"/>
                    <w:bottom w:val="single" w:color="auto" w:sz="12" w:space="0"/>
                    <w:right w:val="single" w:color="auto" w:sz="4" w:space="0"/>
                  </w:tcBorders>
                  <w:noWrap w:val="0"/>
                  <w:vAlign w:val="center"/>
                </w:tcPr>
                <w:p w14:paraId="2C5645FE">
                  <w:pPr>
                    <w:widowControl/>
                    <w:jc w:val="center"/>
                    <w:rPr>
                      <w:rFonts w:hint="eastAsia" w:ascii="宋体" w:hAnsi="宋体" w:eastAsia="宋体" w:cs="宋体"/>
                      <w:sz w:val="18"/>
                      <w:szCs w:val="18"/>
                    </w:rPr>
                  </w:pPr>
                  <w:r>
                    <w:rPr>
                      <w:rFonts w:hint="eastAsia" w:ascii="宋体" w:hAnsi="宋体" w:eastAsia="宋体" w:cs="宋体"/>
                      <w:sz w:val="18"/>
                      <w:szCs w:val="18"/>
                    </w:rPr>
                    <w:t>M6mm</w:t>
                  </w:r>
                </w:p>
              </w:tc>
              <w:tc>
                <w:tcPr>
                  <w:tcW w:w="1898" w:type="dxa"/>
                  <w:tcBorders>
                    <w:top w:val="single" w:color="auto" w:sz="4" w:space="0"/>
                    <w:bottom w:val="single" w:color="auto" w:sz="4" w:space="0"/>
                  </w:tcBorders>
                  <w:noWrap w:val="0"/>
                  <w:vAlign w:val="center"/>
                </w:tcPr>
                <w:p w14:paraId="622683F5">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GB/T 6170</w:t>
                  </w:r>
                </w:p>
              </w:tc>
              <w:tc>
                <w:tcPr>
                  <w:tcW w:w="1154" w:type="dxa"/>
                  <w:tcBorders>
                    <w:top w:val="single" w:color="auto" w:sz="4" w:space="0"/>
                    <w:bottom w:val="single" w:color="auto" w:sz="4" w:space="0"/>
                    <w:right w:val="single" w:color="auto" w:sz="12" w:space="0"/>
                  </w:tcBorders>
                  <w:noWrap w:val="0"/>
                  <w:vAlign w:val="center"/>
                </w:tcPr>
                <w:p w14:paraId="127B4DC9">
                  <w:pPr>
                    <w:widowControl/>
                    <w:jc w:val="center"/>
                    <w:rPr>
                      <w:rFonts w:hint="eastAsia" w:ascii="宋体" w:hAnsi="宋体" w:eastAsia="宋体" w:cs="宋体"/>
                      <w:sz w:val="18"/>
                      <w:szCs w:val="18"/>
                    </w:rPr>
                  </w:pPr>
                  <w:r>
                    <w:rPr>
                      <w:rFonts w:hint="eastAsia" w:ascii="宋体" w:hAnsi="宋体" w:eastAsia="宋体" w:cs="宋体"/>
                      <w:sz w:val="18"/>
                      <w:szCs w:val="18"/>
                    </w:rPr>
                    <w:t>固定连接件</w:t>
                  </w:r>
                </w:p>
              </w:tc>
            </w:tr>
            <w:tr w14:paraId="3317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84" w:type="dxa"/>
                  <w:tcBorders>
                    <w:left w:val="single" w:color="auto" w:sz="12" w:space="0"/>
                    <w:bottom w:val="single" w:color="auto" w:sz="4" w:space="0"/>
                    <w:right w:val="single" w:color="auto" w:sz="4" w:space="0"/>
                  </w:tcBorders>
                  <w:noWrap w:val="0"/>
                  <w:vAlign w:val="center"/>
                </w:tcPr>
                <w:p w14:paraId="389F53E3">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床架堵头</w:t>
                  </w:r>
                </w:p>
              </w:tc>
              <w:tc>
                <w:tcPr>
                  <w:tcW w:w="2523" w:type="dxa"/>
                  <w:tcBorders>
                    <w:left w:val="single" w:color="auto" w:sz="4" w:space="0"/>
                    <w:bottom w:val="single" w:color="auto" w:sz="4" w:space="0"/>
                    <w:right w:val="single" w:color="auto" w:sz="4" w:space="0"/>
                  </w:tcBorders>
                  <w:noWrap w:val="0"/>
                  <w:vAlign w:val="center"/>
                </w:tcPr>
                <w:p w14:paraId="1AD09E5E">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黑色塑料</w:t>
                  </w:r>
                </w:p>
              </w:tc>
              <w:tc>
                <w:tcPr>
                  <w:tcW w:w="1898" w:type="dxa"/>
                  <w:tcBorders>
                    <w:top w:val="single" w:color="auto" w:sz="4" w:space="0"/>
                    <w:bottom w:val="single" w:color="auto" w:sz="4" w:space="0"/>
                  </w:tcBorders>
                  <w:noWrap w:val="0"/>
                  <w:vAlign w:val="center"/>
                </w:tcPr>
                <w:p w14:paraId="3312AAB9">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符合国家相关标准规定</w:t>
                  </w:r>
                </w:p>
              </w:tc>
              <w:tc>
                <w:tcPr>
                  <w:tcW w:w="1154" w:type="dxa"/>
                  <w:tcBorders>
                    <w:top w:val="single" w:color="auto" w:sz="4" w:space="0"/>
                    <w:bottom w:val="single" w:color="auto" w:sz="4" w:space="0"/>
                    <w:right w:val="single" w:color="auto" w:sz="12" w:space="0"/>
                  </w:tcBorders>
                  <w:noWrap w:val="0"/>
                  <w:vAlign w:val="center"/>
                </w:tcPr>
                <w:p w14:paraId="0AFF7940">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床架堵头</w:t>
                  </w:r>
                </w:p>
              </w:tc>
            </w:tr>
            <w:tr w14:paraId="5F07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84" w:type="dxa"/>
                  <w:tcBorders>
                    <w:top w:val="single" w:color="auto" w:sz="4" w:space="0"/>
                    <w:left w:val="single" w:color="auto" w:sz="12" w:space="0"/>
                    <w:bottom w:val="single" w:color="auto" w:sz="4" w:space="0"/>
                    <w:right w:val="single" w:color="auto" w:sz="4" w:space="0"/>
                  </w:tcBorders>
                  <w:noWrap w:val="0"/>
                  <w:vAlign w:val="center"/>
                </w:tcPr>
                <w:p w14:paraId="5E2B0F00">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橡塑套脚</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47D53733">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黑色塑料</w:t>
                  </w:r>
                </w:p>
              </w:tc>
              <w:tc>
                <w:tcPr>
                  <w:tcW w:w="1898" w:type="dxa"/>
                  <w:tcBorders>
                    <w:top w:val="single" w:color="auto" w:sz="4" w:space="0"/>
                    <w:bottom w:val="single" w:color="auto" w:sz="4" w:space="0"/>
                  </w:tcBorders>
                  <w:noWrap w:val="0"/>
                  <w:vAlign w:val="center"/>
                </w:tcPr>
                <w:p w14:paraId="501D43FD">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符合国家相关标准规定</w:t>
                  </w:r>
                </w:p>
              </w:tc>
              <w:tc>
                <w:tcPr>
                  <w:tcW w:w="1154" w:type="dxa"/>
                  <w:tcBorders>
                    <w:top w:val="single" w:color="auto" w:sz="4" w:space="0"/>
                    <w:bottom w:val="single" w:color="auto" w:sz="4" w:space="0"/>
                    <w:right w:val="single" w:color="auto" w:sz="12" w:space="0"/>
                  </w:tcBorders>
                  <w:noWrap w:val="0"/>
                  <w:vAlign w:val="center"/>
                </w:tcPr>
                <w:p w14:paraId="7882CD20">
                  <w:pPr>
                    <w:pStyle w:val="269"/>
                    <w:ind w:firstLine="0" w:firstLineChars="0"/>
                    <w:jc w:val="center"/>
                    <w:rPr>
                      <w:rFonts w:hint="eastAsia" w:ascii="宋体" w:hAnsi="宋体" w:eastAsia="宋体" w:cs="宋体"/>
                      <w:sz w:val="18"/>
                      <w:szCs w:val="18"/>
                    </w:rPr>
                  </w:pPr>
                  <w:r>
                    <w:rPr>
                      <w:rFonts w:hint="eastAsia" w:ascii="宋体" w:hAnsi="宋体" w:eastAsia="宋体" w:cs="宋体"/>
                      <w:sz w:val="18"/>
                      <w:szCs w:val="18"/>
                    </w:rPr>
                    <w:t>床头套管</w:t>
                  </w:r>
                </w:p>
              </w:tc>
            </w:tr>
            <w:tr w14:paraId="61E1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4" w:type="dxa"/>
                  <w:tcBorders>
                    <w:top w:val="single" w:color="auto" w:sz="4" w:space="0"/>
                    <w:left w:val="single" w:color="auto" w:sz="12" w:space="0"/>
                    <w:bottom w:val="single" w:color="auto" w:sz="4" w:space="0"/>
                    <w:right w:val="single" w:color="auto" w:sz="4" w:space="0"/>
                  </w:tcBorders>
                  <w:noWrap w:val="0"/>
                  <w:vAlign w:val="center"/>
                </w:tcPr>
                <w:p w14:paraId="657BBFE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垫圈</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0AEE575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平垫圈d6  镀锌</w:t>
                  </w:r>
                </w:p>
              </w:tc>
              <w:tc>
                <w:tcPr>
                  <w:tcW w:w="1898" w:type="dxa"/>
                  <w:tcBorders>
                    <w:top w:val="single" w:color="auto" w:sz="4" w:space="0"/>
                    <w:bottom w:val="single" w:color="auto" w:sz="4" w:space="0"/>
                  </w:tcBorders>
                  <w:noWrap w:val="0"/>
                  <w:vAlign w:val="center"/>
                </w:tcPr>
                <w:p w14:paraId="12D481B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GB/T858</w:t>
                  </w:r>
                </w:p>
              </w:tc>
              <w:tc>
                <w:tcPr>
                  <w:tcW w:w="1154" w:type="dxa"/>
                  <w:tcBorders>
                    <w:top w:val="single" w:color="auto" w:sz="4" w:space="0"/>
                    <w:bottom w:val="single" w:color="auto" w:sz="4" w:space="0"/>
                    <w:right w:val="single" w:color="auto" w:sz="12" w:space="0"/>
                  </w:tcBorders>
                  <w:noWrap w:val="0"/>
                  <w:vAlign w:val="center"/>
                </w:tcPr>
                <w:p w14:paraId="7C5AA01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固定连接件</w:t>
                  </w:r>
                </w:p>
              </w:tc>
            </w:tr>
            <w:tr w14:paraId="257A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84" w:type="dxa"/>
                  <w:tcBorders>
                    <w:top w:val="single" w:color="auto" w:sz="4" w:space="0"/>
                    <w:left w:val="single" w:color="auto" w:sz="12" w:space="0"/>
                    <w:bottom w:val="single" w:color="auto" w:sz="4" w:space="0"/>
                    <w:right w:val="single" w:color="auto" w:sz="4" w:space="0"/>
                  </w:tcBorders>
                  <w:noWrap w:val="0"/>
                  <w:vAlign w:val="center"/>
                </w:tcPr>
                <w:p w14:paraId="437AD6A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瓦楞纸箱</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4E8E4B8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965 mm×160 mm×920 mm</w:t>
                  </w:r>
                </w:p>
              </w:tc>
              <w:tc>
                <w:tcPr>
                  <w:tcW w:w="1898" w:type="dxa"/>
                  <w:tcBorders>
                    <w:top w:val="single" w:color="auto" w:sz="4" w:space="0"/>
                    <w:bottom w:val="single" w:color="auto" w:sz="4" w:space="0"/>
                  </w:tcBorders>
                  <w:noWrap w:val="0"/>
                  <w:vAlign w:val="center"/>
                </w:tcPr>
                <w:p w14:paraId="518CD36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抗压力 ≥6500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N</w:t>
                  </w:r>
                </w:p>
                <w:p w14:paraId="466B5E2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耐破强度 ≥1500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kPa</w:t>
                  </w:r>
                </w:p>
                <w:p w14:paraId="1F4B3B8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戳穿强度 ≥10.0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J</w:t>
                  </w:r>
                </w:p>
              </w:tc>
              <w:tc>
                <w:tcPr>
                  <w:tcW w:w="1154" w:type="dxa"/>
                  <w:tcBorders>
                    <w:top w:val="single" w:color="auto" w:sz="4" w:space="0"/>
                    <w:bottom w:val="single" w:color="auto" w:sz="4" w:space="0"/>
                    <w:right w:val="single" w:color="auto" w:sz="12" w:space="0"/>
                  </w:tcBorders>
                  <w:noWrap w:val="0"/>
                  <w:vAlign w:val="center"/>
                </w:tcPr>
                <w:p w14:paraId="16B9A42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外包装</w:t>
                  </w:r>
                </w:p>
              </w:tc>
            </w:tr>
            <w:tr w14:paraId="382A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84" w:type="dxa"/>
                  <w:tcBorders>
                    <w:top w:val="single" w:color="auto" w:sz="4" w:space="0"/>
                    <w:left w:val="single" w:color="auto" w:sz="12" w:space="0"/>
                    <w:bottom w:val="single" w:color="auto" w:sz="4" w:space="0"/>
                    <w:right w:val="single" w:color="auto" w:sz="4" w:space="0"/>
                  </w:tcBorders>
                  <w:noWrap w:val="0"/>
                  <w:vAlign w:val="center"/>
                </w:tcPr>
                <w:p w14:paraId="3EB0928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胶粘带</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7E12469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宽度60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mm</w:t>
                  </w:r>
                </w:p>
              </w:tc>
              <w:tc>
                <w:tcPr>
                  <w:tcW w:w="1898" w:type="dxa"/>
                  <w:tcBorders>
                    <w:top w:val="single" w:color="auto" w:sz="4" w:space="0"/>
                    <w:bottom w:val="single" w:color="auto" w:sz="4" w:space="0"/>
                  </w:tcBorders>
                  <w:noWrap w:val="0"/>
                  <w:vAlign w:val="center"/>
                </w:tcPr>
                <w:p w14:paraId="0B5EB6A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22378</w:t>
                  </w:r>
                </w:p>
              </w:tc>
              <w:tc>
                <w:tcPr>
                  <w:tcW w:w="1154" w:type="dxa"/>
                  <w:tcBorders>
                    <w:top w:val="single" w:color="auto" w:sz="4" w:space="0"/>
                    <w:bottom w:val="single" w:color="auto" w:sz="4" w:space="0"/>
                    <w:right w:val="single" w:color="auto" w:sz="12" w:space="0"/>
                  </w:tcBorders>
                  <w:noWrap w:val="0"/>
                  <w:vAlign w:val="center"/>
                </w:tcPr>
                <w:p w14:paraId="6EA7A88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封箱</w:t>
                  </w:r>
                </w:p>
              </w:tc>
            </w:tr>
            <w:tr w14:paraId="54DB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84" w:type="dxa"/>
                  <w:tcBorders>
                    <w:top w:val="single" w:color="auto" w:sz="4" w:space="0"/>
                    <w:left w:val="single" w:color="auto" w:sz="12" w:space="0"/>
                    <w:bottom w:val="single" w:color="auto" w:sz="12" w:space="0"/>
                    <w:right w:val="single" w:color="auto" w:sz="4" w:space="0"/>
                  </w:tcBorders>
                  <w:noWrap w:val="0"/>
                  <w:vAlign w:val="center"/>
                </w:tcPr>
                <w:p w14:paraId="3B4345A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打包带</w:t>
                  </w:r>
                </w:p>
              </w:tc>
              <w:tc>
                <w:tcPr>
                  <w:tcW w:w="2523" w:type="dxa"/>
                  <w:tcBorders>
                    <w:top w:val="single" w:color="auto" w:sz="4" w:space="0"/>
                    <w:left w:val="single" w:color="auto" w:sz="4" w:space="0"/>
                    <w:bottom w:val="single" w:color="auto" w:sz="12" w:space="0"/>
                    <w:right w:val="single" w:color="auto" w:sz="4" w:space="0"/>
                  </w:tcBorders>
                  <w:noWrap w:val="0"/>
                  <w:vAlign w:val="center"/>
                </w:tcPr>
                <w:p w14:paraId="21F24E6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PP12008J</w:t>
                  </w:r>
                </w:p>
              </w:tc>
              <w:tc>
                <w:tcPr>
                  <w:tcW w:w="1898" w:type="dxa"/>
                  <w:tcBorders>
                    <w:top w:val="single" w:color="auto" w:sz="4" w:space="0"/>
                    <w:bottom w:val="single" w:color="auto" w:sz="12" w:space="0"/>
                  </w:tcBorders>
                  <w:noWrap w:val="0"/>
                  <w:vAlign w:val="center"/>
                </w:tcPr>
                <w:p w14:paraId="121A118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QB/T 3811</w:t>
                  </w:r>
                </w:p>
              </w:tc>
              <w:tc>
                <w:tcPr>
                  <w:tcW w:w="1154" w:type="dxa"/>
                  <w:tcBorders>
                    <w:top w:val="single" w:color="auto" w:sz="4" w:space="0"/>
                    <w:bottom w:val="single" w:color="auto" w:sz="12" w:space="0"/>
                    <w:right w:val="single" w:color="auto" w:sz="12" w:space="0"/>
                  </w:tcBorders>
                  <w:noWrap w:val="0"/>
                  <w:vAlign w:val="center"/>
                </w:tcPr>
                <w:p w14:paraId="1FB01DA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打包</w:t>
                  </w:r>
                </w:p>
              </w:tc>
            </w:tr>
          </w:tbl>
          <w:p w14:paraId="5CC5F144">
            <w:pPr>
              <w:pStyle w:val="434"/>
              <w:ind w:left="420" w:leftChars="200" w:firstLine="0" w:firstLineChars="0"/>
              <w:rPr>
                <w:rFonts w:hint="eastAsia"/>
              </w:rPr>
            </w:pPr>
            <w:bookmarkStart w:id="201" w:name="_Toc24973"/>
            <w:bookmarkStart w:id="202" w:name="_Toc334455151"/>
            <w:bookmarkStart w:id="203" w:name="_Toc6045"/>
            <w:r>
              <w:rPr>
                <w:rFonts w:hint="eastAsia"/>
              </w:rPr>
              <w:t>性能</w:t>
            </w:r>
            <w:bookmarkEnd w:id="201"/>
            <w:bookmarkEnd w:id="202"/>
            <w:bookmarkEnd w:id="203"/>
          </w:p>
          <w:p w14:paraId="13E9843D">
            <w:pPr>
              <w:pStyle w:val="282"/>
              <w:numPr>
                <w:ilvl w:val="3"/>
                <w:numId w:val="0"/>
              </w:numPr>
              <w:ind w:leftChars="200" w:firstLine="1050" w:firstLineChars="500"/>
              <w:rPr>
                <w:rFonts w:hint="eastAsia" w:ascii="Times New Roman"/>
              </w:rPr>
            </w:pPr>
            <w:r>
              <w:rPr>
                <w:rFonts w:hint="eastAsia" w:ascii="Times New Roman"/>
                <w:color w:val="auto"/>
              </w:rPr>
              <w:t>床架</w:t>
            </w:r>
            <w:r>
              <w:rPr>
                <w:rFonts w:ascii="Times New Roman"/>
                <w:color w:val="auto"/>
              </w:rPr>
              <w:t>喷塑件的理化性能应符合</w:t>
            </w:r>
            <w:r>
              <w:rPr>
                <w:rFonts w:ascii="Times New Roman"/>
              </w:rPr>
              <w:t>表</w:t>
            </w:r>
            <w:r>
              <w:rPr>
                <w:rFonts w:hint="eastAsia" w:ascii="Times New Roman"/>
              </w:rPr>
              <w:t>2</w:t>
            </w:r>
            <w:r>
              <w:rPr>
                <w:rFonts w:ascii="Times New Roman"/>
              </w:rPr>
              <w:t>的规定。</w:t>
            </w:r>
          </w:p>
          <w:p w14:paraId="67E1C80F">
            <w:pPr>
              <w:pStyle w:val="361"/>
              <w:spacing w:before="156" w:beforeLines="50"/>
              <w:ind w:left="0"/>
              <w:rPr>
                <w:rFonts w:hint="eastAsia" w:hAnsi="黑体"/>
              </w:rPr>
            </w:pPr>
            <w:bookmarkStart w:id="204" w:name="_Hlt97622715"/>
            <w:bookmarkEnd w:id="204"/>
            <w:bookmarkStart w:id="205" w:name="_Toc71215201"/>
            <w:bookmarkStart w:id="206" w:name="_Toc69291608"/>
            <w:bookmarkStart w:id="207" w:name="_Toc71087743"/>
            <w:r>
              <w:rPr>
                <w:rFonts w:hAnsi="黑体"/>
              </w:rPr>
              <w:t>理化性能</w:t>
            </w:r>
          </w:p>
          <w:tbl>
            <w:tblPr>
              <w:tblStyle w:val="58"/>
              <w:tblW w:w="0" w:type="auto"/>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57"/>
              <w:gridCol w:w="1974"/>
              <w:gridCol w:w="3208"/>
            </w:tblGrid>
            <w:tr w14:paraId="369E15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3" w:hRule="atLeast"/>
              </w:trPr>
              <w:tc>
                <w:tcPr>
                  <w:tcW w:w="1057" w:type="dxa"/>
                  <w:tcBorders>
                    <w:top w:val="single" w:color="auto" w:sz="12" w:space="0"/>
                    <w:left w:val="single" w:color="auto" w:sz="12" w:space="0"/>
                    <w:bottom w:val="single" w:color="auto" w:sz="12" w:space="0"/>
                    <w:right w:val="single" w:color="auto" w:sz="4" w:space="0"/>
                  </w:tcBorders>
                  <w:noWrap w:val="0"/>
                  <w:vAlign w:val="center"/>
                </w:tcPr>
                <w:p w14:paraId="5A7B82EC">
                  <w:pPr>
                    <w:spacing w:before="100" w:beforeAutospacing="1" w:after="100" w:afterAutospacing="1"/>
                    <w:jc w:val="center"/>
                    <w:outlineLvl w:val="0"/>
                    <w:rPr>
                      <w:rFonts w:ascii="宋体" w:hAnsi="宋体"/>
                      <w:sz w:val="18"/>
                    </w:rPr>
                  </w:pPr>
                  <w:bookmarkStart w:id="208" w:name="_Toc8986"/>
                  <w:bookmarkStart w:id="209" w:name="_Toc6379"/>
                  <w:r>
                    <w:rPr>
                      <w:rFonts w:ascii="宋体" w:hAnsi="宋体"/>
                      <w:sz w:val="18"/>
                    </w:rPr>
                    <w:t>部件名称</w:t>
                  </w:r>
                  <w:bookmarkEnd w:id="208"/>
                  <w:bookmarkEnd w:id="209"/>
                </w:p>
              </w:tc>
              <w:tc>
                <w:tcPr>
                  <w:tcW w:w="1974" w:type="dxa"/>
                  <w:tcBorders>
                    <w:top w:val="single" w:color="auto" w:sz="12" w:space="0"/>
                    <w:left w:val="single" w:color="auto" w:sz="4" w:space="0"/>
                    <w:bottom w:val="single" w:color="auto" w:sz="12" w:space="0"/>
                    <w:right w:val="single" w:color="auto" w:sz="4" w:space="0"/>
                  </w:tcBorders>
                  <w:noWrap w:val="0"/>
                  <w:vAlign w:val="center"/>
                </w:tcPr>
                <w:p w14:paraId="2FD92475">
                  <w:pPr>
                    <w:spacing w:before="100" w:beforeAutospacing="1" w:after="100" w:afterAutospacing="1"/>
                    <w:jc w:val="center"/>
                    <w:outlineLvl w:val="0"/>
                    <w:rPr>
                      <w:rFonts w:ascii="宋体" w:hAnsi="宋体"/>
                      <w:sz w:val="18"/>
                    </w:rPr>
                  </w:pPr>
                  <w:bookmarkStart w:id="210" w:name="_Toc22906"/>
                  <w:bookmarkStart w:id="211" w:name="_Toc629"/>
                  <w:r>
                    <w:rPr>
                      <w:rFonts w:ascii="宋体" w:hAnsi="宋体"/>
                      <w:sz w:val="18"/>
                    </w:rPr>
                    <w:t>项    目</w:t>
                  </w:r>
                  <w:bookmarkEnd w:id="210"/>
                  <w:bookmarkEnd w:id="211"/>
                </w:p>
              </w:tc>
              <w:tc>
                <w:tcPr>
                  <w:tcW w:w="3208" w:type="dxa"/>
                  <w:tcBorders>
                    <w:top w:val="single" w:color="auto" w:sz="12" w:space="0"/>
                    <w:left w:val="single" w:color="auto" w:sz="4" w:space="0"/>
                    <w:bottom w:val="single" w:color="auto" w:sz="12" w:space="0"/>
                    <w:right w:val="single" w:color="auto" w:sz="12" w:space="0"/>
                  </w:tcBorders>
                  <w:noWrap w:val="0"/>
                  <w:vAlign w:val="center"/>
                </w:tcPr>
                <w:p w14:paraId="3A9FE794">
                  <w:pPr>
                    <w:spacing w:before="100" w:beforeAutospacing="1" w:after="100" w:afterAutospacing="1"/>
                    <w:jc w:val="center"/>
                    <w:outlineLvl w:val="0"/>
                    <w:rPr>
                      <w:rFonts w:ascii="宋体" w:hAnsi="宋体"/>
                      <w:sz w:val="18"/>
                    </w:rPr>
                  </w:pPr>
                  <w:bookmarkStart w:id="212" w:name="_Toc20418"/>
                  <w:bookmarkStart w:id="213" w:name="_Toc26010"/>
                  <w:r>
                    <w:rPr>
                      <w:rFonts w:ascii="宋体" w:hAnsi="宋体"/>
                      <w:sz w:val="18"/>
                    </w:rPr>
                    <w:t>指    标</w:t>
                  </w:r>
                  <w:bookmarkEnd w:id="212"/>
                  <w:bookmarkEnd w:id="213"/>
                </w:p>
              </w:tc>
            </w:tr>
            <w:tr w14:paraId="0CDDA0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3" w:hRule="atLeast"/>
              </w:trPr>
              <w:tc>
                <w:tcPr>
                  <w:tcW w:w="1057" w:type="dxa"/>
                  <w:vMerge w:val="restart"/>
                  <w:tcBorders>
                    <w:top w:val="single" w:color="auto" w:sz="12" w:space="0"/>
                    <w:left w:val="single" w:color="auto" w:sz="12" w:space="0"/>
                    <w:bottom w:val="single" w:color="auto" w:sz="4" w:space="0"/>
                    <w:right w:val="single" w:color="auto" w:sz="4" w:space="0"/>
                  </w:tcBorders>
                  <w:noWrap w:val="0"/>
                  <w:vAlign w:val="center"/>
                </w:tcPr>
                <w:p w14:paraId="3E33BC12">
                  <w:pPr>
                    <w:spacing w:before="100" w:beforeAutospacing="1" w:after="100" w:afterAutospacing="1"/>
                    <w:jc w:val="center"/>
                    <w:outlineLvl w:val="0"/>
                    <w:rPr>
                      <w:rFonts w:ascii="宋体" w:hAnsi="宋体"/>
                      <w:sz w:val="18"/>
                    </w:rPr>
                  </w:pPr>
                  <w:bookmarkStart w:id="214" w:name="_Toc12494"/>
                  <w:bookmarkStart w:id="215" w:name="_Toc29924"/>
                  <w:r>
                    <w:rPr>
                      <w:rFonts w:ascii="宋体" w:hAnsi="宋体"/>
                      <w:sz w:val="18"/>
                    </w:rPr>
                    <w:t>喷塑件</w:t>
                  </w:r>
                  <w:bookmarkEnd w:id="214"/>
                  <w:bookmarkEnd w:id="215"/>
                </w:p>
              </w:tc>
              <w:tc>
                <w:tcPr>
                  <w:tcW w:w="1974" w:type="dxa"/>
                  <w:tcBorders>
                    <w:top w:val="single" w:color="auto" w:sz="12" w:space="0"/>
                    <w:left w:val="single" w:color="auto" w:sz="4" w:space="0"/>
                    <w:bottom w:val="single" w:color="auto" w:sz="4" w:space="0"/>
                    <w:right w:val="single" w:color="auto" w:sz="4" w:space="0"/>
                  </w:tcBorders>
                  <w:noWrap w:val="0"/>
                  <w:vAlign w:val="center"/>
                </w:tcPr>
                <w:p w14:paraId="19DF0467">
                  <w:pPr>
                    <w:spacing w:before="100" w:beforeAutospacing="1" w:after="100" w:afterAutospacing="1"/>
                    <w:jc w:val="center"/>
                    <w:outlineLvl w:val="0"/>
                    <w:rPr>
                      <w:rFonts w:hint="eastAsia" w:ascii="宋体" w:hAnsi="宋体" w:eastAsia="宋体" w:cs="宋体"/>
                      <w:sz w:val="18"/>
                    </w:rPr>
                  </w:pPr>
                  <w:bookmarkStart w:id="216" w:name="_Toc13690"/>
                  <w:bookmarkStart w:id="217" w:name="_Toc12544"/>
                  <w:r>
                    <w:rPr>
                      <w:rFonts w:hint="eastAsia" w:ascii="宋体" w:hAnsi="宋体" w:eastAsia="宋体" w:cs="宋体"/>
                      <w:sz w:val="18"/>
                    </w:rPr>
                    <w:t>喷塑漆膜厚度，μm</w:t>
                  </w:r>
                  <w:bookmarkEnd w:id="216"/>
                  <w:bookmarkEnd w:id="217"/>
                </w:p>
              </w:tc>
              <w:tc>
                <w:tcPr>
                  <w:tcW w:w="3208" w:type="dxa"/>
                  <w:tcBorders>
                    <w:top w:val="single" w:color="auto" w:sz="12" w:space="0"/>
                    <w:left w:val="single" w:color="auto" w:sz="4" w:space="0"/>
                    <w:bottom w:val="single" w:color="auto" w:sz="4" w:space="0"/>
                    <w:right w:val="single" w:color="auto" w:sz="12" w:space="0"/>
                  </w:tcBorders>
                  <w:noWrap w:val="0"/>
                  <w:vAlign w:val="center"/>
                </w:tcPr>
                <w:p w14:paraId="743AE571">
                  <w:pPr>
                    <w:spacing w:before="100" w:beforeAutospacing="1" w:after="100" w:afterAutospacing="1"/>
                    <w:jc w:val="center"/>
                    <w:outlineLvl w:val="0"/>
                    <w:rPr>
                      <w:rFonts w:hint="eastAsia" w:ascii="宋体" w:hAnsi="宋体" w:eastAsia="宋体" w:cs="宋体"/>
                      <w:sz w:val="18"/>
                    </w:rPr>
                  </w:pPr>
                  <w:bookmarkStart w:id="218" w:name="_Toc28630"/>
                  <w:bookmarkStart w:id="219" w:name="_Toc26643"/>
                  <w:r>
                    <w:rPr>
                      <w:rFonts w:hint="eastAsia" w:ascii="宋体" w:hAnsi="宋体" w:eastAsia="宋体" w:cs="宋体"/>
                      <w:kern w:val="18"/>
                      <w:sz w:val="18"/>
                      <w:szCs w:val="18"/>
                    </w:rPr>
                    <w:t>≥</w:t>
                  </w:r>
                  <w:r>
                    <w:rPr>
                      <w:rFonts w:hint="eastAsia" w:ascii="宋体" w:hAnsi="宋体" w:eastAsia="宋体" w:cs="宋体"/>
                      <w:sz w:val="18"/>
                    </w:rPr>
                    <w:t>35</w:t>
                  </w:r>
                  <w:bookmarkEnd w:id="218"/>
                  <w:bookmarkEnd w:id="219"/>
                </w:p>
              </w:tc>
            </w:tr>
            <w:tr w14:paraId="702C92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5" w:hRule="atLeast"/>
              </w:trPr>
              <w:tc>
                <w:tcPr>
                  <w:tcW w:w="1057" w:type="dxa"/>
                  <w:vMerge w:val="continue"/>
                  <w:tcBorders>
                    <w:top w:val="single" w:color="auto" w:sz="4" w:space="0"/>
                    <w:left w:val="single" w:color="auto" w:sz="12" w:space="0"/>
                    <w:bottom w:val="single" w:color="auto" w:sz="4" w:space="0"/>
                    <w:right w:val="single" w:color="auto" w:sz="4" w:space="0"/>
                  </w:tcBorders>
                  <w:noWrap w:val="0"/>
                  <w:vAlign w:val="center"/>
                </w:tcPr>
                <w:p w14:paraId="7434BDF7">
                  <w:pPr>
                    <w:spacing w:before="100" w:beforeAutospacing="1" w:after="100" w:afterAutospacing="1"/>
                    <w:jc w:val="center"/>
                    <w:outlineLvl w:val="0"/>
                    <w:rPr>
                      <w:rFonts w:ascii="宋体" w:hAnsi="宋体"/>
                      <w:sz w:val="18"/>
                    </w:rPr>
                  </w:pPr>
                </w:p>
              </w:tc>
              <w:tc>
                <w:tcPr>
                  <w:tcW w:w="1974" w:type="dxa"/>
                  <w:tcBorders>
                    <w:top w:val="single" w:color="auto" w:sz="4" w:space="0"/>
                    <w:left w:val="single" w:color="auto" w:sz="4" w:space="0"/>
                    <w:bottom w:val="single" w:color="auto" w:sz="4" w:space="0"/>
                    <w:right w:val="single" w:color="auto" w:sz="4" w:space="0"/>
                  </w:tcBorders>
                  <w:noWrap w:val="0"/>
                  <w:vAlign w:val="center"/>
                </w:tcPr>
                <w:p w14:paraId="71E00C2E">
                  <w:pPr>
                    <w:spacing w:before="100" w:beforeAutospacing="1" w:after="100" w:afterAutospacing="1"/>
                    <w:jc w:val="center"/>
                    <w:outlineLvl w:val="0"/>
                    <w:rPr>
                      <w:rFonts w:hint="eastAsia" w:ascii="宋体" w:hAnsi="宋体" w:eastAsia="宋体" w:cs="宋体"/>
                      <w:sz w:val="18"/>
                    </w:rPr>
                  </w:pPr>
                  <w:bookmarkStart w:id="220" w:name="_Toc14532"/>
                  <w:bookmarkStart w:id="221" w:name="_Toc29727"/>
                  <w:r>
                    <w:rPr>
                      <w:rFonts w:hint="eastAsia" w:ascii="宋体" w:hAnsi="宋体" w:eastAsia="宋体" w:cs="宋体"/>
                      <w:sz w:val="18"/>
                    </w:rPr>
                    <w:t>喷塑漆膜耐盐雾</w:t>
                  </w:r>
                  <w:bookmarkEnd w:id="220"/>
                  <w:bookmarkEnd w:id="221"/>
                </w:p>
              </w:tc>
              <w:tc>
                <w:tcPr>
                  <w:tcW w:w="3208" w:type="dxa"/>
                  <w:tcBorders>
                    <w:top w:val="single" w:color="auto" w:sz="4" w:space="0"/>
                    <w:left w:val="single" w:color="auto" w:sz="4" w:space="0"/>
                    <w:bottom w:val="single" w:color="auto" w:sz="4" w:space="0"/>
                    <w:right w:val="single" w:color="auto" w:sz="12" w:space="0"/>
                  </w:tcBorders>
                  <w:noWrap w:val="0"/>
                  <w:vAlign w:val="center"/>
                </w:tcPr>
                <w:p w14:paraId="788DC89B">
                  <w:pPr>
                    <w:spacing w:before="100" w:beforeAutospacing="1" w:after="100" w:afterAutospacing="1"/>
                    <w:jc w:val="center"/>
                    <w:outlineLvl w:val="0"/>
                    <w:rPr>
                      <w:rFonts w:hint="eastAsia" w:ascii="宋体" w:hAnsi="宋体" w:eastAsia="宋体" w:cs="宋体"/>
                      <w:sz w:val="18"/>
                    </w:rPr>
                  </w:pPr>
                  <w:bookmarkStart w:id="222" w:name="_Toc29540"/>
                  <w:bookmarkStart w:id="223" w:name="_Toc28892"/>
                  <w:r>
                    <w:rPr>
                      <w:rFonts w:hint="eastAsia" w:ascii="宋体" w:hAnsi="宋体" w:eastAsia="宋体" w:cs="宋体"/>
                      <w:sz w:val="18"/>
                    </w:rPr>
                    <w:t>中性盐雾喷雾96</w:t>
                  </w:r>
                  <w:r>
                    <w:rPr>
                      <w:rFonts w:hint="eastAsia" w:ascii="宋体" w:hAnsi="宋体" w:eastAsia="宋体" w:cs="宋体"/>
                      <w:sz w:val="18"/>
                      <w:lang w:val="en-US" w:eastAsia="zh-CN"/>
                    </w:rPr>
                    <w:t xml:space="preserve"> </w:t>
                  </w:r>
                  <w:r>
                    <w:rPr>
                      <w:rFonts w:hint="eastAsia" w:ascii="宋体" w:hAnsi="宋体" w:eastAsia="宋体" w:cs="宋体"/>
                      <w:sz w:val="18"/>
                    </w:rPr>
                    <w:t>h，9</w:t>
                  </w:r>
                  <w:r>
                    <w:rPr>
                      <w:rFonts w:hint="eastAsia" w:ascii="宋体" w:hAnsi="宋体" w:eastAsia="宋体" w:cs="宋体"/>
                      <w:spacing w:val="60"/>
                      <w:sz w:val="18"/>
                    </w:rPr>
                    <w:t>6</w:t>
                  </w:r>
                  <w:r>
                    <w:rPr>
                      <w:rFonts w:hint="eastAsia" w:ascii="宋体" w:hAnsi="宋体" w:eastAsia="宋体" w:cs="宋体"/>
                      <w:sz w:val="18"/>
                    </w:rPr>
                    <w:t>h膜层不起泡，不脱落，无锈斑</w:t>
                  </w:r>
                  <w:bookmarkEnd w:id="222"/>
                  <w:bookmarkEnd w:id="223"/>
                </w:p>
              </w:tc>
            </w:tr>
            <w:tr w14:paraId="5F2B59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3" w:hRule="atLeast"/>
              </w:trPr>
              <w:tc>
                <w:tcPr>
                  <w:tcW w:w="1057" w:type="dxa"/>
                  <w:tcBorders>
                    <w:top w:val="single" w:color="auto" w:sz="4" w:space="0"/>
                    <w:left w:val="single" w:color="auto" w:sz="12" w:space="0"/>
                    <w:bottom w:val="single" w:color="auto" w:sz="12" w:space="0"/>
                    <w:right w:val="single" w:color="auto" w:sz="4" w:space="0"/>
                  </w:tcBorders>
                  <w:noWrap w:val="0"/>
                  <w:vAlign w:val="center"/>
                </w:tcPr>
                <w:p w14:paraId="5B11E4CA">
                  <w:pPr>
                    <w:spacing w:line="0" w:lineRule="atLeast"/>
                    <w:jc w:val="center"/>
                    <w:outlineLvl w:val="0"/>
                    <w:rPr>
                      <w:rFonts w:hAnsi="宋体"/>
                      <w:sz w:val="18"/>
                    </w:rPr>
                  </w:pPr>
                  <w:bookmarkStart w:id="224" w:name="_Toc418769759"/>
                  <w:bookmarkStart w:id="225" w:name="_Toc4075"/>
                  <w:bookmarkStart w:id="226" w:name="_Toc26203"/>
                  <w:bookmarkStart w:id="227" w:name="_Toc24115"/>
                  <w:bookmarkStart w:id="228" w:name="_Toc7814"/>
                  <w:bookmarkStart w:id="229" w:name="_Toc418767546"/>
                  <w:r>
                    <w:rPr>
                      <w:rFonts w:hAnsi="宋体"/>
                      <w:sz w:val="18"/>
                    </w:rPr>
                    <w:t>电镀锌配件</w:t>
                  </w:r>
                  <w:bookmarkEnd w:id="224"/>
                  <w:bookmarkEnd w:id="225"/>
                  <w:bookmarkEnd w:id="226"/>
                  <w:bookmarkEnd w:id="227"/>
                  <w:bookmarkEnd w:id="228"/>
                  <w:bookmarkEnd w:id="229"/>
                </w:p>
              </w:tc>
              <w:tc>
                <w:tcPr>
                  <w:tcW w:w="1974" w:type="dxa"/>
                  <w:tcBorders>
                    <w:top w:val="single" w:color="auto" w:sz="4" w:space="0"/>
                    <w:left w:val="single" w:color="auto" w:sz="4" w:space="0"/>
                    <w:bottom w:val="single" w:color="auto" w:sz="12" w:space="0"/>
                    <w:right w:val="single" w:color="auto" w:sz="4" w:space="0"/>
                  </w:tcBorders>
                  <w:noWrap w:val="0"/>
                  <w:vAlign w:val="center"/>
                </w:tcPr>
                <w:p w14:paraId="1A171949">
                  <w:pPr>
                    <w:spacing w:line="0" w:lineRule="atLeast"/>
                    <w:jc w:val="center"/>
                    <w:outlineLvl w:val="0"/>
                    <w:rPr>
                      <w:rFonts w:hint="eastAsia" w:ascii="宋体" w:hAnsi="宋体" w:eastAsia="宋体" w:cs="宋体"/>
                      <w:sz w:val="18"/>
                    </w:rPr>
                  </w:pPr>
                  <w:bookmarkStart w:id="230" w:name="_Toc26935"/>
                  <w:bookmarkStart w:id="231" w:name="_Toc418769762"/>
                  <w:bookmarkStart w:id="232" w:name="_Toc10435"/>
                  <w:bookmarkStart w:id="233" w:name="_Toc418767549"/>
                  <w:bookmarkStart w:id="234" w:name="_Toc7753"/>
                  <w:bookmarkStart w:id="235" w:name="_Toc5061"/>
                  <w:r>
                    <w:rPr>
                      <w:rFonts w:hint="eastAsia" w:ascii="宋体" w:hAnsi="宋体" w:eastAsia="宋体" w:cs="宋体"/>
                      <w:sz w:val="18"/>
                    </w:rPr>
                    <w:t>锌镀层耐腐蚀</w:t>
                  </w:r>
                  <w:bookmarkEnd w:id="230"/>
                  <w:bookmarkEnd w:id="231"/>
                  <w:bookmarkEnd w:id="232"/>
                  <w:bookmarkEnd w:id="233"/>
                  <w:bookmarkEnd w:id="234"/>
                  <w:bookmarkEnd w:id="235"/>
                </w:p>
              </w:tc>
              <w:tc>
                <w:tcPr>
                  <w:tcW w:w="3208" w:type="dxa"/>
                  <w:tcBorders>
                    <w:top w:val="single" w:color="auto" w:sz="4" w:space="0"/>
                    <w:left w:val="single" w:color="auto" w:sz="4" w:space="0"/>
                    <w:bottom w:val="single" w:color="auto" w:sz="12" w:space="0"/>
                    <w:right w:val="single" w:color="auto" w:sz="12" w:space="0"/>
                  </w:tcBorders>
                  <w:noWrap w:val="0"/>
                  <w:vAlign w:val="center"/>
                </w:tcPr>
                <w:p w14:paraId="7CD79D24">
                  <w:pPr>
                    <w:spacing w:line="0" w:lineRule="atLeast"/>
                    <w:jc w:val="center"/>
                    <w:outlineLvl w:val="0"/>
                    <w:rPr>
                      <w:rFonts w:hint="eastAsia" w:ascii="宋体" w:hAnsi="宋体" w:eastAsia="宋体" w:cs="宋体"/>
                      <w:sz w:val="18"/>
                    </w:rPr>
                  </w:pPr>
                  <w:bookmarkStart w:id="236" w:name="_Toc16258"/>
                  <w:bookmarkStart w:id="237" w:name="_Toc418767550"/>
                  <w:bookmarkStart w:id="238" w:name="_Toc5072"/>
                  <w:bookmarkStart w:id="239" w:name="_Toc1309"/>
                  <w:bookmarkStart w:id="240" w:name="_Toc418769763"/>
                  <w:bookmarkStart w:id="241" w:name="_Toc16518"/>
                  <w:r>
                    <w:rPr>
                      <w:rFonts w:hint="eastAsia" w:ascii="宋体" w:hAnsi="宋体" w:eastAsia="宋体" w:cs="宋体"/>
                      <w:sz w:val="18"/>
                    </w:rPr>
                    <w:t>中性盐雾喷雾48 h，主要表面无锈斑</w:t>
                  </w:r>
                  <w:bookmarkEnd w:id="236"/>
                  <w:bookmarkEnd w:id="237"/>
                  <w:bookmarkEnd w:id="238"/>
                  <w:bookmarkEnd w:id="239"/>
                  <w:bookmarkEnd w:id="240"/>
                  <w:bookmarkEnd w:id="241"/>
                </w:p>
              </w:tc>
            </w:tr>
          </w:tbl>
          <w:p w14:paraId="21F73683">
            <w:pPr>
              <w:pStyle w:val="434"/>
              <w:ind w:left="420" w:leftChars="200" w:firstLine="0" w:firstLineChars="0"/>
              <w:rPr>
                <w:rFonts w:hint="eastAsia"/>
                <w:color w:val="auto"/>
                <w:highlight w:val="none"/>
              </w:rPr>
            </w:pPr>
            <w:bookmarkStart w:id="242" w:name="_Toc334455152"/>
            <w:bookmarkStart w:id="243" w:name="_Toc28490"/>
            <w:bookmarkStart w:id="244" w:name="_Toc15650"/>
            <w:r>
              <w:rPr>
                <w:rFonts w:hint="eastAsia"/>
                <w:color w:val="auto"/>
                <w:highlight w:val="none"/>
              </w:rPr>
              <w:t>标志</w:t>
            </w:r>
            <w:bookmarkEnd w:id="242"/>
            <w:bookmarkEnd w:id="243"/>
            <w:bookmarkEnd w:id="244"/>
          </w:p>
          <w:p w14:paraId="0BEE5B73">
            <w:pPr>
              <w:pStyle w:val="282"/>
              <w:numPr>
                <w:ilvl w:val="3"/>
                <w:numId w:val="0"/>
              </w:numPr>
              <w:ind w:leftChars="200"/>
              <w:rPr>
                <w:rFonts w:hint="eastAsia" w:ascii="Times New Roman"/>
                <w:color w:val="auto"/>
                <w:highlight w:val="none"/>
              </w:rPr>
            </w:pPr>
            <w:r>
              <w:rPr>
                <w:rFonts w:hint="eastAsia"/>
                <w:color w:val="auto"/>
                <w:highlight w:val="none"/>
                <w:lang w:val="en-US" w:eastAsia="zh-CN"/>
              </w:rPr>
              <w:t>8.1</w:t>
            </w:r>
            <w:r>
              <w:rPr>
                <w:rFonts w:hint="eastAsia"/>
                <w:color w:val="auto"/>
                <w:highlight w:val="none"/>
              </w:rPr>
              <w:t>木板折叠床床架</w:t>
            </w:r>
            <w:r>
              <w:rPr>
                <w:rFonts w:hint="eastAsia" w:ascii="Times New Roman"/>
                <w:color w:val="auto"/>
                <w:highlight w:val="none"/>
              </w:rPr>
              <w:t>管上印</w:t>
            </w:r>
            <w:r>
              <w:rPr>
                <w:rFonts w:hint="eastAsia" w:ascii="Times New Roman"/>
                <w:color w:val="auto"/>
                <w:highlight w:val="none"/>
                <w:lang w:eastAsia="zh-CN"/>
              </w:rPr>
              <w:t>“</w:t>
            </w:r>
            <w:r>
              <w:rPr>
                <w:rFonts w:hint="eastAsia" w:ascii="Times New Roman"/>
                <w:color w:val="auto"/>
                <w:highlight w:val="none"/>
                <w:lang w:val="en-US" w:eastAsia="zh-CN"/>
              </w:rPr>
              <w:t>调拨单位：松原市应急管理局</w:t>
            </w:r>
            <w:r>
              <w:rPr>
                <w:rFonts w:hint="eastAsia" w:ascii="Times New Roman"/>
                <w:color w:val="auto"/>
                <w:highlight w:val="none"/>
                <w:lang w:eastAsia="zh-CN"/>
              </w:rPr>
              <w:t>”“</w:t>
            </w:r>
            <w:r>
              <w:rPr>
                <w:rFonts w:hint="eastAsia" w:ascii="Times New Roman"/>
                <w:color w:val="auto"/>
                <w:highlight w:val="none"/>
                <w:lang w:val="en-US" w:eastAsia="zh-CN"/>
              </w:rPr>
              <w:t>采购及监制单位：松原市粮食和物资储备局</w:t>
            </w:r>
            <w:r>
              <w:rPr>
                <w:rFonts w:hint="eastAsia" w:ascii="Times New Roman"/>
                <w:color w:val="auto"/>
                <w:highlight w:val="none"/>
                <w:lang w:eastAsia="zh-CN"/>
              </w:rPr>
              <w:t>”</w:t>
            </w:r>
            <w:r>
              <w:rPr>
                <w:rFonts w:hint="eastAsia" w:ascii="Times New Roman"/>
                <w:color w:val="auto"/>
                <w:highlight w:val="none"/>
              </w:rPr>
              <w:t>。</w:t>
            </w:r>
          </w:p>
          <w:p w14:paraId="1A7DFA3B">
            <w:pPr>
              <w:pStyle w:val="282"/>
              <w:numPr>
                <w:ilvl w:val="3"/>
                <w:numId w:val="0"/>
              </w:numPr>
              <w:ind w:leftChars="200"/>
              <w:rPr>
                <w:rFonts w:ascii="Times New Roman"/>
              </w:rPr>
            </w:pPr>
            <w:r>
              <w:rPr>
                <w:rFonts w:hint="eastAsia"/>
                <w:lang w:val="en-US" w:eastAsia="zh-CN"/>
              </w:rPr>
              <w:t>8.2</w:t>
            </w:r>
            <w:r>
              <w:rPr>
                <w:rFonts w:ascii="Times New Roman"/>
              </w:rPr>
              <w:t>产品标志应端正、清晰、色度饱满、布局合理、牢固，不应露底色，不应脏污。</w:t>
            </w:r>
            <w:r>
              <w:rPr>
                <w:rFonts w:hint="eastAsia" w:ascii="Times New Roman"/>
              </w:rPr>
              <w:t>印刷用白色油墨，</w:t>
            </w:r>
            <w:r>
              <w:rPr>
                <w:rFonts w:ascii="Times New Roman"/>
              </w:rPr>
              <w:t>字体高度为</w:t>
            </w:r>
            <w:r>
              <w:rPr>
                <w:rFonts w:hint="eastAsia" w:ascii="Times New Roman"/>
              </w:rPr>
              <w:t>35</w:t>
            </w:r>
            <w:r>
              <w:rPr>
                <w:rFonts w:hint="eastAsia" w:ascii="Times New Roman"/>
                <w:lang w:val="en-US" w:eastAsia="zh-CN"/>
              </w:rPr>
              <w:t xml:space="preserve"> </w:t>
            </w:r>
            <w:r>
              <w:rPr>
                <w:rFonts w:hint="eastAsia" w:ascii="Times New Roman"/>
              </w:rPr>
              <w:t>mm平头标准黑体字。</w:t>
            </w:r>
          </w:p>
          <w:p w14:paraId="74ABAA6C">
            <w:pPr>
              <w:pStyle w:val="434"/>
              <w:numPr>
                <w:ilvl w:val="1"/>
                <w:numId w:val="9"/>
              </w:numPr>
              <w:rPr>
                <w:rFonts w:hint="eastAsia"/>
              </w:rPr>
            </w:pPr>
            <w:bookmarkStart w:id="245" w:name="_Toc6438"/>
            <w:bookmarkStart w:id="246" w:name="_Toc6446"/>
            <w:bookmarkStart w:id="247" w:name="_Toc334455153"/>
            <w:r>
              <w:rPr>
                <w:rFonts w:hint="eastAsia"/>
              </w:rPr>
              <w:t>工艺</w:t>
            </w:r>
            <w:bookmarkEnd w:id="245"/>
            <w:bookmarkEnd w:id="246"/>
            <w:bookmarkEnd w:id="247"/>
            <w:r>
              <w:rPr>
                <w:rFonts w:hint="eastAsia"/>
              </w:rPr>
              <w:t xml:space="preserve"> </w:t>
            </w:r>
          </w:p>
          <w:p w14:paraId="0CE56F6B">
            <w:pPr>
              <w:pStyle w:val="282"/>
              <w:numPr>
                <w:ilvl w:val="2"/>
                <w:numId w:val="9"/>
              </w:numPr>
              <w:ind w:left="420" w:leftChars="200" w:firstLine="0" w:firstLineChars="0"/>
              <w:rPr>
                <w:rFonts w:hint="eastAsia" w:ascii="宋体" w:hAnsi="宋体" w:cs="宋体"/>
              </w:rPr>
            </w:pPr>
            <w:r>
              <w:rPr>
                <w:rFonts w:hint="eastAsia" w:ascii="宋体" w:hAnsi="宋体" w:cs="宋体"/>
              </w:rPr>
              <w:t>床架焊接部位应形位准确、焊接牢固。</w:t>
            </w:r>
          </w:p>
          <w:p w14:paraId="4C3A3768">
            <w:pPr>
              <w:pStyle w:val="282"/>
              <w:numPr>
                <w:ilvl w:val="2"/>
                <w:numId w:val="9"/>
              </w:numPr>
              <w:ind w:left="420" w:leftChars="200" w:firstLine="0" w:firstLineChars="0"/>
              <w:rPr>
                <w:rFonts w:hint="eastAsia" w:ascii="宋体" w:hAnsi="宋体" w:cs="宋体"/>
              </w:rPr>
            </w:pPr>
            <w:r>
              <w:rPr>
                <w:rFonts w:hint="eastAsia" w:ascii="宋体" w:hAnsi="宋体" w:cs="宋体"/>
              </w:rPr>
              <w:t>通头内壁的焊缝应去除毛刺，与框架各杆件相互插接应配合到位、灵活。</w:t>
            </w:r>
          </w:p>
          <w:p w14:paraId="6BDBE577">
            <w:pPr>
              <w:pStyle w:val="282"/>
              <w:numPr>
                <w:ilvl w:val="2"/>
                <w:numId w:val="9"/>
              </w:numPr>
              <w:ind w:left="420" w:leftChars="200" w:firstLine="0" w:firstLineChars="0"/>
              <w:rPr>
                <w:rFonts w:hint="eastAsia" w:ascii="宋体" w:hAnsi="宋体" w:cs="宋体"/>
              </w:rPr>
            </w:pPr>
            <w:r>
              <w:rPr>
                <w:rFonts w:hint="eastAsia" w:ascii="宋体" w:hAnsi="宋体" w:cs="宋体"/>
              </w:rPr>
              <w:t>床架、床头及连接件各配件喷塑前需除油、除锈、磷化处理后再进行喷塑环氧树脂处理，颜色为天蓝色PANTONG19-4049，色相应均匀、漆膜应饱满、光洁、均匀、牢固，不得有露底、</w:t>
            </w:r>
            <w:r>
              <w:rPr>
                <w:rFonts w:hint="eastAsia" w:ascii="Times New Roman" w:hAnsi="宋体"/>
              </w:rPr>
              <w:t>桔皮、</w:t>
            </w:r>
            <w:r>
              <w:rPr>
                <w:rFonts w:hint="eastAsia" w:ascii="宋体" w:hAnsi="宋体" w:cs="宋体"/>
              </w:rPr>
              <w:t>积粉、流挂、皱皮、</w:t>
            </w:r>
            <w:r>
              <w:rPr>
                <w:rFonts w:ascii="Times New Roman" w:hAnsi="宋体"/>
              </w:rPr>
              <w:t>裂纹</w:t>
            </w:r>
            <w:r>
              <w:rPr>
                <w:rFonts w:hint="eastAsia" w:ascii="宋体" w:hAnsi="宋体" w:cs="宋体"/>
              </w:rPr>
              <w:t>等缺陷</w:t>
            </w:r>
            <w:r>
              <w:rPr>
                <w:rFonts w:hint="eastAsia" w:ascii="宋体" w:hAnsi="宋体" w:cs="宋体"/>
                <w:lang w:eastAsia="zh-CN"/>
              </w:rPr>
              <w:t>。</w:t>
            </w:r>
          </w:p>
          <w:p w14:paraId="71A82904">
            <w:pPr>
              <w:pStyle w:val="282"/>
              <w:numPr>
                <w:ilvl w:val="2"/>
                <w:numId w:val="9"/>
              </w:numPr>
              <w:ind w:left="420" w:leftChars="200" w:firstLine="0" w:firstLineChars="0"/>
              <w:rPr>
                <w:rFonts w:hint="eastAsia" w:ascii="宋体" w:hAnsi="宋体" w:cs="宋体"/>
              </w:rPr>
            </w:pPr>
            <w:r>
              <w:rPr>
                <w:rFonts w:hint="eastAsia" w:ascii="宋体" w:hAnsi="宋体" w:cs="宋体"/>
              </w:rPr>
              <w:t>床面板采用螺钉固定在床架上，应结合牢固，螺钉表面光洁、无毛刺</w:t>
            </w:r>
            <w:r>
              <w:rPr>
                <w:rFonts w:ascii="宋体" w:hAnsi="宋体" w:cs="宋体"/>
              </w:rPr>
              <w:t>。</w:t>
            </w:r>
          </w:p>
          <w:p w14:paraId="28259CA7">
            <w:pPr>
              <w:pStyle w:val="282"/>
              <w:numPr>
                <w:ilvl w:val="2"/>
                <w:numId w:val="9"/>
              </w:numPr>
              <w:ind w:left="420" w:leftChars="200" w:firstLine="0" w:firstLineChars="0"/>
              <w:rPr>
                <w:rFonts w:hint="eastAsia" w:ascii="宋体" w:hAnsi="宋体" w:cs="宋体"/>
              </w:rPr>
            </w:pPr>
            <w:r>
              <w:rPr>
                <w:rFonts w:hint="eastAsia" w:ascii="宋体" w:hAnsi="宋体" w:cs="宋体"/>
              </w:rPr>
              <w:t>床面板的面皮材质，厚度要均匀，无拼接、无裂纹、无疤节，无起层、起皮缺陷。两块床面板的面皮色相要基本一致。</w:t>
            </w:r>
          </w:p>
          <w:p w14:paraId="6C2FA91B">
            <w:pPr>
              <w:pStyle w:val="282"/>
              <w:numPr>
                <w:ilvl w:val="2"/>
                <w:numId w:val="9"/>
              </w:numPr>
              <w:ind w:left="420" w:leftChars="200" w:firstLine="0" w:firstLineChars="0"/>
              <w:rPr>
                <w:rFonts w:hint="eastAsia" w:ascii="宋体" w:hAnsi="宋体" w:cs="宋体"/>
              </w:rPr>
            </w:pPr>
            <w:r>
              <w:rPr>
                <w:rFonts w:hint="eastAsia" w:ascii="宋体" w:hAnsi="宋体" w:cs="宋体"/>
              </w:rPr>
              <w:t>木板折叠床静态载荷要求：承压500</w:t>
            </w:r>
            <w:r>
              <w:rPr>
                <w:rFonts w:hint="eastAsia" w:ascii="宋体" w:hAnsi="宋体" w:cs="宋体"/>
                <w:lang w:val="en-US" w:eastAsia="zh-CN"/>
              </w:rPr>
              <w:t xml:space="preserve"> </w:t>
            </w:r>
            <w:r>
              <w:rPr>
                <w:rFonts w:hint="eastAsia" w:ascii="宋体" w:hAnsi="宋体" w:cs="宋体"/>
              </w:rPr>
              <w:t>KG，静压4小时后无明显变型。</w:t>
            </w:r>
          </w:p>
          <w:p w14:paraId="466C6659">
            <w:pPr>
              <w:pStyle w:val="434"/>
              <w:numPr>
                <w:ilvl w:val="1"/>
                <w:numId w:val="9"/>
              </w:numPr>
              <w:tabs>
                <w:tab w:val="left" w:pos="0"/>
              </w:tabs>
              <w:rPr>
                <w:rFonts w:ascii="Times New Roman"/>
              </w:rPr>
            </w:pPr>
            <w:bookmarkStart w:id="248" w:name="_Toc334455154"/>
            <w:bookmarkStart w:id="249" w:name="_Toc28662"/>
            <w:bookmarkStart w:id="250" w:name="_Toc17215"/>
            <w:r>
              <w:rPr>
                <w:rFonts w:ascii="Times New Roman"/>
              </w:rPr>
              <w:t>外观</w:t>
            </w:r>
            <w:bookmarkEnd w:id="248"/>
            <w:bookmarkEnd w:id="249"/>
            <w:bookmarkEnd w:id="250"/>
          </w:p>
          <w:p w14:paraId="5A094217">
            <w:pPr>
              <w:pStyle w:val="282"/>
              <w:numPr>
                <w:ilvl w:val="2"/>
                <w:numId w:val="9"/>
              </w:numPr>
              <w:tabs>
                <w:tab w:val="left" w:pos="0"/>
              </w:tabs>
              <w:ind w:left="420" w:leftChars="200" w:firstLine="0" w:firstLineChars="0"/>
              <w:rPr>
                <w:rFonts w:ascii="Times New Roman"/>
              </w:rPr>
            </w:pPr>
            <w:r>
              <w:rPr>
                <w:rFonts w:hint="eastAsia" w:ascii="Times New Roman" w:hAnsi="宋体"/>
              </w:rPr>
              <w:t>床板</w:t>
            </w:r>
            <w:r>
              <w:rPr>
                <w:rFonts w:ascii="Times New Roman" w:hAnsi="宋体"/>
              </w:rPr>
              <w:t>与</w:t>
            </w:r>
            <w:r>
              <w:rPr>
                <w:rFonts w:hint="eastAsia" w:ascii="Times New Roman" w:hAnsi="宋体"/>
              </w:rPr>
              <w:t>床</w:t>
            </w:r>
            <w:r>
              <w:rPr>
                <w:rFonts w:ascii="Times New Roman" w:hAnsi="宋体"/>
              </w:rPr>
              <w:t>架组装</w:t>
            </w:r>
            <w:r>
              <w:rPr>
                <w:rFonts w:hint="eastAsia" w:ascii="Times New Roman" w:hAnsi="宋体"/>
              </w:rPr>
              <w:t>后，</w:t>
            </w:r>
            <w:r>
              <w:rPr>
                <w:rFonts w:ascii="Times New Roman" w:hAnsi="宋体"/>
              </w:rPr>
              <w:t>松紧适宜，不应过松、过紧</w:t>
            </w:r>
            <w:r>
              <w:rPr>
                <w:rFonts w:ascii="Times New Roman"/>
              </w:rPr>
              <w:t>。</w:t>
            </w:r>
          </w:p>
          <w:p w14:paraId="47E6DAC5">
            <w:pPr>
              <w:numPr>
                <w:ilvl w:val="2"/>
                <w:numId w:val="9"/>
              </w:numPr>
              <w:ind w:left="420" w:leftChars="200" w:firstLine="0" w:firstLineChars="0"/>
              <w:rPr>
                <w:rFonts w:hint="eastAsia" w:hAnsi="宋体"/>
                <w:kern w:val="0"/>
                <w:szCs w:val="20"/>
              </w:rPr>
            </w:pPr>
            <w:r>
              <w:rPr>
                <w:rFonts w:hint="eastAsia" w:hAnsi="宋体"/>
                <w:kern w:val="0"/>
                <w:szCs w:val="20"/>
              </w:rPr>
              <w:t>床板应平整、无严重色差、无开裂，胶合板的正反面上不得出现霉斑，应无腐朽和虫蛀。</w:t>
            </w:r>
          </w:p>
          <w:p w14:paraId="2D5963CA">
            <w:pPr>
              <w:pStyle w:val="282"/>
              <w:numPr>
                <w:ilvl w:val="2"/>
                <w:numId w:val="9"/>
              </w:numPr>
              <w:tabs>
                <w:tab w:val="left" w:pos="0"/>
              </w:tabs>
              <w:ind w:left="420" w:leftChars="200" w:firstLine="0" w:firstLineChars="0"/>
              <w:rPr>
                <w:rFonts w:hint="eastAsia" w:ascii="Times New Roman" w:hAnsi="宋体"/>
              </w:rPr>
            </w:pPr>
            <w:r>
              <w:rPr>
                <w:rFonts w:hint="eastAsia" w:ascii="Times New Roman" w:hAnsi="宋体"/>
              </w:rPr>
              <w:t>床板与床框要平齐，四边间隙均匀适宜。</w:t>
            </w:r>
          </w:p>
          <w:p w14:paraId="76BDFCC9">
            <w:pPr>
              <w:pStyle w:val="282"/>
              <w:numPr>
                <w:ilvl w:val="2"/>
                <w:numId w:val="9"/>
              </w:numPr>
              <w:tabs>
                <w:tab w:val="left" w:pos="0"/>
              </w:tabs>
              <w:ind w:left="420" w:leftChars="200" w:firstLine="0" w:firstLineChars="0"/>
              <w:rPr>
                <w:rFonts w:hint="eastAsia" w:ascii="Times New Roman" w:hAnsi="宋体"/>
              </w:rPr>
            </w:pPr>
            <w:r>
              <w:rPr>
                <w:rFonts w:hint="eastAsia" w:ascii="Times New Roman" w:hAnsi="宋体"/>
              </w:rPr>
              <w:t>床整体支撑后水平偏差不得超过5</w:t>
            </w:r>
            <w:r>
              <w:rPr>
                <w:rFonts w:hint="eastAsia" w:ascii="Times New Roman" w:hAnsi="宋体"/>
                <w:lang w:val="en-US" w:eastAsia="zh-CN"/>
              </w:rPr>
              <w:t xml:space="preserve"> </w:t>
            </w:r>
            <w:r>
              <w:rPr>
                <w:rFonts w:hint="eastAsia" w:ascii="Times New Roman" w:hAnsi="宋体"/>
              </w:rPr>
              <w:t>mm。</w:t>
            </w:r>
          </w:p>
          <w:p w14:paraId="35AE67DC">
            <w:pPr>
              <w:pStyle w:val="282"/>
              <w:numPr>
                <w:ilvl w:val="2"/>
                <w:numId w:val="9"/>
              </w:numPr>
              <w:tabs>
                <w:tab w:val="left" w:pos="0"/>
              </w:tabs>
              <w:ind w:left="420" w:leftChars="200" w:firstLine="0" w:firstLineChars="0"/>
              <w:rPr>
                <w:rFonts w:ascii="Times New Roman" w:hAnsi="宋体"/>
              </w:rPr>
            </w:pPr>
            <w:r>
              <w:rPr>
                <w:rFonts w:hint="eastAsia" w:ascii="Times New Roman" w:hAnsi="宋体"/>
              </w:rPr>
              <w:t>连接件与床架的螺钉连接松紧适度，铆合应牢固。</w:t>
            </w:r>
          </w:p>
          <w:bookmarkEnd w:id="205"/>
          <w:bookmarkEnd w:id="206"/>
          <w:bookmarkEnd w:id="207"/>
          <w:p w14:paraId="34BD7328">
            <w:pPr>
              <w:pStyle w:val="434"/>
              <w:numPr>
                <w:ilvl w:val="1"/>
                <w:numId w:val="9"/>
              </w:numPr>
              <w:tabs>
                <w:tab w:val="left" w:pos="0"/>
              </w:tabs>
              <w:rPr>
                <w:rFonts w:hint="eastAsia" w:ascii="Times New Roman"/>
              </w:rPr>
            </w:pPr>
            <w:bookmarkStart w:id="251" w:name="_Toc69291609"/>
            <w:bookmarkStart w:id="252" w:name="_Toc12151"/>
            <w:bookmarkStart w:id="253" w:name="_Toc71215202"/>
            <w:bookmarkStart w:id="254" w:name="_Toc4591"/>
            <w:bookmarkStart w:id="255" w:name="_Toc69291561"/>
            <w:bookmarkStart w:id="256" w:name="_Toc334455155"/>
            <w:bookmarkStart w:id="257" w:name="_Toc71215108"/>
            <w:bookmarkStart w:id="258" w:name="_Toc71087744"/>
            <w:bookmarkStart w:id="259" w:name="_Toc71087684"/>
            <w:r>
              <w:rPr>
                <w:rFonts w:hint="eastAsia" w:ascii="Times New Roman"/>
                <w:lang w:eastAsia="zh-CN"/>
              </w:rPr>
              <w:t>检验</w:t>
            </w:r>
            <w:r>
              <w:rPr>
                <w:rFonts w:hint="eastAsia" w:ascii="Times New Roman"/>
              </w:rPr>
              <w:t>方法</w:t>
            </w:r>
            <w:bookmarkEnd w:id="251"/>
            <w:bookmarkEnd w:id="252"/>
            <w:bookmarkEnd w:id="253"/>
            <w:bookmarkEnd w:id="254"/>
            <w:bookmarkEnd w:id="255"/>
            <w:bookmarkEnd w:id="256"/>
            <w:bookmarkEnd w:id="257"/>
            <w:bookmarkEnd w:id="258"/>
            <w:bookmarkEnd w:id="259"/>
          </w:p>
          <w:p w14:paraId="63D69C8A">
            <w:pPr>
              <w:pStyle w:val="434"/>
              <w:numPr>
                <w:ilvl w:val="1"/>
                <w:numId w:val="0"/>
              </w:numPr>
              <w:ind w:leftChars="193"/>
              <w:rPr>
                <w:rFonts w:hint="eastAsia" w:hAnsi="黑体"/>
                <w:kern w:val="24"/>
              </w:rPr>
            </w:pPr>
            <w:bookmarkStart w:id="260" w:name="_Toc3588"/>
            <w:bookmarkStart w:id="261" w:name="_Toc31863"/>
            <w:bookmarkStart w:id="262" w:name="_Toc334455156"/>
            <w:bookmarkStart w:id="263" w:name="_Toc69291613"/>
            <w:bookmarkStart w:id="264" w:name="_Toc71087748"/>
            <w:bookmarkStart w:id="265" w:name="_Toc71215206"/>
            <w:r>
              <w:rPr>
                <w:rFonts w:hint="eastAsia" w:hAnsi="黑体"/>
                <w:kern w:val="24"/>
                <w:lang w:val="en-US" w:eastAsia="zh-CN"/>
              </w:rPr>
              <w:t>11.1</w:t>
            </w:r>
            <w:r>
              <w:rPr>
                <w:rFonts w:hint="eastAsia" w:hAnsi="黑体"/>
                <w:kern w:val="24"/>
              </w:rPr>
              <w:t>样式</w:t>
            </w:r>
            <w:r>
              <w:rPr>
                <w:rFonts w:hAnsi="黑体"/>
                <w:kern w:val="24"/>
              </w:rPr>
              <w:t>结构</w:t>
            </w:r>
            <w:r>
              <w:rPr>
                <w:rFonts w:hint="eastAsia" w:hAnsi="黑体"/>
                <w:kern w:val="24"/>
              </w:rPr>
              <w:t>尺寸</w:t>
            </w:r>
            <w:r>
              <w:rPr>
                <w:rFonts w:hAnsi="黑体"/>
                <w:kern w:val="24"/>
              </w:rPr>
              <w:t>检验</w:t>
            </w:r>
            <w:bookmarkEnd w:id="260"/>
            <w:bookmarkEnd w:id="261"/>
            <w:bookmarkEnd w:id="262"/>
          </w:p>
          <w:p w14:paraId="4C864946">
            <w:pPr>
              <w:pStyle w:val="269"/>
              <w:ind w:left="434" w:leftChars="200" w:hanging="14" w:hangingChars="7"/>
            </w:pPr>
            <w:r>
              <w:rPr>
                <w:rFonts w:ascii="Times New Roman" w:hAnsi="宋体"/>
                <w:kern w:val="24"/>
              </w:rPr>
              <w:t>用精度为</w:t>
            </w:r>
            <w:r>
              <w:rPr>
                <w:rFonts w:hint="eastAsia" w:ascii="Times New Roman"/>
                <w:kern w:val="24"/>
              </w:rPr>
              <w:t>1</w:t>
            </w:r>
            <w:r>
              <w:rPr>
                <w:rFonts w:ascii="Times New Roman"/>
                <w:kern w:val="24"/>
              </w:rPr>
              <w:t xml:space="preserve"> mm</w:t>
            </w:r>
            <w:r>
              <w:rPr>
                <w:rFonts w:ascii="Times New Roman" w:hAnsi="宋体"/>
                <w:kern w:val="24"/>
              </w:rPr>
              <w:t>的</w:t>
            </w:r>
            <w:r>
              <w:rPr>
                <w:rFonts w:hint="eastAsia" w:ascii="Times New Roman" w:hAnsi="宋体"/>
                <w:kern w:val="24"/>
              </w:rPr>
              <w:t>钢卷</w:t>
            </w:r>
            <w:r>
              <w:rPr>
                <w:rFonts w:ascii="Times New Roman" w:hAnsi="宋体"/>
                <w:kern w:val="24"/>
              </w:rPr>
              <w:t>尺检验</w:t>
            </w:r>
            <w:r>
              <w:rPr>
                <w:rFonts w:hint="eastAsia" w:ascii="Times New Roman" w:hAnsi="宋体"/>
                <w:kern w:val="24"/>
              </w:rPr>
              <w:t>木板折叠床的</w:t>
            </w:r>
            <w:r>
              <w:rPr>
                <w:rFonts w:ascii="Times New Roman" w:hAnsi="宋体"/>
                <w:kern w:val="24"/>
              </w:rPr>
              <w:t>尺寸</w:t>
            </w:r>
            <w:r>
              <w:rPr>
                <w:rFonts w:hint="eastAsia" w:ascii="Times New Roman" w:hAnsi="宋体"/>
                <w:kern w:val="24"/>
              </w:rPr>
              <w:t>；用</w:t>
            </w:r>
            <w:r>
              <w:rPr>
                <w:rFonts w:ascii="Times New Roman" w:hAnsi="宋体"/>
                <w:kern w:val="24"/>
              </w:rPr>
              <w:t>精度为</w:t>
            </w:r>
            <w:r>
              <w:rPr>
                <w:rFonts w:hint="eastAsia" w:ascii="Times New Roman"/>
                <w:kern w:val="24"/>
              </w:rPr>
              <w:t>0</w:t>
            </w:r>
            <w:r>
              <w:rPr>
                <w:rFonts w:ascii="Times New Roman"/>
                <w:kern w:val="24"/>
              </w:rPr>
              <w:t>.</w:t>
            </w:r>
            <w:r>
              <w:rPr>
                <w:rFonts w:hint="eastAsia" w:ascii="Times New Roman"/>
                <w:kern w:val="24"/>
              </w:rPr>
              <w:t>02</w:t>
            </w:r>
            <w:r>
              <w:rPr>
                <w:rFonts w:ascii="Times New Roman"/>
                <w:kern w:val="24"/>
              </w:rPr>
              <w:t xml:space="preserve"> mm</w:t>
            </w:r>
            <w:r>
              <w:rPr>
                <w:rFonts w:ascii="Times New Roman" w:hAnsi="宋体"/>
                <w:kern w:val="24"/>
              </w:rPr>
              <w:t>的</w:t>
            </w:r>
            <w:r>
              <w:rPr>
                <w:rFonts w:hint="eastAsia" w:ascii="Times New Roman" w:hAnsi="宋体"/>
                <w:kern w:val="24"/>
              </w:rPr>
              <w:t>卡</w:t>
            </w:r>
            <w:r>
              <w:rPr>
                <w:rFonts w:ascii="Times New Roman" w:hAnsi="宋体"/>
                <w:kern w:val="24"/>
              </w:rPr>
              <w:t>尺检验</w:t>
            </w:r>
            <w:r>
              <w:rPr>
                <w:rFonts w:hint="eastAsia" w:ascii="Times New Roman" w:hAnsi="宋体"/>
                <w:kern w:val="24"/>
              </w:rPr>
              <w:t>杆件</w:t>
            </w:r>
            <w:r>
              <w:rPr>
                <w:rFonts w:hint="eastAsia" w:hAnsi="宋体"/>
              </w:rPr>
              <w:t>直径</w:t>
            </w:r>
            <w:r>
              <w:rPr>
                <w:rFonts w:hint="eastAsia" w:ascii="Times New Roman" w:hAnsi="宋体"/>
                <w:kern w:val="24"/>
              </w:rPr>
              <w:t>的</w:t>
            </w:r>
            <w:r>
              <w:rPr>
                <w:rFonts w:ascii="Times New Roman" w:hAnsi="宋体"/>
                <w:kern w:val="24"/>
              </w:rPr>
              <w:t>尺寸</w:t>
            </w:r>
            <w:r>
              <w:rPr>
                <w:rFonts w:hint="eastAsia" w:ascii="Times New Roman" w:hAnsi="宋体"/>
                <w:kern w:val="24"/>
              </w:rPr>
              <w:t>，</w:t>
            </w:r>
            <w:r>
              <w:rPr>
                <w:rFonts w:hint="eastAsia" w:hAnsi="宋体"/>
                <w:kern w:val="24"/>
              </w:rPr>
              <w:t>判定</w:t>
            </w:r>
            <w:r>
              <w:rPr>
                <w:rFonts w:ascii="Times New Roman" w:hAnsi="宋体"/>
                <w:kern w:val="24"/>
              </w:rPr>
              <w:t>结果</w:t>
            </w:r>
            <w:r>
              <w:rPr>
                <w:rFonts w:hint="eastAsia" w:hAnsi="宋体"/>
                <w:kern w:val="24"/>
              </w:rPr>
              <w:t>是否</w:t>
            </w:r>
            <w:r>
              <w:rPr>
                <w:rFonts w:ascii="Times New Roman" w:hAnsi="宋体"/>
                <w:kern w:val="24"/>
              </w:rPr>
              <w:t>符合</w:t>
            </w:r>
            <w:r>
              <w:rPr>
                <w:rFonts w:hint="eastAsia" w:ascii="Times New Roman" w:hAnsi="宋体"/>
                <w:kern w:val="24"/>
              </w:rPr>
              <w:t>3</w:t>
            </w:r>
            <w:r>
              <w:rPr>
                <w:rFonts w:ascii="Times New Roman"/>
                <w:kern w:val="24"/>
              </w:rPr>
              <w:t>.</w:t>
            </w:r>
            <w:r>
              <w:rPr>
                <w:rFonts w:hint="eastAsia" w:ascii="Times New Roman"/>
                <w:kern w:val="24"/>
              </w:rPr>
              <w:t>1</w:t>
            </w:r>
            <w:r>
              <w:rPr>
                <w:rFonts w:ascii="Times New Roman" w:hAnsi="宋体"/>
                <w:kern w:val="24"/>
              </w:rPr>
              <w:t>的要求</w:t>
            </w:r>
            <w:r>
              <w:rPr>
                <w:rFonts w:ascii="Times New Roman" w:hAnsi="宋体"/>
              </w:rPr>
              <w:t>。</w:t>
            </w:r>
          </w:p>
          <w:p w14:paraId="5F3E5CF8">
            <w:pPr>
              <w:pStyle w:val="434"/>
              <w:numPr>
                <w:ilvl w:val="1"/>
                <w:numId w:val="0"/>
              </w:numPr>
              <w:ind w:leftChars="193"/>
              <w:rPr>
                <w:rFonts w:hAnsi="黑体"/>
              </w:rPr>
            </w:pPr>
            <w:bookmarkStart w:id="266" w:name="_Toc334455157"/>
            <w:bookmarkStart w:id="267" w:name="_Toc11503"/>
            <w:bookmarkStart w:id="268" w:name="_Toc13561"/>
            <w:r>
              <w:rPr>
                <w:rFonts w:hint="eastAsia" w:hAnsi="黑体"/>
                <w:kern w:val="24"/>
                <w:lang w:val="en-US" w:eastAsia="zh-CN"/>
              </w:rPr>
              <w:t>11.2</w:t>
            </w:r>
            <w:r>
              <w:rPr>
                <w:rFonts w:hAnsi="黑体"/>
                <w:kern w:val="24"/>
              </w:rPr>
              <w:t>颜色检验</w:t>
            </w:r>
            <w:bookmarkEnd w:id="266"/>
            <w:bookmarkEnd w:id="267"/>
            <w:bookmarkEnd w:id="268"/>
          </w:p>
          <w:p w14:paraId="750E912B">
            <w:pPr>
              <w:pStyle w:val="434"/>
              <w:numPr>
                <w:ilvl w:val="2"/>
                <w:numId w:val="0"/>
              </w:numPr>
              <w:ind w:left="434" w:leftChars="200" w:hanging="14" w:hangingChars="7"/>
              <w:rPr>
                <w:rFonts w:ascii="Times New Roman" w:eastAsia="宋体"/>
              </w:rPr>
            </w:pPr>
            <w:bookmarkStart w:id="269" w:name="_Toc328170351"/>
            <w:bookmarkStart w:id="270" w:name="_Toc12243"/>
            <w:bookmarkStart w:id="271" w:name="_Toc27373"/>
            <w:bookmarkStart w:id="272" w:name="_Toc330237032"/>
            <w:bookmarkStart w:id="273" w:name="_Toc330237125"/>
            <w:bookmarkStart w:id="274" w:name="_Toc334455158"/>
            <w:bookmarkStart w:id="275" w:name="_Toc330333989"/>
            <w:bookmarkStart w:id="276" w:name="_Toc303241987"/>
            <w:bookmarkStart w:id="277" w:name="_Toc298419730"/>
            <w:bookmarkStart w:id="278" w:name="_Toc328344914"/>
            <w:r>
              <w:rPr>
                <w:rFonts w:ascii="Times New Roman" w:hAnsi="宋体" w:eastAsia="宋体"/>
              </w:rPr>
              <w:t>在自然北光或光的照度不低于</w:t>
            </w:r>
            <w:r>
              <w:rPr>
                <w:rFonts w:ascii="Times New Roman" w:eastAsia="宋体"/>
              </w:rPr>
              <w:t>300 lx</w:t>
            </w:r>
            <w:r>
              <w:rPr>
                <w:rFonts w:hint="eastAsia" w:ascii="宋体" w:hAnsi="宋体" w:eastAsia="宋体"/>
              </w:rPr>
              <w:t>（</w:t>
            </w:r>
            <w:r>
              <w:rPr>
                <w:rFonts w:ascii="Times New Roman" w:hAnsi="宋体" w:eastAsia="宋体"/>
              </w:rPr>
              <w:t>相当于</w:t>
            </w:r>
            <w:r>
              <w:rPr>
                <w:rFonts w:ascii="Times New Roman" w:eastAsia="宋体"/>
              </w:rPr>
              <w:t>40 W</w:t>
            </w:r>
            <w:r>
              <w:rPr>
                <w:rFonts w:ascii="Times New Roman" w:hAnsi="宋体" w:eastAsia="宋体"/>
              </w:rPr>
              <w:t>日光灯下距离</w:t>
            </w:r>
            <w:r>
              <w:rPr>
                <w:rFonts w:ascii="Times New Roman" w:eastAsia="宋体"/>
              </w:rPr>
              <w:t>500 mm</w:t>
            </w:r>
            <w:r>
              <w:rPr>
                <w:rFonts w:ascii="Times New Roman" w:hAnsi="宋体" w:eastAsia="宋体"/>
              </w:rPr>
              <w:t>处的光照度</w:t>
            </w:r>
            <w:r>
              <w:rPr>
                <w:rFonts w:hint="eastAsia" w:ascii="Times New Roman" w:eastAsia="宋体"/>
              </w:rPr>
              <w:t>）</w:t>
            </w:r>
            <w:r>
              <w:rPr>
                <w:rFonts w:ascii="Times New Roman" w:hAnsi="宋体" w:eastAsia="宋体"/>
              </w:rPr>
              <w:t>的条件下</w:t>
            </w:r>
            <w:r>
              <w:rPr>
                <w:rFonts w:ascii="Times New Roman" w:hAnsi="宋体" w:eastAsia="宋体"/>
                <w:kern w:val="24"/>
              </w:rPr>
              <w:t>，</w:t>
            </w:r>
            <w:r>
              <w:rPr>
                <w:rFonts w:hint="eastAsia" w:ascii="宋体" w:hAnsi="宋体" w:eastAsia="宋体"/>
                <w:kern w:val="24"/>
              </w:rPr>
              <w:t>判定</w:t>
            </w:r>
            <w:r>
              <w:rPr>
                <w:rFonts w:ascii="宋体" w:hAnsi="宋体" w:eastAsia="宋体"/>
                <w:kern w:val="24"/>
              </w:rPr>
              <w:t>结果</w:t>
            </w:r>
            <w:r>
              <w:rPr>
                <w:rFonts w:hint="eastAsia" w:ascii="宋体" w:hAnsi="宋体" w:eastAsia="宋体"/>
                <w:kern w:val="24"/>
              </w:rPr>
              <w:t>是否</w:t>
            </w:r>
            <w:r>
              <w:rPr>
                <w:rFonts w:ascii="Times New Roman" w:hAnsi="宋体" w:eastAsia="宋体"/>
                <w:kern w:val="24"/>
              </w:rPr>
              <w:t>符合</w:t>
            </w:r>
            <w:r>
              <w:rPr>
                <w:rFonts w:hint="eastAsia" w:ascii="Times New Roman" w:hAnsi="宋体" w:eastAsia="宋体"/>
                <w:kern w:val="24"/>
              </w:rPr>
              <w:t>3.</w:t>
            </w:r>
            <w:r>
              <w:rPr>
                <w:rFonts w:hint="eastAsia" w:ascii="Times New Roman" w:eastAsia="宋体"/>
                <w:kern w:val="24"/>
              </w:rPr>
              <w:t>2</w:t>
            </w:r>
            <w:r>
              <w:rPr>
                <w:rFonts w:ascii="Times New Roman" w:hAnsi="宋体" w:eastAsia="宋体"/>
                <w:kern w:val="24"/>
              </w:rPr>
              <w:t>的要求。</w:t>
            </w:r>
            <w:bookmarkEnd w:id="269"/>
            <w:bookmarkEnd w:id="270"/>
            <w:bookmarkEnd w:id="271"/>
            <w:bookmarkEnd w:id="272"/>
            <w:bookmarkEnd w:id="273"/>
            <w:bookmarkEnd w:id="274"/>
            <w:bookmarkEnd w:id="275"/>
            <w:bookmarkEnd w:id="276"/>
            <w:bookmarkEnd w:id="277"/>
            <w:bookmarkEnd w:id="278"/>
            <w:r>
              <w:rPr>
                <w:rFonts w:hint="eastAsia" w:ascii="Times New Roman" w:hAnsi="宋体" w:eastAsia="宋体"/>
                <w:kern w:val="24"/>
              </w:rPr>
              <w:t xml:space="preserve"> </w:t>
            </w:r>
          </w:p>
          <w:p w14:paraId="0BCFD15D">
            <w:pPr>
              <w:pStyle w:val="434"/>
              <w:numPr>
                <w:ilvl w:val="1"/>
                <w:numId w:val="0"/>
              </w:numPr>
              <w:ind w:leftChars="193"/>
              <w:rPr>
                <w:rFonts w:ascii="Times New Roman"/>
              </w:rPr>
            </w:pPr>
            <w:bookmarkStart w:id="279" w:name="_Toc334455159"/>
            <w:bookmarkStart w:id="280" w:name="_Toc6709"/>
            <w:bookmarkStart w:id="281" w:name="_Toc4936"/>
            <w:r>
              <w:rPr>
                <w:rFonts w:hint="eastAsia" w:ascii="Times New Roman"/>
                <w:lang w:val="en-US" w:eastAsia="zh-CN"/>
              </w:rPr>
              <w:t>11.3</w:t>
            </w:r>
            <w:r>
              <w:rPr>
                <w:rFonts w:ascii="Times New Roman"/>
              </w:rPr>
              <w:t>材料检验</w:t>
            </w:r>
            <w:bookmarkEnd w:id="279"/>
            <w:bookmarkEnd w:id="280"/>
            <w:bookmarkEnd w:id="281"/>
          </w:p>
          <w:p w14:paraId="54D91245">
            <w:pPr>
              <w:pStyle w:val="269"/>
              <w:ind w:left="434" w:leftChars="200" w:hanging="14" w:hangingChars="7"/>
              <w:rPr>
                <w:rFonts w:hint="eastAsia"/>
              </w:rPr>
            </w:pPr>
            <w:r>
              <w:rPr>
                <w:color w:val="auto"/>
              </w:rPr>
              <w:t>型式检验时，</w:t>
            </w:r>
            <w:r>
              <w:t>应对表</w:t>
            </w:r>
            <w:r>
              <w:rPr>
                <w:rFonts w:hint="eastAsia"/>
              </w:rPr>
              <w:t>1</w:t>
            </w:r>
            <w:r>
              <w:t>规定的全部材料进行检验</w:t>
            </w:r>
            <w:r>
              <w:rPr>
                <w:rFonts w:hint="eastAsia"/>
              </w:rPr>
              <w:t>。</w:t>
            </w:r>
          </w:p>
          <w:p w14:paraId="12C3604A">
            <w:pPr>
              <w:pStyle w:val="434"/>
              <w:numPr>
                <w:ilvl w:val="1"/>
                <w:numId w:val="0"/>
              </w:numPr>
              <w:ind w:leftChars="193"/>
              <w:rPr>
                <w:rFonts w:hint="eastAsia" w:ascii="Times New Roman"/>
                <w:kern w:val="24"/>
              </w:rPr>
            </w:pPr>
            <w:bookmarkStart w:id="282" w:name="_Toc334455160"/>
            <w:bookmarkStart w:id="283" w:name="_Toc7043"/>
            <w:bookmarkStart w:id="284" w:name="_Toc12819"/>
            <w:r>
              <w:rPr>
                <w:rFonts w:hint="eastAsia" w:ascii="Times New Roman"/>
                <w:lang w:val="en-US" w:eastAsia="zh-CN"/>
              </w:rPr>
              <w:t>11.4</w:t>
            </w:r>
            <w:r>
              <w:rPr>
                <w:rFonts w:ascii="Times New Roman"/>
              </w:rPr>
              <w:t>性能检验</w:t>
            </w:r>
            <w:bookmarkEnd w:id="263"/>
            <w:bookmarkEnd w:id="264"/>
            <w:bookmarkEnd w:id="265"/>
            <w:bookmarkEnd w:id="282"/>
            <w:bookmarkEnd w:id="283"/>
            <w:bookmarkEnd w:id="284"/>
          </w:p>
          <w:p w14:paraId="3B14DACC">
            <w:pPr>
              <w:pStyle w:val="269"/>
              <w:ind w:left="434" w:leftChars="200" w:hanging="14" w:hangingChars="7"/>
              <w:rPr>
                <w:rFonts w:hint="eastAsia"/>
              </w:rPr>
            </w:pPr>
            <w:r>
              <w:rPr>
                <w:rFonts w:hint="eastAsia"/>
              </w:rPr>
              <w:t>性能</w:t>
            </w:r>
            <w:r>
              <w:t>的检验</w:t>
            </w:r>
            <w:r>
              <w:rPr>
                <w:rFonts w:hint="eastAsia"/>
              </w:rPr>
              <w:t>，使用脱膜法，</w:t>
            </w:r>
            <w:r>
              <w:t>用精度0.02</w:t>
            </w:r>
            <w:r>
              <w:rPr>
                <w:rFonts w:hint="eastAsia"/>
              </w:rPr>
              <w:t xml:space="preserve"> </w:t>
            </w:r>
            <w:r>
              <w:t>mm的游标卡尺进行检验，判定结果是否符合</w:t>
            </w:r>
            <w:r>
              <w:rPr>
                <w:rFonts w:hint="eastAsia"/>
                <w:color w:val="auto"/>
              </w:rPr>
              <w:t>3</w:t>
            </w:r>
            <w:r>
              <w:rPr>
                <w:color w:val="auto"/>
              </w:rPr>
              <w:t>.</w:t>
            </w:r>
            <w:r>
              <w:rPr>
                <w:rFonts w:hint="eastAsia"/>
                <w:color w:val="auto"/>
              </w:rPr>
              <w:t>4</w:t>
            </w:r>
            <w:r>
              <w:rPr>
                <w:color w:val="auto"/>
              </w:rPr>
              <w:t>.</w:t>
            </w:r>
            <w:r>
              <w:rPr>
                <w:rFonts w:hint="eastAsia"/>
                <w:color w:val="auto"/>
              </w:rPr>
              <w:t>1</w:t>
            </w:r>
            <w:r>
              <w:rPr>
                <w:color w:val="auto"/>
              </w:rPr>
              <w:t>的</w:t>
            </w:r>
            <w:r>
              <w:t>要</w:t>
            </w:r>
            <w:r>
              <w:rPr>
                <w:rFonts w:hint="eastAsia"/>
              </w:rPr>
              <w:t>求。</w:t>
            </w:r>
          </w:p>
          <w:p w14:paraId="3AFBC94F">
            <w:pPr>
              <w:pStyle w:val="434"/>
              <w:numPr>
                <w:ilvl w:val="1"/>
                <w:numId w:val="0"/>
              </w:numPr>
              <w:ind w:leftChars="193"/>
              <w:rPr>
                <w:rFonts w:hint="eastAsia"/>
              </w:rPr>
            </w:pPr>
            <w:bookmarkStart w:id="285" w:name="_Toc5338"/>
            <w:bookmarkStart w:id="286" w:name="_Toc7970"/>
            <w:r>
              <w:rPr>
                <w:rFonts w:hint="eastAsia"/>
                <w:lang w:val="en-US" w:eastAsia="zh-CN"/>
              </w:rPr>
              <w:t>11.5</w:t>
            </w:r>
            <w:r>
              <w:rPr>
                <w:rFonts w:hint="eastAsia"/>
              </w:rPr>
              <w:t>标志检验</w:t>
            </w:r>
            <w:bookmarkEnd w:id="285"/>
            <w:bookmarkEnd w:id="286"/>
          </w:p>
          <w:p w14:paraId="6B4A5B35">
            <w:pPr>
              <w:pStyle w:val="269"/>
              <w:ind w:left="434" w:leftChars="200" w:hanging="14" w:hangingChars="7"/>
              <w:rPr>
                <w:rFonts w:hint="eastAsia"/>
              </w:rPr>
            </w:pPr>
            <w:r>
              <w:rPr>
                <w:rFonts w:hint="eastAsia"/>
              </w:rPr>
              <w:t>标志</w:t>
            </w:r>
            <w:r>
              <w:t>的检验在成品上检验</w:t>
            </w:r>
            <w:r>
              <w:rPr>
                <w:rFonts w:hint="eastAsia"/>
              </w:rPr>
              <w:t>，</w:t>
            </w:r>
            <w:r>
              <w:t>判定结果是否符合</w:t>
            </w:r>
            <w:r>
              <w:rPr>
                <w:rFonts w:hint="eastAsia"/>
              </w:rPr>
              <w:t>3</w:t>
            </w:r>
            <w:r>
              <w:t>.</w:t>
            </w:r>
            <w:r>
              <w:rPr>
                <w:rFonts w:hint="eastAsia"/>
              </w:rPr>
              <w:t>5</w:t>
            </w:r>
            <w:r>
              <w:t>的要求</w:t>
            </w:r>
            <w:r>
              <w:rPr>
                <w:rFonts w:hint="eastAsia"/>
              </w:rPr>
              <w:t>。</w:t>
            </w:r>
          </w:p>
          <w:p w14:paraId="4A7B4458">
            <w:pPr>
              <w:pStyle w:val="434"/>
              <w:numPr>
                <w:ilvl w:val="1"/>
                <w:numId w:val="0"/>
              </w:numPr>
              <w:ind w:leftChars="193"/>
              <w:rPr>
                <w:rFonts w:hint="eastAsia" w:hAnsi="黑体"/>
              </w:rPr>
            </w:pPr>
            <w:bookmarkStart w:id="287" w:name="_Toc7873"/>
            <w:bookmarkStart w:id="288" w:name="_Toc7955"/>
            <w:bookmarkStart w:id="289" w:name="_Toc334455162"/>
            <w:bookmarkStart w:id="290" w:name="_Toc69291612"/>
            <w:bookmarkStart w:id="291" w:name="_Toc71087747"/>
            <w:bookmarkStart w:id="292" w:name="_Toc71215205"/>
            <w:r>
              <w:rPr>
                <w:rFonts w:hint="eastAsia" w:hAnsi="黑体"/>
                <w:lang w:val="en-US" w:eastAsia="zh-CN"/>
              </w:rPr>
              <w:t>11.6</w:t>
            </w:r>
            <w:r>
              <w:rPr>
                <w:rFonts w:hint="eastAsia" w:hAnsi="黑体"/>
              </w:rPr>
              <w:t>工艺检验</w:t>
            </w:r>
            <w:bookmarkEnd w:id="287"/>
            <w:bookmarkEnd w:id="288"/>
            <w:bookmarkEnd w:id="289"/>
          </w:p>
          <w:p w14:paraId="08DAF804">
            <w:pPr>
              <w:pStyle w:val="269"/>
              <w:ind w:left="434" w:leftChars="200" w:hanging="14" w:hangingChars="7"/>
              <w:rPr>
                <w:rFonts w:hint="eastAsia"/>
              </w:rPr>
            </w:pPr>
            <w:r>
              <w:rPr>
                <w:rFonts w:hint="eastAsia"/>
              </w:rPr>
              <w:t>工艺</w:t>
            </w:r>
            <w:r>
              <w:t>的检验在成品上检验</w:t>
            </w:r>
            <w:r>
              <w:rPr>
                <w:rFonts w:hint="eastAsia"/>
              </w:rPr>
              <w:t>，</w:t>
            </w:r>
            <w:r>
              <w:t>判定结果是否符合</w:t>
            </w:r>
            <w:r>
              <w:rPr>
                <w:rFonts w:hint="eastAsia"/>
                <w:color w:val="auto"/>
                <w:lang w:val="en-US" w:eastAsia="zh-CN"/>
              </w:rPr>
              <w:t>4</w:t>
            </w:r>
            <w:r>
              <w:t>的要求</w:t>
            </w:r>
            <w:r>
              <w:rPr>
                <w:rFonts w:hint="eastAsia"/>
              </w:rPr>
              <w:t>。</w:t>
            </w:r>
          </w:p>
          <w:p w14:paraId="1AFF0F85">
            <w:pPr>
              <w:pStyle w:val="434"/>
              <w:numPr>
                <w:ilvl w:val="1"/>
                <w:numId w:val="0"/>
              </w:numPr>
              <w:ind w:firstLine="420" w:firstLineChars="200"/>
              <w:rPr>
                <w:rFonts w:hAnsi="黑体"/>
              </w:rPr>
            </w:pPr>
            <w:bookmarkStart w:id="293" w:name="_Toc5038"/>
            <w:bookmarkStart w:id="294" w:name="_Toc334455163"/>
            <w:bookmarkStart w:id="295" w:name="_Toc8734"/>
            <w:r>
              <w:rPr>
                <w:rFonts w:hint="eastAsia" w:hAnsi="黑体"/>
                <w:lang w:val="en-US" w:eastAsia="zh-CN"/>
              </w:rPr>
              <w:t>11.7</w:t>
            </w:r>
            <w:r>
              <w:rPr>
                <w:rFonts w:hAnsi="黑体"/>
              </w:rPr>
              <w:t>外观检验</w:t>
            </w:r>
            <w:bookmarkEnd w:id="293"/>
            <w:bookmarkEnd w:id="294"/>
            <w:bookmarkEnd w:id="295"/>
          </w:p>
          <w:p w14:paraId="1FA16531">
            <w:pPr>
              <w:pStyle w:val="269"/>
              <w:ind w:left="434" w:leftChars="200" w:hanging="14" w:hangingChars="7"/>
              <w:rPr>
                <w:rFonts w:ascii="Times New Roman"/>
              </w:rPr>
            </w:pPr>
            <w:r>
              <w:rPr>
                <w:rFonts w:hint="eastAsia" w:ascii="Times New Roman" w:hAnsi="宋体"/>
              </w:rPr>
              <w:t>以目视观感和手感检验</w:t>
            </w:r>
            <w:r>
              <w:rPr>
                <w:rFonts w:hint="eastAsia" w:ascii="Times New Roman"/>
              </w:rPr>
              <w:t>木板折叠铁床</w:t>
            </w:r>
            <w:r>
              <w:rPr>
                <w:rFonts w:hint="eastAsia" w:ascii="Times New Roman" w:hAnsi="宋体"/>
              </w:rPr>
              <w:t>外观，判定结果是否符合</w:t>
            </w:r>
            <w:r>
              <w:rPr>
                <w:rFonts w:hint="eastAsia" w:ascii="Times New Roman" w:hAnsi="宋体"/>
                <w:lang w:val="en-US" w:eastAsia="zh-CN"/>
              </w:rPr>
              <w:t>5</w:t>
            </w:r>
            <w:r>
              <w:rPr>
                <w:rFonts w:hint="eastAsia" w:ascii="Times New Roman" w:hAnsi="宋体"/>
              </w:rPr>
              <w:t>的要求</w:t>
            </w:r>
            <w:r>
              <w:rPr>
                <w:rFonts w:ascii="Times New Roman" w:hAnsi="宋体"/>
              </w:rPr>
              <w:t>。</w:t>
            </w:r>
          </w:p>
          <w:bookmarkEnd w:id="290"/>
          <w:bookmarkEnd w:id="291"/>
          <w:bookmarkEnd w:id="292"/>
          <w:p w14:paraId="5726A48A">
            <w:pPr>
              <w:pStyle w:val="536"/>
              <w:ind w:left="0"/>
              <w:rPr>
                <w:rFonts w:ascii="Times New Roman"/>
                <w:color w:val="auto"/>
                <w:highlight w:val="none"/>
              </w:rPr>
            </w:pPr>
            <w:bookmarkStart w:id="296" w:name="_Toc71087685"/>
            <w:bookmarkStart w:id="297" w:name="_Toc69291562"/>
            <w:bookmarkStart w:id="298" w:name="_Toc15163"/>
            <w:bookmarkStart w:id="299" w:name="_Toc71087751"/>
            <w:bookmarkStart w:id="300" w:name="_Toc27721"/>
            <w:bookmarkStart w:id="301" w:name="_Toc71215109"/>
            <w:bookmarkStart w:id="302" w:name="_Toc69291616"/>
            <w:bookmarkStart w:id="303" w:name="_Toc71215209"/>
            <w:bookmarkStart w:id="304" w:name="_Toc334455164"/>
            <w:r>
              <w:rPr>
                <w:rFonts w:ascii="Times New Roman"/>
                <w:color w:val="auto"/>
                <w:highlight w:val="none"/>
              </w:rPr>
              <w:t>检验规则</w:t>
            </w:r>
            <w:bookmarkEnd w:id="296"/>
            <w:bookmarkEnd w:id="297"/>
            <w:bookmarkEnd w:id="298"/>
            <w:bookmarkEnd w:id="299"/>
            <w:bookmarkEnd w:id="300"/>
            <w:bookmarkEnd w:id="301"/>
            <w:bookmarkEnd w:id="302"/>
            <w:bookmarkEnd w:id="303"/>
            <w:bookmarkEnd w:id="304"/>
          </w:p>
          <w:p w14:paraId="4777A2FD">
            <w:pPr>
              <w:pStyle w:val="434"/>
              <w:numPr>
                <w:ilvl w:val="1"/>
                <w:numId w:val="0"/>
              </w:numPr>
              <w:ind w:leftChars="200"/>
              <w:rPr>
                <w:rFonts w:ascii="Times New Roman"/>
              </w:rPr>
            </w:pPr>
            <w:bookmarkStart w:id="305" w:name="_Toc16435"/>
            <w:bookmarkStart w:id="306" w:name="_Toc69291617"/>
            <w:bookmarkStart w:id="307" w:name="_Toc71215210"/>
            <w:bookmarkStart w:id="308" w:name="_Toc334455165"/>
            <w:bookmarkStart w:id="309" w:name="_Toc14056"/>
            <w:bookmarkStart w:id="310" w:name="_Toc71087752"/>
            <w:r>
              <w:rPr>
                <w:rFonts w:hint="eastAsia" w:ascii="Times New Roman"/>
                <w:lang w:val="en-US" w:eastAsia="zh-CN"/>
              </w:rPr>
              <w:t>12.1</w:t>
            </w:r>
            <w:r>
              <w:rPr>
                <w:rFonts w:ascii="Times New Roman"/>
              </w:rPr>
              <w:t>检验分类</w:t>
            </w:r>
            <w:bookmarkEnd w:id="305"/>
            <w:bookmarkEnd w:id="306"/>
            <w:bookmarkEnd w:id="307"/>
            <w:bookmarkEnd w:id="308"/>
            <w:bookmarkEnd w:id="309"/>
            <w:bookmarkEnd w:id="310"/>
          </w:p>
          <w:p w14:paraId="5045125C">
            <w:pPr>
              <w:pStyle w:val="434"/>
              <w:numPr>
                <w:ilvl w:val="2"/>
                <w:numId w:val="0"/>
              </w:numPr>
              <w:ind w:left="420" w:leftChars="200" w:firstLine="0" w:firstLineChars="0"/>
              <w:rPr>
                <w:rFonts w:hint="eastAsia" w:ascii="Times New Roman" w:eastAsia="宋体"/>
              </w:rPr>
            </w:pPr>
            <w:bookmarkStart w:id="311" w:name="_Toc328344922"/>
            <w:bookmarkStart w:id="312" w:name="_Toc330237040"/>
            <w:bookmarkStart w:id="313" w:name="_Toc303241994"/>
            <w:bookmarkStart w:id="314" w:name="_Toc330333997"/>
            <w:bookmarkStart w:id="315" w:name="_Toc298419737"/>
            <w:bookmarkStart w:id="316" w:name="_Toc9615"/>
            <w:bookmarkStart w:id="317" w:name="_Toc330237133"/>
            <w:bookmarkStart w:id="318" w:name="_Toc334455166"/>
            <w:bookmarkStart w:id="319" w:name="_Toc328170359"/>
            <w:bookmarkStart w:id="320" w:name="_Toc24486"/>
            <w:r>
              <w:rPr>
                <w:rFonts w:ascii="Times New Roman" w:eastAsia="宋体"/>
              </w:rPr>
              <w:t>检验分</w:t>
            </w:r>
            <w:r>
              <w:rPr>
                <w:rFonts w:hint="eastAsia" w:ascii="Times New Roman" w:eastAsia="宋体"/>
              </w:rPr>
              <w:t>为</w:t>
            </w:r>
            <w:r>
              <w:rPr>
                <w:rFonts w:ascii="Times New Roman" w:eastAsia="宋体"/>
              </w:rPr>
              <w:t>型式检验和交收检验</w:t>
            </w:r>
            <w:r>
              <w:rPr>
                <w:rFonts w:hint="eastAsia" w:ascii="Times New Roman" w:eastAsia="宋体"/>
              </w:rPr>
              <w:t>。</w:t>
            </w:r>
            <w:bookmarkEnd w:id="311"/>
            <w:bookmarkEnd w:id="312"/>
            <w:bookmarkEnd w:id="313"/>
            <w:bookmarkEnd w:id="314"/>
            <w:bookmarkEnd w:id="315"/>
            <w:bookmarkEnd w:id="316"/>
            <w:bookmarkEnd w:id="317"/>
            <w:bookmarkEnd w:id="318"/>
            <w:bookmarkEnd w:id="319"/>
            <w:bookmarkEnd w:id="320"/>
          </w:p>
          <w:p w14:paraId="46E2F0E2">
            <w:pPr>
              <w:pStyle w:val="434"/>
              <w:numPr>
                <w:ilvl w:val="1"/>
                <w:numId w:val="0"/>
              </w:numPr>
              <w:ind w:leftChars="200"/>
              <w:rPr>
                <w:rFonts w:hAnsi="黑体"/>
              </w:rPr>
            </w:pPr>
            <w:bookmarkStart w:id="321" w:name="_Toc19077"/>
            <w:bookmarkStart w:id="322" w:name="_Toc22630"/>
            <w:bookmarkStart w:id="323" w:name="_Toc334455167"/>
            <w:r>
              <w:rPr>
                <w:rFonts w:hint="eastAsia" w:hAnsi="黑体"/>
                <w:lang w:val="en-US" w:eastAsia="zh-CN"/>
              </w:rPr>
              <w:t>12.2</w:t>
            </w:r>
            <w:r>
              <w:rPr>
                <w:rFonts w:hAnsi="黑体"/>
              </w:rPr>
              <w:t>型式检验</w:t>
            </w:r>
            <w:bookmarkEnd w:id="321"/>
            <w:bookmarkEnd w:id="322"/>
            <w:bookmarkEnd w:id="323"/>
          </w:p>
          <w:p w14:paraId="64F24ABB">
            <w:pPr>
              <w:pStyle w:val="282"/>
              <w:numPr>
                <w:ilvl w:val="3"/>
                <w:numId w:val="0"/>
              </w:numPr>
              <w:ind w:leftChars="200"/>
              <w:rPr>
                <w:rFonts w:ascii="Times New Roman"/>
              </w:rPr>
            </w:pPr>
            <w:bookmarkStart w:id="324" w:name="_Toc71215219"/>
            <w:bookmarkStart w:id="325" w:name="_Toc71087761"/>
            <w:bookmarkStart w:id="326" w:name="_Toc69291626"/>
            <w:r>
              <w:rPr>
                <w:rFonts w:hint="eastAsia"/>
                <w:lang w:val="en-US" w:eastAsia="zh-CN"/>
              </w:rPr>
              <w:t>12.2.1</w:t>
            </w:r>
            <w:r>
              <w:rPr>
                <w:rFonts w:ascii="Times New Roman"/>
              </w:rPr>
              <w:t>在下列情况之一时，应进行型式检验</w:t>
            </w:r>
            <w:r>
              <w:rPr>
                <w:rFonts w:hint="eastAsia" w:ascii="Times New Roman"/>
              </w:rPr>
              <w:t>：</w:t>
            </w:r>
          </w:p>
          <w:p w14:paraId="005656B9">
            <w:pPr>
              <w:numPr>
                <w:ilvl w:val="0"/>
                <w:numId w:val="0"/>
              </w:numPr>
              <w:ind w:leftChars="200"/>
            </w:pPr>
            <w:r>
              <w:rPr>
                <w:rFonts w:hint="eastAsia" w:hAnsi="宋体"/>
                <w:lang w:val="en-US" w:eastAsia="zh-CN"/>
              </w:rPr>
              <w:t>A.</w:t>
            </w:r>
            <w:r>
              <w:rPr>
                <w:rFonts w:hAnsi="宋体"/>
              </w:rPr>
              <w:t>新产品设计定型或生产定型时；</w:t>
            </w:r>
          </w:p>
          <w:p w14:paraId="549A50E8">
            <w:pPr>
              <w:numPr>
                <w:ilvl w:val="0"/>
                <w:numId w:val="0"/>
              </w:numPr>
              <w:ind w:leftChars="200"/>
            </w:pPr>
            <w:r>
              <w:rPr>
                <w:rFonts w:hint="eastAsia" w:hAnsi="宋体"/>
                <w:lang w:val="en-US" w:eastAsia="zh-CN"/>
              </w:rPr>
              <w:t>B.</w:t>
            </w:r>
            <w:r>
              <w:rPr>
                <w:rFonts w:hAnsi="宋体"/>
              </w:rPr>
              <w:t>当结构、材质、生产工艺有重大改变时；</w:t>
            </w:r>
          </w:p>
          <w:p w14:paraId="16706755">
            <w:pPr>
              <w:numPr>
                <w:ilvl w:val="0"/>
                <w:numId w:val="0"/>
              </w:numPr>
              <w:ind w:leftChars="200"/>
            </w:pPr>
            <w:r>
              <w:rPr>
                <w:rFonts w:hint="eastAsia" w:hAnsi="宋体"/>
                <w:lang w:val="en-US" w:eastAsia="zh-CN"/>
              </w:rPr>
              <w:t>C.</w:t>
            </w:r>
            <w:r>
              <w:rPr>
                <w:rFonts w:hAnsi="宋体"/>
              </w:rPr>
              <w:t>产品首次生产、停产一年后恢复生产时；</w:t>
            </w:r>
          </w:p>
          <w:p w14:paraId="17E6EEAF">
            <w:pPr>
              <w:numPr>
                <w:ilvl w:val="0"/>
                <w:numId w:val="0"/>
              </w:numPr>
              <w:ind w:leftChars="200"/>
            </w:pPr>
            <w:r>
              <w:rPr>
                <w:rFonts w:hint="eastAsia" w:hAnsi="宋体"/>
                <w:lang w:val="en-US" w:eastAsia="zh-CN"/>
              </w:rPr>
              <w:t>D.</w:t>
            </w:r>
            <w:r>
              <w:rPr>
                <w:rFonts w:hAnsi="宋体"/>
              </w:rPr>
              <w:t>累计一定产量后应周期性检验时；</w:t>
            </w:r>
          </w:p>
          <w:p w14:paraId="40C1C58B">
            <w:pPr>
              <w:pStyle w:val="282"/>
              <w:numPr>
                <w:ilvl w:val="3"/>
                <w:numId w:val="0"/>
              </w:numPr>
              <w:ind w:leftChars="200"/>
              <w:rPr>
                <w:rFonts w:hint="eastAsia" w:ascii="Times New Roman"/>
                <w:color w:val="auto"/>
              </w:rPr>
            </w:pPr>
            <w:r>
              <w:rPr>
                <w:rFonts w:hint="eastAsia"/>
                <w:color w:val="auto"/>
                <w:lang w:val="en-US" w:eastAsia="zh-CN"/>
              </w:rPr>
              <w:t>12.2.2</w:t>
            </w:r>
            <w:r>
              <w:rPr>
                <w:rFonts w:ascii="Times New Roman"/>
                <w:color w:val="auto"/>
              </w:rPr>
              <w:t>型式检验的检验项目</w:t>
            </w:r>
            <w:r>
              <w:rPr>
                <w:rFonts w:hint="eastAsia" w:ascii="Times New Roman"/>
                <w:color w:val="auto"/>
              </w:rPr>
              <w:t>、要求和检验方法</w:t>
            </w:r>
            <w:r>
              <w:rPr>
                <w:rFonts w:ascii="Times New Roman"/>
                <w:color w:val="auto"/>
              </w:rPr>
              <w:t>按表</w:t>
            </w:r>
            <w:r>
              <w:rPr>
                <w:rFonts w:hint="eastAsia" w:ascii="Times New Roman"/>
                <w:color w:val="auto"/>
              </w:rPr>
              <w:t>3的</w:t>
            </w:r>
            <w:r>
              <w:rPr>
                <w:rFonts w:ascii="Times New Roman"/>
                <w:color w:val="auto"/>
              </w:rPr>
              <w:t>规定。</w:t>
            </w:r>
          </w:p>
          <w:p w14:paraId="0AB81CC0">
            <w:pPr>
              <w:pStyle w:val="282"/>
              <w:numPr>
                <w:ilvl w:val="3"/>
                <w:numId w:val="0"/>
              </w:numPr>
              <w:ind w:leftChars="200"/>
              <w:rPr>
                <w:rFonts w:ascii="Times New Roman"/>
                <w:color w:val="auto"/>
              </w:rPr>
            </w:pPr>
            <w:r>
              <w:rPr>
                <w:rFonts w:hint="eastAsia"/>
                <w:color w:val="auto"/>
                <w:lang w:val="en-US" w:eastAsia="zh-CN"/>
              </w:rPr>
              <w:t>A.</w:t>
            </w:r>
            <w:r>
              <w:rPr>
                <w:rFonts w:ascii="Times New Roman"/>
                <w:color w:val="auto"/>
              </w:rPr>
              <w:t>型式检验数量</w:t>
            </w:r>
            <w:r>
              <w:rPr>
                <w:rFonts w:hint="eastAsia" w:ascii="Times New Roman"/>
                <w:color w:val="auto"/>
              </w:rPr>
              <w:t>，救灾折叠铁床一</w:t>
            </w:r>
            <w:r>
              <w:rPr>
                <w:rFonts w:hint="eastAsia" w:ascii="Times New Roman"/>
                <w:color w:val="auto"/>
                <w:lang w:eastAsia="zh-CN"/>
              </w:rPr>
              <w:t>张</w:t>
            </w:r>
            <w:r>
              <w:rPr>
                <w:rFonts w:hint="eastAsia" w:ascii="Times New Roman"/>
                <w:color w:val="auto"/>
              </w:rPr>
              <w:t>，各种主辅材料试样</w:t>
            </w:r>
            <w:r>
              <w:rPr>
                <w:rFonts w:ascii="Times New Roman"/>
                <w:color w:val="auto"/>
              </w:rPr>
              <w:t>。</w:t>
            </w:r>
          </w:p>
          <w:p w14:paraId="37083C68">
            <w:pPr>
              <w:pStyle w:val="282"/>
              <w:numPr>
                <w:ilvl w:val="3"/>
                <w:numId w:val="0"/>
              </w:numPr>
              <w:ind w:leftChars="200"/>
              <w:rPr>
                <w:rFonts w:hint="eastAsia" w:ascii="Times New Roman"/>
              </w:rPr>
            </w:pPr>
            <w:r>
              <w:rPr>
                <w:rFonts w:hint="eastAsia"/>
                <w:lang w:val="en-US" w:eastAsia="zh-CN"/>
              </w:rPr>
              <w:t>B.</w:t>
            </w:r>
            <w:r>
              <w:rPr>
                <w:rFonts w:ascii="Times New Roman"/>
              </w:rPr>
              <w:t>型式检验</w:t>
            </w:r>
            <w:r>
              <w:rPr>
                <w:rFonts w:hint="eastAsia" w:ascii="Times New Roman"/>
              </w:rPr>
              <w:t>中的材料检验规则：</w:t>
            </w:r>
            <w:r>
              <w:rPr>
                <w:rFonts w:ascii="Times New Roman"/>
              </w:rPr>
              <w:t xml:space="preserve"> </w:t>
            </w:r>
          </w:p>
          <w:p w14:paraId="43EC258D">
            <w:pPr>
              <w:pStyle w:val="269"/>
              <w:ind w:left="420" w:leftChars="200" w:firstLine="0" w:firstLineChars="0"/>
              <w:rPr>
                <w:rFonts w:hint="eastAsia"/>
              </w:rPr>
            </w:pPr>
            <w:r>
              <w:rPr>
                <w:rFonts w:hint="eastAsia"/>
              </w:rPr>
              <w:t>表2中，有原材料标准号的材料，除检测规定项目外，不作全项材料检验，承制方应提交</w:t>
            </w:r>
            <w:r>
              <w:t>省级以上检验机构</w:t>
            </w:r>
            <w:r>
              <w:rPr>
                <w:rFonts w:hint="eastAsia"/>
              </w:rPr>
              <w:t>依据此原材料标准号</w:t>
            </w:r>
            <w:r>
              <w:t>对</w:t>
            </w:r>
            <w:r>
              <w:rPr>
                <w:rFonts w:hint="eastAsia"/>
              </w:rPr>
              <w:t>该</w:t>
            </w:r>
            <w:r>
              <w:t>材料的检验合格报告；</w:t>
            </w:r>
          </w:p>
          <w:p w14:paraId="70FCB5C7">
            <w:pPr>
              <w:pStyle w:val="282"/>
              <w:numPr>
                <w:ilvl w:val="3"/>
                <w:numId w:val="0"/>
              </w:numPr>
              <w:ind w:leftChars="200"/>
              <w:rPr>
                <w:rFonts w:hint="eastAsia" w:ascii="Times New Roman"/>
              </w:rPr>
            </w:pPr>
            <w:r>
              <w:rPr>
                <w:rFonts w:hint="eastAsia"/>
                <w:lang w:val="en-US" w:eastAsia="zh-CN"/>
              </w:rPr>
              <w:t>C.</w:t>
            </w:r>
            <w:r>
              <w:rPr>
                <w:rFonts w:ascii="Times New Roman"/>
              </w:rPr>
              <w:t>型式检验判定规则</w:t>
            </w:r>
            <w:r>
              <w:rPr>
                <w:rFonts w:hint="eastAsia" w:ascii="Times New Roman"/>
              </w:rPr>
              <w:t>。全部</w:t>
            </w:r>
            <w:r>
              <w:rPr>
                <w:rFonts w:ascii="Times New Roman"/>
              </w:rPr>
              <w:t>型式检验</w:t>
            </w:r>
            <w:r>
              <w:rPr>
                <w:rFonts w:hint="eastAsia" w:ascii="Times New Roman"/>
              </w:rPr>
              <w:t>样品的各项要求检验合格。</w:t>
            </w:r>
          </w:p>
          <w:bookmarkEnd w:id="324"/>
          <w:bookmarkEnd w:id="325"/>
          <w:bookmarkEnd w:id="326"/>
          <w:p w14:paraId="5E020721">
            <w:pPr>
              <w:pStyle w:val="361"/>
              <w:spacing w:before="156" w:beforeLines="50"/>
              <w:ind w:left="0"/>
              <w:rPr>
                <w:rFonts w:hint="eastAsia" w:hAnsi="黑体"/>
              </w:rPr>
            </w:pPr>
            <w:r>
              <w:rPr>
                <w:rFonts w:hAnsi="黑体"/>
              </w:rPr>
              <w:t>检验项目、要求和</w:t>
            </w:r>
            <w:r>
              <w:rPr>
                <w:rFonts w:hint="eastAsia" w:hAnsi="黑体"/>
                <w:lang w:eastAsia="zh-CN"/>
              </w:rPr>
              <w:t>检验</w:t>
            </w:r>
            <w:r>
              <w:rPr>
                <w:rFonts w:hAnsi="黑体"/>
              </w:rPr>
              <w:t>方法</w:t>
            </w:r>
          </w:p>
          <w:tbl>
            <w:tblPr>
              <w:tblStyle w:val="58"/>
              <w:tblW w:w="62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128"/>
              <w:gridCol w:w="1223"/>
              <w:gridCol w:w="1196"/>
              <w:gridCol w:w="1222"/>
            </w:tblGrid>
            <w:tr w14:paraId="6F0E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08" w:type="dxa"/>
                  <w:tcBorders>
                    <w:top w:val="single" w:color="auto" w:sz="12" w:space="0"/>
                    <w:left w:val="single" w:color="auto" w:sz="12" w:space="0"/>
                    <w:bottom w:val="single" w:color="auto" w:sz="12" w:space="0"/>
                  </w:tcBorders>
                  <w:noWrap w:val="0"/>
                  <w:vAlign w:val="center"/>
                </w:tcPr>
                <w:p w14:paraId="61374D1D">
                  <w:pPr>
                    <w:jc w:val="center"/>
                    <w:rPr>
                      <w:rFonts w:hint="eastAsia" w:ascii="宋体" w:hAnsi="宋体"/>
                      <w:sz w:val="18"/>
                      <w:szCs w:val="18"/>
                    </w:rPr>
                  </w:pPr>
                  <w:r>
                    <w:rPr>
                      <w:rFonts w:hint="eastAsia" w:ascii="宋体" w:hAnsi="宋体"/>
                      <w:sz w:val="18"/>
                      <w:szCs w:val="18"/>
                    </w:rPr>
                    <w:t>检验项目</w:t>
                  </w:r>
                </w:p>
              </w:tc>
              <w:tc>
                <w:tcPr>
                  <w:tcW w:w="1128" w:type="dxa"/>
                  <w:tcBorders>
                    <w:top w:val="single" w:color="auto" w:sz="12" w:space="0"/>
                    <w:bottom w:val="single" w:color="auto" w:sz="12" w:space="0"/>
                  </w:tcBorders>
                  <w:noWrap w:val="0"/>
                  <w:vAlign w:val="center"/>
                </w:tcPr>
                <w:p w14:paraId="718B9717">
                  <w:pPr>
                    <w:jc w:val="center"/>
                    <w:rPr>
                      <w:rFonts w:hint="eastAsia" w:ascii="宋体" w:hAnsi="宋体"/>
                      <w:sz w:val="18"/>
                      <w:szCs w:val="18"/>
                    </w:rPr>
                  </w:pPr>
                  <w:r>
                    <w:rPr>
                      <w:rFonts w:hint="eastAsia" w:ascii="宋体" w:hAnsi="宋体"/>
                      <w:sz w:val="18"/>
                      <w:szCs w:val="18"/>
                    </w:rPr>
                    <w:t>要  求</w:t>
                  </w:r>
                </w:p>
              </w:tc>
              <w:tc>
                <w:tcPr>
                  <w:tcW w:w="1223" w:type="dxa"/>
                  <w:tcBorders>
                    <w:top w:val="single" w:color="auto" w:sz="12" w:space="0"/>
                    <w:bottom w:val="single" w:color="auto" w:sz="12" w:space="0"/>
                    <w:right w:val="single" w:color="auto" w:sz="4" w:space="0"/>
                  </w:tcBorders>
                  <w:noWrap w:val="0"/>
                  <w:vAlign w:val="center"/>
                </w:tcPr>
                <w:p w14:paraId="247B424F">
                  <w:pPr>
                    <w:jc w:val="center"/>
                    <w:rPr>
                      <w:rFonts w:hint="eastAsia" w:ascii="宋体" w:hAnsi="宋体"/>
                      <w:sz w:val="18"/>
                      <w:szCs w:val="18"/>
                    </w:rPr>
                  </w:pPr>
                  <w:r>
                    <w:rPr>
                      <w:rFonts w:hint="eastAsia" w:ascii="宋体" w:hAnsi="宋体"/>
                      <w:sz w:val="18"/>
                      <w:szCs w:val="18"/>
                      <w:lang w:eastAsia="zh-CN"/>
                    </w:rPr>
                    <w:t>检验</w:t>
                  </w:r>
                  <w:r>
                    <w:rPr>
                      <w:rFonts w:hint="eastAsia" w:ascii="宋体" w:hAnsi="宋体"/>
                      <w:sz w:val="18"/>
                      <w:szCs w:val="18"/>
                    </w:rPr>
                    <w:t>方法</w:t>
                  </w:r>
                </w:p>
              </w:tc>
              <w:tc>
                <w:tcPr>
                  <w:tcW w:w="1196" w:type="dxa"/>
                  <w:tcBorders>
                    <w:top w:val="single" w:color="auto" w:sz="12" w:space="0"/>
                    <w:bottom w:val="single" w:color="auto" w:sz="12" w:space="0"/>
                    <w:right w:val="single" w:color="auto" w:sz="4" w:space="0"/>
                  </w:tcBorders>
                  <w:noWrap w:val="0"/>
                  <w:vAlign w:val="center"/>
                </w:tcPr>
                <w:p w14:paraId="65E837F1">
                  <w:pPr>
                    <w:jc w:val="center"/>
                    <w:rPr>
                      <w:rFonts w:hint="eastAsia" w:ascii="宋体" w:hAnsi="宋体"/>
                      <w:sz w:val="18"/>
                      <w:szCs w:val="18"/>
                    </w:rPr>
                  </w:pPr>
                  <w:r>
                    <w:rPr>
                      <w:rFonts w:hint="eastAsia" w:ascii="宋体" w:hAnsi="宋体"/>
                      <w:sz w:val="18"/>
                      <w:szCs w:val="18"/>
                    </w:rPr>
                    <w:t>型式检验</w:t>
                  </w:r>
                </w:p>
              </w:tc>
              <w:tc>
                <w:tcPr>
                  <w:tcW w:w="1222" w:type="dxa"/>
                  <w:tcBorders>
                    <w:top w:val="single" w:color="auto" w:sz="12" w:space="0"/>
                    <w:left w:val="single" w:color="auto" w:sz="4" w:space="0"/>
                    <w:bottom w:val="single" w:color="auto" w:sz="12" w:space="0"/>
                    <w:right w:val="single" w:color="auto" w:sz="12" w:space="0"/>
                  </w:tcBorders>
                  <w:noWrap w:val="0"/>
                  <w:vAlign w:val="center"/>
                </w:tcPr>
                <w:p w14:paraId="201462D0">
                  <w:pPr>
                    <w:jc w:val="center"/>
                    <w:rPr>
                      <w:rFonts w:hint="eastAsia" w:ascii="宋体" w:hAnsi="宋体"/>
                      <w:sz w:val="18"/>
                      <w:szCs w:val="18"/>
                    </w:rPr>
                  </w:pPr>
                  <w:r>
                    <w:rPr>
                      <w:rFonts w:hint="eastAsia" w:ascii="宋体" w:hAnsi="宋体"/>
                      <w:sz w:val="18"/>
                      <w:szCs w:val="18"/>
                    </w:rPr>
                    <w:t>交收检验</w:t>
                  </w:r>
                </w:p>
              </w:tc>
            </w:tr>
            <w:tr w14:paraId="751F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08" w:type="dxa"/>
                  <w:tcBorders>
                    <w:top w:val="single" w:color="auto" w:sz="12" w:space="0"/>
                    <w:left w:val="single" w:color="auto" w:sz="12" w:space="0"/>
                    <w:bottom w:val="single" w:color="auto" w:sz="4" w:space="0"/>
                  </w:tcBorders>
                  <w:noWrap w:val="0"/>
                  <w:vAlign w:val="center"/>
                </w:tcPr>
                <w:p w14:paraId="4A937FA7">
                  <w:pPr>
                    <w:jc w:val="center"/>
                    <w:rPr>
                      <w:sz w:val="18"/>
                      <w:szCs w:val="18"/>
                    </w:rPr>
                  </w:pPr>
                  <w:r>
                    <w:rPr>
                      <w:rFonts w:hint="eastAsia" w:hAnsi="宋体"/>
                      <w:sz w:val="18"/>
                    </w:rPr>
                    <w:t>样式</w:t>
                  </w:r>
                  <w:r>
                    <w:rPr>
                      <w:rFonts w:hAnsi="宋体"/>
                      <w:sz w:val="18"/>
                    </w:rPr>
                    <w:t>结构</w:t>
                  </w:r>
                  <w:r>
                    <w:rPr>
                      <w:rFonts w:hint="eastAsia" w:hAnsi="宋体"/>
                      <w:sz w:val="18"/>
                    </w:rPr>
                    <w:t>尺寸</w:t>
                  </w:r>
                </w:p>
              </w:tc>
              <w:tc>
                <w:tcPr>
                  <w:tcW w:w="1128" w:type="dxa"/>
                  <w:tcBorders>
                    <w:top w:val="single" w:color="auto" w:sz="12" w:space="0"/>
                    <w:bottom w:val="single" w:color="auto" w:sz="4" w:space="0"/>
                  </w:tcBorders>
                  <w:noWrap w:val="0"/>
                  <w:vAlign w:val="center"/>
                </w:tcPr>
                <w:p w14:paraId="31B734D7">
                  <w:pPr>
                    <w:jc w:val="center"/>
                    <w:rPr>
                      <w:sz w:val="18"/>
                      <w:szCs w:val="18"/>
                    </w:rPr>
                  </w:pPr>
                  <w:r>
                    <w:rPr>
                      <w:rFonts w:hint="eastAsia"/>
                      <w:sz w:val="18"/>
                      <w:szCs w:val="18"/>
                    </w:rPr>
                    <w:t>3</w:t>
                  </w:r>
                  <w:r>
                    <w:rPr>
                      <w:sz w:val="18"/>
                      <w:szCs w:val="18"/>
                    </w:rPr>
                    <w:t>.</w:t>
                  </w:r>
                  <w:r>
                    <w:rPr>
                      <w:rFonts w:hint="eastAsia"/>
                      <w:sz w:val="18"/>
                      <w:szCs w:val="18"/>
                    </w:rPr>
                    <w:t>1</w:t>
                  </w:r>
                </w:p>
              </w:tc>
              <w:tc>
                <w:tcPr>
                  <w:tcW w:w="1223" w:type="dxa"/>
                  <w:tcBorders>
                    <w:top w:val="single" w:color="auto" w:sz="12" w:space="0"/>
                    <w:bottom w:val="single" w:color="auto" w:sz="4" w:space="0"/>
                    <w:right w:val="single" w:color="auto" w:sz="4" w:space="0"/>
                  </w:tcBorders>
                  <w:noWrap w:val="0"/>
                  <w:vAlign w:val="center"/>
                </w:tcPr>
                <w:p w14:paraId="037E95CB">
                  <w:pPr>
                    <w:jc w:val="center"/>
                    <w:rPr>
                      <w:sz w:val="18"/>
                      <w:szCs w:val="18"/>
                    </w:rPr>
                  </w:pPr>
                  <w:r>
                    <w:rPr>
                      <w:rFonts w:hint="eastAsia"/>
                      <w:sz w:val="18"/>
                      <w:szCs w:val="18"/>
                      <w:lang w:val="en-US" w:eastAsia="zh-CN"/>
                    </w:rPr>
                    <w:t>6</w:t>
                  </w:r>
                  <w:r>
                    <w:rPr>
                      <w:sz w:val="18"/>
                      <w:szCs w:val="18"/>
                    </w:rPr>
                    <w:t>.1</w:t>
                  </w:r>
                </w:p>
              </w:tc>
              <w:tc>
                <w:tcPr>
                  <w:tcW w:w="1196" w:type="dxa"/>
                  <w:tcBorders>
                    <w:top w:val="single" w:color="auto" w:sz="12" w:space="0"/>
                    <w:bottom w:val="single" w:color="auto" w:sz="4" w:space="0"/>
                    <w:right w:val="single" w:color="auto" w:sz="4" w:space="0"/>
                  </w:tcBorders>
                  <w:noWrap w:val="0"/>
                  <w:vAlign w:val="center"/>
                </w:tcPr>
                <w:p w14:paraId="2003D1B0">
                  <w:pPr>
                    <w:jc w:val="center"/>
                    <w:rPr>
                      <w:sz w:val="18"/>
                      <w:szCs w:val="18"/>
                    </w:rPr>
                  </w:pPr>
                  <w:r>
                    <w:rPr>
                      <w:rFonts w:hint="eastAsia" w:ascii="宋体" w:hAnsi="宋体"/>
                      <w:sz w:val="18"/>
                      <w:szCs w:val="18"/>
                    </w:rPr>
                    <w:t>●</w:t>
                  </w:r>
                </w:p>
              </w:tc>
              <w:tc>
                <w:tcPr>
                  <w:tcW w:w="1222" w:type="dxa"/>
                  <w:tcBorders>
                    <w:top w:val="single" w:color="auto" w:sz="12" w:space="0"/>
                    <w:left w:val="single" w:color="auto" w:sz="4" w:space="0"/>
                    <w:bottom w:val="single" w:color="auto" w:sz="4" w:space="0"/>
                    <w:right w:val="single" w:color="auto" w:sz="12" w:space="0"/>
                  </w:tcBorders>
                  <w:noWrap w:val="0"/>
                  <w:vAlign w:val="center"/>
                </w:tcPr>
                <w:p w14:paraId="57A13D89">
                  <w:pPr>
                    <w:jc w:val="center"/>
                    <w:rPr>
                      <w:sz w:val="18"/>
                      <w:szCs w:val="18"/>
                    </w:rPr>
                  </w:pPr>
                  <w:r>
                    <w:rPr>
                      <w:rFonts w:hint="eastAsia" w:ascii="宋体" w:hAnsi="宋体"/>
                      <w:sz w:val="18"/>
                      <w:szCs w:val="18"/>
                    </w:rPr>
                    <w:t>●</w:t>
                  </w:r>
                </w:p>
              </w:tc>
            </w:tr>
            <w:tr w14:paraId="5196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08" w:type="dxa"/>
                  <w:tcBorders>
                    <w:top w:val="single" w:color="auto" w:sz="4" w:space="0"/>
                    <w:left w:val="single" w:color="auto" w:sz="12" w:space="0"/>
                  </w:tcBorders>
                  <w:noWrap w:val="0"/>
                  <w:vAlign w:val="center"/>
                </w:tcPr>
                <w:p w14:paraId="7CCD2E9B">
                  <w:pPr>
                    <w:jc w:val="center"/>
                    <w:rPr>
                      <w:sz w:val="18"/>
                    </w:rPr>
                  </w:pPr>
                  <w:r>
                    <w:rPr>
                      <w:rFonts w:hAnsi="宋体"/>
                      <w:sz w:val="18"/>
                      <w:szCs w:val="18"/>
                    </w:rPr>
                    <w:t>颜色</w:t>
                  </w:r>
                </w:p>
              </w:tc>
              <w:tc>
                <w:tcPr>
                  <w:tcW w:w="1128" w:type="dxa"/>
                  <w:tcBorders>
                    <w:top w:val="single" w:color="auto" w:sz="4" w:space="0"/>
                  </w:tcBorders>
                  <w:noWrap w:val="0"/>
                  <w:vAlign w:val="center"/>
                </w:tcPr>
                <w:p w14:paraId="40B5C87C">
                  <w:pPr>
                    <w:jc w:val="center"/>
                    <w:rPr>
                      <w:sz w:val="18"/>
                      <w:szCs w:val="18"/>
                    </w:rPr>
                  </w:pPr>
                  <w:r>
                    <w:rPr>
                      <w:rFonts w:hint="eastAsia"/>
                      <w:sz w:val="18"/>
                      <w:szCs w:val="18"/>
                    </w:rPr>
                    <w:t>3</w:t>
                  </w:r>
                  <w:r>
                    <w:rPr>
                      <w:sz w:val="18"/>
                      <w:szCs w:val="18"/>
                    </w:rPr>
                    <w:t>.</w:t>
                  </w:r>
                  <w:r>
                    <w:rPr>
                      <w:rFonts w:hint="eastAsia"/>
                      <w:sz w:val="18"/>
                      <w:szCs w:val="18"/>
                    </w:rPr>
                    <w:t>2</w:t>
                  </w:r>
                </w:p>
              </w:tc>
              <w:tc>
                <w:tcPr>
                  <w:tcW w:w="1223" w:type="dxa"/>
                  <w:tcBorders>
                    <w:top w:val="single" w:color="auto" w:sz="4" w:space="0"/>
                    <w:right w:val="single" w:color="auto" w:sz="4" w:space="0"/>
                  </w:tcBorders>
                  <w:noWrap w:val="0"/>
                  <w:vAlign w:val="center"/>
                </w:tcPr>
                <w:p w14:paraId="70F5D1FE">
                  <w:pPr>
                    <w:jc w:val="center"/>
                    <w:rPr>
                      <w:sz w:val="18"/>
                      <w:szCs w:val="18"/>
                    </w:rPr>
                  </w:pPr>
                  <w:r>
                    <w:rPr>
                      <w:rFonts w:hint="eastAsia"/>
                      <w:sz w:val="18"/>
                      <w:szCs w:val="18"/>
                      <w:lang w:val="en-US" w:eastAsia="zh-CN"/>
                    </w:rPr>
                    <w:t>6</w:t>
                  </w:r>
                  <w:r>
                    <w:rPr>
                      <w:sz w:val="18"/>
                      <w:szCs w:val="18"/>
                    </w:rPr>
                    <w:t>.2</w:t>
                  </w:r>
                </w:p>
              </w:tc>
              <w:tc>
                <w:tcPr>
                  <w:tcW w:w="1196" w:type="dxa"/>
                  <w:tcBorders>
                    <w:top w:val="single" w:color="auto" w:sz="4" w:space="0"/>
                    <w:right w:val="single" w:color="auto" w:sz="4" w:space="0"/>
                  </w:tcBorders>
                  <w:noWrap w:val="0"/>
                  <w:vAlign w:val="center"/>
                </w:tcPr>
                <w:p w14:paraId="26FCC1C0">
                  <w:pPr>
                    <w:jc w:val="center"/>
                    <w:rPr>
                      <w:sz w:val="18"/>
                      <w:szCs w:val="18"/>
                    </w:rPr>
                  </w:pPr>
                  <w:r>
                    <w:rPr>
                      <w:rFonts w:hint="eastAsia" w:ascii="宋体" w:hAnsi="宋体"/>
                      <w:sz w:val="18"/>
                      <w:szCs w:val="18"/>
                    </w:rPr>
                    <w:t>●</w:t>
                  </w:r>
                </w:p>
              </w:tc>
              <w:tc>
                <w:tcPr>
                  <w:tcW w:w="1222" w:type="dxa"/>
                  <w:tcBorders>
                    <w:top w:val="single" w:color="auto" w:sz="4" w:space="0"/>
                    <w:left w:val="single" w:color="auto" w:sz="4" w:space="0"/>
                    <w:right w:val="single" w:color="auto" w:sz="12" w:space="0"/>
                  </w:tcBorders>
                  <w:noWrap w:val="0"/>
                  <w:vAlign w:val="center"/>
                </w:tcPr>
                <w:p w14:paraId="56201D42">
                  <w:pPr>
                    <w:jc w:val="center"/>
                    <w:rPr>
                      <w:sz w:val="18"/>
                      <w:szCs w:val="18"/>
                    </w:rPr>
                  </w:pPr>
                  <w:r>
                    <w:rPr>
                      <w:rFonts w:hint="eastAsia" w:ascii="宋体" w:hAnsi="宋体"/>
                      <w:sz w:val="18"/>
                      <w:szCs w:val="18"/>
                    </w:rPr>
                    <w:t>●</w:t>
                  </w:r>
                </w:p>
              </w:tc>
            </w:tr>
            <w:tr w14:paraId="480E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08" w:type="dxa"/>
                  <w:tcBorders>
                    <w:top w:val="single" w:color="auto" w:sz="4" w:space="0"/>
                    <w:left w:val="single" w:color="auto" w:sz="12" w:space="0"/>
                  </w:tcBorders>
                  <w:noWrap w:val="0"/>
                  <w:vAlign w:val="center"/>
                </w:tcPr>
                <w:p w14:paraId="705ADAB4">
                  <w:pPr>
                    <w:jc w:val="center"/>
                    <w:rPr>
                      <w:sz w:val="18"/>
                    </w:rPr>
                  </w:pPr>
                  <w:r>
                    <w:rPr>
                      <w:rFonts w:hAnsi="宋体"/>
                      <w:sz w:val="18"/>
                      <w:szCs w:val="18"/>
                    </w:rPr>
                    <w:t>材料</w:t>
                  </w:r>
                </w:p>
              </w:tc>
              <w:tc>
                <w:tcPr>
                  <w:tcW w:w="1128" w:type="dxa"/>
                  <w:tcBorders>
                    <w:top w:val="single" w:color="auto" w:sz="4" w:space="0"/>
                  </w:tcBorders>
                  <w:noWrap w:val="0"/>
                  <w:vAlign w:val="center"/>
                </w:tcPr>
                <w:p w14:paraId="6C65BEFA">
                  <w:pPr>
                    <w:jc w:val="center"/>
                    <w:rPr>
                      <w:sz w:val="18"/>
                      <w:szCs w:val="18"/>
                    </w:rPr>
                  </w:pPr>
                  <w:r>
                    <w:rPr>
                      <w:rFonts w:hint="eastAsia"/>
                      <w:sz w:val="18"/>
                      <w:szCs w:val="18"/>
                    </w:rPr>
                    <w:t>3</w:t>
                  </w:r>
                  <w:r>
                    <w:rPr>
                      <w:sz w:val="18"/>
                      <w:szCs w:val="18"/>
                    </w:rPr>
                    <w:t>.</w:t>
                  </w:r>
                  <w:r>
                    <w:rPr>
                      <w:rFonts w:hint="eastAsia"/>
                      <w:sz w:val="18"/>
                      <w:szCs w:val="18"/>
                    </w:rPr>
                    <w:t>3</w:t>
                  </w:r>
                </w:p>
              </w:tc>
              <w:tc>
                <w:tcPr>
                  <w:tcW w:w="1223" w:type="dxa"/>
                  <w:tcBorders>
                    <w:top w:val="single" w:color="auto" w:sz="4" w:space="0"/>
                    <w:right w:val="single" w:color="auto" w:sz="4" w:space="0"/>
                  </w:tcBorders>
                  <w:noWrap w:val="0"/>
                  <w:vAlign w:val="center"/>
                </w:tcPr>
                <w:p w14:paraId="5E5DCC48">
                  <w:pPr>
                    <w:jc w:val="center"/>
                    <w:rPr>
                      <w:sz w:val="18"/>
                      <w:szCs w:val="18"/>
                    </w:rPr>
                  </w:pPr>
                  <w:r>
                    <w:rPr>
                      <w:rFonts w:hint="eastAsia"/>
                      <w:sz w:val="18"/>
                      <w:szCs w:val="18"/>
                      <w:lang w:val="en-US" w:eastAsia="zh-CN"/>
                    </w:rPr>
                    <w:t>6</w:t>
                  </w:r>
                  <w:r>
                    <w:rPr>
                      <w:sz w:val="18"/>
                      <w:szCs w:val="18"/>
                    </w:rPr>
                    <w:t>.</w:t>
                  </w:r>
                  <w:r>
                    <w:rPr>
                      <w:rFonts w:hint="eastAsia"/>
                      <w:sz w:val="18"/>
                      <w:szCs w:val="18"/>
                    </w:rPr>
                    <w:t>3</w:t>
                  </w:r>
                </w:p>
              </w:tc>
              <w:tc>
                <w:tcPr>
                  <w:tcW w:w="1196" w:type="dxa"/>
                  <w:tcBorders>
                    <w:top w:val="single" w:color="auto" w:sz="4" w:space="0"/>
                    <w:right w:val="single" w:color="auto" w:sz="4" w:space="0"/>
                  </w:tcBorders>
                  <w:noWrap w:val="0"/>
                  <w:vAlign w:val="center"/>
                </w:tcPr>
                <w:p w14:paraId="770B9E1B">
                  <w:pPr>
                    <w:jc w:val="center"/>
                    <w:rPr>
                      <w:sz w:val="18"/>
                      <w:szCs w:val="18"/>
                    </w:rPr>
                  </w:pPr>
                  <w:r>
                    <w:rPr>
                      <w:rFonts w:hint="eastAsia" w:ascii="宋体" w:hAnsi="宋体"/>
                      <w:sz w:val="18"/>
                      <w:szCs w:val="18"/>
                    </w:rPr>
                    <w:t>●</w:t>
                  </w:r>
                </w:p>
              </w:tc>
              <w:tc>
                <w:tcPr>
                  <w:tcW w:w="1222" w:type="dxa"/>
                  <w:tcBorders>
                    <w:top w:val="single" w:color="auto" w:sz="4" w:space="0"/>
                    <w:left w:val="single" w:color="auto" w:sz="4" w:space="0"/>
                    <w:right w:val="single" w:color="auto" w:sz="12" w:space="0"/>
                  </w:tcBorders>
                  <w:noWrap w:val="0"/>
                  <w:vAlign w:val="center"/>
                </w:tcPr>
                <w:p w14:paraId="73A3163F">
                  <w:pPr>
                    <w:jc w:val="center"/>
                    <w:rPr>
                      <w:sz w:val="18"/>
                      <w:szCs w:val="18"/>
                    </w:rPr>
                  </w:pPr>
                  <w:r>
                    <w:rPr>
                      <w:rFonts w:hint="eastAsia"/>
                      <w:sz w:val="18"/>
                      <w:szCs w:val="18"/>
                    </w:rPr>
                    <w:t>—</w:t>
                  </w:r>
                </w:p>
              </w:tc>
            </w:tr>
            <w:tr w14:paraId="66A4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08" w:type="dxa"/>
                  <w:tcBorders>
                    <w:left w:val="single" w:color="auto" w:sz="12" w:space="0"/>
                  </w:tcBorders>
                  <w:noWrap w:val="0"/>
                  <w:vAlign w:val="center"/>
                </w:tcPr>
                <w:p w14:paraId="4C306DDB">
                  <w:pPr>
                    <w:spacing w:before="100" w:beforeAutospacing="1" w:after="100" w:afterAutospacing="1"/>
                    <w:jc w:val="center"/>
                    <w:outlineLvl w:val="0"/>
                    <w:rPr>
                      <w:sz w:val="18"/>
                    </w:rPr>
                  </w:pPr>
                  <w:bookmarkStart w:id="327" w:name="_Toc11981"/>
                  <w:bookmarkStart w:id="328" w:name="_Toc1814"/>
                  <w:r>
                    <w:rPr>
                      <w:rFonts w:hAnsi="宋体"/>
                      <w:sz w:val="18"/>
                    </w:rPr>
                    <w:t>喷塑漆膜厚度</w:t>
                  </w:r>
                  <w:bookmarkEnd w:id="327"/>
                  <w:bookmarkEnd w:id="328"/>
                </w:p>
              </w:tc>
              <w:tc>
                <w:tcPr>
                  <w:tcW w:w="1128" w:type="dxa"/>
                  <w:noWrap w:val="0"/>
                  <w:vAlign w:val="center"/>
                </w:tcPr>
                <w:p w14:paraId="66E685C6">
                  <w:pPr>
                    <w:jc w:val="center"/>
                    <w:rPr>
                      <w:sz w:val="18"/>
                      <w:szCs w:val="18"/>
                    </w:rPr>
                  </w:pPr>
                  <w:r>
                    <w:rPr>
                      <w:rFonts w:hint="eastAsia"/>
                      <w:sz w:val="18"/>
                      <w:szCs w:val="18"/>
                    </w:rPr>
                    <w:t>3</w:t>
                  </w:r>
                  <w:r>
                    <w:rPr>
                      <w:sz w:val="18"/>
                      <w:szCs w:val="18"/>
                    </w:rPr>
                    <w:t>.</w:t>
                  </w:r>
                  <w:r>
                    <w:rPr>
                      <w:rFonts w:hint="eastAsia"/>
                      <w:sz w:val="18"/>
                      <w:szCs w:val="18"/>
                    </w:rPr>
                    <w:t>4</w:t>
                  </w:r>
                  <w:r>
                    <w:rPr>
                      <w:sz w:val="18"/>
                      <w:szCs w:val="18"/>
                    </w:rPr>
                    <w:t>.</w:t>
                  </w:r>
                  <w:r>
                    <w:rPr>
                      <w:rFonts w:hint="eastAsia"/>
                      <w:sz w:val="18"/>
                      <w:szCs w:val="18"/>
                    </w:rPr>
                    <w:t>1</w:t>
                  </w:r>
                </w:p>
              </w:tc>
              <w:tc>
                <w:tcPr>
                  <w:tcW w:w="1223" w:type="dxa"/>
                  <w:tcBorders>
                    <w:right w:val="single" w:color="auto" w:sz="4" w:space="0"/>
                  </w:tcBorders>
                  <w:noWrap w:val="0"/>
                  <w:vAlign w:val="center"/>
                </w:tcPr>
                <w:p w14:paraId="7561D694">
                  <w:pPr>
                    <w:jc w:val="center"/>
                    <w:rPr>
                      <w:sz w:val="18"/>
                      <w:szCs w:val="18"/>
                    </w:rPr>
                  </w:pPr>
                  <w:r>
                    <w:rPr>
                      <w:rFonts w:hint="eastAsia"/>
                      <w:sz w:val="18"/>
                      <w:szCs w:val="18"/>
                      <w:lang w:val="en-US" w:eastAsia="zh-CN"/>
                    </w:rPr>
                    <w:t>6</w:t>
                  </w:r>
                  <w:r>
                    <w:rPr>
                      <w:sz w:val="18"/>
                      <w:szCs w:val="18"/>
                    </w:rPr>
                    <w:t>.</w:t>
                  </w:r>
                  <w:r>
                    <w:rPr>
                      <w:rFonts w:hint="eastAsia"/>
                      <w:sz w:val="18"/>
                      <w:szCs w:val="18"/>
                    </w:rPr>
                    <w:t>4</w:t>
                  </w:r>
                </w:p>
              </w:tc>
              <w:tc>
                <w:tcPr>
                  <w:tcW w:w="1196" w:type="dxa"/>
                  <w:tcBorders>
                    <w:right w:val="single" w:color="auto" w:sz="4" w:space="0"/>
                  </w:tcBorders>
                  <w:noWrap w:val="0"/>
                  <w:vAlign w:val="center"/>
                </w:tcPr>
                <w:p w14:paraId="59FD6803">
                  <w:pPr>
                    <w:jc w:val="center"/>
                    <w:rPr>
                      <w:sz w:val="18"/>
                      <w:szCs w:val="18"/>
                    </w:rPr>
                  </w:pPr>
                  <w:r>
                    <w:rPr>
                      <w:rFonts w:hint="eastAsia" w:ascii="宋体" w:hAnsi="宋体"/>
                      <w:sz w:val="18"/>
                      <w:szCs w:val="18"/>
                    </w:rPr>
                    <w:t>●</w:t>
                  </w:r>
                </w:p>
              </w:tc>
              <w:tc>
                <w:tcPr>
                  <w:tcW w:w="1222" w:type="dxa"/>
                  <w:tcBorders>
                    <w:left w:val="single" w:color="auto" w:sz="4" w:space="0"/>
                    <w:right w:val="single" w:color="auto" w:sz="12" w:space="0"/>
                  </w:tcBorders>
                  <w:noWrap w:val="0"/>
                  <w:vAlign w:val="center"/>
                </w:tcPr>
                <w:p w14:paraId="7ED290B0">
                  <w:pPr>
                    <w:jc w:val="center"/>
                    <w:rPr>
                      <w:sz w:val="18"/>
                      <w:szCs w:val="18"/>
                    </w:rPr>
                  </w:pPr>
                  <w:r>
                    <w:rPr>
                      <w:rFonts w:hint="eastAsia"/>
                      <w:sz w:val="18"/>
                      <w:szCs w:val="18"/>
                    </w:rPr>
                    <w:t>—</w:t>
                  </w:r>
                </w:p>
              </w:tc>
            </w:tr>
            <w:tr w14:paraId="4251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08" w:type="dxa"/>
                  <w:tcBorders>
                    <w:left w:val="single" w:color="auto" w:sz="12" w:space="0"/>
                  </w:tcBorders>
                  <w:noWrap w:val="0"/>
                  <w:vAlign w:val="center"/>
                </w:tcPr>
                <w:p w14:paraId="36C76579">
                  <w:pPr>
                    <w:widowControl/>
                    <w:jc w:val="center"/>
                    <w:rPr>
                      <w:kern w:val="0"/>
                      <w:sz w:val="18"/>
                      <w:szCs w:val="18"/>
                    </w:rPr>
                  </w:pPr>
                  <w:r>
                    <w:rPr>
                      <w:rFonts w:hint="eastAsia"/>
                      <w:kern w:val="0"/>
                      <w:sz w:val="18"/>
                      <w:szCs w:val="18"/>
                    </w:rPr>
                    <w:t>标志</w:t>
                  </w:r>
                </w:p>
              </w:tc>
              <w:tc>
                <w:tcPr>
                  <w:tcW w:w="1128" w:type="dxa"/>
                  <w:noWrap w:val="0"/>
                  <w:vAlign w:val="center"/>
                </w:tcPr>
                <w:p w14:paraId="3BE01468">
                  <w:pPr>
                    <w:jc w:val="center"/>
                    <w:rPr>
                      <w:sz w:val="18"/>
                      <w:szCs w:val="18"/>
                    </w:rPr>
                  </w:pPr>
                  <w:r>
                    <w:rPr>
                      <w:rFonts w:hint="eastAsia"/>
                      <w:sz w:val="18"/>
                      <w:szCs w:val="18"/>
                    </w:rPr>
                    <w:t>3</w:t>
                  </w:r>
                  <w:r>
                    <w:rPr>
                      <w:sz w:val="18"/>
                      <w:szCs w:val="18"/>
                    </w:rPr>
                    <w:t>.</w:t>
                  </w:r>
                  <w:r>
                    <w:rPr>
                      <w:rFonts w:hint="eastAsia"/>
                      <w:sz w:val="18"/>
                      <w:szCs w:val="18"/>
                    </w:rPr>
                    <w:t>5</w:t>
                  </w:r>
                </w:p>
              </w:tc>
              <w:tc>
                <w:tcPr>
                  <w:tcW w:w="1223" w:type="dxa"/>
                  <w:tcBorders>
                    <w:right w:val="single" w:color="auto" w:sz="4" w:space="0"/>
                  </w:tcBorders>
                  <w:noWrap w:val="0"/>
                  <w:vAlign w:val="center"/>
                </w:tcPr>
                <w:p w14:paraId="5338C6B0">
                  <w:pPr>
                    <w:jc w:val="center"/>
                    <w:rPr>
                      <w:sz w:val="18"/>
                      <w:szCs w:val="18"/>
                    </w:rPr>
                  </w:pPr>
                  <w:r>
                    <w:rPr>
                      <w:rFonts w:hint="eastAsia"/>
                      <w:sz w:val="18"/>
                      <w:szCs w:val="18"/>
                      <w:lang w:val="en-US" w:eastAsia="zh-CN"/>
                    </w:rPr>
                    <w:t>6</w:t>
                  </w:r>
                  <w:r>
                    <w:rPr>
                      <w:sz w:val="18"/>
                      <w:szCs w:val="18"/>
                    </w:rPr>
                    <w:t>.</w:t>
                  </w:r>
                  <w:r>
                    <w:rPr>
                      <w:rFonts w:hint="eastAsia"/>
                      <w:sz w:val="18"/>
                      <w:szCs w:val="18"/>
                    </w:rPr>
                    <w:t>5</w:t>
                  </w:r>
                </w:p>
              </w:tc>
              <w:tc>
                <w:tcPr>
                  <w:tcW w:w="1196" w:type="dxa"/>
                  <w:tcBorders>
                    <w:right w:val="single" w:color="auto" w:sz="4" w:space="0"/>
                  </w:tcBorders>
                  <w:noWrap w:val="0"/>
                  <w:vAlign w:val="center"/>
                </w:tcPr>
                <w:p w14:paraId="01D5A31C">
                  <w:pPr>
                    <w:jc w:val="center"/>
                    <w:rPr>
                      <w:sz w:val="18"/>
                      <w:szCs w:val="18"/>
                    </w:rPr>
                  </w:pPr>
                  <w:r>
                    <w:rPr>
                      <w:rFonts w:hint="eastAsia" w:ascii="宋体" w:hAnsi="宋体"/>
                      <w:sz w:val="18"/>
                      <w:szCs w:val="18"/>
                    </w:rPr>
                    <w:t>●</w:t>
                  </w:r>
                </w:p>
              </w:tc>
              <w:tc>
                <w:tcPr>
                  <w:tcW w:w="1222" w:type="dxa"/>
                  <w:tcBorders>
                    <w:left w:val="single" w:color="auto" w:sz="4" w:space="0"/>
                    <w:right w:val="single" w:color="auto" w:sz="12" w:space="0"/>
                  </w:tcBorders>
                  <w:noWrap w:val="0"/>
                  <w:vAlign w:val="center"/>
                </w:tcPr>
                <w:p w14:paraId="6996B13E">
                  <w:pPr>
                    <w:jc w:val="center"/>
                    <w:rPr>
                      <w:sz w:val="18"/>
                      <w:szCs w:val="18"/>
                    </w:rPr>
                  </w:pPr>
                  <w:r>
                    <w:rPr>
                      <w:rFonts w:hint="eastAsia" w:ascii="宋体" w:hAnsi="宋体"/>
                      <w:sz w:val="18"/>
                      <w:szCs w:val="18"/>
                    </w:rPr>
                    <w:t>●</w:t>
                  </w:r>
                </w:p>
              </w:tc>
            </w:tr>
            <w:tr w14:paraId="6EE7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08" w:type="dxa"/>
                  <w:tcBorders>
                    <w:left w:val="single" w:color="auto" w:sz="12" w:space="0"/>
                  </w:tcBorders>
                  <w:noWrap w:val="0"/>
                  <w:vAlign w:val="center"/>
                </w:tcPr>
                <w:p w14:paraId="7E309F68">
                  <w:pPr>
                    <w:widowControl/>
                    <w:jc w:val="center"/>
                    <w:rPr>
                      <w:rFonts w:hint="eastAsia"/>
                      <w:kern w:val="0"/>
                      <w:sz w:val="18"/>
                      <w:szCs w:val="18"/>
                    </w:rPr>
                  </w:pPr>
                  <w:r>
                    <w:rPr>
                      <w:rFonts w:hint="eastAsia"/>
                      <w:kern w:val="0"/>
                      <w:sz w:val="18"/>
                      <w:szCs w:val="18"/>
                    </w:rPr>
                    <w:t>工艺</w:t>
                  </w:r>
                </w:p>
              </w:tc>
              <w:tc>
                <w:tcPr>
                  <w:tcW w:w="1128" w:type="dxa"/>
                  <w:noWrap w:val="0"/>
                  <w:vAlign w:val="center"/>
                </w:tcPr>
                <w:p w14:paraId="7E4ABC44">
                  <w:pPr>
                    <w:jc w:val="center"/>
                    <w:rPr>
                      <w:rFonts w:hint="eastAsia"/>
                      <w:sz w:val="18"/>
                      <w:szCs w:val="18"/>
                    </w:rPr>
                  </w:pPr>
                  <w:r>
                    <w:rPr>
                      <w:rFonts w:hint="eastAsia"/>
                      <w:sz w:val="18"/>
                      <w:szCs w:val="18"/>
                    </w:rPr>
                    <w:t>3</w:t>
                  </w:r>
                  <w:r>
                    <w:rPr>
                      <w:sz w:val="18"/>
                      <w:szCs w:val="18"/>
                    </w:rPr>
                    <w:t>.</w:t>
                  </w:r>
                  <w:r>
                    <w:rPr>
                      <w:rFonts w:hint="eastAsia"/>
                      <w:sz w:val="18"/>
                      <w:szCs w:val="18"/>
                    </w:rPr>
                    <w:t>6</w:t>
                  </w:r>
                </w:p>
              </w:tc>
              <w:tc>
                <w:tcPr>
                  <w:tcW w:w="1223" w:type="dxa"/>
                  <w:tcBorders>
                    <w:right w:val="single" w:color="auto" w:sz="4" w:space="0"/>
                  </w:tcBorders>
                  <w:noWrap w:val="0"/>
                  <w:vAlign w:val="center"/>
                </w:tcPr>
                <w:p w14:paraId="56038689">
                  <w:pPr>
                    <w:jc w:val="center"/>
                    <w:rPr>
                      <w:rFonts w:hint="eastAsia"/>
                      <w:sz w:val="18"/>
                      <w:szCs w:val="18"/>
                    </w:rPr>
                  </w:pPr>
                  <w:r>
                    <w:rPr>
                      <w:rFonts w:hint="eastAsia"/>
                      <w:sz w:val="18"/>
                      <w:szCs w:val="18"/>
                      <w:lang w:val="en-US" w:eastAsia="zh-CN"/>
                    </w:rPr>
                    <w:t>6</w:t>
                  </w:r>
                  <w:r>
                    <w:rPr>
                      <w:sz w:val="18"/>
                      <w:szCs w:val="18"/>
                    </w:rPr>
                    <w:t>.</w:t>
                  </w:r>
                  <w:r>
                    <w:rPr>
                      <w:rFonts w:hint="eastAsia"/>
                      <w:sz w:val="18"/>
                      <w:szCs w:val="18"/>
                    </w:rPr>
                    <w:t>6</w:t>
                  </w:r>
                </w:p>
              </w:tc>
              <w:tc>
                <w:tcPr>
                  <w:tcW w:w="1196" w:type="dxa"/>
                  <w:tcBorders>
                    <w:right w:val="single" w:color="auto" w:sz="4" w:space="0"/>
                  </w:tcBorders>
                  <w:noWrap w:val="0"/>
                  <w:vAlign w:val="center"/>
                </w:tcPr>
                <w:p w14:paraId="128289D6">
                  <w:pPr>
                    <w:jc w:val="center"/>
                    <w:rPr>
                      <w:rFonts w:hint="eastAsia" w:ascii="宋体" w:hAnsi="宋体"/>
                      <w:sz w:val="18"/>
                      <w:szCs w:val="18"/>
                    </w:rPr>
                  </w:pPr>
                  <w:r>
                    <w:rPr>
                      <w:rFonts w:hint="eastAsia" w:ascii="宋体" w:hAnsi="宋体"/>
                      <w:sz w:val="18"/>
                      <w:szCs w:val="18"/>
                    </w:rPr>
                    <w:t>●</w:t>
                  </w:r>
                </w:p>
              </w:tc>
              <w:tc>
                <w:tcPr>
                  <w:tcW w:w="1222" w:type="dxa"/>
                  <w:tcBorders>
                    <w:left w:val="single" w:color="auto" w:sz="4" w:space="0"/>
                    <w:right w:val="single" w:color="auto" w:sz="12" w:space="0"/>
                  </w:tcBorders>
                  <w:noWrap w:val="0"/>
                  <w:vAlign w:val="center"/>
                </w:tcPr>
                <w:p w14:paraId="7FA00871">
                  <w:pPr>
                    <w:jc w:val="center"/>
                    <w:rPr>
                      <w:rFonts w:hint="eastAsia" w:ascii="宋体" w:hAnsi="宋体"/>
                      <w:sz w:val="18"/>
                      <w:szCs w:val="18"/>
                    </w:rPr>
                  </w:pPr>
                  <w:r>
                    <w:rPr>
                      <w:rFonts w:hint="eastAsia" w:ascii="宋体" w:hAnsi="宋体"/>
                      <w:sz w:val="18"/>
                      <w:szCs w:val="18"/>
                    </w:rPr>
                    <w:t>●</w:t>
                  </w:r>
                </w:p>
              </w:tc>
            </w:tr>
            <w:tr w14:paraId="07BD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08" w:type="dxa"/>
                  <w:tcBorders>
                    <w:left w:val="single" w:color="auto" w:sz="12" w:space="0"/>
                  </w:tcBorders>
                  <w:noWrap w:val="0"/>
                  <w:vAlign w:val="center"/>
                </w:tcPr>
                <w:p w14:paraId="45B823CB">
                  <w:pPr>
                    <w:widowControl/>
                    <w:jc w:val="center"/>
                    <w:rPr>
                      <w:rFonts w:hAnsi="宋体"/>
                      <w:sz w:val="18"/>
                      <w:szCs w:val="18"/>
                    </w:rPr>
                  </w:pPr>
                  <w:r>
                    <w:rPr>
                      <w:rFonts w:hAnsi="宋体"/>
                      <w:sz w:val="18"/>
                      <w:szCs w:val="18"/>
                    </w:rPr>
                    <w:t>外观</w:t>
                  </w:r>
                </w:p>
              </w:tc>
              <w:tc>
                <w:tcPr>
                  <w:tcW w:w="1128" w:type="dxa"/>
                  <w:noWrap w:val="0"/>
                  <w:vAlign w:val="center"/>
                </w:tcPr>
                <w:p w14:paraId="1CDA160C">
                  <w:pPr>
                    <w:jc w:val="center"/>
                    <w:rPr>
                      <w:sz w:val="18"/>
                      <w:szCs w:val="18"/>
                    </w:rPr>
                  </w:pPr>
                  <w:r>
                    <w:rPr>
                      <w:rFonts w:hint="eastAsia"/>
                      <w:sz w:val="18"/>
                      <w:szCs w:val="18"/>
                    </w:rPr>
                    <w:t>3</w:t>
                  </w:r>
                  <w:r>
                    <w:rPr>
                      <w:sz w:val="18"/>
                      <w:szCs w:val="18"/>
                    </w:rPr>
                    <w:t>.</w:t>
                  </w:r>
                  <w:r>
                    <w:rPr>
                      <w:rFonts w:hint="eastAsia"/>
                      <w:sz w:val="18"/>
                      <w:szCs w:val="18"/>
                    </w:rPr>
                    <w:t>7</w:t>
                  </w:r>
                </w:p>
              </w:tc>
              <w:tc>
                <w:tcPr>
                  <w:tcW w:w="1223" w:type="dxa"/>
                  <w:tcBorders>
                    <w:right w:val="single" w:color="auto" w:sz="4" w:space="0"/>
                  </w:tcBorders>
                  <w:noWrap w:val="0"/>
                  <w:vAlign w:val="center"/>
                </w:tcPr>
                <w:p w14:paraId="54EE9F5D">
                  <w:pPr>
                    <w:jc w:val="center"/>
                    <w:rPr>
                      <w:sz w:val="18"/>
                      <w:szCs w:val="18"/>
                    </w:rPr>
                  </w:pPr>
                  <w:r>
                    <w:rPr>
                      <w:rFonts w:hint="eastAsia"/>
                      <w:sz w:val="18"/>
                      <w:szCs w:val="18"/>
                      <w:lang w:val="en-US" w:eastAsia="zh-CN"/>
                    </w:rPr>
                    <w:t>6</w:t>
                  </w:r>
                  <w:r>
                    <w:rPr>
                      <w:sz w:val="18"/>
                      <w:szCs w:val="18"/>
                    </w:rPr>
                    <w:t>.</w:t>
                  </w:r>
                  <w:r>
                    <w:rPr>
                      <w:rFonts w:hint="eastAsia"/>
                      <w:sz w:val="18"/>
                      <w:szCs w:val="18"/>
                    </w:rPr>
                    <w:t>7</w:t>
                  </w:r>
                </w:p>
              </w:tc>
              <w:tc>
                <w:tcPr>
                  <w:tcW w:w="1196" w:type="dxa"/>
                  <w:tcBorders>
                    <w:right w:val="single" w:color="auto" w:sz="4" w:space="0"/>
                  </w:tcBorders>
                  <w:noWrap w:val="0"/>
                  <w:vAlign w:val="center"/>
                </w:tcPr>
                <w:p w14:paraId="1028D3BD">
                  <w:pPr>
                    <w:jc w:val="center"/>
                    <w:rPr>
                      <w:sz w:val="18"/>
                      <w:szCs w:val="18"/>
                    </w:rPr>
                  </w:pPr>
                  <w:r>
                    <w:rPr>
                      <w:rFonts w:hint="eastAsia" w:ascii="宋体" w:hAnsi="宋体"/>
                      <w:sz w:val="18"/>
                      <w:szCs w:val="18"/>
                    </w:rPr>
                    <w:t>●</w:t>
                  </w:r>
                </w:p>
              </w:tc>
              <w:tc>
                <w:tcPr>
                  <w:tcW w:w="1222" w:type="dxa"/>
                  <w:tcBorders>
                    <w:left w:val="single" w:color="auto" w:sz="4" w:space="0"/>
                    <w:right w:val="single" w:color="auto" w:sz="12" w:space="0"/>
                  </w:tcBorders>
                  <w:noWrap w:val="0"/>
                  <w:vAlign w:val="center"/>
                </w:tcPr>
                <w:p w14:paraId="4E5DB7EB">
                  <w:pPr>
                    <w:jc w:val="center"/>
                    <w:rPr>
                      <w:sz w:val="18"/>
                      <w:szCs w:val="18"/>
                    </w:rPr>
                  </w:pPr>
                  <w:r>
                    <w:rPr>
                      <w:rFonts w:hint="eastAsia" w:ascii="宋体" w:hAnsi="宋体"/>
                      <w:sz w:val="18"/>
                      <w:szCs w:val="18"/>
                    </w:rPr>
                    <w:t>●</w:t>
                  </w:r>
                </w:p>
              </w:tc>
            </w:tr>
          </w:tbl>
          <w:p w14:paraId="5AE009F0">
            <w:pPr>
              <w:pStyle w:val="434"/>
              <w:ind w:left="420" w:leftChars="200" w:firstLine="0" w:firstLineChars="0"/>
              <w:rPr>
                <w:rFonts w:hint="eastAsia"/>
              </w:rPr>
            </w:pPr>
            <w:bookmarkStart w:id="329" w:name="_Toc334455169"/>
            <w:bookmarkStart w:id="330" w:name="_Toc328170362"/>
            <w:bookmarkStart w:id="331" w:name="_Toc5241"/>
            <w:bookmarkStart w:id="332" w:name="_Toc22485"/>
            <w:bookmarkStart w:id="333" w:name="_Toc71215222"/>
            <w:bookmarkStart w:id="334" w:name="_Toc69291629"/>
            <w:bookmarkStart w:id="335" w:name="_Toc71087686"/>
            <w:bookmarkStart w:id="336" w:name="_Toc69291563"/>
            <w:bookmarkStart w:id="337" w:name="_Toc71087764"/>
            <w:bookmarkStart w:id="338" w:name="_Toc71215110"/>
            <w:r>
              <w:rPr>
                <w:rFonts w:hint="eastAsia"/>
              </w:rPr>
              <w:t>交收检验</w:t>
            </w:r>
            <w:bookmarkEnd w:id="329"/>
            <w:bookmarkEnd w:id="330"/>
            <w:bookmarkEnd w:id="331"/>
            <w:bookmarkEnd w:id="332"/>
          </w:p>
          <w:p w14:paraId="643D6D94">
            <w:pPr>
              <w:pStyle w:val="282"/>
              <w:numPr>
                <w:ilvl w:val="3"/>
                <w:numId w:val="0"/>
              </w:numPr>
              <w:ind w:leftChars="200"/>
              <w:rPr>
                <w:rFonts w:hint="eastAsia" w:ascii="Times New Roman"/>
              </w:rPr>
            </w:pPr>
            <w:r>
              <w:rPr>
                <w:rFonts w:hint="eastAsia"/>
                <w:lang w:val="en-US" w:eastAsia="zh-CN"/>
              </w:rPr>
              <w:t>13.1</w:t>
            </w:r>
            <w:r>
              <w:rPr>
                <w:rFonts w:hint="eastAsia" w:ascii="Times New Roman"/>
              </w:rPr>
              <w:t>以同一批原料、同一类结构和同一种生产工艺制造的木板折叠床为一个交收检验批。</w:t>
            </w:r>
          </w:p>
          <w:p w14:paraId="397C3DE8">
            <w:pPr>
              <w:pStyle w:val="282"/>
              <w:numPr>
                <w:ilvl w:val="3"/>
                <w:numId w:val="0"/>
              </w:numPr>
              <w:ind w:leftChars="200"/>
              <w:rPr>
                <w:rFonts w:hint="eastAsia" w:ascii="Times New Roman"/>
              </w:rPr>
            </w:pPr>
            <w:r>
              <w:rPr>
                <w:rFonts w:hint="eastAsia"/>
                <w:lang w:val="en-US" w:eastAsia="zh-CN"/>
              </w:rPr>
              <w:t>13.2</w:t>
            </w:r>
            <w:r>
              <w:rPr>
                <w:rFonts w:ascii="Times New Roman"/>
              </w:rPr>
              <w:t>交收检验采用随机抽样的方法，</w:t>
            </w:r>
            <w:r>
              <w:rPr>
                <w:rFonts w:hint="eastAsia" w:ascii="Times New Roman"/>
              </w:rPr>
              <w:t>按提交检验批数量</w:t>
            </w:r>
            <w:r>
              <w:rPr>
                <w:rFonts w:ascii="Times New Roman"/>
              </w:rPr>
              <w:t>的1%抽验，但不</w:t>
            </w:r>
            <w:r>
              <w:rPr>
                <w:rFonts w:hint="eastAsia" w:ascii="Times New Roman"/>
              </w:rPr>
              <w:t>少</w:t>
            </w:r>
            <w:r>
              <w:rPr>
                <w:rFonts w:ascii="Times New Roman"/>
              </w:rPr>
              <w:t>于一</w:t>
            </w:r>
            <w:r>
              <w:rPr>
                <w:rFonts w:hint="eastAsia" w:ascii="Times New Roman"/>
              </w:rPr>
              <w:t>件。</w:t>
            </w:r>
          </w:p>
          <w:p w14:paraId="10F4A8A6">
            <w:pPr>
              <w:pStyle w:val="282"/>
              <w:numPr>
                <w:ilvl w:val="3"/>
                <w:numId w:val="0"/>
              </w:numPr>
              <w:ind w:leftChars="200"/>
              <w:rPr>
                <w:rFonts w:hint="eastAsia" w:ascii="Times New Roman"/>
              </w:rPr>
            </w:pPr>
            <w:r>
              <w:rPr>
                <w:rFonts w:hint="eastAsia"/>
                <w:lang w:val="en-US" w:eastAsia="zh-CN"/>
              </w:rPr>
              <w:t>13.3</w:t>
            </w:r>
            <w:r>
              <w:rPr>
                <w:rFonts w:ascii="Times New Roman"/>
              </w:rPr>
              <w:t>交收检验</w:t>
            </w:r>
            <w:r>
              <w:rPr>
                <w:rFonts w:hint="eastAsia" w:ascii="Times New Roman"/>
              </w:rPr>
              <w:t>项目、要求和检验方法按</w:t>
            </w:r>
            <w:r>
              <w:rPr>
                <w:rFonts w:ascii="Times New Roman"/>
              </w:rPr>
              <w:t>表</w:t>
            </w:r>
            <w:r>
              <w:rPr>
                <w:rFonts w:hint="eastAsia" w:ascii="Times New Roman"/>
              </w:rPr>
              <w:t>3</w:t>
            </w:r>
            <w:r>
              <w:rPr>
                <w:rFonts w:ascii="Times New Roman"/>
              </w:rPr>
              <w:t>的规定。</w:t>
            </w:r>
          </w:p>
          <w:p w14:paraId="1DD9959C">
            <w:pPr>
              <w:pStyle w:val="282"/>
              <w:numPr>
                <w:ilvl w:val="3"/>
                <w:numId w:val="0"/>
              </w:numPr>
              <w:ind w:leftChars="200"/>
              <w:rPr>
                <w:rFonts w:hint="eastAsia" w:ascii="Times New Roman"/>
              </w:rPr>
            </w:pPr>
            <w:r>
              <w:rPr>
                <w:rFonts w:hint="eastAsia"/>
                <w:lang w:val="en-US" w:eastAsia="zh-CN"/>
              </w:rPr>
              <w:t>13.4</w:t>
            </w:r>
            <w:r>
              <w:rPr>
                <w:rFonts w:hint="eastAsia" w:ascii="Times New Roman"/>
              </w:rPr>
              <w:t>交收检验</w:t>
            </w:r>
            <w:r>
              <w:rPr>
                <w:rFonts w:ascii="Times New Roman"/>
              </w:rPr>
              <w:t>判定规则</w:t>
            </w:r>
            <w:r>
              <w:rPr>
                <w:rFonts w:hint="eastAsia" w:ascii="Times New Roman"/>
              </w:rPr>
              <w:t>，</w:t>
            </w:r>
            <w:r>
              <w:rPr>
                <w:rFonts w:ascii="Times New Roman"/>
              </w:rPr>
              <w:t>交收检验时，全部</w:t>
            </w:r>
            <w:r>
              <w:rPr>
                <w:rFonts w:hint="eastAsia" w:ascii="Times New Roman"/>
              </w:rPr>
              <w:t>抽检样品</w:t>
            </w:r>
            <w:r>
              <w:rPr>
                <w:rFonts w:ascii="Times New Roman"/>
              </w:rPr>
              <w:t>的各检验项目结果符合</w:t>
            </w:r>
            <w:r>
              <w:rPr>
                <w:rFonts w:hint="eastAsia" w:ascii="Times New Roman"/>
              </w:rPr>
              <w:t>规定。</w:t>
            </w:r>
          </w:p>
          <w:p w14:paraId="42496D5D">
            <w:pPr>
              <w:pStyle w:val="282"/>
              <w:numPr>
                <w:ilvl w:val="3"/>
                <w:numId w:val="0"/>
              </w:numPr>
              <w:ind w:leftChars="200"/>
              <w:rPr>
                <w:rFonts w:hint="eastAsia" w:ascii="Times New Roman"/>
              </w:rPr>
            </w:pPr>
            <w:r>
              <w:rPr>
                <w:rFonts w:hint="eastAsia"/>
                <w:lang w:val="en-US" w:eastAsia="zh-CN"/>
              </w:rPr>
              <w:t>13.5</w:t>
            </w:r>
            <w:r>
              <w:rPr>
                <w:rFonts w:ascii="Times New Roman"/>
              </w:rPr>
              <w:t>不合格批产品应全部返修后，重新</w:t>
            </w:r>
            <w:r>
              <w:rPr>
                <w:rFonts w:hint="eastAsia" w:ascii="Times New Roman"/>
              </w:rPr>
              <w:t>提交交收检验；</w:t>
            </w:r>
            <w:r>
              <w:rPr>
                <w:rFonts w:ascii="Times New Roman"/>
              </w:rPr>
              <w:t>仍不合格的产品按合同或协议规定处理。</w:t>
            </w:r>
          </w:p>
          <w:p w14:paraId="606F5C44">
            <w:pPr>
              <w:pStyle w:val="536"/>
              <w:ind w:left="0"/>
              <w:rPr>
                <w:rFonts w:hint="eastAsia"/>
                <w:b/>
                <w:bCs/>
              </w:rPr>
            </w:pPr>
            <w:bookmarkStart w:id="339" w:name="_Toc19824"/>
            <w:bookmarkStart w:id="340" w:name="_Toc334455171"/>
            <w:bookmarkStart w:id="341" w:name="_Toc4791"/>
            <w:r>
              <w:rPr>
                <w:rFonts w:hint="eastAsia"/>
              </w:rPr>
              <w:t>标志、包装、运输与贮存</w:t>
            </w:r>
            <w:bookmarkEnd w:id="333"/>
            <w:bookmarkEnd w:id="334"/>
            <w:bookmarkEnd w:id="335"/>
            <w:bookmarkEnd w:id="336"/>
            <w:bookmarkEnd w:id="337"/>
            <w:bookmarkEnd w:id="338"/>
            <w:bookmarkEnd w:id="339"/>
            <w:bookmarkEnd w:id="340"/>
            <w:bookmarkEnd w:id="341"/>
          </w:p>
          <w:p w14:paraId="5536E6D9">
            <w:pPr>
              <w:pStyle w:val="434"/>
              <w:numPr>
                <w:ilvl w:val="1"/>
                <w:numId w:val="0"/>
              </w:numPr>
              <w:ind w:leftChars="200"/>
              <w:rPr>
                <w:rFonts w:hint="eastAsia"/>
              </w:rPr>
            </w:pPr>
            <w:bookmarkStart w:id="342" w:name="_Toc5559"/>
            <w:bookmarkStart w:id="343" w:name="_Toc31283"/>
            <w:bookmarkStart w:id="344" w:name="_Toc334455172"/>
            <w:bookmarkStart w:id="345" w:name="_Toc71087765"/>
            <w:bookmarkStart w:id="346" w:name="_Toc69291630"/>
            <w:bookmarkStart w:id="347" w:name="_Toc71215223"/>
            <w:r>
              <w:rPr>
                <w:rFonts w:hint="eastAsia"/>
                <w:lang w:val="en-US" w:eastAsia="zh-CN"/>
              </w:rPr>
              <w:t>14.1</w:t>
            </w:r>
            <w:r>
              <w:rPr>
                <w:rFonts w:hint="eastAsia"/>
              </w:rPr>
              <w:t>包装标志</w:t>
            </w:r>
            <w:bookmarkEnd w:id="342"/>
            <w:bookmarkEnd w:id="343"/>
            <w:bookmarkEnd w:id="344"/>
          </w:p>
          <w:p w14:paraId="441170A8">
            <w:pPr>
              <w:pStyle w:val="282"/>
              <w:numPr>
                <w:ilvl w:val="3"/>
                <w:numId w:val="0"/>
              </w:numPr>
              <w:ind w:leftChars="200"/>
              <w:rPr>
                <w:rFonts w:hint="eastAsia" w:ascii="Times New Roman"/>
              </w:rPr>
            </w:pPr>
            <w:r>
              <w:rPr>
                <w:rFonts w:hint="eastAsia"/>
                <w:lang w:val="en-US" w:eastAsia="zh-CN"/>
              </w:rPr>
              <w:t>14.1.1</w:t>
            </w:r>
            <w:r>
              <w:rPr>
                <w:rFonts w:hint="eastAsia" w:ascii="Times New Roman"/>
              </w:rPr>
              <w:t>包装箱标志颜色</w:t>
            </w:r>
            <w:r>
              <w:rPr>
                <w:rFonts w:ascii="Times New Roman"/>
              </w:rPr>
              <w:t>为</w:t>
            </w:r>
            <w:r>
              <w:rPr>
                <w:rFonts w:hint="eastAsia" w:ascii="Times New Roman"/>
              </w:rPr>
              <w:t>黑</w:t>
            </w:r>
            <w:r>
              <w:rPr>
                <w:rFonts w:ascii="Times New Roman"/>
              </w:rPr>
              <w:t>色</w:t>
            </w:r>
            <w:r>
              <w:rPr>
                <w:rFonts w:hint="eastAsia" w:ascii="Times New Roman"/>
              </w:rPr>
              <w:t>，字体为</w:t>
            </w:r>
            <w:r>
              <w:rPr>
                <w:rFonts w:ascii="Times New Roman"/>
              </w:rPr>
              <w:t>黑体字</w:t>
            </w:r>
            <w:r>
              <w:rPr>
                <w:rFonts w:hint="eastAsia" w:ascii="Times New Roman"/>
              </w:rPr>
              <w:t>，</w:t>
            </w:r>
            <w:r>
              <w:rPr>
                <w:rFonts w:ascii="Times New Roman"/>
              </w:rPr>
              <w:t>印刷布局合理，字体大小适宜，字迹清晰工整</w:t>
            </w:r>
            <w:r>
              <w:rPr>
                <w:rFonts w:hint="eastAsia" w:ascii="Times New Roman"/>
              </w:rPr>
              <w:t>。</w:t>
            </w:r>
          </w:p>
          <w:p w14:paraId="655F5BB4">
            <w:pPr>
              <w:pStyle w:val="282"/>
              <w:numPr>
                <w:ilvl w:val="3"/>
                <w:numId w:val="0"/>
              </w:numPr>
              <w:ind w:leftChars="200"/>
              <w:rPr>
                <w:rFonts w:hint="eastAsia" w:ascii="Times New Roman"/>
              </w:rPr>
            </w:pPr>
            <w:r>
              <w:rPr>
                <w:rFonts w:hint="eastAsia"/>
                <w:lang w:val="en-US" w:eastAsia="zh-CN"/>
              </w:rPr>
              <w:t>14.1.2</w:t>
            </w:r>
            <w:r>
              <w:rPr>
                <w:rFonts w:hint="eastAsia" w:ascii="Times New Roman"/>
              </w:rPr>
              <w:t>包装箱正反两个大面，</w:t>
            </w:r>
            <w:r>
              <w:rPr>
                <w:rFonts w:ascii="Times New Roman"/>
              </w:rPr>
              <w:t>根据包形大小印刷</w:t>
            </w:r>
            <w:r>
              <w:rPr>
                <w:rFonts w:hint="eastAsia" w:ascii="Times New Roman"/>
              </w:rPr>
              <w:t>“救灾专用木板折</w:t>
            </w:r>
            <w:r>
              <w:rPr>
                <w:rFonts w:hint="eastAsia" w:ascii="Times New Roman"/>
                <w:color w:val="auto"/>
                <w:highlight w:val="none"/>
              </w:rPr>
              <w:t>叠床</w:t>
            </w:r>
            <w:r>
              <w:rPr>
                <w:rFonts w:ascii="Times New Roman"/>
                <w:color w:val="auto"/>
                <w:highlight w:val="none"/>
              </w:rPr>
              <w:t>”</w:t>
            </w:r>
            <w:r>
              <w:rPr>
                <w:rFonts w:hint="eastAsia" w:ascii="Times New Roman"/>
                <w:color w:val="auto"/>
                <w:highlight w:val="none"/>
              </w:rPr>
              <w:t>、数量、</w:t>
            </w:r>
            <w:r>
              <w:rPr>
                <w:rFonts w:ascii="Times New Roman"/>
                <w:color w:val="auto"/>
                <w:highlight w:val="none"/>
              </w:rPr>
              <w:t>质量、体积(长×宽×高)、生产日期</w:t>
            </w:r>
            <w:r>
              <w:rPr>
                <w:rFonts w:hint="eastAsia" w:ascii="Times New Roman"/>
                <w:color w:val="auto"/>
                <w:highlight w:val="none"/>
              </w:rPr>
              <w:t>、</w:t>
            </w:r>
            <w:r>
              <w:rPr>
                <w:rFonts w:hint="eastAsia" w:ascii="Times New Roman"/>
                <w:color w:val="auto"/>
                <w:highlight w:val="none"/>
                <w:lang w:val="en-US" w:eastAsia="zh-CN"/>
              </w:rPr>
              <w:t>调拨单位：松原市应急管理局、采购及监制单位：松原市粮食和物资储备局、承制单位为生产厂家名称</w:t>
            </w:r>
            <w:r>
              <w:rPr>
                <w:rFonts w:hint="eastAsia" w:ascii="Times New Roman"/>
                <w:color w:val="auto"/>
                <w:highlight w:val="none"/>
              </w:rPr>
              <w:t>。</w:t>
            </w:r>
            <w:r>
              <w:rPr>
                <w:rFonts w:hint="eastAsia" w:ascii="Times New Roman"/>
              </w:rPr>
              <w:t>样式见图3。</w:t>
            </w:r>
          </w:p>
          <w:p w14:paraId="7DE750F3">
            <w:pPr>
              <w:spacing w:line="360" w:lineRule="exact"/>
              <w:jc w:val="center"/>
              <w:rPr>
                <w:rFonts w:ascii="黑体" w:hAnsi="黑体" w:eastAsia="黑体"/>
                <w:sz w:val="24"/>
              </w:rPr>
            </w:pPr>
            <w:r>
              <w:rPr>
                <w:rFonts w:hint="eastAsia" w:ascii="黑体" w:hAnsi="黑体" w:eastAsia="黑体"/>
                <w:sz w:val="24"/>
              </w:rPr>
              <w:t>救灾专用木板折叠床</w:t>
            </w:r>
          </w:p>
          <w:p w14:paraId="29673C86">
            <w:pPr>
              <w:spacing w:line="360" w:lineRule="exact"/>
              <w:jc w:val="center"/>
              <w:rPr>
                <w:rFonts w:ascii="宋体" w:hAnsi="宋体"/>
                <w:sz w:val="24"/>
              </w:rPr>
            </w:pPr>
            <w:r>
              <w:rPr>
                <w:rFonts w:hint="eastAsia" w:ascii="宋体" w:hAnsi="宋体"/>
                <w:sz w:val="24"/>
              </w:rPr>
              <w:t>数量：1</w:t>
            </w:r>
            <w:r>
              <w:rPr>
                <w:rFonts w:ascii="宋体" w:hAnsi="宋体"/>
                <w:sz w:val="24"/>
              </w:rPr>
              <w:t xml:space="preserve">张  </w:t>
            </w:r>
            <w:r>
              <w:rPr>
                <w:rFonts w:hint="eastAsia" w:ascii="宋体" w:hAnsi="宋体"/>
                <w:sz w:val="24"/>
              </w:rPr>
              <w:t>质量：××</w:t>
            </w:r>
            <w:r>
              <w:rPr>
                <w:rFonts w:ascii="宋体" w:hAnsi="宋体"/>
                <w:sz w:val="24"/>
              </w:rPr>
              <w:t>kg</w:t>
            </w:r>
          </w:p>
          <w:p w14:paraId="284324D9">
            <w:pPr>
              <w:spacing w:line="360" w:lineRule="exact"/>
              <w:jc w:val="center"/>
              <w:rPr>
                <w:rFonts w:ascii="宋体" w:hAnsi="宋体"/>
                <w:sz w:val="24"/>
              </w:rPr>
            </w:pPr>
            <w:r>
              <w:rPr>
                <w:rFonts w:hint="eastAsia" w:ascii="宋体" w:hAnsi="宋体"/>
                <w:sz w:val="24"/>
              </w:rPr>
              <w:t>体积：</w:t>
            </w:r>
            <w:r>
              <w:rPr>
                <w:rFonts w:ascii="宋体" w:hAnsi="宋体"/>
                <w:sz w:val="24"/>
              </w:rPr>
              <w:t>xxxmm</w:t>
            </w:r>
            <w:r>
              <w:rPr>
                <w:rFonts w:hint="eastAsia" w:ascii="宋体" w:hAnsi="宋体"/>
                <w:sz w:val="24"/>
              </w:rPr>
              <w:t>×</w:t>
            </w:r>
            <w:r>
              <w:rPr>
                <w:rFonts w:ascii="宋体" w:hAnsi="宋体"/>
                <w:sz w:val="24"/>
              </w:rPr>
              <w:t>xxxmm</w:t>
            </w:r>
            <w:r>
              <w:rPr>
                <w:rFonts w:hint="eastAsia" w:ascii="宋体" w:hAnsi="宋体"/>
                <w:sz w:val="24"/>
              </w:rPr>
              <w:t>×</w:t>
            </w:r>
            <w:r>
              <w:rPr>
                <w:rFonts w:ascii="宋体" w:hAnsi="宋体"/>
                <w:sz w:val="24"/>
              </w:rPr>
              <w:t>xxxmm</w:t>
            </w:r>
          </w:p>
          <w:p w14:paraId="45E449FF">
            <w:pPr>
              <w:spacing w:line="360" w:lineRule="exact"/>
              <w:jc w:val="center"/>
              <w:rPr>
                <w:rFonts w:ascii="宋体" w:hAnsi="宋体"/>
                <w:sz w:val="24"/>
              </w:rPr>
            </w:pPr>
            <w:r>
              <w:rPr>
                <w:rFonts w:hint="eastAsia" w:ascii="宋体" w:hAnsi="宋体"/>
                <w:sz w:val="24"/>
              </w:rPr>
              <w:t>生产日期：</w:t>
            </w:r>
            <w:r>
              <w:rPr>
                <w:rFonts w:ascii="宋体" w:hAnsi="宋体"/>
                <w:sz w:val="24"/>
              </w:rPr>
              <w:t>20××年×月</w:t>
            </w:r>
          </w:p>
          <w:p w14:paraId="7BD9FF17">
            <w:pPr>
              <w:spacing w:line="360" w:lineRule="exact"/>
              <w:jc w:val="center"/>
              <w:rPr>
                <w:rFonts w:ascii="黑体" w:hAnsi="黑体" w:eastAsia="黑体"/>
                <w:sz w:val="24"/>
                <w:highlight w:val="none"/>
              </w:rPr>
            </w:pPr>
            <w:r>
              <w:rPr>
                <w:rFonts w:hint="eastAsia" w:ascii="Times New Roman"/>
                <w:highlight w:val="none"/>
                <w:lang w:val="en-US" w:eastAsia="zh-CN"/>
              </w:rPr>
              <w:t>调拨单位：松原市应急管理局</w:t>
            </w:r>
          </w:p>
          <w:p w14:paraId="55E065D6">
            <w:pPr>
              <w:spacing w:line="360" w:lineRule="exact"/>
              <w:jc w:val="center"/>
              <w:rPr>
                <w:rFonts w:hint="eastAsia" w:ascii="Times New Roman"/>
                <w:highlight w:val="none"/>
                <w:lang w:val="en-US" w:eastAsia="zh-CN"/>
              </w:rPr>
            </w:pPr>
            <w:r>
              <w:rPr>
                <w:rFonts w:hint="eastAsia" w:ascii="Times New Roman"/>
                <w:highlight w:val="none"/>
                <w:lang w:val="en-US" w:eastAsia="zh-CN"/>
              </w:rPr>
              <w:t>采购及监制单位：松原市粮食和物资储备局</w:t>
            </w:r>
          </w:p>
          <w:p w14:paraId="20E8CB10">
            <w:pPr>
              <w:widowControl/>
              <w:ind w:firstLine="2100" w:firstLineChars="1000"/>
              <w:outlineLvl w:val="4"/>
              <w:rPr>
                <w:rFonts w:hint="eastAsia"/>
              </w:rPr>
            </w:pPr>
            <w:r>
              <w:rPr>
                <w:rFonts w:hint="eastAsia" w:ascii="Times New Roman"/>
                <w:highlight w:val="none"/>
                <w:lang w:val="en-US" w:eastAsia="zh-CN"/>
              </w:rPr>
              <w:t>承制单位：</w:t>
            </w:r>
            <w:r>
              <w:rPr>
                <w:rFonts w:hint="eastAsia" w:ascii="宋体" w:hAnsi="宋体" w:eastAsia="宋体" w:cs="宋体"/>
                <w:highlight w:val="none"/>
                <w:lang w:val="en-US" w:eastAsia="zh-CN"/>
              </w:rPr>
              <w:t>****************</w:t>
            </w:r>
          </w:p>
          <w:p w14:paraId="2CB93287">
            <w:pPr>
              <w:pStyle w:val="537"/>
              <w:ind w:left="0"/>
              <w:rPr>
                <w:rFonts w:hint="eastAsia"/>
              </w:rPr>
            </w:pPr>
            <w:r>
              <w:rPr>
                <w:rFonts w:hint="eastAsia"/>
              </w:rPr>
              <w:t>包装标志</w:t>
            </w:r>
            <w:r>
              <w:rPr>
                <w:rFonts w:hint="eastAsia"/>
                <w:lang w:eastAsia="zh-CN"/>
              </w:rPr>
              <w:t>样式</w:t>
            </w:r>
          </w:p>
          <w:p w14:paraId="768E2B67">
            <w:pPr>
              <w:pStyle w:val="282"/>
              <w:numPr>
                <w:ilvl w:val="3"/>
                <w:numId w:val="0"/>
              </w:numPr>
              <w:ind w:leftChars="200"/>
              <w:rPr>
                <w:rFonts w:ascii="Times New Roman"/>
              </w:rPr>
            </w:pPr>
            <w:r>
              <w:rPr>
                <w:rFonts w:hint="eastAsia"/>
                <w:lang w:val="en-US" w:eastAsia="zh-CN"/>
              </w:rPr>
              <w:t>14.1.3</w:t>
            </w:r>
            <w:r>
              <w:rPr>
                <w:rFonts w:ascii="Times New Roman"/>
              </w:rPr>
              <w:t>印刷布局合理，字体大小适宜，字迹清晰。</w:t>
            </w:r>
          </w:p>
          <w:p w14:paraId="5CD95D89">
            <w:pPr>
              <w:pStyle w:val="434"/>
              <w:numPr>
                <w:ilvl w:val="1"/>
                <w:numId w:val="0"/>
              </w:numPr>
              <w:ind w:leftChars="200"/>
              <w:rPr>
                <w:rFonts w:hint="eastAsia"/>
              </w:rPr>
            </w:pPr>
            <w:bookmarkStart w:id="348" w:name="_Toc69291631"/>
            <w:bookmarkStart w:id="349" w:name="_Toc71087766"/>
            <w:bookmarkStart w:id="350" w:name="_Toc71215224"/>
            <w:bookmarkStart w:id="351" w:name="_Toc334455173"/>
            <w:bookmarkStart w:id="352" w:name="_Toc189"/>
            <w:bookmarkStart w:id="353" w:name="_Toc27681"/>
            <w:r>
              <w:rPr>
                <w:rFonts w:hint="eastAsia"/>
                <w:lang w:val="en-US" w:eastAsia="zh-CN"/>
              </w:rPr>
              <w:t>14.2</w:t>
            </w:r>
            <w:r>
              <w:rPr>
                <w:rFonts w:hint="eastAsia"/>
              </w:rPr>
              <w:t>包装</w:t>
            </w:r>
            <w:bookmarkEnd w:id="348"/>
            <w:bookmarkEnd w:id="349"/>
            <w:bookmarkEnd w:id="350"/>
            <w:bookmarkEnd w:id="351"/>
            <w:bookmarkEnd w:id="352"/>
            <w:bookmarkEnd w:id="353"/>
          </w:p>
          <w:p w14:paraId="3773936A">
            <w:pPr>
              <w:pStyle w:val="282"/>
              <w:numPr>
                <w:ilvl w:val="3"/>
                <w:numId w:val="0"/>
              </w:numPr>
              <w:ind w:leftChars="200"/>
              <w:rPr>
                <w:rFonts w:hint="eastAsia" w:ascii="Times New Roman"/>
                <w:color w:val="auto"/>
              </w:rPr>
            </w:pPr>
            <w:r>
              <w:rPr>
                <w:rFonts w:hint="eastAsia"/>
                <w:color w:val="auto"/>
                <w:lang w:val="en-US" w:eastAsia="zh-CN"/>
              </w:rPr>
              <w:t>14.2.1</w:t>
            </w:r>
            <w:r>
              <w:rPr>
                <w:rFonts w:hint="eastAsia" w:ascii="Times New Roman"/>
                <w:color w:val="auto"/>
              </w:rPr>
              <w:t>包装采用纸箱，纸箱材质应符合GB/T 6543的规定，纸箱样式见图</w:t>
            </w:r>
            <w:r>
              <w:rPr>
                <w:rFonts w:hint="eastAsia" w:ascii="Times New Roman"/>
                <w:color w:val="auto"/>
                <w:lang w:val="en-US" w:eastAsia="zh-CN"/>
              </w:rPr>
              <w:t>4</w:t>
            </w:r>
            <w:r>
              <w:rPr>
                <w:rFonts w:hint="eastAsia" w:ascii="Times New Roman"/>
                <w:color w:val="auto"/>
              </w:rPr>
              <w:t>。</w:t>
            </w:r>
          </w:p>
          <w:p w14:paraId="53DAD2EA">
            <w:pPr>
              <w:pStyle w:val="2"/>
              <w:rPr>
                <w:rFonts w:hint="eastAsia" w:ascii="Times New Roman"/>
                <w:color w:val="FF0000"/>
              </w:rPr>
            </w:pPr>
          </w:p>
          <w:p w14:paraId="240DC4AD">
            <w:pPr>
              <w:pStyle w:val="2"/>
              <w:rPr>
                <w:rFonts w:hint="eastAsia" w:ascii="Times New Roman"/>
                <w:color w:val="FF0000"/>
              </w:rPr>
            </w:pPr>
          </w:p>
          <w:p w14:paraId="2C026DFA">
            <w:pPr>
              <w:pStyle w:val="2"/>
              <w:rPr>
                <w:rFonts w:hint="eastAsia" w:ascii="Times New Roman"/>
                <w:color w:val="FF0000"/>
              </w:rPr>
            </w:pPr>
            <w:r>
              <w:rPr>
                <w:rFonts w:hint="eastAsia" w:eastAsia="宋体"/>
                <w:lang w:eastAsia="zh-CN"/>
              </w:rPr>
              <w:drawing>
                <wp:anchor distT="0" distB="0" distL="114300" distR="114300" simplePos="0" relativeHeight="251685888" behindDoc="0" locked="0" layoutInCell="1" allowOverlap="1">
                  <wp:simplePos x="0" y="0"/>
                  <wp:positionH relativeFrom="column">
                    <wp:posOffset>694690</wp:posOffset>
                  </wp:positionH>
                  <wp:positionV relativeFrom="paragraph">
                    <wp:posOffset>133985</wp:posOffset>
                  </wp:positionV>
                  <wp:extent cx="2915920" cy="2477135"/>
                  <wp:effectExtent l="0" t="0" r="17780" b="18415"/>
                  <wp:wrapNone/>
                  <wp:docPr id="7" name="图片 79" descr="IMG_20240516_10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9" descr="IMG_20240516_102152"/>
                          <pic:cNvPicPr>
                            <a:picLocks noChangeAspect="1"/>
                          </pic:cNvPicPr>
                        </pic:nvPicPr>
                        <pic:blipFill>
                          <a:blip r:embed="rId15"/>
                          <a:stretch>
                            <a:fillRect/>
                          </a:stretch>
                        </pic:blipFill>
                        <pic:spPr>
                          <a:xfrm>
                            <a:off x="0" y="0"/>
                            <a:ext cx="2915920" cy="2477135"/>
                          </a:xfrm>
                          <a:prstGeom prst="rect">
                            <a:avLst/>
                          </a:prstGeom>
                          <a:noFill/>
                          <a:ln>
                            <a:noFill/>
                          </a:ln>
                        </pic:spPr>
                      </pic:pic>
                    </a:graphicData>
                  </a:graphic>
                </wp:anchor>
              </w:drawing>
            </w:r>
          </w:p>
          <w:p w14:paraId="45EFA622">
            <w:pPr>
              <w:pStyle w:val="2"/>
              <w:rPr>
                <w:rFonts w:hint="eastAsia" w:ascii="Times New Roman"/>
                <w:color w:val="FF0000"/>
              </w:rPr>
            </w:pPr>
            <w:r>
              <w:rPr>
                <w:rFonts w:hint="eastAsia" w:eastAsia="宋体"/>
                <w:lang w:eastAsia="zh-CN"/>
              </w:rPr>
              <w:drawing>
                <wp:anchor distT="0" distB="0" distL="114300" distR="114300" simplePos="0" relativeHeight="251686912" behindDoc="0" locked="0" layoutInCell="1" allowOverlap="1">
                  <wp:simplePos x="0" y="0"/>
                  <wp:positionH relativeFrom="column">
                    <wp:posOffset>1535430</wp:posOffset>
                  </wp:positionH>
                  <wp:positionV relativeFrom="paragraph">
                    <wp:posOffset>198120</wp:posOffset>
                  </wp:positionV>
                  <wp:extent cx="953770" cy="604520"/>
                  <wp:effectExtent l="37465" t="63500" r="37465" b="74930"/>
                  <wp:wrapNone/>
                  <wp:docPr id="8" name="图片 80" descr="6$PZ(]ZL]SB2F2)25`O3I`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0" descr="6$PZ(]ZL]SB2F2)25`O3I`7"/>
                          <pic:cNvPicPr>
                            <a:picLocks noChangeAspect="1"/>
                          </pic:cNvPicPr>
                        </pic:nvPicPr>
                        <pic:blipFill>
                          <a:blip r:embed="rId16"/>
                          <a:stretch>
                            <a:fillRect/>
                          </a:stretch>
                        </pic:blipFill>
                        <pic:spPr>
                          <a:xfrm rot="480000">
                            <a:off x="0" y="0"/>
                            <a:ext cx="953770" cy="604520"/>
                          </a:xfrm>
                          <a:prstGeom prst="rect">
                            <a:avLst/>
                          </a:prstGeom>
                          <a:noFill/>
                          <a:ln>
                            <a:noFill/>
                          </a:ln>
                        </pic:spPr>
                      </pic:pic>
                    </a:graphicData>
                  </a:graphic>
                </wp:anchor>
              </w:drawing>
            </w:r>
          </w:p>
          <w:p w14:paraId="36CD5F9D">
            <w:pPr>
              <w:rPr>
                <w:rFonts w:hint="eastAsia" w:ascii="Times New Roman"/>
                <w:color w:val="FF0000"/>
              </w:rPr>
            </w:pPr>
          </w:p>
          <w:p w14:paraId="5A19AA01">
            <w:pPr>
              <w:pStyle w:val="2"/>
              <w:rPr>
                <w:rFonts w:hint="eastAsia" w:ascii="Times New Roman"/>
                <w:color w:val="FF0000"/>
              </w:rPr>
            </w:pPr>
          </w:p>
          <w:p w14:paraId="159FAF7E">
            <w:pPr>
              <w:rPr>
                <w:rFonts w:hint="eastAsia" w:ascii="Times New Roman"/>
                <w:color w:val="FF0000"/>
              </w:rPr>
            </w:pPr>
          </w:p>
          <w:p w14:paraId="1343629F">
            <w:pPr>
              <w:pStyle w:val="2"/>
              <w:rPr>
                <w:rFonts w:hint="eastAsia" w:ascii="Times New Roman"/>
                <w:color w:val="FF0000"/>
              </w:rPr>
            </w:pPr>
          </w:p>
          <w:p w14:paraId="1D09088A">
            <w:pPr>
              <w:rPr>
                <w:rFonts w:hint="eastAsia"/>
              </w:rPr>
            </w:pPr>
          </w:p>
          <w:p w14:paraId="276D99CE">
            <w:pPr>
              <w:rPr>
                <w:rFonts w:hint="eastAsia" w:ascii="Times New Roman"/>
                <w:color w:val="FF0000"/>
              </w:rPr>
            </w:pPr>
          </w:p>
          <w:p w14:paraId="448CFC4A">
            <w:pPr>
              <w:rPr>
                <w:rFonts w:hint="eastAsia" w:ascii="Times New Roman"/>
                <w:color w:val="FF0000"/>
              </w:rPr>
            </w:pPr>
          </w:p>
          <w:p w14:paraId="1DBAD92F">
            <w:pPr>
              <w:pStyle w:val="537"/>
              <w:ind w:left="0"/>
              <w:rPr>
                <w:rFonts w:hint="eastAsia"/>
              </w:rPr>
            </w:pPr>
            <w:r>
              <w:rPr>
                <w:rFonts w:hint="eastAsia"/>
              </w:rPr>
              <w:t>包装纸箱</w:t>
            </w:r>
            <w:r>
              <w:rPr>
                <w:rFonts w:hint="eastAsia"/>
                <w:color w:val="auto"/>
                <w:lang w:eastAsia="zh-CN"/>
              </w:rPr>
              <w:t>样式</w:t>
            </w:r>
          </w:p>
          <w:p w14:paraId="0E990311">
            <w:pPr>
              <w:pStyle w:val="282"/>
              <w:numPr>
                <w:ilvl w:val="3"/>
                <w:numId w:val="0"/>
              </w:numPr>
              <w:ind w:firstLine="630" w:firstLineChars="300"/>
              <w:rPr>
                <w:rFonts w:hint="eastAsia"/>
                <w:lang w:val="en-US" w:eastAsia="zh-CN"/>
              </w:rPr>
            </w:pPr>
          </w:p>
          <w:p w14:paraId="558628B2">
            <w:pPr>
              <w:pStyle w:val="282"/>
              <w:numPr>
                <w:ilvl w:val="3"/>
                <w:numId w:val="0"/>
              </w:numPr>
              <w:ind w:firstLine="630" w:firstLineChars="300"/>
              <w:rPr>
                <w:rFonts w:hint="eastAsia"/>
                <w:lang w:val="en-US" w:eastAsia="zh-CN"/>
              </w:rPr>
            </w:pPr>
          </w:p>
          <w:p w14:paraId="2C9581DB">
            <w:pPr>
              <w:pStyle w:val="282"/>
              <w:numPr>
                <w:ilvl w:val="3"/>
                <w:numId w:val="0"/>
              </w:numPr>
              <w:ind w:firstLine="630" w:firstLineChars="300"/>
              <w:rPr>
                <w:rFonts w:hint="eastAsia" w:ascii="Times New Roman"/>
              </w:rPr>
            </w:pPr>
            <w:r>
              <w:rPr>
                <w:rFonts w:hint="eastAsia"/>
                <w:lang w:val="en-US" w:eastAsia="zh-CN"/>
              </w:rPr>
              <w:t>14.2.2</w:t>
            </w:r>
            <w:r>
              <w:rPr>
                <w:rFonts w:ascii="Times New Roman"/>
              </w:rPr>
              <w:t>每个纸箱内横向放</w:t>
            </w:r>
            <w:r>
              <w:rPr>
                <w:rFonts w:hint="eastAsia" w:ascii="Times New Roman"/>
              </w:rPr>
              <w:t>1</w:t>
            </w:r>
            <w:r>
              <w:rPr>
                <w:rFonts w:ascii="Times New Roman"/>
              </w:rPr>
              <w:t>张床</w:t>
            </w:r>
            <w:r>
              <w:rPr>
                <w:rFonts w:hint="eastAsia" w:ascii="Times New Roman"/>
              </w:rPr>
              <w:t>。</w:t>
            </w:r>
          </w:p>
          <w:p w14:paraId="3BDF2F58">
            <w:pPr>
              <w:pStyle w:val="282"/>
              <w:numPr>
                <w:ilvl w:val="3"/>
                <w:numId w:val="0"/>
              </w:numPr>
              <w:ind w:firstLine="630" w:firstLineChars="300"/>
              <w:rPr>
                <w:rFonts w:hint="eastAsia" w:ascii="Times New Roman"/>
              </w:rPr>
            </w:pPr>
            <w:r>
              <w:rPr>
                <w:rFonts w:hint="eastAsia"/>
                <w:lang w:val="en-US" w:eastAsia="zh-CN"/>
              </w:rPr>
              <w:t>14.2.3</w:t>
            </w:r>
            <w:r>
              <w:rPr>
                <w:rFonts w:hint="eastAsia" w:ascii="Times New Roman"/>
              </w:rPr>
              <w:t>包装箱内需放入产品的合格证，合格证样式见</w:t>
            </w:r>
            <w:r>
              <w:rPr>
                <w:rFonts w:hint="eastAsia" w:ascii="Times New Roman"/>
                <w:color w:val="auto"/>
              </w:rPr>
              <w:t>图</w:t>
            </w:r>
            <w:r>
              <w:rPr>
                <w:rFonts w:hint="eastAsia" w:ascii="Times New Roman"/>
                <w:color w:val="auto"/>
                <w:lang w:val="en-US" w:eastAsia="zh-CN"/>
              </w:rPr>
              <w:t>5</w:t>
            </w:r>
            <w:r>
              <w:rPr>
                <w:rFonts w:hint="eastAsia" w:ascii="Times New Roman"/>
              </w:rPr>
              <w:t>。</w:t>
            </w:r>
          </w:p>
          <w:p w14:paraId="46737617">
            <w:pPr>
              <w:pStyle w:val="269"/>
              <w:rPr>
                <w:rFonts w:hint="eastAsia"/>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594"/>
            </w:tblGrid>
            <w:tr w14:paraId="39F6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342" w:type="dxa"/>
                  <w:gridSpan w:val="2"/>
                  <w:noWrap w:val="0"/>
                  <w:vAlign w:val="top"/>
                </w:tcPr>
                <w:p w14:paraId="7F22FEEE">
                  <w:pPr>
                    <w:pStyle w:val="269"/>
                    <w:widowControl w:val="0"/>
                    <w:ind w:firstLine="0" w:firstLineChars="0"/>
                    <w:jc w:val="center"/>
                    <w:rPr>
                      <w:rFonts w:hint="eastAsia" w:hAnsi="宋体" w:cs="宋体"/>
                      <w:b/>
                      <w:sz w:val="28"/>
                      <w:szCs w:val="28"/>
                    </w:rPr>
                  </w:pPr>
                  <w:r>
                    <w:rPr>
                      <w:rFonts w:hint="eastAsia" w:hAnsi="宋体" w:cs="宋体"/>
                      <w:b/>
                      <w:sz w:val="28"/>
                      <w:szCs w:val="28"/>
                    </w:rPr>
                    <w:t>合  格  证</w:t>
                  </w:r>
                </w:p>
              </w:tc>
            </w:tr>
            <w:tr w14:paraId="4B26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48" w:type="dxa"/>
                  <w:noWrap w:val="0"/>
                  <w:vAlign w:val="center"/>
                </w:tcPr>
                <w:p w14:paraId="7ABF953C">
                  <w:pPr>
                    <w:pStyle w:val="269"/>
                    <w:widowControl w:val="0"/>
                    <w:ind w:firstLine="0" w:firstLineChars="0"/>
                    <w:jc w:val="center"/>
                    <w:rPr>
                      <w:rFonts w:hint="eastAsia" w:hAnsi="宋体" w:cs="宋体"/>
                      <w:b/>
                      <w:sz w:val="18"/>
                      <w:szCs w:val="18"/>
                    </w:rPr>
                  </w:pPr>
                  <w:r>
                    <w:rPr>
                      <w:rFonts w:hint="eastAsia" w:hAnsi="宋体" w:cs="宋体"/>
                      <w:b/>
                      <w:sz w:val="18"/>
                      <w:szCs w:val="18"/>
                    </w:rPr>
                    <w:t>产品名称</w:t>
                  </w:r>
                </w:p>
              </w:tc>
              <w:tc>
                <w:tcPr>
                  <w:tcW w:w="2594" w:type="dxa"/>
                  <w:noWrap w:val="0"/>
                  <w:vAlign w:val="center"/>
                </w:tcPr>
                <w:p w14:paraId="626F12D6">
                  <w:pPr>
                    <w:pStyle w:val="269"/>
                    <w:widowControl w:val="0"/>
                    <w:ind w:firstLine="0" w:firstLineChars="0"/>
                    <w:jc w:val="center"/>
                    <w:rPr>
                      <w:rFonts w:hint="eastAsia" w:hAnsi="宋体" w:cs="宋体"/>
                      <w:sz w:val="18"/>
                      <w:szCs w:val="18"/>
                    </w:rPr>
                  </w:pPr>
                  <w:r>
                    <w:rPr>
                      <w:rFonts w:hint="eastAsia" w:hAnsi="宋体" w:cs="宋体"/>
                      <w:sz w:val="18"/>
                      <w:szCs w:val="18"/>
                    </w:rPr>
                    <w:t>救灾专用木板折叠床</w:t>
                  </w:r>
                </w:p>
              </w:tc>
            </w:tr>
            <w:tr w14:paraId="740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48" w:type="dxa"/>
                  <w:noWrap w:val="0"/>
                  <w:vAlign w:val="center"/>
                </w:tcPr>
                <w:p w14:paraId="41E2CFBC">
                  <w:pPr>
                    <w:pStyle w:val="269"/>
                    <w:widowControl w:val="0"/>
                    <w:ind w:firstLine="0" w:firstLineChars="0"/>
                    <w:jc w:val="center"/>
                    <w:rPr>
                      <w:rFonts w:hint="eastAsia" w:hAnsi="宋体" w:cs="宋体"/>
                      <w:b/>
                      <w:sz w:val="18"/>
                      <w:szCs w:val="18"/>
                    </w:rPr>
                  </w:pPr>
                  <w:r>
                    <w:rPr>
                      <w:rFonts w:hint="eastAsia" w:hAnsi="宋体" w:cs="宋体"/>
                      <w:b/>
                      <w:sz w:val="18"/>
                      <w:szCs w:val="18"/>
                    </w:rPr>
                    <w:t>数    量</w:t>
                  </w:r>
                </w:p>
              </w:tc>
              <w:tc>
                <w:tcPr>
                  <w:tcW w:w="2594" w:type="dxa"/>
                  <w:noWrap w:val="0"/>
                  <w:vAlign w:val="center"/>
                </w:tcPr>
                <w:p w14:paraId="245875B6">
                  <w:pPr>
                    <w:pStyle w:val="269"/>
                    <w:widowControl w:val="0"/>
                    <w:ind w:firstLine="0" w:firstLineChars="0"/>
                    <w:jc w:val="center"/>
                    <w:rPr>
                      <w:rFonts w:hint="eastAsia" w:hAnsi="宋体" w:cs="宋体"/>
                      <w:sz w:val="18"/>
                      <w:szCs w:val="18"/>
                    </w:rPr>
                  </w:pPr>
                  <w:r>
                    <w:rPr>
                      <w:rFonts w:hint="eastAsia" w:hAnsi="宋体" w:cs="宋体"/>
                      <w:sz w:val="18"/>
                      <w:szCs w:val="18"/>
                    </w:rPr>
                    <w:t>1 件</w:t>
                  </w:r>
                </w:p>
              </w:tc>
            </w:tr>
            <w:tr w14:paraId="17AE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48" w:type="dxa"/>
                  <w:noWrap w:val="0"/>
                  <w:vAlign w:val="center"/>
                </w:tcPr>
                <w:p w14:paraId="79E71105">
                  <w:pPr>
                    <w:pStyle w:val="269"/>
                    <w:widowControl w:val="0"/>
                    <w:ind w:firstLine="0" w:firstLineChars="0"/>
                    <w:jc w:val="center"/>
                    <w:rPr>
                      <w:rFonts w:hint="eastAsia" w:hAnsi="宋体" w:cs="宋体"/>
                      <w:b/>
                      <w:sz w:val="18"/>
                      <w:szCs w:val="18"/>
                    </w:rPr>
                  </w:pPr>
                  <w:r>
                    <w:rPr>
                      <w:rFonts w:hint="eastAsia" w:hAnsi="宋体" w:cs="宋体"/>
                      <w:b/>
                      <w:sz w:val="18"/>
                      <w:szCs w:val="18"/>
                    </w:rPr>
                    <w:t>生产日期</w:t>
                  </w:r>
                </w:p>
              </w:tc>
              <w:tc>
                <w:tcPr>
                  <w:tcW w:w="2594" w:type="dxa"/>
                  <w:noWrap w:val="0"/>
                  <w:vAlign w:val="center"/>
                </w:tcPr>
                <w:p w14:paraId="25185ED2">
                  <w:pPr>
                    <w:pStyle w:val="269"/>
                    <w:widowControl w:val="0"/>
                    <w:ind w:firstLine="0" w:firstLineChars="0"/>
                    <w:jc w:val="center"/>
                    <w:rPr>
                      <w:rFonts w:hint="eastAsia" w:hAnsi="宋体" w:cs="宋体"/>
                      <w:sz w:val="18"/>
                      <w:szCs w:val="18"/>
                    </w:rPr>
                  </w:pPr>
                  <w:r>
                    <w:rPr>
                      <w:rFonts w:hint="eastAsia" w:hAnsi="宋体" w:cs="宋体"/>
                      <w:sz w:val="18"/>
                      <w:szCs w:val="18"/>
                    </w:rPr>
                    <w:t>20××年×月</w:t>
                  </w:r>
                </w:p>
              </w:tc>
            </w:tr>
            <w:tr w14:paraId="579D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48" w:type="dxa"/>
                  <w:noWrap w:val="0"/>
                  <w:vAlign w:val="center"/>
                </w:tcPr>
                <w:p w14:paraId="0B9083D4">
                  <w:pPr>
                    <w:pStyle w:val="269"/>
                    <w:widowControl w:val="0"/>
                    <w:ind w:firstLine="0" w:firstLineChars="0"/>
                    <w:jc w:val="center"/>
                    <w:rPr>
                      <w:rFonts w:hint="eastAsia" w:hAnsi="宋体" w:cs="宋体"/>
                      <w:b/>
                      <w:sz w:val="18"/>
                      <w:szCs w:val="18"/>
                    </w:rPr>
                  </w:pPr>
                  <w:r>
                    <w:rPr>
                      <w:rFonts w:hint="eastAsia" w:hAnsi="宋体" w:cs="宋体"/>
                      <w:b/>
                      <w:sz w:val="18"/>
                      <w:szCs w:val="18"/>
                    </w:rPr>
                    <w:t>检验人员</w:t>
                  </w:r>
                </w:p>
              </w:tc>
              <w:tc>
                <w:tcPr>
                  <w:tcW w:w="2594" w:type="dxa"/>
                  <w:noWrap w:val="0"/>
                  <w:vAlign w:val="center"/>
                </w:tcPr>
                <w:p w14:paraId="0D50F1AF">
                  <w:pPr>
                    <w:pStyle w:val="269"/>
                    <w:widowControl w:val="0"/>
                    <w:ind w:firstLine="0" w:firstLineChars="0"/>
                    <w:jc w:val="center"/>
                    <w:rPr>
                      <w:rFonts w:hint="eastAsia" w:hAnsi="宋体" w:cs="宋体"/>
                      <w:sz w:val="18"/>
                      <w:szCs w:val="18"/>
                    </w:rPr>
                  </w:pPr>
                  <w:r>
                    <w:rPr>
                      <w:rFonts w:hint="eastAsia" w:hAnsi="宋体" w:cs="宋体"/>
                      <w:sz w:val="18"/>
                      <w:szCs w:val="18"/>
                    </w:rPr>
                    <w:t>（检验人员工号）</w:t>
                  </w:r>
                </w:p>
              </w:tc>
            </w:tr>
            <w:tr w14:paraId="4FFA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48" w:type="dxa"/>
                  <w:noWrap w:val="0"/>
                  <w:vAlign w:val="center"/>
                </w:tcPr>
                <w:p w14:paraId="0277CD3E">
                  <w:pPr>
                    <w:pStyle w:val="269"/>
                    <w:widowControl w:val="0"/>
                    <w:ind w:firstLine="0" w:firstLineChars="0"/>
                    <w:jc w:val="center"/>
                    <w:rPr>
                      <w:rFonts w:hint="eastAsia" w:hAnsi="宋体" w:cs="宋体"/>
                      <w:b/>
                      <w:sz w:val="18"/>
                      <w:szCs w:val="18"/>
                    </w:rPr>
                  </w:pPr>
                  <w:r>
                    <w:rPr>
                      <w:rFonts w:hint="eastAsia" w:hAnsi="宋体" w:cs="宋体"/>
                      <w:b/>
                      <w:sz w:val="18"/>
                      <w:szCs w:val="18"/>
                    </w:rPr>
                    <w:t>承制方名称</w:t>
                  </w:r>
                </w:p>
              </w:tc>
              <w:tc>
                <w:tcPr>
                  <w:tcW w:w="2594" w:type="dxa"/>
                  <w:noWrap w:val="0"/>
                  <w:vAlign w:val="center"/>
                </w:tcPr>
                <w:p w14:paraId="4069F0ED">
                  <w:pPr>
                    <w:pStyle w:val="269"/>
                    <w:widowControl w:val="0"/>
                    <w:ind w:firstLine="0" w:firstLineChars="0"/>
                    <w:jc w:val="center"/>
                    <w:rPr>
                      <w:rFonts w:hint="eastAsia" w:hAnsi="宋体" w:cs="宋体"/>
                      <w:b/>
                      <w:sz w:val="18"/>
                      <w:szCs w:val="18"/>
                    </w:rPr>
                  </w:pPr>
                  <w:r>
                    <w:rPr>
                      <w:rFonts w:hint="eastAsia" w:hAnsi="宋体" w:cs="宋体"/>
                      <w:b/>
                      <w:sz w:val="18"/>
                      <w:szCs w:val="18"/>
                    </w:rPr>
                    <w:t>×××××</w:t>
                  </w:r>
                </w:p>
              </w:tc>
            </w:tr>
          </w:tbl>
          <w:p w14:paraId="7B26887B">
            <w:pPr>
              <w:pStyle w:val="537"/>
              <w:ind w:left="384" w:leftChars="183" w:firstLine="2553" w:firstLineChars="1216"/>
              <w:jc w:val="both"/>
              <w:rPr>
                <w:rFonts w:hint="eastAsia"/>
              </w:rPr>
            </w:pPr>
            <w:r>
              <w:rPr>
                <w:rFonts w:hint="eastAsia"/>
              </w:rPr>
              <w:t>合格证样式</w:t>
            </w:r>
          </w:p>
          <w:p w14:paraId="107EC609">
            <w:pPr>
              <w:pStyle w:val="282"/>
              <w:numPr>
                <w:ilvl w:val="3"/>
                <w:numId w:val="0"/>
              </w:numPr>
              <w:rPr>
                <w:rFonts w:hint="eastAsia" w:ascii="宋体" w:hAnsi="宋体" w:eastAsia="宋体" w:cs="宋体"/>
              </w:rPr>
            </w:pPr>
          </w:p>
          <w:p w14:paraId="040F9EEC">
            <w:pPr>
              <w:pStyle w:val="282"/>
              <w:numPr>
                <w:ilvl w:val="3"/>
                <w:numId w:val="0"/>
              </w:numPr>
              <w:ind w:firstLine="630" w:firstLineChars="300"/>
              <w:rPr>
                <w:rFonts w:hint="eastAsia" w:ascii="Times New Roman"/>
              </w:rPr>
            </w:pPr>
            <w:r>
              <w:rPr>
                <w:rFonts w:hint="eastAsia" w:ascii="宋体" w:hAnsi="宋体" w:eastAsia="宋体" w:cs="宋体"/>
                <w:lang w:val="en-US" w:eastAsia="zh-CN"/>
              </w:rPr>
              <w:t>14.2.4</w:t>
            </w:r>
            <w:r>
              <w:rPr>
                <w:rFonts w:hint="eastAsia" w:ascii="宋体" w:hAnsi="宋体" w:eastAsia="宋体" w:cs="宋体"/>
              </w:rPr>
              <w:t>纸箱外尺寸为965</w:t>
            </w:r>
            <w:r>
              <w:rPr>
                <w:rFonts w:hint="eastAsia" w:ascii="宋体" w:hAnsi="宋体" w:eastAsia="宋体" w:cs="宋体"/>
                <w:lang w:val="en-US" w:eastAsia="zh-CN"/>
              </w:rPr>
              <w:t xml:space="preserve"> </w:t>
            </w:r>
            <w:r>
              <w:rPr>
                <w:rFonts w:hint="eastAsia" w:ascii="宋体" w:hAnsi="宋体" w:eastAsia="宋体" w:cs="宋体"/>
              </w:rPr>
              <w:t>mm×920</w:t>
            </w:r>
            <w:r>
              <w:rPr>
                <w:rFonts w:hint="eastAsia" w:ascii="宋体" w:hAnsi="宋体" w:eastAsia="宋体" w:cs="宋体"/>
                <w:lang w:val="en-US" w:eastAsia="zh-CN"/>
              </w:rPr>
              <w:t xml:space="preserve"> </w:t>
            </w:r>
            <w:r>
              <w:rPr>
                <w:rFonts w:hint="eastAsia" w:ascii="宋体" w:hAnsi="宋体" w:eastAsia="宋体" w:cs="宋体"/>
              </w:rPr>
              <w:t>mm×160</w:t>
            </w:r>
            <w:r>
              <w:rPr>
                <w:rFonts w:hint="eastAsia" w:ascii="宋体" w:hAnsi="宋体" w:eastAsia="宋体" w:cs="宋体"/>
                <w:lang w:val="en-US" w:eastAsia="zh-CN"/>
              </w:rPr>
              <w:t xml:space="preserve"> </w:t>
            </w:r>
            <w:r>
              <w:rPr>
                <w:rFonts w:hint="eastAsia" w:ascii="宋体" w:hAnsi="宋体" w:eastAsia="宋体" w:cs="宋体"/>
              </w:rPr>
              <w:t>mm（长×宽×高）</w:t>
            </w:r>
            <w:r>
              <w:rPr>
                <w:rFonts w:ascii="Times New Roman" w:eastAsia="宋体"/>
              </w:rPr>
              <w:t>。</w:t>
            </w:r>
          </w:p>
          <w:p w14:paraId="092BDADC">
            <w:pPr>
              <w:pStyle w:val="282"/>
              <w:numPr>
                <w:ilvl w:val="3"/>
                <w:numId w:val="0"/>
              </w:numPr>
              <w:ind w:firstLine="630" w:firstLineChars="300"/>
              <w:rPr>
                <w:rFonts w:hint="eastAsia" w:ascii="Times New Roman"/>
              </w:rPr>
            </w:pPr>
            <w:r>
              <w:rPr>
                <w:rFonts w:hint="eastAsia"/>
                <w:lang w:val="en-US" w:eastAsia="zh-CN"/>
              </w:rPr>
              <w:t>14.2.5</w:t>
            </w:r>
            <w:r>
              <w:rPr>
                <w:rFonts w:hint="eastAsia" w:ascii="Times New Roman"/>
              </w:rPr>
              <w:t>纸箱外面采用“井”字型打包带捆包。</w:t>
            </w:r>
          </w:p>
          <w:p w14:paraId="5F3DDD6C">
            <w:pPr>
              <w:pStyle w:val="434"/>
              <w:numPr>
                <w:ilvl w:val="1"/>
                <w:numId w:val="0"/>
              </w:numPr>
              <w:ind w:leftChars="200"/>
              <w:rPr>
                <w:rFonts w:hint="eastAsia" w:hAnsi="黑体"/>
              </w:rPr>
            </w:pPr>
            <w:bookmarkStart w:id="354" w:name="_Toc334455174"/>
            <w:bookmarkStart w:id="355" w:name="_Toc328170367"/>
            <w:bookmarkStart w:id="356" w:name="_Toc23568"/>
            <w:bookmarkStart w:id="357" w:name="_Toc2791"/>
            <w:bookmarkStart w:id="358" w:name="_Toc71215225"/>
            <w:bookmarkStart w:id="359" w:name="_Toc71087767"/>
            <w:bookmarkStart w:id="360" w:name="_Toc69291632"/>
            <w:r>
              <w:rPr>
                <w:rFonts w:hint="eastAsia" w:hAnsi="黑体"/>
                <w:lang w:val="en-US" w:eastAsia="zh-CN"/>
              </w:rPr>
              <w:t>14.3</w:t>
            </w:r>
            <w:r>
              <w:rPr>
                <w:rFonts w:hint="eastAsia" w:hAnsi="黑体"/>
              </w:rPr>
              <w:t>另行包装</w:t>
            </w:r>
            <w:bookmarkEnd w:id="354"/>
            <w:bookmarkEnd w:id="355"/>
            <w:bookmarkEnd w:id="356"/>
            <w:bookmarkEnd w:id="357"/>
          </w:p>
          <w:p w14:paraId="567D76AC">
            <w:pPr>
              <w:pStyle w:val="269"/>
              <w:ind w:left="420" w:leftChars="200" w:firstLine="0" w:firstLineChars="0"/>
              <w:rPr>
                <w:rFonts w:hint="eastAsia" w:hAnsi="宋体"/>
              </w:rPr>
            </w:pPr>
            <w:r>
              <w:rPr>
                <w:rFonts w:hint="eastAsia" w:hAnsi="宋体"/>
              </w:rPr>
              <w:t>当订购方对包装形式另有要求时，按订购方要求办理。</w:t>
            </w:r>
          </w:p>
          <w:p w14:paraId="5CCE5737">
            <w:pPr>
              <w:pStyle w:val="434"/>
              <w:numPr>
                <w:ilvl w:val="1"/>
                <w:numId w:val="0"/>
              </w:numPr>
              <w:ind w:leftChars="200"/>
              <w:rPr>
                <w:rFonts w:hint="eastAsia" w:hAnsi="黑体"/>
              </w:rPr>
            </w:pPr>
            <w:bookmarkStart w:id="361" w:name="_Toc19348"/>
            <w:bookmarkStart w:id="362" w:name="_Toc31063"/>
            <w:bookmarkStart w:id="363" w:name="_Toc334455175"/>
            <w:r>
              <w:rPr>
                <w:rFonts w:hint="eastAsia" w:hAnsi="黑体"/>
                <w:lang w:val="en-US" w:eastAsia="zh-CN"/>
              </w:rPr>
              <w:t>14.4</w:t>
            </w:r>
            <w:r>
              <w:rPr>
                <w:rFonts w:hint="eastAsia" w:hAnsi="黑体"/>
              </w:rPr>
              <w:t>运输与贮存</w:t>
            </w:r>
            <w:bookmarkEnd w:id="358"/>
            <w:bookmarkEnd w:id="359"/>
            <w:bookmarkEnd w:id="360"/>
            <w:bookmarkEnd w:id="361"/>
            <w:bookmarkEnd w:id="362"/>
            <w:bookmarkEnd w:id="363"/>
          </w:p>
          <w:p w14:paraId="4FD26BC4">
            <w:pPr>
              <w:pStyle w:val="282"/>
              <w:numPr>
                <w:ilvl w:val="3"/>
                <w:numId w:val="0"/>
              </w:numPr>
              <w:ind w:leftChars="200"/>
              <w:rPr>
                <w:rFonts w:hint="eastAsia" w:ascii="Times New Roman"/>
              </w:rPr>
            </w:pPr>
            <w:r>
              <w:rPr>
                <w:rFonts w:hint="eastAsia" w:ascii="宋体" w:hAnsi="宋体"/>
                <w:lang w:val="en-US" w:eastAsia="zh-CN"/>
              </w:rPr>
              <w:t>14.4.1</w:t>
            </w:r>
            <w:r>
              <w:rPr>
                <w:rFonts w:hint="eastAsia" w:ascii="宋体" w:hAnsi="宋体"/>
              </w:rPr>
              <w:t>包</w:t>
            </w:r>
            <w:r>
              <w:rPr>
                <w:rFonts w:hint="eastAsia" w:ascii="Times New Roman"/>
              </w:rPr>
              <w:t>装件在运输、贮存中严禁露天堆放，不应日晒雨淋。搬运、装卸过程中不应有抛摔等损伤外包装的不当操作。</w:t>
            </w:r>
          </w:p>
          <w:p w14:paraId="46FF5121">
            <w:pPr>
              <w:pStyle w:val="282"/>
              <w:numPr>
                <w:ilvl w:val="3"/>
                <w:numId w:val="0"/>
              </w:numPr>
              <w:ind w:leftChars="200"/>
              <w:rPr>
                <w:rFonts w:hint="eastAsia" w:ascii="宋体" w:hAnsi="宋体"/>
                <w:b/>
                <w:szCs w:val="22"/>
              </w:rPr>
            </w:pPr>
            <w:r>
              <w:rPr>
                <w:rFonts w:hint="eastAsia"/>
                <w:lang w:val="en-US" w:eastAsia="zh-CN"/>
              </w:rPr>
              <w:t>14.4.2</w:t>
            </w:r>
            <w:r>
              <w:rPr>
                <w:rFonts w:hint="eastAsia" w:ascii="Times New Roman"/>
              </w:rPr>
              <w:t>贮存包装件的仓库应通风干燥，相对湿度不应超</w:t>
            </w:r>
            <w:r>
              <w:rPr>
                <w:rFonts w:ascii="Times New Roman"/>
              </w:rPr>
              <w:t>过80%。包装件堆码底层距地面250 mm以</w:t>
            </w:r>
            <w:r>
              <w:rPr>
                <w:rFonts w:hint="eastAsia" w:ascii="Times New Roman"/>
              </w:rPr>
              <w:t>上</w:t>
            </w:r>
            <w:bookmarkEnd w:id="345"/>
            <w:bookmarkEnd w:id="346"/>
            <w:bookmarkEnd w:id="347"/>
            <w:r>
              <w:rPr>
                <w:rFonts w:hint="eastAsia" w:ascii="Times New Roman"/>
              </w:rPr>
              <w:t>。</w:t>
            </w:r>
          </w:p>
          <w:p w14:paraId="1FAC1A05">
            <w:pPr>
              <w:jc w:val="center"/>
              <w:rPr>
                <w:rFonts w:hint="eastAsia" w:ascii="宋体" w:hAnsi="宋体"/>
                <w:b/>
                <w:szCs w:val="22"/>
              </w:rPr>
            </w:pPr>
          </w:p>
          <w:p w14:paraId="50013E50">
            <w:pPr>
              <w:jc w:val="center"/>
              <w:rPr>
                <w:rFonts w:ascii="宋体" w:hAnsi="宋体"/>
                <w:b/>
                <w:szCs w:val="22"/>
              </w:rPr>
            </w:pPr>
            <w:r>
              <w:rPr>
                <w:rFonts w:hint="eastAsia" w:ascii="宋体" w:hAnsi="宋体"/>
                <w:b/>
                <w:szCs w:val="22"/>
              </w:rPr>
              <w:t>附录A</w:t>
            </w:r>
          </w:p>
          <w:p w14:paraId="0A88668D">
            <w:pPr>
              <w:jc w:val="center"/>
              <w:rPr>
                <w:rFonts w:ascii="宋体" w:hAnsi="宋体"/>
                <w:szCs w:val="22"/>
              </w:rPr>
            </w:pPr>
          </w:p>
          <w:p w14:paraId="172E28DA">
            <w:pPr>
              <w:jc w:val="center"/>
              <w:rPr>
                <w:rFonts w:ascii="宋体" w:hAnsi="宋体"/>
                <w:szCs w:val="22"/>
              </w:rPr>
            </w:pPr>
            <w:r>
              <w:rPr>
                <w:rFonts w:hint="eastAsia" w:ascii="宋体" w:hAnsi="宋体"/>
                <w:szCs w:val="22"/>
              </w:rPr>
              <w:t>（规范性附录）</w:t>
            </w:r>
          </w:p>
          <w:p w14:paraId="1AA2CE9A">
            <w:pPr>
              <w:jc w:val="center"/>
              <w:rPr>
                <w:rFonts w:ascii="宋体" w:hAnsi="宋体"/>
                <w:szCs w:val="22"/>
              </w:rPr>
            </w:pPr>
            <w:r>
              <w:rPr>
                <w:rFonts w:hint="eastAsia" w:ascii="宋体" w:hAnsi="宋体"/>
                <w:szCs w:val="22"/>
              </w:rPr>
              <w:t>胶合板技术要求</w:t>
            </w:r>
          </w:p>
          <w:p w14:paraId="23C7CE4A">
            <w:pPr>
              <w:rPr>
                <w:rFonts w:ascii="宋体" w:hAnsi="宋体"/>
                <w:szCs w:val="22"/>
              </w:rPr>
            </w:pPr>
          </w:p>
          <w:p w14:paraId="0DFC2097">
            <w:pPr>
              <w:rPr>
                <w:rFonts w:ascii="宋体" w:hAnsi="宋体"/>
                <w:b/>
                <w:szCs w:val="22"/>
              </w:rPr>
            </w:pPr>
            <w:r>
              <w:rPr>
                <w:rFonts w:hint="eastAsia" w:ascii="宋体" w:hAnsi="宋体"/>
                <w:b/>
                <w:szCs w:val="22"/>
              </w:rPr>
              <w:t>A.1 种类及颜色</w:t>
            </w:r>
          </w:p>
          <w:p w14:paraId="24E3B9B5">
            <w:pPr>
              <w:rPr>
                <w:rFonts w:hint="eastAsia"/>
                <w:lang w:val="en-US" w:eastAsia="zh-CN"/>
              </w:rPr>
            </w:pPr>
            <w:r>
              <w:rPr>
                <w:rFonts w:hint="eastAsia" w:ascii="宋体" w:hAnsi="宋体"/>
                <w:szCs w:val="22"/>
              </w:rPr>
              <w:t>胶合板为未砂光板，Ⅱ类（适合在潮湿环境下存放使用）。</w:t>
            </w:r>
            <w:r>
              <w:rPr>
                <w:rFonts w:ascii="宋体" w:hAnsi="宋体"/>
                <w:szCs w:val="22"/>
              </w:rPr>
              <w:t>颜色为木料原色。</w:t>
            </w:r>
            <w:r>
              <w:rPr>
                <w:rFonts w:hint="eastAsia" w:ascii="宋体" w:hAnsi="宋体"/>
                <w:szCs w:val="22"/>
              </w:rPr>
              <w:t>两块床面板的面皮色相要基本一致。</w:t>
            </w:r>
          </w:p>
          <w:p w14:paraId="7A56398B">
            <w:pPr>
              <w:rPr>
                <w:rFonts w:ascii="宋体" w:hAnsi="宋体"/>
                <w:szCs w:val="22"/>
              </w:rPr>
            </w:pPr>
          </w:p>
          <w:p w14:paraId="1D2FF6BF">
            <w:pPr>
              <w:rPr>
                <w:rFonts w:ascii="宋体" w:hAnsi="宋体"/>
                <w:b/>
                <w:szCs w:val="22"/>
              </w:rPr>
            </w:pPr>
            <w:r>
              <w:rPr>
                <w:rFonts w:hint="eastAsia" w:ascii="宋体" w:hAnsi="宋体"/>
                <w:b/>
                <w:szCs w:val="22"/>
              </w:rPr>
              <w:t>A.2 性能指标</w:t>
            </w:r>
          </w:p>
          <w:p w14:paraId="43171606">
            <w:pPr>
              <w:spacing w:line="276" w:lineRule="auto"/>
              <w:rPr>
                <w:rFonts w:ascii="Times New Roman" w:hAnsi="黑体"/>
                <w:kern w:val="0"/>
                <w:szCs w:val="20"/>
              </w:rPr>
            </w:pPr>
            <w:r>
              <w:rPr>
                <w:rFonts w:hint="eastAsia" w:ascii="Times New Roman" w:hAnsi="黑体"/>
                <w:kern w:val="0"/>
                <w:szCs w:val="20"/>
              </w:rPr>
              <w:t>1.1.厚度8.0mm胶合板；</w:t>
            </w:r>
          </w:p>
          <w:p w14:paraId="208D23F6">
            <w:pPr>
              <w:spacing w:line="276" w:lineRule="auto"/>
              <w:rPr>
                <w:rFonts w:ascii="Times New Roman" w:hAnsi="黑体"/>
                <w:kern w:val="0"/>
                <w:szCs w:val="20"/>
              </w:rPr>
            </w:pPr>
            <w:r>
              <w:rPr>
                <w:rFonts w:hint="eastAsia" w:ascii="Times New Roman" w:hAnsi="黑体"/>
                <w:kern w:val="0"/>
                <w:szCs w:val="20"/>
              </w:rPr>
              <w:t>1.2.甲醛释放量，</w:t>
            </w:r>
            <w:r>
              <w:rPr>
                <w:rFonts w:ascii="Times New Roman" w:hAnsi="黑体"/>
                <w:kern w:val="0"/>
                <w:szCs w:val="20"/>
              </w:rPr>
              <w:t>执行GB/T39600-2021 E0级；</w:t>
            </w:r>
          </w:p>
          <w:p w14:paraId="43F4D251">
            <w:pPr>
              <w:spacing w:line="276" w:lineRule="auto"/>
              <w:rPr>
                <w:rFonts w:ascii="Times New Roman" w:hAnsi="黑体"/>
                <w:kern w:val="0"/>
                <w:szCs w:val="20"/>
              </w:rPr>
            </w:pPr>
            <w:r>
              <w:rPr>
                <w:rFonts w:hint="eastAsia" w:ascii="Times New Roman" w:hAnsi="黑体"/>
                <w:kern w:val="0"/>
                <w:szCs w:val="20"/>
              </w:rPr>
              <w:t>1.3.静曲强度；</w:t>
            </w:r>
            <w:r>
              <w:rPr>
                <w:rFonts w:ascii="Times New Roman" w:hAnsi="黑体"/>
                <w:kern w:val="0"/>
                <w:szCs w:val="20"/>
              </w:rPr>
              <w:t>根据厚度判断</w:t>
            </w:r>
            <w:r>
              <w:rPr>
                <w:rFonts w:hint="eastAsia" w:ascii="Times New Roman" w:hAnsi="黑体"/>
                <w:kern w:val="0"/>
                <w:szCs w:val="20"/>
              </w:rPr>
              <w:t>，</w:t>
            </w:r>
            <w:r>
              <w:rPr>
                <w:rFonts w:ascii="Times New Roman" w:hAnsi="黑体"/>
                <w:kern w:val="0"/>
                <w:szCs w:val="20"/>
              </w:rPr>
              <w:t>执行GB/9846-2015；</w:t>
            </w:r>
          </w:p>
          <w:p w14:paraId="371D2AB3">
            <w:pPr>
              <w:spacing w:line="276" w:lineRule="auto"/>
              <w:rPr>
                <w:rFonts w:ascii="Times New Roman" w:hAnsi="黑体"/>
                <w:kern w:val="0"/>
                <w:szCs w:val="20"/>
              </w:rPr>
            </w:pPr>
            <w:r>
              <w:rPr>
                <w:rFonts w:hint="eastAsia" w:ascii="Times New Roman" w:hAnsi="黑体"/>
                <w:kern w:val="0"/>
                <w:szCs w:val="20"/>
              </w:rPr>
              <w:t>1.4.弹性模量；</w:t>
            </w:r>
            <w:r>
              <w:rPr>
                <w:rFonts w:ascii="Times New Roman" w:hAnsi="黑体"/>
                <w:kern w:val="0"/>
                <w:szCs w:val="20"/>
              </w:rPr>
              <w:t>根据厚度判断</w:t>
            </w:r>
            <w:r>
              <w:rPr>
                <w:rFonts w:hint="eastAsia" w:ascii="Times New Roman" w:hAnsi="黑体"/>
                <w:kern w:val="0"/>
                <w:szCs w:val="20"/>
              </w:rPr>
              <w:t>，</w:t>
            </w:r>
            <w:r>
              <w:rPr>
                <w:rFonts w:ascii="Times New Roman" w:hAnsi="黑体"/>
                <w:kern w:val="0"/>
                <w:szCs w:val="20"/>
              </w:rPr>
              <w:t>执行GB/9846-2015；</w:t>
            </w:r>
          </w:p>
          <w:p w14:paraId="5064ADF8">
            <w:pPr>
              <w:spacing w:line="276" w:lineRule="auto"/>
              <w:ind w:left="210" w:hanging="210" w:hangingChars="100"/>
              <w:rPr>
                <w:rFonts w:ascii="Times New Roman" w:hAnsi="黑体"/>
                <w:kern w:val="0"/>
                <w:szCs w:val="20"/>
              </w:rPr>
            </w:pPr>
            <w:r>
              <w:rPr>
                <w:rFonts w:hint="eastAsia" w:ascii="Times New Roman" w:hAnsi="黑体"/>
                <w:kern w:val="0"/>
                <w:szCs w:val="20"/>
              </w:rPr>
              <w:t>1.5.</w:t>
            </w:r>
            <w:r>
              <w:rPr>
                <w:rFonts w:ascii="Times New Roman" w:hAnsi="黑体"/>
                <w:kern w:val="0"/>
                <w:szCs w:val="20"/>
              </w:rPr>
              <w:t>TVOC（总挥发性有机物）释放量小于0.5</w:t>
            </w:r>
            <w:r>
              <w:rPr>
                <w:rFonts w:hint="eastAsia" w:ascii="Times New Roman" w:hAnsi="黑体"/>
                <w:kern w:val="0"/>
                <w:szCs w:val="20"/>
              </w:rPr>
              <w:t>mg</w:t>
            </w:r>
            <w:r>
              <w:rPr>
                <w:rFonts w:ascii="Times New Roman" w:hAnsi="黑体"/>
                <w:kern w:val="0"/>
                <w:szCs w:val="20"/>
              </w:rPr>
              <w:t>/㎡</w:t>
            </w:r>
            <w:r>
              <w:rPr>
                <w:rFonts w:hint="eastAsia" w:ascii="Times New Roman" w:hAnsi="黑体"/>
                <w:kern w:val="0"/>
                <w:szCs w:val="20"/>
              </w:rPr>
              <w:t>·</w:t>
            </w:r>
            <w:r>
              <w:rPr>
                <w:rFonts w:ascii="Times New Roman" w:hAnsi="黑体"/>
                <w:kern w:val="0"/>
                <w:szCs w:val="20"/>
              </w:rPr>
              <w:t>h</w:t>
            </w:r>
            <w:r>
              <w:rPr>
                <w:rFonts w:hint="eastAsia" w:ascii="Times New Roman" w:hAnsi="黑体"/>
                <w:kern w:val="0"/>
                <w:szCs w:val="20"/>
              </w:rPr>
              <w:t>（72h）</w:t>
            </w:r>
            <w:r>
              <w:rPr>
                <w:rFonts w:ascii="Times New Roman" w:hAnsi="黑体"/>
                <w:kern w:val="0"/>
                <w:szCs w:val="20"/>
              </w:rPr>
              <w:t>，执行HJ571-2010；</w:t>
            </w:r>
          </w:p>
          <w:p w14:paraId="67CFD21C">
            <w:pPr>
              <w:spacing w:line="276" w:lineRule="auto"/>
              <w:rPr>
                <w:rFonts w:ascii="宋体" w:hAnsi="宋体" w:eastAsia="宋体" w:cs="Arial"/>
                <w:color w:val="000000"/>
                <w:kern w:val="0"/>
                <w:sz w:val="32"/>
                <w:szCs w:val="32"/>
              </w:rPr>
            </w:pPr>
            <w:r>
              <w:rPr>
                <w:rFonts w:hint="eastAsia" w:ascii="Times New Roman" w:hAnsi="黑体"/>
                <w:kern w:val="0"/>
                <w:szCs w:val="20"/>
              </w:rPr>
              <w:t>1.6.胶合强度一类，执行</w:t>
            </w:r>
            <w:r>
              <w:rPr>
                <w:rFonts w:ascii="Times New Roman" w:hAnsi="黑体"/>
                <w:kern w:val="0"/>
                <w:szCs w:val="20"/>
              </w:rPr>
              <w:t>GB/T9846-2015；</w:t>
            </w:r>
          </w:p>
        </w:tc>
        <w:tc>
          <w:tcPr>
            <w:tcW w:w="904" w:type="dxa"/>
            <w:vAlign w:val="center"/>
          </w:tcPr>
          <w:p w14:paraId="7A3B2846">
            <w:pPr>
              <w:snapToGrid w:val="0"/>
              <w:spacing w:line="600" w:lineRule="exact"/>
              <w:jc w:val="center"/>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200张</w:t>
            </w:r>
          </w:p>
        </w:tc>
        <w:tc>
          <w:tcPr>
            <w:tcW w:w="794" w:type="dxa"/>
            <w:vAlign w:val="center"/>
          </w:tcPr>
          <w:p w14:paraId="2E73DC71">
            <w:pPr>
              <w:snapToGrid w:val="0"/>
              <w:spacing w:line="600" w:lineRule="exact"/>
              <w:jc w:val="center"/>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260</w:t>
            </w:r>
          </w:p>
        </w:tc>
        <w:tc>
          <w:tcPr>
            <w:tcW w:w="1038" w:type="dxa"/>
            <w:vAlign w:val="center"/>
          </w:tcPr>
          <w:p w14:paraId="1D45E53E">
            <w:pPr>
              <w:snapToGrid w:val="0"/>
              <w:spacing w:line="600" w:lineRule="exact"/>
              <w:jc w:val="center"/>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52000</w:t>
            </w:r>
          </w:p>
        </w:tc>
      </w:tr>
      <w:tr w14:paraId="2C7F6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59" w:type="dxa"/>
            <w:vAlign w:val="center"/>
          </w:tcPr>
          <w:p w14:paraId="4623155C">
            <w:pPr>
              <w:keepLines w:val="0"/>
              <w:pageBreakBefore w:val="0"/>
              <w:topLinePunct w:val="0"/>
              <w:bidi w:val="0"/>
              <w:snapToGrid w:val="0"/>
              <w:spacing w:line="240" w:lineRule="auto"/>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2</w:t>
            </w:r>
          </w:p>
        </w:tc>
        <w:tc>
          <w:tcPr>
            <w:tcW w:w="697" w:type="dxa"/>
            <w:vAlign w:val="center"/>
          </w:tcPr>
          <w:p w14:paraId="7F4C8B2B">
            <w:pPr>
              <w:keepLines w:val="0"/>
              <w:pageBreakBefore w:val="0"/>
              <w:topLinePunct w:val="0"/>
              <w:bidi w:val="0"/>
              <w:snapToGrid w:val="0"/>
              <w:spacing w:line="240" w:lineRule="auto"/>
              <w:jc w:val="center"/>
              <w:rPr>
                <w:rFonts w:hint="eastAsia" w:ascii="宋体" w:hAnsi="宋体" w:eastAsia="宋体" w:cs="Arial"/>
                <w:color w:val="000000"/>
                <w:kern w:val="0"/>
                <w:sz w:val="32"/>
                <w:szCs w:val="32"/>
                <w:lang w:eastAsia="zh-CN"/>
              </w:rPr>
            </w:pPr>
            <w:r>
              <w:rPr>
                <w:rFonts w:hint="eastAsia" w:ascii="宋体" w:hAnsi="宋体" w:eastAsia="宋体" w:cs="Arial"/>
                <w:color w:val="000000"/>
                <w:kern w:val="0"/>
                <w:sz w:val="32"/>
                <w:szCs w:val="32"/>
                <w:lang w:eastAsia="zh-CN"/>
              </w:rPr>
              <w:t>棉被</w:t>
            </w:r>
          </w:p>
        </w:tc>
        <w:tc>
          <w:tcPr>
            <w:tcW w:w="6783" w:type="dxa"/>
            <w:vAlign w:val="center"/>
          </w:tcPr>
          <w:p w14:paraId="23517F07">
            <w:pPr>
              <w:keepLines w:val="0"/>
              <w:pageBreakBefore w:val="0"/>
              <w:widowControl/>
              <w:shd w:val="clear" w:color="FFFFFF" w:fill="FFFFFF"/>
              <w:topLinePunct w:val="0"/>
              <w:bidi w:val="0"/>
              <w:spacing w:after="360" w:line="240" w:lineRule="auto"/>
              <w:jc w:val="center"/>
              <w:outlineLvl w:val="4"/>
              <w:rPr>
                <w:rFonts w:hint="eastAsia" w:ascii="方正小标宋简体" w:hAnsi="方正小标宋简体" w:eastAsia="方正小标宋简体" w:cs="方正小标宋简体"/>
                <w:kern w:val="0"/>
                <w:sz w:val="44"/>
                <w:szCs w:val="44"/>
                <w:lang w:val="en-US" w:eastAsia="zh-CN"/>
              </w:rPr>
            </w:pPr>
            <w:r>
              <w:rPr>
                <w:rFonts w:hint="eastAsia" w:ascii="宋体" w:hAnsi="宋体" w:eastAsia="宋体"/>
                <w:b/>
                <w:szCs w:val="22"/>
                <w:lang w:val="en-US" w:eastAsia="zh-CN"/>
              </w:rPr>
              <w:t>救灾被服 棉被（高寒区）技术规范</w:t>
            </w:r>
          </w:p>
          <w:p w14:paraId="2E8CB945">
            <w:pPr>
              <w:keepNext w:val="0"/>
              <w:keepLines w:val="0"/>
              <w:pageBreakBefore w:val="0"/>
              <w:widowControl/>
              <w:numPr>
                <w:ilvl w:val="0"/>
                <w:numId w:val="23"/>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4"/>
              <w:rPr>
                <w:rFonts w:hint="eastAsia" w:ascii="方正黑体_GBK" w:hAnsi="方正黑体_GBK" w:eastAsia="方正黑体_GBK" w:cs="方正黑体_GBK"/>
                <w:b w:val="0"/>
                <w:bCs w:val="0"/>
                <w:color w:val="000000"/>
                <w:kern w:val="0"/>
                <w:sz w:val="21"/>
                <w:szCs w:val="21"/>
              </w:rPr>
            </w:pPr>
            <w:r>
              <w:rPr>
                <w:rFonts w:hint="eastAsia" w:ascii="方正黑体_GBK" w:hAnsi="方正黑体_GBK" w:eastAsia="方正黑体_GBK" w:cs="方正黑体_GBK"/>
                <w:b w:val="0"/>
                <w:bCs w:val="0"/>
                <w:color w:val="000000"/>
                <w:kern w:val="0"/>
                <w:sz w:val="21"/>
                <w:szCs w:val="21"/>
              </w:rPr>
              <w:t>范围</w:t>
            </w:r>
          </w:p>
          <w:p w14:paraId="13190DB9">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本文件规定了高寒地区的救灾棉被生产要求、测试方法、标志、包装、运输与贮存、验收规则等。</w:t>
            </w:r>
          </w:p>
          <w:p w14:paraId="29B3C095">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本文件适用于以棉印染布为面料，填充物为棉胎（包敷网套）制作加工生产的高寒地区救灾棉被的订购、生产和验收。</w:t>
            </w:r>
          </w:p>
          <w:p w14:paraId="29608955">
            <w:pPr>
              <w:keepNext w:val="0"/>
              <w:keepLines w:val="0"/>
              <w:pageBreakBefore w:val="0"/>
              <w:widowControl/>
              <w:numPr>
                <w:ilvl w:val="0"/>
                <w:numId w:val="23"/>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4"/>
              <w:rPr>
                <w:rFonts w:hint="eastAsia" w:ascii="方正黑体_GBK" w:hAnsi="方正黑体_GBK" w:eastAsia="方正黑体_GBK" w:cs="方正黑体_GBK"/>
                <w:b w:val="0"/>
                <w:bCs w:val="0"/>
                <w:color w:val="000000"/>
                <w:kern w:val="0"/>
                <w:sz w:val="21"/>
                <w:szCs w:val="21"/>
              </w:rPr>
            </w:pPr>
            <w:r>
              <w:rPr>
                <w:rFonts w:hint="eastAsia" w:ascii="方正黑体_GBK" w:hAnsi="方正黑体_GBK" w:eastAsia="方正黑体_GBK" w:cs="方正黑体_GBK"/>
                <w:b w:val="0"/>
                <w:bCs w:val="0"/>
                <w:color w:val="000000"/>
                <w:kern w:val="0"/>
                <w:sz w:val="21"/>
                <w:szCs w:val="21"/>
              </w:rPr>
              <w:t>规范性引用文件</w:t>
            </w:r>
          </w:p>
          <w:p w14:paraId="3ACC01F4">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下列文件对于本文件的应用是必不可少的。凡是注日期的引用文件，仅注入日期的版本适用于本文件。凡是不注入日期的引用文件，其最新版本（包括所有的修改单）适用于本文件。</w:t>
            </w:r>
          </w:p>
          <w:p w14:paraId="15EA50C2">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GB/T 250纺织品色牢度试验评定变色用灰色样卡</w:t>
            </w:r>
          </w:p>
          <w:p w14:paraId="0A94F6F7">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2910纺织品定量化学分析 </w:t>
            </w:r>
          </w:p>
          <w:p w14:paraId="160E9CB0">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3920纺织品色牢度试验耐摩擦色牢度</w:t>
            </w:r>
          </w:p>
          <w:p w14:paraId="7E6FB459">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3921纺织品色牢度试验耐皂洗色牢度</w:t>
            </w:r>
          </w:p>
          <w:p w14:paraId="308BC8F3">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3922纺织品色牢度试验耐汗渍色牢度</w:t>
            </w:r>
          </w:p>
          <w:p w14:paraId="7444B7B4">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3923.1纺织品织物拉伸性能第1部分：断裂强力和断裂伸长率的测定（条样法）</w:t>
            </w:r>
          </w:p>
          <w:p w14:paraId="30A9A6F2">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GB/T5713纺织品色牢度试验耐水色牢度</w:t>
            </w:r>
          </w:p>
          <w:p w14:paraId="0C502B29">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GB/T 6836涤纶缝纫线</w:t>
            </w:r>
          </w:p>
          <w:p w14:paraId="59DB0705">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8628纺织品测定尺寸变化的试验中织物试样和服装的准备、标记及测量</w:t>
            </w:r>
          </w:p>
          <w:p w14:paraId="003F895F">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8629纺织品试验用家庭洗涤和干燥程序</w:t>
            </w:r>
          </w:p>
          <w:p w14:paraId="4E6D5F2D">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8630纺织品洗涤和干燥后尺寸变化的测定</w:t>
            </w:r>
          </w:p>
          <w:p w14:paraId="41E26121">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GB/T 13773.1纺织品织物及其制品接缝拉伸性能第1部分条样法接缝强力</w:t>
            </w:r>
          </w:p>
          <w:p w14:paraId="3C778114">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 18383絮用纤维制品通用技术要求</w:t>
            </w:r>
          </w:p>
          <w:p w14:paraId="03116453">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GB 18401国家纺织产品安全技术规范</w:t>
            </w:r>
          </w:p>
          <w:p w14:paraId="79243675">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GB/T 22796  被、被套</w:t>
            </w:r>
          </w:p>
          <w:p w14:paraId="0587C56E">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GB/T 29862纺织品纤维含量的标识</w:t>
            </w:r>
          </w:p>
          <w:p w14:paraId="0AE1C001">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FZ/T 01057纺织纤维鉴别试验方法</w:t>
            </w:r>
          </w:p>
          <w:p w14:paraId="67957D64">
            <w:pPr>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GH/T 1020 梳棉胎</w:t>
            </w:r>
          </w:p>
          <w:p w14:paraId="08535759">
            <w:pPr>
              <w:keepNext w:val="0"/>
              <w:keepLines w:val="0"/>
              <w:pageBreakBefore w:val="0"/>
              <w:widowControl/>
              <w:numPr>
                <w:ilvl w:val="0"/>
                <w:numId w:val="23"/>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4"/>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要求</w:t>
            </w:r>
          </w:p>
          <w:p w14:paraId="6478E3FE">
            <w:pPr>
              <w:keepNext w:val="0"/>
              <w:keepLines w:val="0"/>
              <w:pageBreakBefore w:val="0"/>
              <w:widowControl/>
              <w:numPr>
                <w:ilvl w:val="1"/>
                <w:numId w:val="23"/>
              </w:numPr>
              <w:kinsoku/>
              <w:wordWrap/>
              <w:overflowPunct/>
              <w:topLinePunct w:val="0"/>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样式</w:t>
            </w:r>
          </w:p>
          <w:p w14:paraId="66EF81B2">
            <w:pPr>
              <w:keepNext w:val="0"/>
              <w:keepLines w:val="0"/>
              <w:pageBreakBefore w:val="0"/>
              <w:widowControl w:val="0"/>
              <w:tabs>
                <w:tab w:val="left" w:pos="3112"/>
              </w:tabs>
              <w:kinsoku/>
              <w:wordWrap/>
              <w:overflowPunct/>
              <w:topLinePunct w:val="0"/>
              <w:autoSpaceDE/>
              <w:autoSpaceDN/>
              <w:bidi w:val="0"/>
              <w:adjustRightInd/>
              <w:snapToGrid/>
              <w:spacing w:line="240" w:lineRule="auto"/>
              <w:ind w:left="420" w:leftChars="20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救灾棉被的样式为矩形，采用被套、被胎可拆卸方式，填充物是棉胎覆网套加工。</w:t>
            </w:r>
          </w:p>
          <w:p w14:paraId="513297EC">
            <w:pPr>
              <w:keepNext w:val="0"/>
              <w:keepLines w:val="0"/>
              <w:pageBreakBefore w:val="0"/>
              <w:widowControl/>
              <w:numPr>
                <w:ilvl w:val="1"/>
                <w:numId w:val="23"/>
              </w:numPr>
              <w:kinsoku/>
              <w:wordWrap/>
              <w:overflowPunct/>
              <w:topLinePunct w:val="0"/>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规格尺寸</w:t>
            </w:r>
          </w:p>
          <w:p w14:paraId="2BE310A0">
            <w:pPr>
              <w:keepNext w:val="0"/>
              <w:keepLines w:val="0"/>
              <w:pageBreakBefore w:val="0"/>
              <w:widowControl w:val="0"/>
              <w:kinsoku/>
              <w:wordWrap/>
              <w:overflowPunct/>
              <w:topLinePunct w:val="0"/>
              <w:autoSpaceDE/>
              <w:autoSpaceDN/>
              <w:bidi w:val="0"/>
              <w:adjustRightInd/>
              <w:snapToGrid/>
              <w:spacing w:line="240" w:lineRule="auto"/>
              <w:ind w:left="420" w:leftChars="20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救灾专用棉被的规格尺寸及允许偏差见表1。</w:t>
            </w:r>
          </w:p>
          <w:p w14:paraId="1608E882">
            <w:pPr>
              <w:keepLines w:val="0"/>
              <w:pageBreakBefore w:val="0"/>
              <w:topLinePunct w:val="0"/>
              <w:bidi w:val="0"/>
              <w:spacing w:line="240" w:lineRule="auto"/>
              <w:ind w:firstLine="420" w:firstLineChars="200"/>
              <w:rPr>
                <w:kern w:val="21"/>
                <w:sz w:val="21"/>
                <w:szCs w:val="21"/>
              </w:rPr>
            </w:pPr>
          </w:p>
          <w:p w14:paraId="41149CBB">
            <w:pPr>
              <w:keepLines w:val="0"/>
              <w:pageBreakBefore w:val="0"/>
              <w:widowControl/>
              <w:topLinePunct w:val="0"/>
              <w:bidi w:val="0"/>
              <w:spacing w:line="240" w:lineRule="auto"/>
              <w:jc w:val="center"/>
              <w:rPr>
                <w:rFonts w:hint="eastAsia" w:ascii="方正小标宋简体" w:hAnsi="方正小标宋简体" w:eastAsia="方正小标宋简体" w:cs="方正小标宋简体"/>
                <w:kern w:val="0"/>
                <w:sz w:val="21"/>
                <w:szCs w:val="21"/>
              </w:rPr>
            </w:pPr>
            <w:r>
              <w:rPr>
                <w:rFonts w:hint="eastAsia" w:ascii="方正小标宋简体" w:hAnsi="方正小标宋简体" w:eastAsia="方正小标宋简体" w:cs="方正小标宋简体"/>
                <w:kern w:val="0"/>
                <w:sz w:val="21"/>
                <w:szCs w:val="21"/>
              </w:rPr>
              <w:t>表1  规格尺寸及允许偏差</w:t>
            </w:r>
          </w:p>
          <w:tbl>
            <w:tblPr>
              <w:tblStyle w:val="58"/>
              <w:tblW w:w="62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289"/>
              <w:gridCol w:w="1856"/>
              <w:gridCol w:w="2339"/>
            </w:tblGrid>
            <w:tr w14:paraId="716A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4" w:type="dxa"/>
                  <w:tcBorders>
                    <w:top w:val="single" w:color="auto" w:sz="12" w:space="0"/>
                    <w:left w:val="single" w:color="auto" w:sz="12" w:space="0"/>
                    <w:bottom w:val="single" w:color="auto" w:sz="12" w:space="0"/>
                    <w:right w:val="single" w:color="auto" w:sz="4" w:space="0"/>
                  </w:tcBorders>
                  <w:noWrap w:val="0"/>
                  <w:vAlign w:val="center"/>
                </w:tcPr>
                <w:p w14:paraId="300BE104">
                  <w:pPr>
                    <w:keepLines w:val="0"/>
                    <w:pageBreakBefore w:val="0"/>
                    <w:topLinePunct w:val="0"/>
                    <w:bidi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序号</w:t>
                  </w:r>
                </w:p>
              </w:tc>
              <w:tc>
                <w:tcPr>
                  <w:tcW w:w="1289" w:type="dxa"/>
                  <w:tcBorders>
                    <w:top w:val="single" w:color="auto" w:sz="12" w:space="0"/>
                    <w:left w:val="single" w:color="auto" w:sz="4" w:space="0"/>
                    <w:bottom w:val="single" w:color="auto" w:sz="12" w:space="0"/>
                    <w:right w:val="single" w:color="auto" w:sz="4" w:space="0"/>
                  </w:tcBorders>
                  <w:noWrap w:val="0"/>
                  <w:vAlign w:val="center"/>
                </w:tcPr>
                <w:p w14:paraId="5FA53E30">
                  <w:pPr>
                    <w:keepLines w:val="0"/>
                    <w:pageBreakBefore w:val="0"/>
                    <w:topLinePunct w:val="0"/>
                    <w:bidi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部位名称</w:t>
                  </w:r>
                </w:p>
              </w:tc>
              <w:tc>
                <w:tcPr>
                  <w:tcW w:w="1856" w:type="dxa"/>
                  <w:tcBorders>
                    <w:top w:val="single" w:color="auto" w:sz="12" w:space="0"/>
                    <w:left w:val="single" w:color="auto" w:sz="4" w:space="0"/>
                    <w:bottom w:val="single" w:color="auto" w:sz="12" w:space="0"/>
                    <w:right w:val="single" w:color="auto" w:sz="4" w:space="0"/>
                  </w:tcBorders>
                  <w:noWrap w:val="0"/>
                  <w:vAlign w:val="center"/>
                </w:tcPr>
                <w:p w14:paraId="7279B72D">
                  <w:pPr>
                    <w:keepLines w:val="0"/>
                    <w:pageBreakBefore w:val="0"/>
                    <w:topLinePunct w:val="0"/>
                    <w:bidi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成品尺寸，cm</w:t>
                  </w:r>
                </w:p>
              </w:tc>
              <w:tc>
                <w:tcPr>
                  <w:tcW w:w="2339" w:type="dxa"/>
                  <w:tcBorders>
                    <w:top w:val="single" w:color="auto" w:sz="12" w:space="0"/>
                    <w:left w:val="single" w:color="auto" w:sz="4" w:space="0"/>
                    <w:bottom w:val="single" w:color="auto" w:sz="12" w:space="0"/>
                    <w:right w:val="single" w:color="auto" w:sz="12" w:space="0"/>
                  </w:tcBorders>
                  <w:noWrap w:val="0"/>
                  <w:vAlign w:val="center"/>
                </w:tcPr>
                <w:p w14:paraId="38CB162D">
                  <w:pPr>
                    <w:keepLines w:val="0"/>
                    <w:pageBreakBefore w:val="0"/>
                    <w:topLinePunct w:val="0"/>
                    <w:bidi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允许偏差，%</w:t>
                  </w:r>
                </w:p>
              </w:tc>
            </w:tr>
            <w:tr w14:paraId="03E8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4" w:type="dxa"/>
                  <w:tcBorders>
                    <w:top w:val="single" w:color="auto" w:sz="12" w:space="0"/>
                    <w:left w:val="single" w:color="auto" w:sz="12" w:space="0"/>
                    <w:bottom w:val="single" w:color="auto" w:sz="4" w:space="0"/>
                    <w:right w:val="single" w:color="auto" w:sz="4" w:space="0"/>
                  </w:tcBorders>
                  <w:noWrap w:val="0"/>
                  <w:vAlign w:val="center"/>
                </w:tcPr>
                <w:p w14:paraId="6ACC032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1289" w:type="dxa"/>
                  <w:tcBorders>
                    <w:top w:val="single" w:color="auto" w:sz="12" w:space="0"/>
                    <w:left w:val="single" w:color="auto" w:sz="4" w:space="0"/>
                    <w:bottom w:val="single" w:color="auto" w:sz="4" w:space="0"/>
                    <w:right w:val="single" w:color="auto" w:sz="4" w:space="0"/>
                  </w:tcBorders>
                  <w:noWrap w:val="0"/>
                  <w:vAlign w:val="center"/>
                </w:tcPr>
                <w:p w14:paraId="2103CAA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被套长</w:t>
                  </w:r>
                </w:p>
              </w:tc>
              <w:tc>
                <w:tcPr>
                  <w:tcW w:w="1856" w:type="dxa"/>
                  <w:tcBorders>
                    <w:top w:val="single" w:color="auto" w:sz="12" w:space="0"/>
                    <w:left w:val="single" w:color="auto" w:sz="4" w:space="0"/>
                    <w:bottom w:val="single" w:color="auto" w:sz="4" w:space="0"/>
                    <w:right w:val="single" w:color="auto" w:sz="4" w:space="0"/>
                  </w:tcBorders>
                  <w:noWrap w:val="0"/>
                  <w:vAlign w:val="center"/>
                </w:tcPr>
                <w:p w14:paraId="688E021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220.0</w:t>
                  </w:r>
                </w:p>
              </w:tc>
              <w:tc>
                <w:tcPr>
                  <w:tcW w:w="2339" w:type="dxa"/>
                  <w:vMerge w:val="restart"/>
                  <w:tcBorders>
                    <w:top w:val="single" w:color="auto" w:sz="12" w:space="0"/>
                    <w:left w:val="single" w:color="auto" w:sz="4" w:space="0"/>
                    <w:right w:val="single" w:color="auto" w:sz="12" w:space="0"/>
                  </w:tcBorders>
                  <w:noWrap w:val="0"/>
                  <w:vAlign w:val="center"/>
                </w:tcPr>
                <w:p w14:paraId="64C6F33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w:t>
                  </w:r>
                </w:p>
              </w:tc>
            </w:tr>
            <w:tr w14:paraId="7FF80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4" w:type="dxa"/>
                  <w:tcBorders>
                    <w:top w:val="single" w:color="auto" w:sz="4" w:space="0"/>
                    <w:left w:val="single" w:color="auto" w:sz="12" w:space="0"/>
                    <w:bottom w:val="single" w:color="auto" w:sz="4" w:space="0"/>
                    <w:right w:val="single" w:color="auto" w:sz="4" w:space="0"/>
                  </w:tcBorders>
                  <w:noWrap w:val="0"/>
                  <w:vAlign w:val="center"/>
                </w:tcPr>
                <w:p w14:paraId="206FD609">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39F9E7D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被套宽</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709FD8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150.0</w:t>
                  </w:r>
                </w:p>
              </w:tc>
              <w:tc>
                <w:tcPr>
                  <w:tcW w:w="2339" w:type="dxa"/>
                  <w:vMerge w:val="continue"/>
                  <w:tcBorders>
                    <w:left w:val="single" w:color="auto" w:sz="4" w:space="0"/>
                    <w:right w:val="single" w:color="auto" w:sz="12" w:space="0"/>
                  </w:tcBorders>
                  <w:noWrap w:val="0"/>
                  <w:vAlign w:val="center"/>
                </w:tcPr>
                <w:p w14:paraId="38673BF8">
                  <w:pPr>
                    <w:widowControl/>
                    <w:jc w:val="center"/>
                    <w:rPr>
                      <w:rFonts w:hint="eastAsia" w:ascii="宋体" w:hAnsi="宋体" w:eastAsia="宋体" w:cs="宋体"/>
                      <w:color w:val="000000"/>
                      <w:sz w:val="18"/>
                      <w:szCs w:val="18"/>
                    </w:rPr>
                  </w:pPr>
                </w:p>
              </w:tc>
            </w:tr>
            <w:tr w14:paraId="6D59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94" w:type="dxa"/>
                  <w:tcBorders>
                    <w:top w:val="single" w:color="auto" w:sz="4" w:space="0"/>
                    <w:left w:val="single" w:color="auto" w:sz="12" w:space="0"/>
                    <w:bottom w:val="single" w:color="auto" w:sz="4" w:space="0"/>
                    <w:right w:val="single" w:color="auto" w:sz="4" w:space="0"/>
                  </w:tcBorders>
                  <w:noWrap w:val="0"/>
                  <w:vAlign w:val="center"/>
                </w:tcPr>
                <w:p w14:paraId="5443464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4E6F5AA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被胎长</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8E11AD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210.0</w:t>
                  </w:r>
                </w:p>
              </w:tc>
              <w:tc>
                <w:tcPr>
                  <w:tcW w:w="2339" w:type="dxa"/>
                  <w:vMerge w:val="continue"/>
                  <w:tcBorders>
                    <w:left w:val="single" w:color="auto" w:sz="4" w:space="0"/>
                    <w:right w:val="single" w:color="auto" w:sz="12" w:space="0"/>
                  </w:tcBorders>
                  <w:noWrap w:val="0"/>
                  <w:vAlign w:val="center"/>
                </w:tcPr>
                <w:p w14:paraId="621428B1">
                  <w:pPr>
                    <w:widowControl/>
                    <w:jc w:val="center"/>
                    <w:rPr>
                      <w:rFonts w:hint="eastAsia" w:ascii="宋体" w:hAnsi="宋体" w:eastAsia="宋体" w:cs="宋体"/>
                      <w:color w:val="000000"/>
                      <w:sz w:val="18"/>
                      <w:szCs w:val="18"/>
                    </w:rPr>
                  </w:pPr>
                </w:p>
              </w:tc>
            </w:tr>
            <w:tr w14:paraId="1E4D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94" w:type="dxa"/>
                  <w:tcBorders>
                    <w:top w:val="single" w:color="auto" w:sz="4" w:space="0"/>
                    <w:left w:val="single" w:color="auto" w:sz="12" w:space="0"/>
                    <w:bottom w:val="single" w:color="auto" w:sz="12" w:space="0"/>
                    <w:right w:val="single" w:color="auto" w:sz="4" w:space="0"/>
                  </w:tcBorders>
                  <w:noWrap w:val="0"/>
                  <w:vAlign w:val="center"/>
                </w:tcPr>
                <w:p w14:paraId="6F37820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1289" w:type="dxa"/>
                  <w:tcBorders>
                    <w:top w:val="single" w:color="auto" w:sz="4" w:space="0"/>
                    <w:left w:val="single" w:color="auto" w:sz="4" w:space="0"/>
                    <w:bottom w:val="single" w:color="auto" w:sz="12" w:space="0"/>
                    <w:right w:val="single" w:color="auto" w:sz="4" w:space="0"/>
                  </w:tcBorders>
                  <w:noWrap w:val="0"/>
                  <w:vAlign w:val="center"/>
                </w:tcPr>
                <w:p w14:paraId="192ADD69">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被胎宽</w:t>
                  </w:r>
                </w:p>
              </w:tc>
              <w:tc>
                <w:tcPr>
                  <w:tcW w:w="1856" w:type="dxa"/>
                  <w:tcBorders>
                    <w:top w:val="single" w:color="auto" w:sz="4" w:space="0"/>
                    <w:left w:val="single" w:color="auto" w:sz="4" w:space="0"/>
                    <w:bottom w:val="single" w:color="auto" w:sz="12" w:space="0"/>
                    <w:right w:val="single" w:color="auto" w:sz="4" w:space="0"/>
                  </w:tcBorders>
                  <w:noWrap w:val="0"/>
                  <w:vAlign w:val="center"/>
                </w:tcPr>
                <w:p w14:paraId="571F404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145.0</w:t>
                  </w:r>
                </w:p>
              </w:tc>
              <w:tc>
                <w:tcPr>
                  <w:tcW w:w="2339" w:type="dxa"/>
                  <w:vMerge w:val="continue"/>
                  <w:tcBorders>
                    <w:left w:val="single" w:color="auto" w:sz="4" w:space="0"/>
                    <w:bottom w:val="single" w:color="auto" w:sz="12" w:space="0"/>
                    <w:right w:val="single" w:color="auto" w:sz="12" w:space="0"/>
                  </w:tcBorders>
                  <w:noWrap w:val="0"/>
                  <w:vAlign w:val="center"/>
                </w:tcPr>
                <w:p w14:paraId="21E9F76A">
                  <w:pPr>
                    <w:widowControl/>
                    <w:jc w:val="center"/>
                    <w:rPr>
                      <w:rFonts w:hint="eastAsia" w:ascii="宋体" w:hAnsi="宋体" w:eastAsia="宋体" w:cs="宋体"/>
                      <w:color w:val="000000"/>
                      <w:sz w:val="18"/>
                      <w:szCs w:val="18"/>
                    </w:rPr>
                  </w:pPr>
                </w:p>
              </w:tc>
            </w:tr>
          </w:tbl>
          <w:p w14:paraId="3462291E">
            <w:pPr>
              <w:keepNext w:val="0"/>
              <w:keepLines w:val="0"/>
              <w:pageBreakBefore w:val="0"/>
              <w:widowControl/>
              <w:numPr>
                <w:ilvl w:val="1"/>
                <w:numId w:val="23"/>
              </w:numPr>
              <w:kinsoku/>
              <w:wordWrap/>
              <w:overflowPunct/>
              <w:topLinePunct w:val="0"/>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材料</w:t>
            </w:r>
          </w:p>
          <w:p w14:paraId="57CDC18F">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宋体" w:hAnsi="宋体" w:eastAsia="宋体" w:cs="宋体"/>
                <w:kern w:val="21"/>
                <w:sz w:val="21"/>
                <w:szCs w:val="21"/>
              </w:rPr>
            </w:pPr>
            <w:r>
              <w:rPr>
                <w:rFonts w:hint="eastAsia" w:ascii="宋体" w:hAnsi="宋体" w:eastAsia="宋体" w:cs="宋体"/>
                <w:kern w:val="21"/>
                <w:sz w:val="21"/>
                <w:szCs w:val="21"/>
              </w:rPr>
              <w:t>材料规格、质量要求及用途按表2规定。</w:t>
            </w:r>
          </w:p>
          <w:p w14:paraId="51201DF4">
            <w:pPr>
              <w:keepNext w:val="0"/>
              <w:keepLines w:val="0"/>
              <w:pageBreakBefore w:val="0"/>
              <w:kinsoku/>
              <w:wordWrap/>
              <w:overflowPunct/>
              <w:topLinePunct w:val="0"/>
              <w:autoSpaceDE/>
              <w:autoSpaceDN/>
              <w:bidi w:val="0"/>
              <w:adjustRightInd/>
              <w:snapToGrid/>
              <w:spacing w:line="240" w:lineRule="auto"/>
              <w:ind w:left="420" w:leftChars="200" w:firstLine="0" w:firstLineChars="0"/>
              <w:textAlignment w:val="auto"/>
              <w:rPr>
                <w:rFonts w:hint="eastAsia" w:ascii="仿宋_GB2312" w:hAnsi="仿宋_GB2312" w:eastAsia="仿宋_GB2312" w:cs="仿宋_GB2312"/>
                <w:kern w:val="21"/>
                <w:sz w:val="21"/>
                <w:szCs w:val="21"/>
              </w:rPr>
            </w:pPr>
          </w:p>
          <w:p w14:paraId="7FE4ABA1">
            <w:pPr>
              <w:keepLines w:val="0"/>
              <w:pageBreakBefore w:val="0"/>
              <w:widowControl/>
              <w:topLinePunct w:val="0"/>
              <w:bidi w:val="0"/>
              <w:spacing w:line="240" w:lineRule="auto"/>
              <w:jc w:val="center"/>
              <w:rPr>
                <w:rFonts w:hint="eastAsia" w:ascii="方正小标宋简体" w:hAnsi="方正小标宋简体" w:eastAsia="方正小标宋简体" w:cs="方正小标宋简体"/>
                <w:kern w:val="0"/>
                <w:sz w:val="21"/>
                <w:szCs w:val="21"/>
              </w:rPr>
            </w:pPr>
            <w:r>
              <w:rPr>
                <w:rFonts w:hint="eastAsia" w:ascii="方正小标宋简体" w:hAnsi="方正小标宋简体" w:eastAsia="方正小标宋简体" w:cs="方正小标宋简体"/>
                <w:kern w:val="0"/>
                <w:sz w:val="21"/>
                <w:szCs w:val="21"/>
              </w:rPr>
              <w:t>表2  材料规格、质量要求及用途</w:t>
            </w:r>
          </w:p>
          <w:tbl>
            <w:tblPr>
              <w:tblStyle w:val="58"/>
              <w:tblW w:w="64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781"/>
              <w:gridCol w:w="1667"/>
              <w:gridCol w:w="1000"/>
            </w:tblGrid>
            <w:tr w14:paraId="5B565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91" w:type="dxa"/>
                  <w:tcBorders>
                    <w:top w:val="single" w:color="auto" w:sz="12" w:space="0"/>
                    <w:left w:val="single" w:color="auto" w:sz="12" w:space="0"/>
                    <w:bottom w:val="single" w:color="auto" w:sz="12" w:space="0"/>
                    <w:right w:val="single" w:color="auto" w:sz="4" w:space="0"/>
                  </w:tcBorders>
                  <w:noWrap w:val="0"/>
                  <w:vAlign w:val="center"/>
                </w:tcPr>
                <w:p w14:paraId="3565B289">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材料名称</w:t>
                  </w:r>
                </w:p>
              </w:tc>
              <w:tc>
                <w:tcPr>
                  <w:tcW w:w="2781" w:type="dxa"/>
                  <w:tcBorders>
                    <w:top w:val="single" w:color="auto" w:sz="12" w:space="0"/>
                    <w:left w:val="single" w:color="auto" w:sz="4" w:space="0"/>
                    <w:bottom w:val="single" w:color="auto" w:sz="12" w:space="0"/>
                    <w:right w:val="single" w:color="auto" w:sz="4" w:space="0"/>
                  </w:tcBorders>
                  <w:noWrap w:val="0"/>
                  <w:vAlign w:val="center"/>
                </w:tcPr>
                <w:p w14:paraId="49087B62">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规格</w:t>
                  </w:r>
                </w:p>
              </w:tc>
              <w:tc>
                <w:tcPr>
                  <w:tcW w:w="1667" w:type="dxa"/>
                  <w:tcBorders>
                    <w:top w:val="single" w:color="auto" w:sz="12" w:space="0"/>
                    <w:left w:val="single" w:color="auto" w:sz="4" w:space="0"/>
                    <w:bottom w:val="single" w:color="auto" w:sz="12" w:space="0"/>
                    <w:right w:val="single" w:color="auto" w:sz="4" w:space="0"/>
                  </w:tcBorders>
                  <w:noWrap w:val="0"/>
                  <w:vAlign w:val="center"/>
                </w:tcPr>
                <w:p w14:paraId="75EB7891">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质量要求</w:t>
                  </w:r>
                </w:p>
              </w:tc>
              <w:tc>
                <w:tcPr>
                  <w:tcW w:w="1000" w:type="dxa"/>
                  <w:tcBorders>
                    <w:top w:val="single" w:color="auto" w:sz="12" w:space="0"/>
                    <w:left w:val="single" w:color="auto" w:sz="4" w:space="0"/>
                    <w:bottom w:val="single" w:color="auto" w:sz="12" w:space="0"/>
                    <w:right w:val="single" w:color="auto" w:sz="12" w:space="0"/>
                  </w:tcBorders>
                  <w:noWrap w:val="0"/>
                  <w:vAlign w:val="center"/>
                </w:tcPr>
                <w:p w14:paraId="5C79258E">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用途</w:t>
                  </w:r>
                </w:p>
              </w:tc>
            </w:tr>
            <w:tr w14:paraId="6C3EA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991" w:type="dxa"/>
                  <w:tcBorders>
                    <w:top w:val="single" w:color="auto" w:sz="12" w:space="0"/>
                    <w:left w:val="single" w:color="auto" w:sz="12" w:space="0"/>
                    <w:bottom w:val="single" w:color="auto" w:sz="6" w:space="0"/>
                    <w:right w:val="single" w:color="auto" w:sz="4" w:space="0"/>
                  </w:tcBorders>
                  <w:noWrap w:val="0"/>
                  <w:vAlign w:val="center"/>
                </w:tcPr>
                <w:p w14:paraId="1D5C8B5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棉印花布</w:t>
                  </w:r>
                </w:p>
              </w:tc>
              <w:tc>
                <w:tcPr>
                  <w:tcW w:w="2781" w:type="dxa"/>
                  <w:tcBorders>
                    <w:top w:val="single" w:color="auto" w:sz="12" w:space="0"/>
                    <w:left w:val="single" w:color="auto" w:sz="4" w:space="0"/>
                    <w:bottom w:val="single" w:color="auto" w:sz="6" w:space="0"/>
                    <w:right w:val="single" w:color="auto" w:sz="4" w:space="0"/>
                  </w:tcBorders>
                  <w:noWrap w:val="0"/>
                  <w:vAlign w:val="center"/>
                </w:tcPr>
                <w:p w14:paraId="0AFDAC0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纯棉印花布，参考规格：线密度14.5tex/14.5tex，</w:t>
                  </w:r>
                </w:p>
                <w:p w14:paraId="398E1CA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密度420根/10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cm×300根/10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cm</w:t>
                  </w:r>
                </w:p>
              </w:tc>
              <w:tc>
                <w:tcPr>
                  <w:tcW w:w="1667" w:type="dxa"/>
                  <w:tcBorders>
                    <w:top w:val="single" w:color="auto" w:sz="12" w:space="0"/>
                    <w:left w:val="single" w:color="auto" w:sz="4" w:space="0"/>
                    <w:bottom w:val="single" w:color="auto" w:sz="6" w:space="0"/>
                    <w:right w:val="single" w:color="auto" w:sz="4" w:space="0"/>
                  </w:tcBorders>
                  <w:noWrap w:val="0"/>
                  <w:vAlign w:val="center"/>
                </w:tcPr>
                <w:p w14:paraId="3871E28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应符合本标准要求</w:t>
                  </w:r>
                </w:p>
              </w:tc>
              <w:tc>
                <w:tcPr>
                  <w:tcW w:w="1000" w:type="dxa"/>
                  <w:tcBorders>
                    <w:top w:val="single" w:color="auto" w:sz="12" w:space="0"/>
                    <w:left w:val="single" w:color="auto" w:sz="4" w:space="0"/>
                    <w:bottom w:val="single" w:color="auto" w:sz="6" w:space="0"/>
                    <w:right w:val="single" w:color="auto" w:sz="12" w:space="0"/>
                  </w:tcBorders>
                  <w:noWrap w:val="0"/>
                  <w:vAlign w:val="center"/>
                </w:tcPr>
                <w:p w14:paraId="15C1036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棉被面料</w:t>
                  </w:r>
                </w:p>
              </w:tc>
            </w:tr>
            <w:tr w14:paraId="7BEF78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91" w:type="dxa"/>
                  <w:tcBorders>
                    <w:top w:val="single" w:color="auto" w:sz="8" w:space="0"/>
                    <w:left w:val="single" w:color="auto" w:sz="12" w:space="0"/>
                    <w:bottom w:val="single" w:color="auto" w:sz="4" w:space="0"/>
                    <w:right w:val="single" w:color="auto" w:sz="4" w:space="0"/>
                  </w:tcBorders>
                  <w:noWrap w:val="0"/>
                  <w:vAlign w:val="center"/>
                </w:tcPr>
                <w:p w14:paraId="4DC50C9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填充物</w:t>
                  </w:r>
                </w:p>
              </w:tc>
              <w:tc>
                <w:tcPr>
                  <w:tcW w:w="2781" w:type="dxa"/>
                  <w:tcBorders>
                    <w:top w:val="single" w:color="auto" w:sz="8" w:space="0"/>
                    <w:left w:val="single" w:color="auto" w:sz="4" w:space="0"/>
                    <w:bottom w:val="single" w:color="auto" w:sz="4" w:space="0"/>
                    <w:right w:val="single" w:color="auto" w:sz="4" w:space="0"/>
                  </w:tcBorders>
                  <w:noWrap w:val="0"/>
                  <w:vAlign w:val="center"/>
                </w:tcPr>
                <w:p w14:paraId="6253B0B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棉花被胎，包敷网套</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5336D08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棉胎等级二级（含二级）以上应符合本标准要求</w:t>
                  </w:r>
                </w:p>
              </w:tc>
              <w:tc>
                <w:tcPr>
                  <w:tcW w:w="1000" w:type="dxa"/>
                  <w:tcBorders>
                    <w:top w:val="single" w:color="auto" w:sz="4" w:space="0"/>
                    <w:left w:val="single" w:color="auto" w:sz="4" w:space="0"/>
                    <w:bottom w:val="single" w:color="auto" w:sz="4" w:space="0"/>
                    <w:right w:val="single" w:color="auto" w:sz="12" w:space="0"/>
                  </w:tcBorders>
                  <w:noWrap w:val="0"/>
                  <w:vAlign w:val="center"/>
                </w:tcPr>
                <w:p w14:paraId="4A8F7F3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被胎</w:t>
                  </w:r>
                </w:p>
              </w:tc>
            </w:tr>
            <w:tr w14:paraId="23DF4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91" w:type="dxa"/>
                  <w:tcBorders>
                    <w:top w:val="single" w:color="auto" w:sz="4" w:space="0"/>
                    <w:left w:val="single" w:color="auto" w:sz="12" w:space="0"/>
                    <w:bottom w:val="single" w:color="auto" w:sz="12" w:space="0"/>
                    <w:right w:val="single" w:color="auto" w:sz="4" w:space="0"/>
                  </w:tcBorders>
                  <w:noWrap w:val="0"/>
                  <w:vAlign w:val="center"/>
                </w:tcPr>
                <w:p w14:paraId="48BFF35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涤纶缝纫线</w:t>
                  </w:r>
                </w:p>
              </w:tc>
              <w:tc>
                <w:tcPr>
                  <w:tcW w:w="2781" w:type="dxa"/>
                  <w:tcBorders>
                    <w:top w:val="single" w:color="auto" w:sz="4" w:space="0"/>
                    <w:left w:val="single" w:color="auto" w:sz="4" w:space="0"/>
                    <w:bottom w:val="single" w:color="auto" w:sz="12" w:space="0"/>
                    <w:right w:val="single" w:color="auto" w:sz="4" w:space="0"/>
                  </w:tcBorders>
                  <w:noWrap w:val="0"/>
                  <w:vAlign w:val="center"/>
                </w:tcPr>
                <w:p w14:paraId="6CCF30E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11.8</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tex×3</w:t>
                  </w:r>
                </w:p>
              </w:tc>
              <w:tc>
                <w:tcPr>
                  <w:tcW w:w="1667" w:type="dxa"/>
                  <w:tcBorders>
                    <w:top w:val="single" w:color="auto" w:sz="4" w:space="0"/>
                    <w:left w:val="single" w:color="auto" w:sz="4" w:space="0"/>
                    <w:bottom w:val="single" w:color="auto" w:sz="12" w:space="0"/>
                    <w:right w:val="single" w:color="auto" w:sz="4" w:space="0"/>
                  </w:tcBorders>
                  <w:noWrap w:val="0"/>
                  <w:vAlign w:val="center"/>
                </w:tcPr>
                <w:p w14:paraId="30B93AE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断裂强力≥1040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cN</w:t>
                  </w:r>
                </w:p>
              </w:tc>
              <w:tc>
                <w:tcPr>
                  <w:tcW w:w="1000" w:type="dxa"/>
                  <w:tcBorders>
                    <w:top w:val="single" w:color="auto" w:sz="4" w:space="0"/>
                    <w:left w:val="single" w:color="auto" w:sz="4" w:space="0"/>
                    <w:bottom w:val="single" w:color="auto" w:sz="12" w:space="0"/>
                    <w:right w:val="single" w:color="auto" w:sz="12" w:space="0"/>
                  </w:tcBorders>
                  <w:noWrap w:val="0"/>
                  <w:vAlign w:val="center"/>
                </w:tcPr>
                <w:p w14:paraId="49878D3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缝纫</w:t>
                  </w:r>
                </w:p>
              </w:tc>
            </w:tr>
          </w:tbl>
          <w:p w14:paraId="4F1157EF">
            <w:pPr>
              <w:keepNext w:val="0"/>
              <w:keepLines w:val="0"/>
              <w:pageBreakBefore w:val="0"/>
              <w:widowControl/>
              <w:numPr>
                <w:ilvl w:val="1"/>
                <w:numId w:val="23"/>
              </w:numPr>
              <w:kinsoku/>
              <w:wordWrap/>
              <w:overflowPunct/>
              <w:topLinePunct w:val="0"/>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颜色及色差</w:t>
            </w:r>
          </w:p>
          <w:p w14:paraId="08E40CD5">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textAlignment w:val="auto"/>
              <w:outlineLvl w:val="6"/>
              <w:rPr>
                <w:rFonts w:hint="eastAsia" w:ascii="宋体" w:hAnsi="宋体" w:eastAsia="宋体" w:cs="宋体"/>
                <w:kern w:val="0"/>
                <w:sz w:val="21"/>
                <w:szCs w:val="21"/>
              </w:rPr>
            </w:pPr>
            <w:r>
              <w:rPr>
                <w:rFonts w:hint="eastAsia" w:ascii="宋体" w:hAnsi="宋体" w:eastAsia="宋体" w:cs="宋体"/>
                <w:kern w:val="0"/>
                <w:sz w:val="21"/>
                <w:szCs w:val="21"/>
              </w:rPr>
              <w:t>被面颜色：可由供货方报样，须经采购人确认。</w:t>
            </w:r>
          </w:p>
          <w:p w14:paraId="13D63370">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textAlignment w:val="auto"/>
              <w:outlineLvl w:val="6"/>
              <w:rPr>
                <w:rFonts w:hint="eastAsia" w:ascii="宋体" w:hAnsi="宋体" w:eastAsia="宋体" w:cs="宋体"/>
                <w:kern w:val="0"/>
                <w:sz w:val="21"/>
                <w:szCs w:val="21"/>
              </w:rPr>
            </w:pPr>
            <w:r>
              <w:rPr>
                <w:rFonts w:hint="eastAsia" w:ascii="宋体" w:hAnsi="宋体" w:eastAsia="宋体" w:cs="宋体"/>
                <w:kern w:val="0"/>
                <w:sz w:val="21"/>
                <w:szCs w:val="21"/>
              </w:rPr>
              <w:t>缝纫线：应分别与被面、包布相适应；棉花网套纱线颜色与棉花颜色相适应。</w:t>
            </w:r>
          </w:p>
          <w:p w14:paraId="4A060C94">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textAlignment w:val="auto"/>
              <w:outlineLvl w:val="6"/>
              <w:rPr>
                <w:rFonts w:hint="eastAsia" w:ascii="宋体" w:hAnsi="宋体" w:eastAsia="宋体" w:cs="宋体"/>
                <w:kern w:val="0"/>
                <w:sz w:val="21"/>
                <w:szCs w:val="21"/>
              </w:rPr>
            </w:pPr>
            <w:r>
              <w:rPr>
                <w:rFonts w:hint="eastAsia" w:ascii="宋体" w:hAnsi="宋体" w:eastAsia="宋体" w:cs="宋体"/>
                <w:kern w:val="0"/>
                <w:sz w:val="21"/>
                <w:szCs w:val="21"/>
              </w:rPr>
              <w:t>被面各部位色差不低于3-4级。</w:t>
            </w:r>
          </w:p>
          <w:p w14:paraId="297EF6DE">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bookmarkStart w:id="364" w:name="_Toc367025577"/>
            <w:bookmarkStart w:id="365" w:name="_Toc237327393"/>
            <w:bookmarkStart w:id="366" w:name="_Toc236732778"/>
            <w:bookmarkStart w:id="367" w:name="_Toc236717424"/>
            <w:r>
              <w:rPr>
                <w:rFonts w:hint="eastAsia" w:ascii="方正黑体_GBK" w:hAnsi="方正黑体_GBK" w:eastAsia="方正黑体_GBK" w:cs="方正黑体_GBK"/>
                <w:kern w:val="21"/>
                <w:sz w:val="21"/>
                <w:szCs w:val="21"/>
              </w:rPr>
              <w:t>下料</w:t>
            </w:r>
            <w:bookmarkEnd w:id="364"/>
            <w:bookmarkEnd w:id="365"/>
            <w:bookmarkEnd w:id="366"/>
            <w:bookmarkEnd w:id="367"/>
          </w:p>
          <w:p w14:paraId="78E93FCB">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textAlignment w:val="auto"/>
              <w:outlineLvl w:val="6"/>
              <w:rPr>
                <w:rFonts w:hint="eastAsia" w:ascii="宋体" w:hAnsi="宋体" w:eastAsia="宋体" w:cs="宋体"/>
                <w:kern w:val="0"/>
                <w:sz w:val="21"/>
                <w:szCs w:val="21"/>
              </w:rPr>
            </w:pPr>
            <w:r>
              <w:rPr>
                <w:rFonts w:hint="eastAsia" w:ascii="宋体" w:hAnsi="宋体" w:eastAsia="宋体" w:cs="宋体"/>
                <w:kern w:val="0"/>
                <w:sz w:val="21"/>
                <w:szCs w:val="21"/>
              </w:rPr>
              <w:t>被套、被胎包布下料方向为经向，被套应为整幅材料，即长度方向不允许拼接。</w:t>
            </w:r>
          </w:p>
          <w:p w14:paraId="068A1EC3">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textAlignment w:val="auto"/>
              <w:outlineLvl w:val="6"/>
              <w:rPr>
                <w:rFonts w:hint="eastAsia" w:ascii="宋体" w:hAnsi="宋体" w:eastAsia="宋体" w:cs="宋体"/>
                <w:kern w:val="0"/>
                <w:sz w:val="21"/>
                <w:szCs w:val="21"/>
              </w:rPr>
            </w:pPr>
            <w:r>
              <w:rPr>
                <w:rFonts w:hint="eastAsia" w:ascii="宋体" w:hAnsi="宋体" w:eastAsia="宋体" w:cs="宋体"/>
                <w:kern w:val="0"/>
                <w:sz w:val="21"/>
                <w:szCs w:val="21"/>
              </w:rPr>
              <w:t>下料尺寸应充分考虑绗缝引起的收缩，确保被胎成品符合表1要求。</w:t>
            </w:r>
          </w:p>
          <w:p w14:paraId="10A98B57">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被胎</w:t>
            </w:r>
          </w:p>
          <w:p w14:paraId="2B4335F2">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textAlignment w:val="auto"/>
              <w:outlineLvl w:val="6"/>
              <w:rPr>
                <w:rFonts w:hint="eastAsia" w:ascii="宋体" w:hAnsi="宋体" w:eastAsia="宋体" w:cs="宋体"/>
                <w:kern w:val="0"/>
                <w:sz w:val="21"/>
                <w:szCs w:val="21"/>
              </w:rPr>
            </w:pPr>
            <w:r>
              <w:rPr>
                <w:rFonts w:hint="eastAsia" w:ascii="宋体" w:hAnsi="宋体" w:eastAsia="宋体" w:cs="宋体"/>
                <w:kern w:val="0"/>
                <w:sz w:val="21"/>
                <w:szCs w:val="21"/>
              </w:rPr>
              <w:t>被胎重量按表3规定。</w:t>
            </w:r>
          </w:p>
          <w:p w14:paraId="47E2890B">
            <w:pPr>
              <w:keepLines w:val="0"/>
              <w:pageBreakBefore w:val="0"/>
              <w:widowControl/>
              <w:topLinePunct w:val="0"/>
              <w:bidi w:val="0"/>
              <w:spacing w:line="240" w:lineRule="auto"/>
              <w:jc w:val="center"/>
              <w:rPr>
                <w:rFonts w:hint="eastAsia" w:ascii="方正小标宋简体" w:hAnsi="方正小标宋简体" w:eastAsia="方正小标宋简体" w:cs="方正小标宋简体"/>
                <w:kern w:val="0"/>
                <w:sz w:val="21"/>
                <w:szCs w:val="21"/>
              </w:rPr>
            </w:pPr>
            <w:r>
              <w:rPr>
                <w:rFonts w:hint="eastAsia" w:ascii="方正小标宋简体" w:hAnsi="方正小标宋简体" w:eastAsia="方正小标宋简体" w:cs="方正小标宋简体"/>
                <w:kern w:val="0"/>
                <w:sz w:val="21"/>
                <w:szCs w:val="21"/>
              </w:rPr>
              <w:t>表3 被胎重量</w:t>
            </w:r>
          </w:p>
          <w:tbl>
            <w:tblPr>
              <w:tblStyle w:val="58"/>
              <w:tblW w:w="631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591"/>
              <w:gridCol w:w="2931"/>
            </w:tblGrid>
            <w:tr w14:paraId="29D9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796" w:type="dxa"/>
                  <w:tcBorders>
                    <w:top w:val="single" w:color="auto" w:sz="12" w:space="0"/>
                    <w:left w:val="single" w:color="auto" w:sz="12" w:space="0"/>
                    <w:bottom w:val="single" w:color="auto" w:sz="12" w:space="0"/>
                  </w:tcBorders>
                  <w:noWrap w:val="0"/>
                  <w:vAlign w:val="center"/>
                </w:tcPr>
                <w:p w14:paraId="17F50AD7">
                  <w:pPr>
                    <w:keepLines w:val="0"/>
                    <w:pageBreakBefore w:val="0"/>
                    <w:topLinePunct w:val="0"/>
                    <w:bidi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絮料</w:t>
                  </w:r>
                </w:p>
              </w:tc>
              <w:tc>
                <w:tcPr>
                  <w:tcW w:w="1591" w:type="dxa"/>
                  <w:tcBorders>
                    <w:top w:val="single" w:color="auto" w:sz="12" w:space="0"/>
                    <w:bottom w:val="single" w:color="auto" w:sz="12" w:space="0"/>
                  </w:tcBorders>
                  <w:noWrap w:val="0"/>
                  <w:vAlign w:val="center"/>
                </w:tcPr>
                <w:p w14:paraId="66CEFA76">
                  <w:pPr>
                    <w:keepLines w:val="0"/>
                    <w:pageBreakBefore w:val="0"/>
                    <w:topLinePunct w:val="0"/>
                    <w:bidi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被胎总重量</w:t>
                  </w:r>
                </w:p>
              </w:tc>
              <w:tc>
                <w:tcPr>
                  <w:tcW w:w="2931" w:type="dxa"/>
                  <w:tcBorders>
                    <w:top w:val="single" w:color="auto" w:sz="12" w:space="0"/>
                    <w:bottom w:val="single" w:color="auto" w:sz="12" w:space="0"/>
                    <w:right w:val="single" w:color="auto" w:sz="12" w:space="0"/>
                  </w:tcBorders>
                  <w:noWrap w:val="0"/>
                  <w:vAlign w:val="center"/>
                </w:tcPr>
                <w:p w14:paraId="29B4C6B0">
                  <w:pPr>
                    <w:keepLines w:val="0"/>
                    <w:pageBreakBefore w:val="0"/>
                    <w:topLinePunct w:val="0"/>
                    <w:bidi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允许偏差</w:t>
                  </w:r>
                </w:p>
              </w:tc>
            </w:tr>
            <w:tr w14:paraId="7E07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1796" w:type="dxa"/>
                  <w:tcBorders>
                    <w:top w:val="single" w:color="auto" w:sz="8" w:space="0"/>
                    <w:left w:val="single" w:color="auto" w:sz="12" w:space="0"/>
                    <w:bottom w:val="single" w:color="auto" w:sz="12" w:space="0"/>
                    <w:right w:val="single" w:color="auto" w:sz="4" w:space="0"/>
                  </w:tcBorders>
                  <w:noWrap w:val="0"/>
                  <w:vAlign w:val="center"/>
                </w:tcPr>
                <w:p w14:paraId="222345F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棉胎</w:t>
                  </w:r>
                </w:p>
              </w:tc>
              <w:tc>
                <w:tcPr>
                  <w:tcW w:w="1591" w:type="dxa"/>
                  <w:tcBorders>
                    <w:top w:val="single" w:color="auto" w:sz="6" w:space="0"/>
                    <w:left w:val="single" w:color="auto" w:sz="4" w:space="0"/>
                    <w:bottom w:val="single" w:color="auto" w:sz="12" w:space="0"/>
                    <w:right w:val="single" w:color="auto" w:sz="4" w:space="0"/>
                  </w:tcBorders>
                  <w:noWrap w:val="0"/>
                  <w:vAlign w:val="center"/>
                </w:tcPr>
                <w:p w14:paraId="0007FAF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3000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g</w:t>
                  </w:r>
                </w:p>
              </w:tc>
              <w:tc>
                <w:tcPr>
                  <w:tcW w:w="2931" w:type="dxa"/>
                  <w:tcBorders>
                    <w:top w:val="single" w:color="auto" w:sz="8" w:space="0"/>
                    <w:left w:val="single" w:color="auto" w:sz="4" w:space="0"/>
                    <w:bottom w:val="single" w:color="auto" w:sz="12" w:space="0"/>
                    <w:right w:val="single" w:color="auto" w:sz="12" w:space="0"/>
                  </w:tcBorders>
                  <w:noWrap w:val="0"/>
                  <w:vAlign w:val="center"/>
                </w:tcPr>
                <w:p w14:paraId="70439F1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不允许负偏差</w:t>
                  </w:r>
                </w:p>
              </w:tc>
            </w:tr>
          </w:tbl>
          <w:p w14:paraId="1EFAEAF4">
            <w:pPr>
              <w:keepNext w:val="0"/>
              <w:keepLines w:val="0"/>
              <w:pageBreakBefore w:val="0"/>
              <w:widowControl/>
              <w:numPr>
                <w:ilvl w:val="2"/>
                <w:numId w:val="23"/>
              </w:numPr>
              <w:kinsoku/>
              <w:wordWrap/>
              <w:overflowPunct/>
              <w:topLinePunct w:val="0"/>
              <w:autoSpaceDE/>
              <w:autoSpaceDN/>
              <w:bidi w:val="0"/>
              <w:adjustRightInd/>
              <w:snapToGrid/>
              <w:spacing w:before="313" w:beforeLines="100" w:line="240" w:lineRule="auto"/>
              <w:ind w:left="420" w:leftChars="200" w:firstLine="0" w:firstLineChars="0"/>
              <w:textAlignment w:val="auto"/>
              <w:outlineLvl w:val="6"/>
              <w:rPr>
                <w:rFonts w:hint="eastAsia" w:ascii="宋体" w:hAnsi="宋体" w:eastAsia="宋体" w:cs="宋体"/>
                <w:kern w:val="0"/>
                <w:sz w:val="21"/>
                <w:szCs w:val="21"/>
              </w:rPr>
            </w:pPr>
            <w:r>
              <w:rPr>
                <w:rFonts w:hint="eastAsia" w:ascii="宋体" w:hAnsi="宋体" w:eastAsia="宋体" w:cs="宋体"/>
                <w:kern w:val="0"/>
                <w:sz w:val="21"/>
                <w:szCs w:val="21"/>
              </w:rPr>
              <w:t>绗缝被胎外观平展均匀、手感柔软蓬松、不得有杂物、板结、深色油污等。</w:t>
            </w:r>
          </w:p>
          <w:p w14:paraId="34DAE75B">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bookmarkStart w:id="368" w:name="_Toc236732780"/>
            <w:bookmarkStart w:id="369" w:name="_Toc237327395"/>
            <w:bookmarkStart w:id="370" w:name="_Toc367025579"/>
            <w:bookmarkStart w:id="371" w:name="_Toc236717426"/>
            <w:r>
              <w:rPr>
                <w:rFonts w:hint="eastAsia" w:ascii="方正黑体_GBK" w:hAnsi="方正黑体_GBK" w:eastAsia="方正黑体_GBK" w:cs="方正黑体_GBK"/>
                <w:kern w:val="21"/>
                <w:sz w:val="21"/>
                <w:szCs w:val="21"/>
              </w:rPr>
              <w:t>缝制</w:t>
            </w:r>
            <w:bookmarkEnd w:id="368"/>
            <w:bookmarkEnd w:id="369"/>
            <w:bookmarkEnd w:id="370"/>
            <w:bookmarkEnd w:id="371"/>
          </w:p>
          <w:p w14:paraId="64F9D95E">
            <w:pPr>
              <w:keepNext w:val="0"/>
              <w:keepLines w:val="0"/>
              <w:pageBreakBefore w:val="0"/>
              <w:kinsoku/>
              <w:wordWrap/>
              <w:overflowPunct/>
              <w:topLinePunct w:val="0"/>
              <w:autoSpaceDE/>
              <w:autoSpaceDN/>
              <w:bidi w:val="0"/>
              <w:adjustRightInd/>
              <w:snapToGrid/>
              <w:spacing w:line="240" w:lineRule="auto"/>
              <w:ind w:left="420" w:leftChars="200" w:firstLine="420" w:firstLineChars="200"/>
              <w:jc w:val="left"/>
              <w:textAlignment w:val="auto"/>
              <w:rPr>
                <w:rFonts w:hint="eastAsia" w:ascii="宋体" w:hAnsi="宋体" w:eastAsia="宋体" w:cs="宋体"/>
                <w:kern w:val="21"/>
                <w:sz w:val="21"/>
                <w:szCs w:val="21"/>
              </w:rPr>
            </w:pPr>
            <w:r>
              <w:rPr>
                <w:rFonts w:hint="eastAsia" w:ascii="宋体" w:hAnsi="宋体" w:eastAsia="宋体" w:cs="宋体"/>
                <w:kern w:val="21"/>
                <w:sz w:val="21"/>
                <w:szCs w:val="21"/>
              </w:rPr>
              <w:t>缝纫针距密度：棉被面、里接合缝纫及被里拼接11</w:t>
            </w:r>
            <w:r>
              <w:rPr>
                <w:rFonts w:hint="eastAsia" w:ascii="宋体" w:hAnsi="宋体" w:eastAsia="宋体" w:cs="宋体"/>
                <w:color w:val="auto"/>
                <w:kern w:val="21"/>
                <w:sz w:val="21"/>
                <w:szCs w:val="21"/>
                <w:lang w:eastAsia="zh-CN"/>
              </w:rPr>
              <w:t>针</w:t>
            </w:r>
            <w:r>
              <w:rPr>
                <w:rFonts w:hint="default" w:ascii="宋体" w:hAnsi="宋体" w:eastAsia="宋体" w:cs="宋体"/>
                <w:color w:val="auto"/>
                <w:kern w:val="21"/>
                <w:sz w:val="21"/>
                <w:szCs w:val="21"/>
                <w:lang w:val="en"/>
              </w:rPr>
              <w:t>/</w:t>
            </w:r>
            <w:r>
              <w:rPr>
                <w:rFonts w:hint="eastAsia" w:ascii="宋体" w:hAnsi="宋体" w:eastAsia="宋体" w:cs="宋体"/>
                <w:kern w:val="21"/>
                <w:sz w:val="21"/>
                <w:szCs w:val="21"/>
              </w:rPr>
              <w:t>3</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cm</w:t>
            </w:r>
            <w:r>
              <w:rPr>
                <w:rFonts w:hint="default" w:ascii="宋体" w:hAnsi="宋体" w:eastAsia="宋体" w:cs="宋体"/>
                <w:kern w:val="21"/>
                <w:sz w:val="21"/>
                <w:szCs w:val="21"/>
                <w:lang w:val="en"/>
              </w:rPr>
              <w:t>-</w:t>
            </w:r>
            <w:r>
              <w:rPr>
                <w:rFonts w:hint="eastAsia" w:ascii="宋体" w:hAnsi="宋体" w:eastAsia="宋体" w:cs="宋体"/>
                <w:kern w:val="21"/>
                <w:sz w:val="21"/>
                <w:szCs w:val="21"/>
              </w:rPr>
              <w:t>13针/3</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cm。被套短边封口端为3#尼龙拉链方式或系带方式。拉链方式封口要居中绱长度不低于100</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cm尼龙拉链；系带方式开口不低于100</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cm，至少三组系带，带长15</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cm。</w:t>
            </w:r>
          </w:p>
          <w:p w14:paraId="0B1E28FE">
            <w:pPr>
              <w:keepNext w:val="0"/>
              <w:keepLines w:val="0"/>
              <w:pageBreakBefore w:val="0"/>
              <w:kinsoku/>
              <w:wordWrap/>
              <w:overflowPunct/>
              <w:topLinePunct w:val="0"/>
              <w:autoSpaceDE/>
              <w:autoSpaceDN/>
              <w:bidi w:val="0"/>
              <w:adjustRightInd/>
              <w:snapToGrid/>
              <w:spacing w:line="240" w:lineRule="auto"/>
              <w:ind w:left="420" w:leftChars="200" w:firstLine="420" w:firstLineChars="200"/>
              <w:jc w:val="left"/>
              <w:textAlignment w:val="auto"/>
              <w:rPr>
                <w:rFonts w:hint="eastAsia" w:ascii="宋体" w:hAnsi="宋体" w:eastAsia="宋体" w:cs="宋体"/>
                <w:kern w:val="21"/>
                <w:sz w:val="21"/>
                <w:szCs w:val="21"/>
              </w:rPr>
            </w:pPr>
            <w:r>
              <w:rPr>
                <w:rFonts w:hint="eastAsia" w:ascii="宋体" w:hAnsi="宋体" w:eastAsia="宋体" w:cs="宋体"/>
                <w:kern w:val="21"/>
                <w:sz w:val="21"/>
                <w:szCs w:val="21"/>
              </w:rPr>
              <w:t>被套和被胎成品的绗缝质量按照GB/T22796成品的工艺质量要求，绗缝花型适宜。</w:t>
            </w:r>
          </w:p>
          <w:p w14:paraId="28833BA2">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bookmarkStart w:id="372" w:name="_Toc237327396"/>
            <w:bookmarkStart w:id="373" w:name="_Toc236732781"/>
            <w:bookmarkStart w:id="374" w:name="_Toc367025580"/>
            <w:bookmarkStart w:id="375" w:name="_Toc236717427"/>
            <w:r>
              <w:rPr>
                <w:rFonts w:hint="eastAsia" w:ascii="方正黑体_GBK" w:hAnsi="方正黑体_GBK" w:eastAsia="方正黑体_GBK" w:cs="方正黑体_GBK"/>
                <w:kern w:val="21"/>
                <w:sz w:val="21"/>
                <w:szCs w:val="21"/>
              </w:rPr>
              <w:t>外观质量</w:t>
            </w:r>
            <w:bookmarkEnd w:id="372"/>
            <w:bookmarkEnd w:id="373"/>
            <w:bookmarkEnd w:id="374"/>
            <w:bookmarkEnd w:id="375"/>
          </w:p>
          <w:p w14:paraId="233BD91D">
            <w:pPr>
              <w:keepNext w:val="0"/>
              <w:keepLines w:val="0"/>
              <w:pageBreakBefore w:val="0"/>
              <w:kinsoku/>
              <w:wordWrap/>
              <w:overflowPunct/>
              <w:topLinePunct w:val="0"/>
              <w:autoSpaceDE/>
              <w:autoSpaceDN/>
              <w:bidi w:val="0"/>
              <w:adjustRightInd/>
              <w:snapToGrid/>
              <w:spacing w:line="240" w:lineRule="auto"/>
              <w:ind w:left="420" w:leftChars="200" w:firstLine="420" w:firstLineChars="200"/>
              <w:jc w:val="left"/>
              <w:textAlignment w:val="auto"/>
              <w:rPr>
                <w:rFonts w:hint="eastAsia" w:ascii="宋体" w:hAnsi="宋体" w:eastAsia="宋体" w:cs="宋体"/>
                <w:kern w:val="21"/>
                <w:sz w:val="21"/>
                <w:szCs w:val="21"/>
              </w:rPr>
            </w:pPr>
            <w:r>
              <w:rPr>
                <w:rFonts w:hint="eastAsia" w:ascii="宋体" w:hAnsi="宋体" w:eastAsia="宋体" w:cs="宋体"/>
                <w:kern w:val="21"/>
                <w:sz w:val="21"/>
                <w:szCs w:val="21"/>
              </w:rPr>
              <w:t>产品整洁美观，面、胎吻合，四边平直，四角方正，线路顺直，缝合牢固。不得有开线、断线、出套等缺陷。</w:t>
            </w:r>
          </w:p>
          <w:p w14:paraId="57A815F3">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内在质量规定</w:t>
            </w:r>
          </w:p>
          <w:p w14:paraId="7F213921">
            <w:pPr>
              <w:keepNext w:val="0"/>
              <w:keepLines w:val="0"/>
              <w:pageBreakBefore w:val="0"/>
              <w:kinsoku/>
              <w:wordWrap/>
              <w:overflowPunct/>
              <w:topLinePunct w:val="0"/>
              <w:autoSpaceDE/>
              <w:autoSpaceDN/>
              <w:bidi w:val="0"/>
              <w:adjustRightInd/>
              <w:snapToGrid/>
              <w:spacing w:line="240" w:lineRule="auto"/>
              <w:ind w:left="420" w:leftChars="200" w:firstLine="420" w:firstLineChars="200"/>
              <w:jc w:val="left"/>
              <w:textAlignment w:val="auto"/>
              <w:rPr>
                <w:rFonts w:hint="eastAsia" w:ascii="宋体" w:hAnsi="宋体" w:eastAsia="宋体" w:cs="宋体"/>
                <w:kern w:val="21"/>
                <w:sz w:val="21"/>
                <w:szCs w:val="21"/>
              </w:rPr>
            </w:pPr>
            <w:r>
              <w:rPr>
                <w:rFonts w:hint="eastAsia" w:ascii="宋体" w:hAnsi="宋体" w:eastAsia="宋体" w:cs="宋体"/>
                <w:kern w:val="21"/>
                <w:sz w:val="21"/>
                <w:szCs w:val="21"/>
              </w:rPr>
              <w:t>成品以及主要材料应符合GB18401 B类、GB18383等国家强制性标准的规定，同时应符合表4的要求。</w:t>
            </w:r>
          </w:p>
          <w:p w14:paraId="599E1376">
            <w:pPr>
              <w:keepNext w:val="0"/>
              <w:keepLines w:val="0"/>
              <w:pageBreakBefore w:val="0"/>
              <w:widowControl/>
              <w:numPr>
                <w:ilvl w:val="0"/>
                <w:numId w:val="23"/>
              </w:numPr>
              <w:kinsoku/>
              <w:wordWrap/>
              <w:overflowPunct/>
              <w:topLinePunct w:val="0"/>
              <w:autoSpaceDE/>
              <w:autoSpaceDN/>
              <w:bidi w:val="0"/>
              <w:adjustRightInd w:val="0"/>
              <w:snapToGrid w:val="0"/>
              <w:spacing w:before="157" w:beforeLines="50" w:after="157" w:afterLines="50" w:line="240" w:lineRule="auto"/>
              <w:ind w:left="0" w:leftChars="0" w:firstLine="0" w:firstLineChars="0"/>
              <w:textAlignment w:val="auto"/>
              <w:outlineLvl w:val="4"/>
              <w:rPr>
                <w:rFonts w:hint="eastAsia" w:ascii="宋体" w:hAnsi="宋体" w:eastAsia="宋体" w:cs="宋体"/>
                <w:color w:val="000000"/>
                <w:kern w:val="0"/>
                <w:sz w:val="21"/>
                <w:szCs w:val="21"/>
              </w:rPr>
            </w:pPr>
            <w:bookmarkStart w:id="376" w:name="_Toc236732782"/>
            <w:bookmarkStart w:id="377" w:name="_Toc237327397"/>
            <w:bookmarkStart w:id="378" w:name="_Toc236717428"/>
            <w:bookmarkStart w:id="379" w:name="_Toc367025581"/>
            <w:r>
              <w:rPr>
                <w:rFonts w:hint="eastAsia" w:ascii="方正黑体_GBK" w:hAnsi="方正黑体_GBK" w:eastAsia="方正黑体_GBK" w:cs="方正黑体_GBK"/>
                <w:color w:val="000000"/>
                <w:kern w:val="0"/>
                <w:sz w:val="21"/>
                <w:szCs w:val="21"/>
              </w:rPr>
              <w:t>试验方法</w:t>
            </w:r>
            <w:bookmarkEnd w:id="376"/>
            <w:bookmarkEnd w:id="377"/>
            <w:bookmarkEnd w:id="378"/>
            <w:bookmarkEnd w:id="379"/>
          </w:p>
          <w:p w14:paraId="004A6A2D">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bookmarkStart w:id="380" w:name="_Toc236732783"/>
            <w:bookmarkStart w:id="381" w:name="_Toc367025582"/>
            <w:bookmarkStart w:id="382" w:name="_Toc237327398"/>
            <w:bookmarkStart w:id="383" w:name="_Toc236717429"/>
            <w:r>
              <w:rPr>
                <w:rFonts w:hint="eastAsia" w:ascii="方正黑体_GBK" w:hAnsi="方正黑体_GBK" w:eastAsia="方正黑体_GBK" w:cs="方正黑体_GBK"/>
                <w:kern w:val="21"/>
                <w:sz w:val="21"/>
                <w:szCs w:val="21"/>
              </w:rPr>
              <w:t>外观和缝制质量检验</w:t>
            </w:r>
            <w:bookmarkEnd w:id="380"/>
            <w:bookmarkEnd w:id="381"/>
            <w:bookmarkEnd w:id="382"/>
            <w:bookmarkEnd w:id="383"/>
          </w:p>
          <w:p w14:paraId="5E7C37DF">
            <w:pPr>
              <w:keepNext w:val="0"/>
              <w:keepLines w:val="0"/>
              <w:pageBreakBefore w:val="0"/>
              <w:widowControl w:val="0"/>
              <w:kinsoku/>
              <w:wordWrap/>
              <w:overflowPunct/>
              <w:topLinePunct w:val="0"/>
              <w:autoSpaceDE/>
              <w:autoSpaceDN/>
              <w:bidi w:val="0"/>
              <w:adjustRightInd/>
              <w:snapToGrid/>
              <w:spacing w:line="240" w:lineRule="auto"/>
              <w:ind w:left="420" w:leftChars="200"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kern w:val="21"/>
                <w:sz w:val="21"/>
                <w:szCs w:val="21"/>
              </w:rPr>
              <w:t>外观质量检验应在检验台面照度均匀，且不低于600 lx的条件下，以目测和手感方法进行。</w:t>
            </w:r>
          </w:p>
          <w:p w14:paraId="657462BA">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bookmarkStart w:id="384" w:name="_Toc237327399"/>
            <w:bookmarkStart w:id="385" w:name="_Toc236717430"/>
            <w:bookmarkStart w:id="386" w:name="_Toc236732784"/>
            <w:bookmarkStart w:id="387" w:name="_Toc367025583"/>
            <w:r>
              <w:rPr>
                <w:rFonts w:hint="eastAsia" w:ascii="方正黑体_GBK" w:hAnsi="方正黑体_GBK" w:eastAsia="方正黑体_GBK" w:cs="方正黑体_GBK"/>
                <w:kern w:val="21"/>
                <w:sz w:val="21"/>
                <w:szCs w:val="21"/>
              </w:rPr>
              <w:t>成品尺寸检验</w:t>
            </w:r>
            <w:bookmarkEnd w:id="384"/>
            <w:bookmarkEnd w:id="385"/>
            <w:bookmarkEnd w:id="386"/>
            <w:bookmarkEnd w:id="387"/>
          </w:p>
          <w:p w14:paraId="09949C2F">
            <w:pPr>
              <w:keepNext w:val="0"/>
              <w:keepLines w:val="0"/>
              <w:pageBreakBefore w:val="0"/>
              <w:widowControl w:val="0"/>
              <w:kinsoku/>
              <w:wordWrap/>
              <w:overflowPunct/>
              <w:topLinePunct w:val="0"/>
              <w:autoSpaceDE/>
              <w:autoSpaceDN/>
              <w:bidi w:val="0"/>
              <w:adjustRightInd/>
              <w:snapToGrid/>
              <w:spacing w:line="240" w:lineRule="auto"/>
              <w:ind w:left="420" w:leftChars="200"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将产品平摊在水平检验台上，轻轻理平呈自然伸直状态，各部位的成品尺寸按3.2的规定，用精度为1mm的钢尺在产品长、宽方向各1/4、3/4处测定，精确至1mm。</w:t>
            </w:r>
          </w:p>
          <w:p w14:paraId="2E3394CC">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bookmarkStart w:id="388" w:name="_Toc237327400"/>
            <w:bookmarkStart w:id="389" w:name="_Toc236717431"/>
            <w:bookmarkStart w:id="390" w:name="_Toc367025584"/>
            <w:bookmarkStart w:id="391" w:name="_Toc236732785"/>
            <w:r>
              <w:rPr>
                <w:rFonts w:hint="eastAsia" w:ascii="方正黑体_GBK" w:hAnsi="方正黑体_GBK" w:eastAsia="方正黑体_GBK" w:cs="方正黑体_GBK"/>
                <w:kern w:val="21"/>
                <w:sz w:val="21"/>
                <w:szCs w:val="21"/>
              </w:rPr>
              <w:t>颜色和色差检验</w:t>
            </w:r>
            <w:bookmarkEnd w:id="388"/>
            <w:bookmarkEnd w:id="389"/>
            <w:bookmarkEnd w:id="390"/>
            <w:bookmarkEnd w:id="391"/>
          </w:p>
          <w:p w14:paraId="094AF4FB">
            <w:pPr>
              <w:keepNext w:val="0"/>
              <w:keepLines w:val="0"/>
              <w:pageBreakBefore w:val="0"/>
              <w:widowControl w:val="0"/>
              <w:kinsoku/>
              <w:wordWrap/>
              <w:overflowPunct/>
              <w:topLinePunct w:val="0"/>
              <w:autoSpaceDE/>
              <w:autoSpaceDN/>
              <w:bidi w:val="0"/>
              <w:adjustRightInd/>
              <w:snapToGrid/>
              <w:spacing w:line="240" w:lineRule="auto"/>
              <w:ind w:left="420" w:leftChars="200" w:firstLine="420" w:firstLineChars="200"/>
              <w:textAlignment w:val="auto"/>
              <w:rPr>
                <w:rFonts w:hint="eastAsia" w:ascii="宋体" w:hAnsi="宋体" w:eastAsia="宋体" w:cs="宋体"/>
                <w:color w:val="000000"/>
                <w:kern w:val="21"/>
                <w:sz w:val="21"/>
                <w:szCs w:val="21"/>
              </w:rPr>
            </w:pPr>
            <w:r>
              <w:rPr>
                <w:rFonts w:hint="eastAsia" w:ascii="宋体" w:hAnsi="宋体" w:eastAsia="宋体" w:cs="宋体"/>
                <w:color w:val="000000"/>
                <w:kern w:val="21"/>
                <w:sz w:val="21"/>
                <w:szCs w:val="21"/>
              </w:rPr>
              <w:t>棉被颜色检验应目测方法进行，色差应按</w:t>
            </w:r>
            <w:r>
              <w:rPr>
                <w:rFonts w:hint="eastAsia" w:ascii="宋体" w:hAnsi="宋体" w:eastAsia="宋体" w:cs="宋体"/>
                <w:kern w:val="21"/>
                <w:sz w:val="21"/>
                <w:szCs w:val="21"/>
              </w:rPr>
              <w:t>GB/T 250的规定进行</w:t>
            </w:r>
            <w:r>
              <w:rPr>
                <w:rFonts w:hint="eastAsia" w:ascii="宋体" w:hAnsi="宋体" w:eastAsia="宋体" w:cs="宋体"/>
                <w:color w:val="000000"/>
                <w:kern w:val="21"/>
                <w:sz w:val="21"/>
                <w:szCs w:val="21"/>
              </w:rPr>
              <w:t>评定。</w:t>
            </w:r>
          </w:p>
          <w:p w14:paraId="7CA5D2E8">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被胎重量检验</w:t>
            </w:r>
          </w:p>
          <w:p w14:paraId="5885D4C1">
            <w:pPr>
              <w:keepNext w:val="0"/>
              <w:keepLines w:val="0"/>
              <w:pageBreakBefore w:val="0"/>
              <w:widowControl w:val="0"/>
              <w:kinsoku/>
              <w:wordWrap/>
              <w:overflowPunct/>
              <w:topLinePunct w:val="0"/>
              <w:autoSpaceDE/>
              <w:autoSpaceDN/>
              <w:bidi w:val="0"/>
              <w:adjustRightInd/>
              <w:snapToGrid/>
              <w:spacing w:line="240" w:lineRule="auto"/>
              <w:ind w:left="420" w:leftChars="20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被胎重量检验应采用量程合适的天平进行称重检测。</w:t>
            </w:r>
          </w:p>
          <w:p w14:paraId="02231B04">
            <w:pPr>
              <w:keepNext w:val="0"/>
              <w:keepLines w:val="0"/>
              <w:pageBreakBefore w:val="0"/>
              <w:widowControl/>
              <w:numPr>
                <w:ilvl w:val="1"/>
                <w:numId w:val="23"/>
              </w:numPr>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bookmarkStart w:id="392" w:name="_Toc236717432"/>
            <w:bookmarkStart w:id="393" w:name="_Toc367025585"/>
            <w:bookmarkStart w:id="394" w:name="_Toc236732786"/>
            <w:bookmarkStart w:id="395" w:name="_Toc237327401"/>
            <w:r>
              <w:rPr>
                <w:rFonts w:hint="eastAsia" w:ascii="方正黑体_GBK" w:hAnsi="方正黑体_GBK" w:eastAsia="方正黑体_GBK" w:cs="方正黑体_GBK"/>
                <w:kern w:val="21"/>
                <w:sz w:val="21"/>
                <w:szCs w:val="21"/>
              </w:rPr>
              <w:t>成品理化性能检验</w:t>
            </w:r>
            <w:bookmarkEnd w:id="392"/>
            <w:bookmarkEnd w:id="393"/>
            <w:bookmarkEnd w:id="394"/>
            <w:bookmarkEnd w:id="395"/>
          </w:p>
          <w:p w14:paraId="639378F5">
            <w:pPr>
              <w:keepNext w:val="0"/>
              <w:keepLines w:val="0"/>
              <w:pageBreakBefore w:val="0"/>
              <w:widowControl w:val="0"/>
              <w:kinsoku/>
              <w:wordWrap/>
              <w:overflowPunct/>
              <w:topLinePunct w:val="0"/>
              <w:autoSpaceDE/>
              <w:autoSpaceDN/>
              <w:bidi w:val="0"/>
              <w:adjustRightInd/>
              <w:snapToGrid/>
              <w:spacing w:line="240" w:lineRule="auto"/>
              <w:ind w:left="420" w:leftChars="20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按表4中列出的检测方法。</w:t>
            </w:r>
          </w:p>
          <w:p w14:paraId="2DAD8DF5">
            <w:pPr>
              <w:keepLines w:val="0"/>
              <w:pageBreakBefore w:val="0"/>
              <w:widowControl/>
              <w:topLinePunct w:val="0"/>
              <w:bidi w:val="0"/>
              <w:spacing w:line="240" w:lineRule="auto"/>
              <w:jc w:val="center"/>
              <w:rPr>
                <w:rFonts w:hint="eastAsia" w:ascii="方正小标宋简体" w:hAnsi="方正小标宋简体" w:eastAsia="方正小标宋简体" w:cs="方正小标宋简体"/>
                <w:kern w:val="0"/>
                <w:sz w:val="21"/>
                <w:szCs w:val="21"/>
              </w:rPr>
            </w:pPr>
            <w:r>
              <w:rPr>
                <w:rFonts w:hint="eastAsia" w:ascii="方正小标宋简体" w:hAnsi="方正小标宋简体" w:eastAsia="方正小标宋简体" w:cs="方正小标宋简体"/>
                <w:kern w:val="0"/>
                <w:sz w:val="21"/>
                <w:szCs w:val="21"/>
              </w:rPr>
              <w:t>表4  成品和材料性能检验</w:t>
            </w:r>
          </w:p>
          <w:tbl>
            <w:tblPr>
              <w:tblStyle w:val="58"/>
              <w:tblW w:w="6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67"/>
              <w:gridCol w:w="1732"/>
              <w:gridCol w:w="682"/>
              <w:gridCol w:w="1078"/>
              <w:gridCol w:w="1642"/>
            </w:tblGrid>
            <w:tr w14:paraId="41CD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657" w:type="dxa"/>
                  <w:tcBorders>
                    <w:top w:val="single" w:color="auto" w:sz="12" w:space="0"/>
                    <w:left w:val="single" w:color="auto" w:sz="12" w:space="0"/>
                    <w:bottom w:val="single" w:color="auto" w:sz="12" w:space="0"/>
                    <w:right w:val="single" w:color="auto" w:sz="4" w:space="0"/>
                  </w:tcBorders>
                  <w:noWrap w:val="0"/>
                  <w:vAlign w:val="center"/>
                </w:tcPr>
                <w:p w14:paraId="1B85D260">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序号</w:t>
                  </w:r>
                </w:p>
              </w:tc>
              <w:tc>
                <w:tcPr>
                  <w:tcW w:w="767" w:type="dxa"/>
                  <w:tcBorders>
                    <w:top w:val="single" w:color="auto" w:sz="12" w:space="0"/>
                    <w:left w:val="single" w:color="auto" w:sz="4" w:space="0"/>
                    <w:bottom w:val="single" w:color="auto" w:sz="12" w:space="0"/>
                  </w:tcBorders>
                  <w:noWrap w:val="0"/>
                  <w:vAlign w:val="center"/>
                </w:tcPr>
                <w:p w14:paraId="0F12A2F6">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部件</w:t>
                  </w:r>
                </w:p>
              </w:tc>
              <w:tc>
                <w:tcPr>
                  <w:tcW w:w="2414" w:type="dxa"/>
                  <w:gridSpan w:val="2"/>
                  <w:tcBorders>
                    <w:top w:val="single" w:color="auto" w:sz="12" w:space="0"/>
                    <w:bottom w:val="single" w:color="auto" w:sz="12" w:space="0"/>
                  </w:tcBorders>
                  <w:noWrap w:val="0"/>
                  <w:vAlign w:val="center"/>
                </w:tcPr>
                <w:p w14:paraId="71D70C92">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项目</w:t>
                  </w:r>
                </w:p>
              </w:tc>
              <w:tc>
                <w:tcPr>
                  <w:tcW w:w="1078" w:type="dxa"/>
                  <w:tcBorders>
                    <w:top w:val="single" w:color="auto" w:sz="12" w:space="0"/>
                    <w:bottom w:val="single" w:color="auto" w:sz="12" w:space="0"/>
                  </w:tcBorders>
                  <w:noWrap w:val="0"/>
                  <w:vAlign w:val="center"/>
                </w:tcPr>
                <w:p w14:paraId="34783379">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标准要求</w:t>
                  </w:r>
                </w:p>
              </w:tc>
              <w:tc>
                <w:tcPr>
                  <w:tcW w:w="1642" w:type="dxa"/>
                  <w:tcBorders>
                    <w:top w:val="single" w:color="auto" w:sz="12" w:space="0"/>
                    <w:bottom w:val="single" w:color="auto" w:sz="12" w:space="0"/>
                    <w:right w:val="single" w:color="auto" w:sz="12" w:space="0"/>
                  </w:tcBorders>
                  <w:noWrap w:val="0"/>
                  <w:vAlign w:val="center"/>
                </w:tcPr>
                <w:p w14:paraId="3C267A86">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检测方法</w:t>
                  </w:r>
                </w:p>
              </w:tc>
            </w:tr>
            <w:tr w14:paraId="65A8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57" w:type="dxa"/>
                  <w:tcBorders>
                    <w:top w:val="single" w:color="auto" w:sz="6" w:space="0"/>
                    <w:left w:val="single" w:color="auto" w:sz="12" w:space="0"/>
                    <w:bottom w:val="single" w:color="auto" w:sz="6" w:space="0"/>
                    <w:right w:val="single" w:color="auto" w:sz="4" w:space="0"/>
                  </w:tcBorders>
                  <w:noWrap w:val="0"/>
                  <w:vAlign w:val="center"/>
                </w:tcPr>
                <w:p w14:paraId="49D803D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767" w:type="dxa"/>
                  <w:vMerge w:val="restart"/>
                  <w:tcBorders>
                    <w:top w:val="single" w:color="auto" w:sz="6" w:space="0"/>
                    <w:left w:val="single" w:color="auto" w:sz="4" w:space="0"/>
                  </w:tcBorders>
                  <w:noWrap w:val="0"/>
                  <w:vAlign w:val="center"/>
                </w:tcPr>
                <w:p w14:paraId="60D680B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成品</w:t>
                  </w:r>
                </w:p>
              </w:tc>
              <w:tc>
                <w:tcPr>
                  <w:tcW w:w="2414" w:type="dxa"/>
                  <w:gridSpan w:val="2"/>
                  <w:tcBorders>
                    <w:top w:val="single" w:color="auto" w:sz="6" w:space="0"/>
                    <w:bottom w:val="single" w:color="auto" w:sz="6" w:space="0"/>
                  </w:tcBorders>
                  <w:noWrap w:val="0"/>
                  <w:vAlign w:val="top"/>
                </w:tcPr>
                <w:p w14:paraId="1961483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被胎重量，g</w:t>
                  </w:r>
                </w:p>
              </w:tc>
              <w:tc>
                <w:tcPr>
                  <w:tcW w:w="1078" w:type="dxa"/>
                  <w:tcBorders>
                    <w:top w:val="single" w:color="auto" w:sz="6" w:space="0"/>
                    <w:bottom w:val="single" w:color="auto" w:sz="6" w:space="0"/>
                  </w:tcBorders>
                  <w:noWrap w:val="0"/>
                  <w:vAlign w:val="top"/>
                </w:tcPr>
                <w:p w14:paraId="68F87C3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表3规定</w:t>
                  </w:r>
                </w:p>
              </w:tc>
              <w:tc>
                <w:tcPr>
                  <w:tcW w:w="1642" w:type="dxa"/>
                  <w:tcBorders>
                    <w:top w:val="single" w:color="auto" w:sz="6" w:space="0"/>
                    <w:bottom w:val="single" w:color="auto" w:sz="6" w:space="0"/>
                    <w:right w:val="single" w:color="auto" w:sz="12" w:space="0"/>
                  </w:tcBorders>
                  <w:noWrap w:val="0"/>
                  <w:vAlign w:val="center"/>
                </w:tcPr>
                <w:p w14:paraId="49AE2C8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22796</w:t>
                  </w:r>
                </w:p>
              </w:tc>
            </w:tr>
            <w:tr w14:paraId="39C2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57" w:type="dxa"/>
                  <w:tcBorders>
                    <w:top w:val="single" w:color="auto" w:sz="6" w:space="0"/>
                    <w:left w:val="single" w:color="auto" w:sz="12" w:space="0"/>
                    <w:bottom w:val="single" w:color="auto" w:sz="6" w:space="0"/>
                    <w:right w:val="single" w:color="auto" w:sz="4" w:space="0"/>
                  </w:tcBorders>
                  <w:noWrap w:val="0"/>
                  <w:vAlign w:val="center"/>
                </w:tcPr>
                <w:p w14:paraId="4A4C9BA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767" w:type="dxa"/>
                  <w:vMerge w:val="continue"/>
                  <w:tcBorders>
                    <w:left w:val="single" w:color="auto" w:sz="4" w:space="0"/>
                  </w:tcBorders>
                  <w:noWrap w:val="0"/>
                  <w:vAlign w:val="top"/>
                </w:tcPr>
                <w:p w14:paraId="686E943C">
                  <w:pPr>
                    <w:widowControl/>
                    <w:jc w:val="center"/>
                    <w:rPr>
                      <w:rFonts w:hint="eastAsia" w:ascii="宋体" w:hAnsi="宋体" w:eastAsia="宋体" w:cs="宋体"/>
                      <w:color w:val="000000"/>
                      <w:sz w:val="18"/>
                      <w:szCs w:val="18"/>
                    </w:rPr>
                  </w:pPr>
                </w:p>
              </w:tc>
              <w:tc>
                <w:tcPr>
                  <w:tcW w:w="2414" w:type="dxa"/>
                  <w:gridSpan w:val="2"/>
                  <w:tcBorders>
                    <w:top w:val="single" w:color="auto" w:sz="6" w:space="0"/>
                    <w:bottom w:val="single" w:color="auto" w:sz="6" w:space="0"/>
                  </w:tcBorders>
                  <w:noWrap w:val="0"/>
                  <w:vAlign w:val="top"/>
                </w:tcPr>
                <w:p w14:paraId="707010F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成品规格，cm</w:t>
                  </w:r>
                </w:p>
              </w:tc>
              <w:tc>
                <w:tcPr>
                  <w:tcW w:w="1078" w:type="dxa"/>
                  <w:tcBorders>
                    <w:top w:val="single" w:color="auto" w:sz="6" w:space="0"/>
                    <w:bottom w:val="single" w:color="auto" w:sz="6" w:space="0"/>
                  </w:tcBorders>
                  <w:noWrap w:val="0"/>
                  <w:vAlign w:val="top"/>
                </w:tcPr>
                <w:p w14:paraId="70604620">
                  <w:pPr>
                    <w:widowControl/>
                    <w:jc w:val="center"/>
                    <w:rPr>
                      <w:rFonts w:hint="eastAsia" w:ascii="宋体" w:hAnsi="宋体" w:eastAsia="宋体" w:cs="宋体"/>
                      <w:color w:val="000000"/>
                      <w:sz w:val="18"/>
                      <w:szCs w:val="18"/>
                    </w:rPr>
                  </w:pPr>
                  <w:r>
                    <w:rPr>
                      <w:rFonts w:hint="eastAsia" w:ascii="宋体" w:hAnsi="宋体" w:eastAsia="宋体" w:cs="宋体"/>
                      <w:color w:val="auto"/>
                      <w:sz w:val="18"/>
                      <w:szCs w:val="18"/>
                    </w:rPr>
                    <w:t>表1规定</w:t>
                  </w:r>
                </w:p>
              </w:tc>
              <w:tc>
                <w:tcPr>
                  <w:tcW w:w="1642" w:type="dxa"/>
                  <w:tcBorders>
                    <w:top w:val="single" w:color="auto" w:sz="6" w:space="0"/>
                    <w:bottom w:val="single" w:color="auto" w:sz="6" w:space="0"/>
                    <w:right w:val="single" w:color="auto" w:sz="12" w:space="0"/>
                  </w:tcBorders>
                  <w:noWrap w:val="0"/>
                  <w:vAlign w:val="center"/>
                </w:tcPr>
                <w:p w14:paraId="55CD20C9">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22796</w:t>
                  </w:r>
                </w:p>
              </w:tc>
            </w:tr>
            <w:tr w14:paraId="1F0E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57" w:type="dxa"/>
                  <w:tcBorders>
                    <w:top w:val="single" w:color="auto" w:sz="6" w:space="0"/>
                    <w:left w:val="single" w:color="auto" w:sz="12" w:space="0"/>
                    <w:bottom w:val="single" w:color="auto" w:sz="6" w:space="0"/>
                    <w:right w:val="single" w:color="auto" w:sz="4" w:space="0"/>
                  </w:tcBorders>
                  <w:noWrap w:val="0"/>
                  <w:vAlign w:val="center"/>
                </w:tcPr>
                <w:p w14:paraId="7E60EFB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767" w:type="dxa"/>
                  <w:vMerge w:val="continue"/>
                  <w:tcBorders>
                    <w:left w:val="single" w:color="auto" w:sz="4" w:space="0"/>
                    <w:bottom w:val="single" w:color="auto" w:sz="6" w:space="0"/>
                  </w:tcBorders>
                  <w:noWrap w:val="0"/>
                  <w:vAlign w:val="top"/>
                </w:tcPr>
                <w:p w14:paraId="104ACC94">
                  <w:pPr>
                    <w:widowControl/>
                    <w:jc w:val="center"/>
                    <w:rPr>
                      <w:rFonts w:hint="eastAsia" w:ascii="宋体" w:hAnsi="宋体" w:eastAsia="宋体" w:cs="宋体"/>
                      <w:color w:val="000000"/>
                      <w:sz w:val="18"/>
                      <w:szCs w:val="18"/>
                    </w:rPr>
                  </w:pPr>
                </w:p>
              </w:tc>
              <w:tc>
                <w:tcPr>
                  <w:tcW w:w="2414" w:type="dxa"/>
                  <w:gridSpan w:val="2"/>
                  <w:tcBorders>
                    <w:top w:val="single" w:color="auto" w:sz="6" w:space="0"/>
                    <w:bottom w:val="single" w:color="auto" w:sz="6" w:space="0"/>
                  </w:tcBorders>
                  <w:noWrap w:val="0"/>
                  <w:vAlign w:val="top"/>
                </w:tcPr>
                <w:p w14:paraId="7627220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接缝强力，N，≥</w:t>
                  </w:r>
                </w:p>
              </w:tc>
              <w:tc>
                <w:tcPr>
                  <w:tcW w:w="1078" w:type="dxa"/>
                  <w:tcBorders>
                    <w:top w:val="single" w:color="auto" w:sz="6" w:space="0"/>
                    <w:bottom w:val="single" w:color="auto" w:sz="6" w:space="0"/>
                  </w:tcBorders>
                  <w:noWrap w:val="0"/>
                  <w:vAlign w:val="top"/>
                </w:tcPr>
                <w:p w14:paraId="2428C9C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120</w:t>
                  </w:r>
                </w:p>
              </w:tc>
              <w:tc>
                <w:tcPr>
                  <w:tcW w:w="1642" w:type="dxa"/>
                  <w:tcBorders>
                    <w:top w:val="single" w:color="auto" w:sz="6" w:space="0"/>
                    <w:bottom w:val="single" w:color="auto" w:sz="6" w:space="0"/>
                    <w:right w:val="single" w:color="auto" w:sz="12" w:space="0"/>
                  </w:tcBorders>
                  <w:noWrap w:val="0"/>
                  <w:vAlign w:val="center"/>
                </w:tcPr>
                <w:p w14:paraId="24ED5DA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13773.1</w:t>
                  </w:r>
                </w:p>
              </w:tc>
            </w:tr>
            <w:tr w14:paraId="7BE1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657" w:type="dxa"/>
                  <w:tcBorders>
                    <w:top w:val="single" w:color="auto" w:sz="6" w:space="0"/>
                    <w:left w:val="single" w:color="auto" w:sz="12" w:space="0"/>
                    <w:bottom w:val="single" w:color="auto" w:sz="4" w:space="0"/>
                    <w:right w:val="single" w:color="auto" w:sz="4" w:space="0"/>
                  </w:tcBorders>
                  <w:noWrap w:val="0"/>
                  <w:vAlign w:val="center"/>
                </w:tcPr>
                <w:p w14:paraId="319C012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767" w:type="dxa"/>
                  <w:vMerge w:val="restart"/>
                  <w:tcBorders>
                    <w:top w:val="single" w:color="auto" w:sz="6" w:space="0"/>
                    <w:left w:val="single" w:color="auto" w:sz="4" w:space="0"/>
                  </w:tcBorders>
                  <w:noWrap w:val="0"/>
                  <w:vAlign w:val="center"/>
                </w:tcPr>
                <w:p w14:paraId="6C643E5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面料</w:t>
                  </w:r>
                </w:p>
              </w:tc>
              <w:tc>
                <w:tcPr>
                  <w:tcW w:w="2414" w:type="dxa"/>
                  <w:gridSpan w:val="2"/>
                  <w:tcBorders>
                    <w:top w:val="single" w:color="auto" w:sz="6" w:space="0"/>
                    <w:bottom w:val="single" w:color="auto" w:sz="4" w:space="0"/>
                  </w:tcBorders>
                  <w:noWrap w:val="0"/>
                  <w:vAlign w:val="center"/>
                </w:tcPr>
                <w:p w14:paraId="2AC21B99">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纤维含量，%</w:t>
                  </w:r>
                </w:p>
              </w:tc>
              <w:tc>
                <w:tcPr>
                  <w:tcW w:w="1078" w:type="dxa"/>
                  <w:tcBorders>
                    <w:top w:val="single" w:color="auto" w:sz="6" w:space="0"/>
                    <w:bottom w:val="single" w:color="auto" w:sz="4" w:space="0"/>
                  </w:tcBorders>
                  <w:noWrap w:val="0"/>
                  <w:vAlign w:val="center"/>
                </w:tcPr>
                <w:p w14:paraId="5E9BBB2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棉100</w:t>
                  </w:r>
                </w:p>
              </w:tc>
              <w:tc>
                <w:tcPr>
                  <w:tcW w:w="1642" w:type="dxa"/>
                  <w:tcBorders>
                    <w:top w:val="single" w:color="auto" w:sz="6" w:space="0"/>
                    <w:bottom w:val="single" w:color="auto" w:sz="4" w:space="0"/>
                    <w:right w:val="single" w:color="auto" w:sz="12" w:space="0"/>
                  </w:tcBorders>
                  <w:noWrap w:val="0"/>
                  <w:vAlign w:val="center"/>
                </w:tcPr>
                <w:p w14:paraId="4C8CB58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FZ/T 01057、GB/T 2910、GB/T 29862</w:t>
                  </w:r>
                </w:p>
              </w:tc>
            </w:tr>
            <w:tr w14:paraId="40CE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7" w:type="dxa"/>
                  <w:vMerge w:val="restart"/>
                  <w:tcBorders>
                    <w:top w:val="single" w:color="auto" w:sz="4" w:space="0"/>
                    <w:left w:val="single" w:color="auto" w:sz="12" w:space="0"/>
                    <w:right w:val="single" w:color="auto" w:sz="4" w:space="0"/>
                  </w:tcBorders>
                  <w:noWrap w:val="0"/>
                  <w:vAlign w:val="center"/>
                </w:tcPr>
                <w:p w14:paraId="707C8CE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767" w:type="dxa"/>
                  <w:vMerge w:val="continue"/>
                  <w:tcBorders>
                    <w:left w:val="single" w:color="auto" w:sz="4" w:space="0"/>
                  </w:tcBorders>
                  <w:noWrap w:val="0"/>
                  <w:vAlign w:val="center"/>
                </w:tcPr>
                <w:p w14:paraId="6DA3F7CC">
                  <w:pPr>
                    <w:widowControl/>
                    <w:jc w:val="center"/>
                    <w:rPr>
                      <w:rFonts w:hint="eastAsia" w:ascii="宋体" w:hAnsi="宋体" w:eastAsia="宋体" w:cs="宋体"/>
                      <w:color w:val="000000"/>
                      <w:sz w:val="18"/>
                      <w:szCs w:val="18"/>
                    </w:rPr>
                  </w:pPr>
                </w:p>
              </w:tc>
              <w:tc>
                <w:tcPr>
                  <w:tcW w:w="1732" w:type="dxa"/>
                  <w:vMerge w:val="restart"/>
                  <w:tcBorders>
                    <w:top w:val="single" w:color="auto" w:sz="4" w:space="0"/>
                  </w:tcBorders>
                  <w:noWrap w:val="0"/>
                  <w:vAlign w:val="center"/>
                </w:tcPr>
                <w:p w14:paraId="3D78012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断裂强力，N，≥</w:t>
                  </w:r>
                </w:p>
              </w:tc>
              <w:tc>
                <w:tcPr>
                  <w:tcW w:w="682" w:type="dxa"/>
                  <w:tcBorders>
                    <w:top w:val="single" w:color="auto" w:sz="4" w:space="0"/>
                  </w:tcBorders>
                  <w:noWrap w:val="0"/>
                  <w:vAlign w:val="top"/>
                </w:tcPr>
                <w:p w14:paraId="78B8970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经向</w:t>
                  </w:r>
                </w:p>
              </w:tc>
              <w:tc>
                <w:tcPr>
                  <w:tcW w:w="1078" w:type="dxa"/>
                  <w:tcBorders>
                    <w:top w:val="single" w:color="auto" w:sz="4" w:space="0"/>
                  </w:tcBorders>
                  <w:noWrap w:val="0"/>
                  <w:vAlign w:val="top"/>
                </w:tcPr>
                <w:p w14:paraId="0C3EFDD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250</w:t>
                  </w:r>
                </w:p>
              </w:tc>
              <w:tc>
                <w:tcPr>
                  <w:tcW w:w="1642" w:type="dxa"/>
                  <w:vMerge w:val="restart"/>
                  <w:tcBorders>
                    <w:top w:val="single" w:color="auto" w:sz="4" w:space="0"/>
                    <w:right w:val="single" w:color="auto" w:sz="12" w:space="0"/>
                  </w:tcBorders>
                  <w:noWrap w:val="0"/>
                  <w:vAlign w:val="center"/>
                </w:tcPr>
                <w:p w14:paraId="06463E9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3923.1</w:t>
                  </w:r>
                </w:p>
              </w:tc>
            </w:tr>
            <w:tr w14:paraId="5D8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657" w:type="dxa"/>
                  <w:vMerge w:val="continue"/>
                  <w:tcBorders>
                    <w:left w:val="single" w:color="auto" w:sz="12" w:space="0"/>
                    <w:right w:val="single" w:color="auto" w:sz="4" w:space="0"/>
                  </w:tcBorders>
                  <w:noWrap w:val="0"/>
                  <w:vAlign w:val="center"/>
                </w:tcPr>
                <w:p w14:paraId="476F0390">
                  <w:pPr>
                    <w:keepLines w:val="0"/>
                    <w:pageBreakBefore w:val="0"/>
                    <w:topLinePunct w:val="0"/>
                    <w:bidi w:val="0"/>
                    <w:spacing w:line="240" w:lineRule="auto"/>
                    <w:jc w:val="center"/>
                    <w:rPr>
                      <w:rFonts w:hint="eastAsia" w:ascii="仿宋_GB2312" w:hAnsi="仿宋_GB2312" w:eastAsia="仿宋_GB2312" w:cs="仿宋_GB2312"/>
                      <w:kern w:val="21"/>
                      <w:sz w:val="21"/>
                      <w:szCs w:val="21"/>
                    </w:rPr>
                  </w:pPr>
                </w:p>
              </w:tc>
              <w:tc>
                <w:tcPr>
                  <w:tcW w:w="767" w:type="dxa"/>
                  <w:vMerge w:val="continue"/>
                  <w:tcBorders>
                    <w:left w:val="single" w:color="auto" w:sz="4" w:space="0"/>
                  </w:tcBorders>
                  <w:noWrap w:val="0"/>
                  <w:vAlign w:val="center"/>
                </w:tcPr>
                <w:p w14:paraId="34360827">
                  <w:pPr>
                    <w:keepLines w:val="0"/>
                    <w:pageBreakBefore w:val="0"/>
                    <w:topLinePunct w:val="0"/>
                    <w:bidi w:val="0"/>
                    <w:spacing w:line="240" w:lineRule="auto"/>
                    <w:jc w:val="center"/>
                    <w:rPr>
                      <w:rFonts w:hint="eastAsia" w:ascii="仿宋_GB2312" w:hAnsi="仿宋_GB2312" w:eastAsia="仿宋_GB2312" w:cs="仿宋_GB2312"/>
                      <w:kern w:val="21"/>
                      <w:sz w:val="21"/>
                      <w:szCs w:val="21"/>
                    </w:rPr>
                  </w:pPr>
                </w:p>
              </w:tc>
              <w:tc>
                <w:tcPr>
                  <w:tcW w:w="1732" w:type="dxa"/>
                  <w:vMerge w:val="continue"/>
                  <w:noWrap w:val="0"/>
                  <w:vAlign w:val="center"/>
                </w:tcPr>
                <w:p w14:paraId="3D4A35D1">
                  <w:pPr>
                    <w:keepLines w:val="0"/>
                    <w:pageBreakBefore w:val="0"/>
                    <w:widowControl/>
                    <w:topLinePunct w:val="0"/>
                    <w:bidi w:val="0"/>
                    <w:spacing w:line="240" w:lineRule="auto"/>
                    <w:jc w:val="center"/>
                    <w:rPr>
                      <w:rFonts w:hint="eastAsia" w:ascii="仿宋_GB2312" w:hAnsi="仿宋_GB2312" w:eastAsia="仿宋_GB2312" w:cs="仿宋_GB2312"/>
                      <w:kern w:val="21"/>
                      <w:sz w:val="21"/>
                      <w:szCs w:val="21"/>
                    </w:rPr>
                  </w:pPr>
                </w:p>
              </w:tc>
              <w:tc>
                <w:tcPr>
                  <w:tcW w:w="682" w:type="dxa"/>
                  <w:tcBorders>
                    <w:top w:val="single" w:color="auto" w:sz="4" w:space="0"/>
                  </w:tcBorders>
                  <w:noWrap w:val="0"/>
                  <w:vAlign w:val="top"/>
                </w:tcPr>
                <w:p w14:paraId="29193AD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纬向</w:t>
                  </w:r>
                </w:p>
              </w:tc>
              <w:tc>
                <w:tcPr>
                  <w:tcW w:w="1078" w:type="dxa"/>
                  <w:tcBorders>
                    <w:top w:val="single" w:color="auto" w:sz="4" w:space="0"/>
                  </w:tcBorders>
                  <w:noWrap w:val="0"/>
                  <w:vAlign w:val="top"/>
                </w:tcPr>
                <w:p w14:paraId="0CF4264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250</w:t>
                  </w:r>
                </w:p>
              </w:tc>
              <w:tc>
                <w:tcPr>
                  <w:tcW w:w="1642" w:type="dxa"/>
                  <w:vMerge w:val="continue"/>
                  <w:tcBorders>
                    <w:right w:val="single" w:color="auto" w:sz="12" w:space="0"/>
                  </w:tcBorders>
                  <w:noWrap w:val="0"/>
                  <w:vAlign w:val="center"/>
                </w:tcPr>
                <w:p w14:paraId="17C9928C">
                  <w:pPr>
                    <w:keepLines w:val="0"/>
                    <w:pageBreakBefore w:val="0"/>
                    <w:widowControl/>
                    <w:topLinePunct w:val="0"/>
                    <w:bidi w:val="0"/>
                    <w:spacing w:line="240" w:lineRule="auto"/>
                    <w:jc w:val="center"/>
                    <w:rPr>
                      <w:rFonts w:hint="eastAsia" w:ascii="仿宋_GB2312" w:hAnsi="仿宋_GB2312" w:eastAsia="仿宋_GB2312" w:cs="仿宋_GB2312"/>
                      <w:kern w:val="21"/>
                      <w:sz w:val="21"/>
                      <w:szCs w:val="21"/>
                    </w:rPr>
                  </w:pPr>
                </w:p>
              </w:tc>
            </w:tr>
            <w:tr w14:paraId="486E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57" w:type="dxa"/>
                  <w:vMerge w:val="restart"/>
                  <w:tcBorders>
                    <w:left w:val="single" w:color="auto" w:sz="12" w:space="0"/>
                    <w:right w:val="single" w:color="auto" w:sz="4" w:space="0"/>
                  </w:tcBorders>
                  <w:noWrap w:val="0"/>
                  <w:vAlign w:val="center"/>
                </w:tcPr>
                <w:p w14:paraId="4BF4576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767" w:type="dxa"/>
                  <w:vMerge w:val="continue"/>
                  <w:tcBorders>
                    <w:left w:val="single" w:color="auto" w:sz="4" w:space="0"/>
                  </w:tcBorders>
                  <w:noWrap w:val="0"/>
                  <w:vAlign w:val="top"/>
                </w:tcPr>
                <w:p w14:paraId="113D1502">
                  <w:pPr>
                    <w:widowControl/>
                    <w:jc w:val="center"/>
                    <w:rPr>
                      <w:rFonts w:hint="eastAsia" w:ascii="宋体" w:hAnsi="宋体" w:eastAsia="宋体" w:cs="宋体"/>
                      <w:color w:val="000000"/>
                      <w:sz w:val="18"/>
                      <w:szCs w:val="18"/>
                    </w:rPr>
                  </w:pPr>
                </w:p>
              </w:tc>
              <w:tc>
                <w:tcPr>
                  <w:tcW w:w="1732" w:type="dxa"/>
                  <w:vMerge w:val="restart"/>
                  <w:noWrap w:val="0"/>
                  <w:vAlign w:val="center"/>
                </w:tcPr>
                <w:p w14:paraId="486C8F7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耐水色牢度，级，≥</w:t>
                  </w:r>
                </w:p>
              </w:tc>
              <w:tc>
                <w:tcPr>
                  <w:tcW w:w="682" w:type="dxa"/>
                  <w:noWrap w:val="0"/>
                  <w:vAlign w:val="top"/>
                </w:tcPr>
                <w:p w14:paraId="3C5D69C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变色</w:t>
                  </w:r>
                </w:p>
              </w:tc>
              <w:tc>
                <w:tcPr>
                  <w:tcW w:w="1078" w:type="dxa"/>
                  <w:noWrap w:val="0"/>
                  <w:vAlign w:val="top"/>
                </w:tcPr>
                <w:p w14:paraId="38B29A3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3-4</w:t>
                  </w:r>
                </w:p>
              </w:tc>
              <w:tc>
                <w:tcPr>
                  <w:tcW w:w="1642" w:type="dxa"/>
                  <w:vMerge w:val="restart"/>
                  <w:tcBorders>
                    <w:right w:val="single" w:color="auto" w:sz="12" w:space="0"/>
                  </w:tcBorders>
                  <w:noWrap w:val="0"/>
                  <w:vAlign w:val="center"/>
                </w:tcPr>
                <w:p w14:paraId="4B87BAE9">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5713</w:t>
                  </w:r>
                </w:p>
              </w:tc>
            </w:tr>
            <w:tr w14:paraId="5ECF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57" w:type="dxa"/>
                  <w:vMerge w:val="continue"/>
                  <w:tcBorders>
                    <w:left w:val="single" w:color="auto" w:sz="12" w:space="0"/>
                    <w:right w:val="single" w:color="auto" w:sz="4" w:space="0"/>
                  </w:tcBorders>
                  <w:noWrap w:val="0"/>
                  <w:vAlign w:val="center"/>
                </w:tcPr>
                <w:p w14:paraId="1234F4FE">
                  <w:pPr>
                    <w:widowControl/>
                    <w:jc w:val="center"/>
                    <w:rPr>
                      <w:rFonts w:hint="eastAsia" w:ascii="宋体" w:hAnsi="宋体" w:eastAsia="宋体" w:cs="宋体"/>
                      <w:color w:val="000000"/>
                      <w:sz w:val="18"/>
                      <w:szCs w:val="18"/>
                    </w:rPr>
                  </w:pPr>
                </w:p>
              </w:tc>
              <w:tc>
                <w:tcPr>
                  <w:tcW w:w="767" w:type="dxa"/>
                  <w:vMerge w:val="continue"/>
                  <w:tcBorders>
                    <w:left w:val="single" w:color="auto" w:sz="4" w:space="0"/>
                  </w:tcBorders>
                  <w:noWrap w:val="0"/>
                  <w:vAlign w:val="top"/>
                </w:tcPr>
                <w:p w14:paraId="2FD71F82">
                  <w:pPr>
                    <w:widowControl/>
                    <w:jc w:val="center"/>
                    <w:rPr>
                      <w:rFonts w:hint="eastAsia" w:ascii="宋体" w:hAnsi="宋体" w:eastAsia="宋体" w:cs="宋体"/>
                      <w:color w:val="000000"/>
                      <w:sz w:val="18"/>
                      <w:szCs w:val="18"/>
                    </w:rPr>
                  </w:pPr>
                </w:p>
              </w:tc>
              <w:tc>
                <w:tcPr>
                  <w:tcW w:w="1732" w:type="dxa"/>
                  <w:vMerge w:val="continue"/>
                  <w:noWrap w:val="0"/>
                  <w:vAlign w:val="center"/>
                </w:tcPr>
                <w:p w14:paraId="3259AF59">
                  <w:pPr>
                    <w:widowControl/>
                    <w:jc w:val="center"/>
                    <w:rPr>
                      <w:rFonts w:hint="eastAsia" w:ascii="宋体" w:hAnsi="宋体" w:eastAsia="宋体" w:cs="宋体"/>
                      <w:color w:val="000000"/>
                      <w:sz w:val="18"/>
                      <w:szCs w:val="18"/>
                    </w:rPr>
                  </w:pPr>
                </w:p>
              </w:tc>
              <w:tc>
                <w:tcPr>
                  <w:tcW w:w="682" w:type="dxa"/>
                  <w:noWrap w:val="0"/>
                  <w:vAlign w:val="top"/>
                </w:tcPr>
                <w:p w14:paraId="56A5EFA9">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沾色</w:t>
                  </w:r>
                </w:p>
              </w:tc>
              <w:tc>
                <w:tcPr>
                  <w:tcW w:w="1078" w:type="dxa"/>
                  <w:noWrap w:val="0"/>
                  <w:vAlign w:val="top"/>
                </w:tcPr>
                <w:p w14:paraId="3D7B7B5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642" w:type="dxa"/>
                  <w:vMerge w:val="continue"/>
                  <w:tcBorders>
                    <w:right w:val="single" w:color="auto" w:sz="12" w:space="0"/>
                  </w:tcBorders>
                  <w:noWrap w:val="0"/>
                  <w:vAlign w:val="center"/>
                </w:tcPr>
                <w:p w14:paraId="3EB2CA53">
                  <w:pPr>
                    <w:widowControl/>
                    <w:jc w:val="center"/>
                    <w:rPr>
                      <w:rFonts w:hint="eastAsia" w:ascii="宋体" w:hAnsi="宋体" w:eastAsia="宋体" w:cs="宋体"/>
                      <w:color w:val="000000"/>
                      <w:sz w:val="18"/>
                      <w:szCs w:val="18"/>
                    </w:rPr>
                  </w:pPr>
                </w:p>
              </w:tc>
            </w:tr>
            <w:tr w14:paraId="147A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57" w:type="dxa"/>
                  <w:vMerge w:val="restart"/>
                  <w:tcBorders>
                    <w:left w:val="single" w:color="auto" w:sz="12" w:space="0"/>
                    <w:right w:val="single" w:color="auto" w:sz="4" w:space="0"/>
                  </w:tcBorders>
                  <w:noWrap w:val="0"/>
                  <w:vAlign w:val="center"/>
                </w:tcPr>
                <w:p w14:paraId="4350931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767" w:type="dxa"/>
                  <w:vMerge w:val="continue"/>
                  <w:tcBorders>
                    <w:left w:val="single" w:color="auto" w:sz="4" w:space="0"/>
                  </w:tcBorders>
                  <w:noWrap w:val="0"/>
                  <w:vAlign w:val="top"/>
                </w:tcPr>
                <w:p w14:paraId="2D83A4BC">
                  <w:pPr>
                    <w:widowControl/>
                    <w:jc w:val="center"/>
                    <w:rPr>
                      <w:rFonts w:hint="eastAsia" w:ascii="宋体" w:hAnsi="宋体" w:eastAsia="宋体" w:cs="宋体"/>
                      <w:color w:val="000000"/>
                      <w:sz w:val="18"/>
                      <w:szCs w:val="18"/>
                    </w:rPr>
                  </w:pPr>
                </w:p>
              </w:tc>
              <w:tc>
                <w:tcPr>
                  <w:tcW w:w="1732" w:type="dxa"/>
                  <w:vMerge w:val="restart"/>
                  <w:noWrap w:val="0"/>
                  <w:vAlign w:val="center"/>
                </w:tcPr>
                <w:p w14:paraId="78AFB32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耐汗渍色牢度，级，≥</w:t>
                  </w:r>
                </w:p>
              </w:tc>
              <w:tc>
                <w:tcPr>
                  <w:tcW w:w="682" w:type="dxa"/>
                  <w:noWrap w:val="0"/>
                  <w:vAlign w:val="top"/>
                </w:tcPr>
                <w:p w14:paraId="565EAF7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变色</w:t>
                  </w:r>
                </w:p>
              </w:tc>
              <w:tc>
                <w:tcPr>
                  <w:tcW w:w="1078" w:type="dxa"/>
                  <w:noWrap w:val="0"/>
                  <w:vAlign w:val="top"/>
                </w:tcPr>
                <w:p w14:paraId="19D4CEE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3-4</w:t>
                  </w:r>
                </w:p>
              </w:tc>
              <w:tc>
                <w:tcPr>
                  <w:tcW w:w="1642" w:type="dxa"/>
                  <w:vMerge w:val="restart"/>
                  <w:tcBorders>
                    <w:right w:val="single" w:color="auto" w:sz="12" w:space="0"/>
                  </w:tcBorders>
                  <w:noWrap w:val="0"/>
                  <w:vAlign w:val="center"/>
                </w:tcPr>
                <w:p w14:paraId="41E4AB2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3922</w:t>
                  </w:r>
                </w:p>
              </w:tc>
            </w:tr>
            <w:tr w14:paraId="0998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657" w:type="dxa"/>
                  <w:vMerge w:val="continue"/>
                  <w:tcBorders>
                    <w:left w:val="single" w:color="auto" w:sz="12" w:space="0"/>
                    <w:right w:val="single" w:color="auto" w:sz="4" w:space="0"/>
                  </w:tcBorders>
                  <w:noWrap w:val="0"/>
                  <w:vAlign w:val="center"/>
                </w:tcPr>
                <w:p w14:paraId="64563F88">
                  <w:pPr>
                    <w:widowControl/>
                    <w:jc w:val="center"/>
                    <w:rPr>
                      <w:rFonts w:hint="eastAsia" w:ascii="宋体" w:hAnsi="宋体" w:eastAsia="宋体" w:cs="宋体"/>
                      <w:color w:val="000000"/>
                      <w:sz w:val="18"/>
                      <w:szCs w:val="18"/>
                    </w:rPr>
                  </w:pPr>
                </w:p>
              </w:tc>
              <w:tc>
                <w:tcPr>
                  <w:tcW w:w="767" w:type="dxa"/>
                  <w:vMerge w:val="continue"/>
                  <w:tcBorders>
                    <w:left w:val="single" w:color="auto" w:sz="4" w:space="0"/>
                  </w:tcBorders>
                  <w:noWrap w:val="0"/>
                  <w:vAlign w:val="top"/>
                </w:tcPr>
                <w:p w14:paraId="1291B90F">
                  <w:pPr>
                    <w:widowControl/>
                    <w:jc w:val="center"/>
                    <w:rPr>
                      <w:rFonts w:hint="eastAsia" w:ascii="宋体" w:hAnsi="宋体" w:eastAsia="宋体" w:cs="宋体"/>
                      <w:color w:val="000000"/>
                      <w:sz w:val="18"/>
                      <w:szCs w:val="18"/>
                    </w:rPr>
                  </w:pPr>
                </w:p>
              </w:tc>
              <w:tc>
                <w:tcPr>
                  <w:tcW w:w="1732" w:type="dxa"/>
                  <w:vMerge w:val="continue"/>
                  <w:noWrap w:val="0"/>
                  <w:vAlign w:val="center"/>
                </w:tcPr>
                <w:p w14:paraId="46AA6E21">
                  <w:pPr>
                    <w:widowControl/>
                    <w:jc w:val="center"/>
                    <w:rPr>
                      <w:rFonts w:hint="eastAsia" w:ascii="宋体" w:hAnsi="宋体" w:eastAsia="宋体" w:cs="宋体"/>
                      <w:color w:val="000000"/>
                      <w:sz w:val="18"/>
                      <w:szCs w:val="18"/>
                    </w:rPr>
                  </w:pPr>
                </w:p>
              </w:tc>
              <w:tc>
                <w:tcPr>
                  <w:tcW w:w="682" w:type="dxa"/>
                  <w:noWrap w:val="0"/>
                  <w:vAlign w:val="top"/>
                </w:tcPr>
                <w:p w14:paraId="0745758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沾色</w:t>
                  </w:r>
                </w:p>
              </w:tc>
              <w:tc>
                <w:tcPr>
                  <w:tcW w:w="1078" w:type="dxa"/>
                  <w:noWrap w:val="0"/>
                  <w:vAlign w:val="top"/>
                </w:tcPr>
                <w:p w14:paraId="1752B7A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642" w:type="dxa"/>
                  <w:vMerge w:val="continue"/>
                  <w:tcBorders>
                    <w:right w:val="single" w:color="auto" w:sz="12" w:space="0"/>
                  </w:tcBorders>
                  <w:noWrap w:val="0"/>
                  <w:vAlign w:val="center"/>
                </w:tcPr>
                <w:p w14:paraId="59AF5080">
                  <w:pPr>
                    <w:widowControl/>
                    <w:jc w:val="center"/>
                    <w:rPr>
                      <w:rFonts w:hint="eastAsia" w:ascii="宋体" w:hAnsi="宋体" w:eastAsia="宋体" w:cs="宋体"/>
                      <w:color w:val="000000"/>
                      <w:sz w:val="18"/>
                      <w:szCs w:val="18"/>
                    </w:rPr>
                  </w:pPr>
                </w:p>
              </w:tc>
            </w:tr>
            <w:tr w14:paraId="4401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57" w:type="dxa"/>
                  <w:vMerge w:val="restart"/>
                  <w:tcBorders>
                    <w:left w:val="single" w:color="auto" w:sz="12" w:space="0"/>
                    <w:right w:val="single" w:color="auto" w:sz="4" w:space="0"/>
                  </w:tcBorders>
                  <w:noWrap w:val="0"/>
                  <w:vAlign w:val="center"/>
                </w:tcPr>
                <w:p w14:paraId="2A44C93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767" w:type="dxa"/>
                  <w:vMerge w:val="continue"/>
                  <w:tcBorders>
                    <w:left w:val="single" w:color="auto" w:sz="4" w:space="0"/>
                  </w:tcBorders>
                  <w:noWrap w:val="0"/>
                  <w:vAlign w:val="top"/>
                </w:tcPr>
                <w:p w14:paraId="01CBBF68">
                  <w:pPr>
                    <w:widowControl/>
                    <w:jc w:val="center"/>
                    <w:rPr>
                      <w:rFonts w:hint="eastAsia" w:ascii="宋体" w:hAnsi="宋体" w:eastAsia="宋体" w:cs="宋体"/>
                      <w:color w:val="000000"/>
                      <w:sz w:val="18"/>
                      <w:szCs w:val="18"/>
                    </w:rPr>
                  </w:pPr>
                </w:p>
              </w:tc>
              <w:tc>
                <w:tcPr>
                  <w:tcW w:w="1732" w:type="dxa"/>
                  <w:vMerge w:val="restart"/>
                  <w:noWrap w:val="0"/>
                  <w:vAlign w:val="center"/>
                </w:tcPr>
                <w:p w14:paraId="769B27E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耐洗色牢度，级，≥</w:t>
                  </w:r>
                </w:p>
              </w:tc>
              <w:tc>
                <w:tcPr>
                  <w:tcW w:w="682" w:type="dxa"/>
                  <w:noWrap w:val="0"/>
                  <w:vAlign w:val="top"/>
                </w:tcPr>
                <w:p w14:paraId="49C2078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变色</w:t>
                  </w:r>
                </w:p>
              </w:tc>
              <w:tc>
                <w:tcPr>
                  <w:tcW w:w="1078" w:type="dxa"/>
                  <w:noWrap w:val="0"/>
                  <w:vAlign w:val="top"/>
                </w:tcPr>
                <w:p w14:paraId="4BA946D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3-4</w:t>
                  </w:r>
                </w:p>
              </w:tc>
              <w:tc>
                <w:tcPr>
                  <w:tcW w:w="1642" w:type="dxa"/>
                  <w:vMerge w:val="restart"/>
                  <w:tcBorders>
                    <w:right w:val="single" w:color="auto" w:sz="12" w:space="0"/>
                  </w:tcBorders>
                  <w:noWrap w:val="0"/>
                  <w:vAlign w:val="center"/>
                </w:tcPr>
                <w:p w14:paraId="759A014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3921</w:t>
                  </w:r>
                </w:p>
              </w:tc>
            </w:tr>
            <w:tr w14:paraId="4798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57" w:type="dxa"/>
                  <w:vMerge w:val="continue"/>
                  <w:tcBorders>
                    <w:left w:val="single" w:color="auto" w:sz="12" w:space="0"/>
                    <w:right w:val="single" w:color="auto" w:sz="4" w:space="0"/>
                  </w:tcBorders>
                  <w:noWrap w:val="0"/>
                  <w:vAlign w:val="center"/>
                </w:tcPr>
                <w:p w14:paraId="13BD1CEB">
                  <w:pPr>
                    <w:widowControl/>
                    <w:jc w:val="center"/>
                    <w:rPr>
                      <w:rFonts w:hint="eastAsia" w:ascii="宋体" w:hAnsi="宋体" w:eastAsia="宋体" w:cs="宋体"/>
                      <w:color w:val="000000"/>
                      <w:sz w:val="18"/>
                      <w:szCs w:val="18"/>
                    </w:rPr>
                  </w:pPr>
                </w:p>
              </w:tc>
              <w:tc>
                <w:tcPr>
                  <w:tcW w:w="767" w:type="dxa"/>
                  <w:vMerge w:val="continue"/>
                  <w:tcBorders>
                    <w:left w:val="single" w:color="auto" w:sz="4" w:space="0"/>
                  </w:tcBorders>
                  <w:noWrap w:val="0"/>
                  <w:vAlign w:val="top"/>
                </w:tcPr>
                <w:p w14:paraId="1BFF9BC6">
                  <w:pPr>
                    <w:widowControl/>
                    <w:jc w:val="center"/>
                    <w:rPr>
                      <w:rFonts w:hint="eastAsia" w:ascii="宋体" w:hAnsi="宋体" w:eastAsia="宋体" w:cs="宋体"/>
                      <w:color w:val="000000"/>
                      <w:sz w:val="18"/>
                      <w:szCs w:val="18"/>
                    </w:rPr>
                  </w:pPr>
                </w:p>
              </w:tc>
              <w:tc>
                <w:tcPr>
                  <w:tcW w:w="1732" w:type="dxa"/>
                  <w:vMerge w:val="continue"/>
                  <w:noWrap w:val="0"/>
                  <w:vAlign w:val="center"/>
                </w:tcPr>
                <w:p w14:paraId="0792B1F9">
                  <w:pPr>
                    <w:widowControl/>
                    <w:jc w:val="center"/>
                    <w:rPr>
                      <w:rFonts w:hint="eastAsia" w:ascii="宋体" w:hAnsi="宋体" w:eastAsia="宋体" w:cs="宋体"/>
                      <w:color w:val="000000"/>
                      <w:sz w:val="18"/>
                      <w:szCs w:val="18"/>
                    </w:rPr>
                  </w:pPr>
                </w:p>
              </w:tc>
              <w:tc>
                <w:tcPr>
                  <w:tcW w:w="682" w:type="dxa"/>
                  <w:noWrap w:val="0"/>
                  <w:vAlign w:val="top"/>
                </w:tcPr>
                <w:p w14:paraId="634EE10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沾色</w:t>
                  </w:r>
                </w:p>
              </w:tc>
              <w:tc>
                <w:tcPr>
                  <w:tcW w:w="1078" w:type="dxa"/>
                  <w:noWrap w:val="0"/>
                  <w:vAlign w:val="top"/>
                </w:tcPr>
                <w:p w14:paraId="2969B75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642" w:type="dxa"/>
                  <w:vMerge w:val="continue"/>
                  <w:tcBorders>
                    <w:right w:val="single" w:color="auto" w:sz="12" w:space="0"/>
                  </w:tcBorders>
                  <w:noWrap w:val="0"/>
                  <w:vAlign w:val="center"/>
                </w:tcPr>
                <w:p w14:paraId="01712634">
                  <w:pPr>
                    <w:widowControl/>
                    <w:jc w:val="center"/>
                    <w:rPr>
                      <w:rFonts w:hint="eastAsia" w:ascii="宋体" w:hAnsi="宋体" w:eastAsia="宋体" w:cs="宋体"/>
                      <w:color w:val="000000"/>
                      <w:sz w:val="18"/>
                      <w:szCs w:val="18"/>
                    </w:rPr>
                  </w:pPr>
                </w:p>
              </w:tc>
            </w:tr>
            <w:tr w14:paraId="4CB2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57" w:type="dxa"/>
                  <w:vMerge w:val="restart"/>
                  <w:tcBorders>
                    <w:left w:val="single" w:color="auto" w:sz="12" w:space="0"/>
                    <w:right w:val="single" w:color="auto" w:sz="4" w:space="0"/>
                  </w:tcBorders>
                  <w:noWrap w:val="0"/>
                  <w:vAlign w:val="center"/>
                </w:tcPr>
                <w:p w14:paraId="65CE872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767" w:type="dxa"/>
                  <w:vMerge w:val="continue"/>
                  <w:tcBorders>
                    <w:left w:val="single" w:color="auto" w:sz="4" w:space="0"/>
                  </w:tcBorders>
                  <w:noWrap w:val="0"/>
                  <w:vAlign w:val="top"/>
                </w:tcPr>
                <w:p w14:paraId="40FE654A">
                  <w:pPr>
                    <w:widowControl/>
                    <w:jc w:val="center"/>
                    <w:rPr>
                      <w:rFonts w:hint="eastAsia" w:ascii="宋体" w:hAnsi="宋体" w:eastAsia="宋体" w:cs="宋体"/>
                      <w:color w:val="000000"/>
                      <w:sz w:val="18"/>
                      <w:szCs w:val="18"/>
                    </w:rPr>
                  </w:pPr>
                </w:p>
              </w:tc>
              <w:tc>
                <w:tcPr>
                  <w:tcW w:w="1732" w:type="dxa"/>
                  <w:vMerge w:val="restart"/>
                  <w:noWrap w:val="0"/>
                  <w:vAlign w:val="center"/>
                </w:tcPr>
                <w:p w14:paraId="0BC5491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耐摩擦色牢度，级，≥</w:t>
                  </w:r>
                </w:p>
              </w:tc>
              <w:tc>
                <w:tcPr>
                  <w:tcW w:w="682" w:type="dxa"/>
                  <w:noWrap w:val="0"/>
                  <w:vAlign w:val="top"/>
                </w:tcPr>
                <w:p w14:paraId="0571E2F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干摩</w:t>
                  </w:r>
                </w:p>
              </w:tc>
              <w:tc>
                <w:tcPr>
                  <w:tcW w:w="1078" w:type="dxa"/>
                  <w:noWrap w:val="0"/>
                  <w:vAlign w:val="top"/>
                </w:tcPr>
                <w:p w14:paraId="1C03B9A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3-4</w:t>
                  </w:r>
                </w:p>
              </w:tc>
              <w:tc>
                <w:tcPr>
                  <w:tcW w:w="1642" w:type="dxa"/>
                  <w:vMerge w:val="restart"/>
                  <w:tcBorders>
                    <w:right w:val="single" w:color="auto" w:sz="12" w:space="0"/>
                  </w:tcBorders>
                  <w:noWrap w:val="0"/>
                  <w:vAlign w:val="center"/>
                </w:tcPr>
                <w:p w14:paraId="2ACE852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3920</w:t>
                  </w:r>
                </w:p>
              </w:tc>
            </w:tr>
            <w:tr w14:paraId="0500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657" w:type="dxa"/>
                  <w:vMerge w:val="continue"/>
                  <w:tcBorders>
                    <w:left w:val="single" w:color="auto" w:sz="12" w:space="0"/>
                    <w:right w:val="single" w:color="auto" w:sz="4" w:space="0"/>
                  </w:tcBorders>
                  <w:noWrap w:val="0"/>
                  <w:vAlign w:val="center"/>
                </w:tcPr>
                <w:p w14:paraId="6A81FFB1">
                  <w:pPr>
                    <w:widowControl/>
                    <w:jc w:val="center"/>
                    <w:rPr>
                      <w:rFonts w:hint="eastAsia" w:ascii="宋体" w:hAnsi="宋体" w:eastAsia="宋体" w:cs="宋体"/>
                      <w:color w:val="000000"/>
                      <w:sz w:val="18"/>
                      <w:szCs w:val="18"/>
                    </w:rPr>
                  </w:pPr>
                </w:p>
              </w:tc>
              <w:tc>
                <w:tcPr>
                  <w:tcW w:w="767" w:type="dxa"/>
                  <w:vMerge w:val="continue"/>
                  <w:tcBorders>
                    <w:left w:val="single" w:color="auto" w:sz="4" w:space="0"/>
                  </w:tcBorders>
                  <w:noWrap w:val="0"/>
                  <w:vAlign w:val="top"/>
                </w:tcPr>
                <w:p w14:paraId="7556B3A4">
                  <w:pPr>
                    <w:widowControl/>
                    <w:jc w:val="center"/>
                    <w:rPr>
                      <w:rFonts w:hint="eastAsia" w:ascii="宋体" w:hAnsi="宋体" w:eastAsia="宋体" w:cs="宋体"/>
                      <w:color w:val="000000"/>
                      <w:sz w:val="18"/>
                      <w:szCs w:val="18"/>
                    </w:rPr>
                  </w:pPr>
                </w:p>
              </w:tc>
              <w:tc>
                <w:tcPr>
                  <w:tcW w:w="1732" w:type="dxa"/>
                  <w:vMerge w:val="continue"/>
                  <w:noWrap w:val="0"/>
                  <w:vAlign w:val="top"/>
                </w:tcPr>
                <w:p w14:paraId="6D6E0CB2">
                  <w:pPr>
                    <w:widowControl/>
                    <w:jc w:val="center"/>
                    <w:rPr>
                      <w:rFonts w:hint="eastAsia" w:ascii="宋体" w:hAnsi="宋体" w:eastAsia="宋体" w:cs="宋体"/>
                      <w:color w:val="000000"/>
                      <w:sz w:val="18"/>
                      <w:szCs w:val="18"/>
                    </w:rPr>
                  </w:pPr>
                </w:p>
              </w:tc>
              <w:tc>
                <w:tcPr>
                  <w:tcW w:w="682" w:type="dxa"/>
                  <w:noWrap w:val="0"/>
                  <w:vAlign w:val="top"/>
                </w:tcPr>
                <w:p w14:paraId="1161AF2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湿摩</w:t>
                  </w:r>
                </w:p>
              </w:tc>
              <w:tc>
                <w:tcPr>
                  <w:tcW w:w="1078" w:type="dxa"/>
                  <w:noWrap w:val="0"/>
                  <w:vAlign w:val="top"/>
                </w:tcPr>
                <w:p w14:paraId="4E75701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2-3</w:t>
                  </w:r>
                </w:p>
              </w:tc>
              <w:tc>
                <w:tcPr>
                  <w:tcW w:w="1642" w:type="dxa"/>
                  <w:vMerge w:val="continue"/>
                  <w:tcBorders>
                    <w:right w:val="single" w:color="auto" w:sz="12" w:space="0"/>
                  </w:tcBorders>
                  <w:noWrap w:val="0"/>
                  <w:vAlign w:val="center"/>
                </w:tcPr>
                <w:p w14:paraId="477C6C2B">
                  <w:pPr>
                    <w:widowControl/>
                    <w:jc w:val="center"/>
                    <w:rPr>
                      <w:rFonts w:hint="eastAsia" w:ascii="宋体" w:hAnsi="宋体" w:eastAsia="宋体" w:cs="宋体"/>
                      <w:color w:val="000000"/>
                      <w:sz w:val="18"/>
                      <w:szCs w:val="18"/>
                    </w:rPr>
                  </w:pPr>
                </w:p>
              </w:tc>
            </w:tr>
            <w:tr w14:paraId="3C12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jc w:val="center"/>
              </w:trPr>
              <w:tc>
                <w:tcPr>
                  <w:tcW w:w="657" w:type="dxa"/>
                  <w:tcBorders>
                    <w:left w:val="single" w:color="auto" w:sz="12" w:space="0"/>
                    <w:right w:val="single" w:color="auto" w:sz="4" w:space="0"/>
                  </w:tcBorders>
                  <w:noWrap w:val="0"/>
                  <w:vAlign w:val="center"/>
                </w:tcPr>
                <w:p w14:paraId="1AE1718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767" w:type="dxa"/>
                  <w:vMerge w:val="continue"/>
                  <w:tcBorders>
                    <w:left w:val="single" w:color="auto" w:sz="4" w:space="0"/>
                  </w:tcBorders>
                  <w:noWrap w:val="0"/>
                  <w:vAlign w:val="top"/>
                </w:tcPr>
                <w:p w14:paraId="16794FF7">
                  <w:pPr>
                    <w:widowControl/>
                    <w:jc w:val="center"/>
                    <w:rPr>
                      <w:rFonts w:hint="eastAsia" w:ascii="宋体" w:hAnsi="宋体" w:eastAsia="宋体" w:cs="宋体"/>
                      <w:color w:val="000000"/>
                      <w:sz w:val="18"/>
                      <w:szCs w:val="18"/>
                    </w:rPr>
                  </w:pPr>
                </w:p>
              </w:tc>
              <w:tc>
                <w:tcPr>
                  <w:tcW w:w="2414" w:type="dxa"/>
                  <w:gridSpan w:val="2"/>
                  <w:noWrap w:val="0"/>
                  <w:vAlign w:val="center"/>
                </w:tcPr>
                <w:p w14:paraId="2A522FD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水洗尺寸变化率，%，≥</w:t>
                  </w:r>
                </w:p>
              </w:tc>
              <w:tc>
                <w:tcPr>
                  <w:tcW w:w="1078" w:type="dxa"/>
                  <w:noWrap w:val="0"/>
                  <w:vAlign w:val="center"/>
                </w:tcPr>
                <w:p w14:paraId="5BAE02A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1642" w:type="dxa"/>
                  <w:tcBorders>
                    <w:right w:val="single" w:color="auto" w:sz="12" w:space="0"/>
                  </w:tcBorders>
                  <w:noWrap w:val="0"/>
                  <w:vAlign w:val="center"/>
                </w:tcPr>
                <w:p w14:paraId="23E714C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8628</w:t>
                  </w:r>
                </w:p>
                <w:p w14:paraId="4AA9182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86294N程序，干燥方法A</w:t>
                  </w:r>
                </w:p>
                <w:p w14:paraId="04531F5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GB/T 8630</w:t>
                  </w:r>
                </w:p>
              </w:tc>
            </w:tr>
            <w:tr w14:paraId="689E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657" w:type="dxa"/>
                  <w:tcBorders>
                    <w:left w:val="single" w:color="auto" w:sz="12" w:space="0"/>
                    <w:bottom w:val="single" w:color="auto" w:sz="12" w:space="0"/>
                    <w:right w:val="single" w:color="auto" w:sz="6" w:space="0"/>
                  </w:tcBorders>
                  <w:noWrap w:val="0"/>
                  <w:vAlign w:val="center"/>
                </w:tcPr>
                <w:p w14:paraId="63AC869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767" w:type="dxa"/>
                  <w:tcBorders>
                    <w:left w:val="single" w:color="auto" w:sz="6" w:space="0"/>
                    <w:bottom w:val="single" w:color="auto" w:sz="12" w:space="0"/>
                    <w:right w:val="single" w:color="auto" w:sz="6" w:space="0"/>
                  </w:tcBorders>
                  <w:noWrap w:val="0"/>
                  <w:vAlign w:val="center"/>
                </w:tcPr>
                <w:p w14:paraId="6B07739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填充物</w:t>
                  </w:r>
                </w:p>
              </w:tc>
              <w:tc>
                <w:tcPr>
                  <w:tcW w:w="2414" w:type="dxa"/>
                  <w:gridSpan w:val="2"/>
                  <w:tcBorders>
                    <w:left w:val="single" w:color="auto" w:sz="6" w:space="0"/>
                    <w:bottom w:val="single" w:color="auto" w:sz="12" w:space="0"/>
                    <w:right w:val="single" w:color="auto" w:sz="6" w:space="0"/>
                  </w:tcBorders>
                  <w:noWrap w:val="0"/>
                  <w:vAlign w:val="center"/>
                </w:tcPr>
                <w:p w14:paraId="6EEE1FB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GH/T 1020中棉胎感官等级要求，级，≥</w:t>
                  </w:r>
                </w:p>
              </w:tc>
              <w:tc>
                <w:tcPr>
                  <w:tcW w:w="1078" w:type="dxa"/>
                  <w:tcBorders>
                    <w:left w:val="single" w:color="auto" w:sz="6" w:space="0"/>
                    <w:bottom w:val="single" w:color="auto" w:sz="12" w:space="0"/>
                    <w:right w:val="single" w:color="auto" w:sz="6" w:space="0"/>
                  </w:tcBorders>
                  <w:noWrap w:val="0"/>
                  <w:vAlign w:val="center"/>
                </w:tcPr>
                <w:p w14:paraId="08CDAD6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二级</w:t>
                  </w:r>
                </w:p>
              </w:tc>
              <w:tc>
                <w:tcPr>
                  <w:tcW w:w="1642" w:type="dxa"/>
                  <w:tcBorders>
                    <w:left w:val="single" w:color="auto" w:sz="6" w:space="0"/>
                    <w:bottom w:val="single" w:color="auto" w:sz="12" w:space="0"/>
                    <w:right w:val="single" w:color="auto" w:sz="12" w:space="0"/>
                  </w:tcBorders>
                  <w:noWrap w:val="0"/>
                  <w:vAlign w:val="center"/>
                </w:tcPr>
                <w:p w14:paraId="2CA9D038">
                  <w:pPr>
                    <w:widowControl/>
                    <w:jc w:val="center"/>
                    <w:rPr>
                      <w:rFonts w:hint="eastAsia" w:ascii="宋体" w:hAnsi="宋体" w:eastAsia="宋体" w:cs="宋体"/>
                      <w:color w:val="000000"/>
                      <w:sz w:val="18"/>
                      <w:szCs w:val="18"/>
                    </w:rPr>
                  </w:pPr>
                  <w:r>
                    <w:rPr>
                      <w:rFonts w:hint="eastAsia" w:ascii="宋体" w:hAnsi="宋体" w:eastAsia="宋体" w:cs="宋体"/>
                      <w:color w:val="auto"/>
                      <w:sz w:val="18"/>
                      <w:szCs w:val="18"/>
                    </w:rPr>
                    <w:t>条款4.1</w:t>
                  </w:r>
                </w:p>
              </w:tc>
            </w:tr>
          </w:tbl>
          <w:p w14:paraId="54A82F04">
            <w:pPr>
              <w:keepNext w:val="0"/>
              <w:keepLines w:val="0"/>
              <w:pageBreakBefore w:val="0"/>
              <w:widowControl/>
              <w:numPr>
                <w:ilvl w:val="0"/>
                <w:numId w:val="23"/>
              </w:numPr>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4"/>
              <w:rPr>
                <w:rFonts w:hAnsi="黑体" w:eastAsia="黑体"/>
                <w:color w:val="auto"/>
                <w:kern w:val="0"/>
                <w:sz w:val="21"/>
                <w:szCs w:val="21"/>
              </w:rPr>
            </w:pPr>
            <w:r>
              <w:rPr>
                <w:rFonts w:hAnsi="黑体" w:eastAsia="黑体"/>
                <w:color w:val="auto"/>
                <w:kern w:val="0"/>
                <w:sz w:val="21"/>
                <w:szCs w:val="21"/>
              </w:rPr>
              <w:t>验收规则</w:t>
            </w:r>
          </w:p>
          <w:p w14:paraId="15C9E889">
            <w:pPr>
              <w:keepNext w:val="0"/>
              <w:keepLines w:val="0"/>
              <w:pageBreakBefore w:val="0"/>
              <w:widowControl/>
              <w:numPr>
                <w:ilvl w:val="1"/>
                <w:numId w:val="23"/>
              </w:numPr>
              <w:kinsoku/>
              <w:wordWrap/>
              <w:overflowPunct/>
              <w:topLinePunct w:val="0"/>
              <w:bidi w:val="0"/>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基本原则</w:t>
            </w:r>
          </w:p>
          <w:p w14:paraId="375DDFF1">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bCs/>
                <w:color w:val="000000"/>
                <w:kern w:val="21"/>
                <w:sz w:val="21"/>
                <w:szCs w:val="21"/>
                <w:lang w:eastAsia="zh-CN"/>
              </w:rPr>
            </w:pPr>
            <w:r>
              <w:rPr>
                <w:rFonts w:hint="eastAsia" w:ascii="宋体" w:hAnsi="宋体" w:eastAsia="宋体" w:cs="宋体"/>
                <w:bCs/>
                <w:color w:val="000000"/>
                <w:kern w:val="21"/>
                <w:sz w:val="21"/>
                <w:szCs w:val="21"/>
              </w:rPr>
              <w:t>成品交付验收暨入库检验按</w:t>
            </w:r>
            <w:r>
              <w:rPr>
                <w:rFonts w:hint="eastAsia" w:ascii="宋体" w:hAnsi="宋体" w:eastAsia="宋体" w:cs="宋体"/>
                <w:bCs/>
                <w:color w:val="000000"/>
                <w:kern w:val="21"/>
                <w:sz w:val="21"/>
                <w:szCs w:val="21"/>
                <w:lang w:eastAsia="zh-CN"/>
              </w:rPr>
              <w:t>本规则</w:t>
            </w:r>
            <w:r>
              <w:rPr>
                <w:rFonts w:hint="eastAsia" w:ascii="宋体" w:hAnsi="宋体" w:eastAsia="宋体" w:cs="宋体"/>
                <w:bCs/>
                <w:color w:val="000000"/>
                <w:kern w:val="21"/>
                <w:sz w:val="21"/>
                <w:szCs w:val="21"/>
              </w:rPr>
              <w:t>要求进行</w:t>
            </w:r>
            <w:r>
              <w:rPr>
                <w:rFonts w:hint="eastAsia" w:ascii="宋体" w:hAnsi="宋体" w:eastAsia="宋体" w:cs="宋体"/>
                <w:bCs/>
                <w:color w:val="000000"/>
                <w:kern w:val="21"/>
                <w:sz w:val="21"/>
                <w:szCs w:val="21"/>
                <w:lang w:eastAsia="zh-CN"/>
              </w:rPr>
              <w:t>。</w:t>
            </w:r>
          </w:p>
          <w:p w14:paraId="3936292E">
            <w:pPr>
              <w:keepNext w:val="0"/>
              <w:keepLines w:val="0"/>
              <w:pageBreakBefore w:val="0"/>
              <w:widowControl/>
              <w:numPr>
                <w:ilvl w:val="1"/>
                <w:numId w:val="23"/>
              </w:numPr>
              <w:kinsoku/>
              <w:wordWrap/>
              <w:overflowPunct/>
              <w:topLinePunct w:val="0"/>
              <w:bidi w:val="0"/>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抽样</w:t>
            </w:r>
          </w:p>
          <w:p w14:paraId="4182BC7B">
            <w:pPr>
              <w:keepNext w:val="0"/>
              <w:keepLines w:val="0"/>
              <w:pageBreakBefore w:val="0"/>
              <w:widowControl/>
              <w:kinsoku/>
              <w:wordWrap/>
              <w:overflowPunct/>
              <w:topLinePunct w:val="0"/>
              <w:bidi w:val="0"/>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方正黑体_GBK" w:hAnsi="方正黑体_GBK" w:eastAsia="方正黑体_GBK" w:cs="方正黑体_GBK"/>
                <w:kern w:val="24"/>
                <w:sz w:val="21"/>
                <w:szCs w:val="21"/>
              </w:rPr>
              <w:t>5.2.1  抽样时间</w:t>
            </w:r>
          </w:p>
          <w:p w14:paraId="748CB695">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bCs/>
                <w:color w:val="000000"/>
                <w:kern w:val="21"/>
                <w:sz w:val="21"/>
                <w:szCs w:val="21"/>
              </w:rPr>
            </w:pPr>
            <w:r>
              <w:rPr>
                <w:rFonts w:hint="eastAsia" w:ascii="宋体" w:hAnsi="宋体" w:eastAsia="宋体" w:cs="宋体"/>
                <w:bCs/>
                <w:color w:val="000000"/>
                <w:kern w:val="21"/>
                <w:sz w:val="21"/>
                <w:szCs w:val="21"/>
              </w:rPr>
              <w:t>生产供货方将救灾物资运送至指定地点后，收货方应清点数量并出具救灾物资入库收据。救灾物资入库后即可组织抽样。</w:t>
            </w:r>
          </w:p>
          <w:p w14:paraId="57D49182">
            <w:pPr>
              <w:keepNext w:val="0"/>
              <w:keepLines w:val="0"/>
              <w:pageBreakBefore w:val="0"/>
              <w:widowControl/>
              <w:kinsoku/>
              <w:wordWrap/>
              <w:overflowPunct/>
              <w:topLinePunct w:val="0"/>
              <w:bidi w:val="0"/>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方正黑体_GBK" w:hAnsi="方正黑体_GBK" w:eastAsia="方正黑体_GBK" w:cs="方正黑体_GBK"/>
                <w:kern w:val="24"/>
                <w:sz w:val="21"/>
                <w:szCs w:val="21"/>
              </w:rPr>
              <w:t>5.2.2  抽样人员</w:t>
            </w:r>
          </w:p>
          <w:p w14:paraId="4B142351">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jc w:val="left"/>
              <w:textAlignment w:val="auto"/>
              <w:rPr>
                <w:rFonts w:hint="eastAsia" w:ascii="宋体" w:hAnsi="宋体" w:eastAsia="宋体" w:cs="宋体"/>
                <w:bCs/>
                <w:color w:val="000000"/>
                <w:kern w:val="21"/>
                <w:sz w:val="21"/>
                <w:szCs w:val="21"/>
              </w:rPr>
            </w:pPr>
            <w:r>
              <w:rPr>
                <w:rFonts w:hint="eastAsia" w:ascii="宋体" w:hAnsi="宋体" w:eastAsia="宋体" w:cs="宋体"/>
                <w:bCs/>
                <w:color w:val="000000"/>
                <w:kern w:val="21"/>
                <w:sz w:val="21"/>
                <w:szCs w:val="21"/>
              </w:rPr>
              <w:t>抽样人员可由收货方或采购方指定，也可由收货方或采购方组织相关方面人员参与，通常可包括收货方代表、检验机构代表、或者收货方或采购方认为有必要的机构人员代表；抽样执行人员至少2名（不含生产供货方代表）。</w:t>
            </w:r>
          </w:p>
          <w:p w14:paraId="1DD41554">
            <w:pPr>
              <w:keepNext w:val="0"/>
              <w:keepLines w:val="0"/>
              <w:pageBreakBefore w:val="0"/>
              <w:widowControl/>
              <w:kinsoku/>
              <w:wordWrap/>
              <w:overflowPunct/>
              <w:topLinePunct w:val="0"/>
              <w:bidi w:val="0"/>
              <w:spacing w:line="240" w:lineRule="auto"/>
              <w:ind w:left="420" w:leftChars="200" w:firstLine="0" w:firstLineChars="0"/>
              <w:jc w:val="left"/>
              <w:textAlignment w:val="auto"/>
              <w:outlineLvl w:val="6"/>
              <w:rPr>
                <w:rFonts w:hint="eastAsia" w:ascii="方正黑体_GBK" w:hAnsi="方正黑体_GBK" w:eastAsia="方正黑体_GBK" w:cs="方正黑体_GBK"/>
                <w:kern w:val="24"/>
                <w:sz w:val="21"/>
                <w:szCs w:val="21"/>
              </w:rPr>
            </w:pPr>
            <w:r>
              <w:rPr>
                <w:rFonts w:hint="eastAsia" w:ascii="方正黑体_GBK" w:hAnsi="方正黑体_GBK" w:eastAsia="方正黑体_GBK" w:cs="方正黑体_GBK"/>
                <w:kern w:val="24"/>
                <w:sz w:val="21"/>
                <w:szCs w:val="21"/>
              </w:rPr>
              <w:t>5.2.3  抽样方式和数量</w:t>
            </w:r>
          </w:p>
          <w:p w14:paraId="07BB7382">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bCs/>
                <w:color w:val="000000"/>
                <w:kern w:val="21"/>
                <w:sz w:val="21"/>
                <w:szCs w:val="21"/>
              </w:rPr>
            </w:pPr>
            <w:r>
              <w:rPr>
                <w:rFonts w:hint="eastAsia" w:ascii="宋体" w:hAnsi="宋体" w:eastAsia="宋体" w:cs="宋体"/>
                <w:bCs/>
                <w:color w:val="000000"/>
                <w:kern w:val="21"/>
                <w:sz w:val="21"/>
                <w:szCs w:val="21"/>
              </w:rPr>
              <w:t>抽样前不得随意将物资分包，确保样品抽取的随机性和公开透明。抽样人员应采取系统抽样和随机抽样结合的方式进行，原则上救灾棉被批量每10000床抽取至少10床(取自至少2包)进行外观检验，批量较大时抽样总计不少于30床。外观检验后至少取1床用于成品和材料性能检验。</w:t>
            </w:r>
          </w:p>
          <w:p w14:paraId="3F0B5EBB">
            <w:pPr>
              <w:keepNext w:val="0"/>
              <w:keepLines w:val="0"/>
              <w:pageBreakBefore w:val="0"/>
              <w:widowControl/>
              <w:numPr>
                <w:ilvl w:val="1"/>
                <w:numId w:val="23"/>
              </w:numPr>
              <w:kinsoku/>
              <w:wordWrap/>
              <w:overflowPunct/>
              <w:topLinePunct w:val="0"/>
              <w:bidi w:val="0"/>
              <w:spacing w:line="240" w:lineRule="auto"/>
              <w:ind w:left="420" w:leftChars="200" w:firstLine="0" w:firstLineChars="0"/>
              <w:textAlignment w:val="auto"/>
              <w:outlineLvl w:val="5"/>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检验项目</w:t>
            </w:r>
          </w:p>
          <w:p w14:paraId="25E77F82">
            <w:pPr>
              <w:keepNext w:val="0"/>
              <w:keepLines w:val="0"/>
              <w:pageBreakBefore w:val="0"/>
              <w:widowControl/>
              <w:kinsoku/>
              <w:wordWrap/>
              <w:overflowPunct/>
              <w:topLinePunct w:val="0"/>
              <w:bidi w:val="0"/>
              <w:spacing w:line="240" w:lineRule="auto"/>
              <w:ind w:left="420" w:leftChars="200" w:firstLine="0" w:firstLineChars="0"/>
              <w:jc w:val="left"/>
              <w:textAlignment w:val="auto"/>
              <w:outlineLvl w:val="6"/>
              <w:rPr>
                <w:rFonts w:hint="eastAsia" w:ascii="宋体" w:hAnsi="宋体" w:eastAsia="宋体" w:cs="宋体"/>
                <w:bCs/>
                <w:color w:val="000000"/>
                <w:kern w:val="21"/>
                <w:sz w:val="21"/>
                <w:szCs w:val="21"/>
              </w:rPr>
            </w:pPr>
            <w:r>
              <w:rPr>
                <w:rFonts w:hint="eastAsia" w:ascii="方正黑体_GBK" w:hAnsi="方正黑体_GBK" w:eastAsia="方正黑体_GBK" w:cs="方正黑体_GBK"/>
                <w:kern w:val="24"/>
                <w:sz w:val="21"/>
                <w:szCs w:val="21"/>
              </w:rPr>
              <w:t>5.3.1</w:t>
            </w:r>
            <w:r>
              <w:rPr>
                <w:rFonts w:hint="eastAsia" w:ascii="宋体" w:hAnsi="宋体" w:eastAsia="宋体" w:cs="宋体"/>
                <w:bCs/>
                <w:color w:val="000000"/>
                <w:kern w:val="21"/>
                <w:sz w:val="21"/>
                <w:szCs w:val="21"/>
              </w:rPr>
              <w:t>外观和缝制质量，包括样式、规格、色泽、缝制、包装标志等（3.1-3.8、6.1、6.2条）。</w:t>
            </w:r>
          </w:p>
          <w:p w14:paraId="1C6F87CC">
            <w:pPr>
              <w:keepNext w:val="0"/>
              <w:keepLines w:val="0"/>
              <w:pageBreakBefore w:val="0"/>
              <w:widowControl/>
              <w:kinsoku/>
              <w:wordWrap/>
              <w:overflowPunct/>
              <w:topLinePunct w:val="0"/>
              <w:bidi w:val="0"/>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方正黑体_GBK" w:hAnsi="方正黑体_GBK" w:eastAsia="方正黑体_GBK" w:cs="方正黑体_GBK"/>
                <w:kern w:val="24"/>
                <w:sz w:val="21"/>
                <w:szCs w:val="21"/>
              </w:rPr>
              <w:t>5.3.2</w:t>
            </w:r>
            <w:r>
              <w:rPr>
                <w:rFonts w:hint="eastAsia" w:ascii="宋体" w:hAnsi="宋体" w:eastAsia="宋体" w:cs="宋体"/>
                <w:kern w:val="24"/>
                <w:sz w:val="21"/>
                <w:szCs w:val="21"/>
              </w:rPr>
              <w:t>成品和材料性能</w:t>
            </w:r>
          </w:p>
          <w:p w14:paraId="42CBD79F">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jc w:val="left"/>
              <w:textAlignment w:val="auto"/>
              <w:rPr>
                <w:rFonts w:hint="eastAsia" w:ascii="宋体" w:hAnsi="宋体" w:eastAsia="宋体" w:cs="宋体"/>
                <w:bCs/>
                <w:color w:val="000000"/>
                <w:kern w:val="21"/>
                <w:sz w:val="21"/>
                <w:szCs w:val="21"/>
              </w:rPr>
            </w:pPr>
            <w:r>
              <w:rPr>
                <w:rFonts w:hint="eastAsia" w:ascii="宋体" w:hAnsi="宋体" w:eastAsia="宋体" w:cs="宋体"/>
                <w:bCs/>
                <w:color w:val="000000"/>
                <w:kern w:val="21"/>
                <w:sz w:val="21"/>
                <w:szCs w:val="21"/>
              </w:rPr>
              <w:t>按表4规定要求。</w:t>
            </w:r>
          </w:p>
          <w:p w14:paraId="3304A934">
            <w:pPr>
              <w:keepNext w:val="0"/>
              <w:keepLines w:val="0"/>
              <w:pageBreakBefore w:val="0"/>
              <w:widowControl/>
              <w:numPr>
                <w:ilvl w:val="1"/>
                <w:numId w:val="23"/>
              </w:numPr>
              <w:kinsoku/>
              <w:wordWrap/>
              <w:overflowPunct/>
              <w:topLinePunct w:val="0"/>
              <w:bidi w:val="0"/>
              <w:spacing w:line="240" w:lineRule="auto"/>
              <w:ind w:left="420" w:leftChars="200" w:firstLine="0" w:firstLineChars="0"/>
              <w:textAlignment w:val="auto"/>
              <w:outlineLvl w:val="5"/>
              <w:rPr>
                <w:rFonts w:hint="eastAsia" w:ascii="宋体" w:hAnsi="宋体" w:eastAsia="宋体" w:cs="宋体"/>
                <w:kern w:val="21"/>
                <w:sz w:val="21"/>
                <w:szCs w:val="21"/>
              </w:rPr>
            </w:pPr>
            <w:r>
              <w:rPr>
                <w:rFonts w:hint="eastAsia" w:ascii="宋体" w:hAnsi="宋体" w:eastAsia="宋体" w:cs="宋体"/>
                <w:kern w:val="21"/>
                <w:sz w:val="21"/>
                <w:szCs w:val="21"/>
              </w:rPr>
              <w:t>外观质量</w:t>
            </w:r>
          </w:p>
          <w:p w14:paraId="6181D3C0">
            <w:pPr>
              <w:keepNext w:val="0"/>
              <w:keepLines w:val="0"/>
              <w:pageBreakBefore w:val="0"/>
              <w:widowControl/>
              <w:kinsoku/>
              <w:wordWrap/>
              <w:overflowPunct/>
              <w:topLinePunct w:val="0"/>
              <w:bidi w:val="0"/>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方正黑体_GBK" w:hAnsi="方正黑体_GBK" w:eastAsia="方正黑体_GBK" w:cs="方正黑体_GBK"/>
                <w:kern w:val="24"/>
                <w:sz w:val="21"/>
                <w:szCs w:val="21"/>
              </w:rPr>
              <w:t xml:space="preserve">5.4.1 </w:t>
            </w:r>
            <w:r>
              <w:rPr>
                <w:rFonts w:hint="eastAsia" w:ascii="宋体" w:hAnsi="宋体" w:eastAsia="宋体" w:cs="宋体"/>
                <w:kern w:val="24"/>
                <w:sz w:val="21"/>
                <w:szCs w:val="21"/>
              </w:rPr>
              <w:t xml:space="preserve"> 外观检验</w:t>
            </w:r>
          </w:p>
          <w:p w14:paraId="1423E9A3">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jc w:val="left"/>
              <w:textAlignment w:val="auto"/>
              <w:rPr>
                <w:rFonts w:hint="eastAsia" w:ascii="宋体" w:hAnsi="宋体" w:eastAsia="宋体" w:cs="宋体"/>
                <w:bCs/>
                <w:color w:val="000000"/>
                <w:kern w:val="21"/>
                <w:sz w:val="21"/>
                <w:szCs w:val="21"/>
                <w:lang w:eastAsia="zh-CN"/>
              </w:rPr>
            </w:pPr>
            <w:r>
              <w:rPr>
                <w:rFonts w:hint="eastAsia" w:ascii="宋体" w:hAnsi="宋体" w:eastAsia="宋体" w:cs="宋体"/>
                <w:bCs/>
                <w:color w:val="000000"/>
                <w:kern w:val="21"/>
                <w:sz w:val="21"/>
                <w:szCs w:val="21"/>
              </w:rPr>
              <w:t>按3.1-3.8、6.1、6.2 条要求逐项检验</w:t>
            </w:r>
            <w:r>
              <w:rPr>
                <w:rFonts w:hint="eastAsia" w:ascii="宋体" w:hAnsi="宋体" w:eastAsia="宋体" w:cs="宋体"/>
                <w:bCs/>
                <w:color w:val="000000"/>
                <w:kern w:val="21"/>
                <w:sz w:val="21"/>
                <w:szCs w:val="21"/>
                <w:lang w:eastAsia="zh-CN"/>
              </w:rPr>
              <w:t>。</w:t>
            </w:r>
          </w:p>
          <w:p w14:paraId="0ECAB97A">
            <w:pPr>
              <w:keepNext w:val="0"/>
              <w:keepLines w:val="0"/>
              <w:pageBreakBefore w:val="0"/>
              <w:widowControl/>
              <w:kinsoku/>
              <w:wordWrap/>
              <w:overflowPunct/>
              <w:topLinePunct w:val="0"/>
              <w:bidi w:val="0"/>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方正黑体_GBK" w:hAnsi="方正黑体_GBK" w:eastAsia="方正黑体_GBK" w:cs="方正黑体_GBK"/>
                <w:kern w:val="24"/>
                <w:sz w:val="21"/>
                <w:szCs w:val="21"/>
              </w:rPr>
              <w:t xml:space="preserve">5.4.2 </w:t>
            </w:r>
            <w:r>
              <w:rPr>
                <w:rFonts w:hint="eastAsia" w:ascii="宋体" w:hAnsi="宋体" w:eastAsia="宋体" w:cs="宋体"/>
                <w:kern w:val="24"/>
                <w:sz w:val="21"/>
                <w:szCs w:val="21"/>
              </w:rPr>
              <w:t xml:space="preserve"> 缺陷划分</w:t>
            </w:r>
          </w:p>
          <w:p w14:paraId="6FC4F94A">
            <w:pPr>
              <w:keepNext w:val="0"/>
              <w:keepLines w:val="0"/>
              <w:pageBreakBefore w:val="0"/>
              <w:widowControl/>
              <w:kinsoku/>
              <w:wordWrap/>
              <w:overflowPunct/>
              <w:topLinePunct w:val="0"/>
              <w:autoSpaceDE w:val="0"/>
              <w:autoSpaceDN w:val="0"/>
              <w:bidi w:val="0"/>
              <w:adjustRightInd/>
              <w:snapToGrid/>
              <w:spacing w:line="240" w:lineRule="auto"/>
              <w:ind w:left="420" w:leftChars="20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成品外观不符合标准规定的技术要求，即构成缺陷，按其不符合标准和对产品使用性能及外观影响的程度分为：</w:t>
            </w:r>
          </w:p>
          <w:p w14:paraId="0C2CD410">
            <w:pPr>
              <w:keepNext w:val="0"/>
              <w:keepLines w:val="0"/>
              <w:pageBreakBefore w:val="0"/>
              <w:widowControl/>
              <w:kinsoku/>
              <w:wordWrap/>
              <w:overflowPunct/>
              <w:topLinePunct w:val="0"/>
              <w:autoSpaceDE w:val="0"/>
              <w:autoSpaceDN w:val="0"/>
              <w:bidi w:val="0"/>
              <w:spacing w:line="240" w:lineRule="auto"/>
              <w:ind w:left="420" w:leftChars="2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1）严重缺陷：严重不符合标准规定、严重影响产品使用性能和产品外观的缺陷；</w:t>
            </w:r>
          </w:p>
          <w:p w14:paraId="0AEA9BF1">
            <w:pPr>
              <w:keepNext w:val="0"/>
              <w:keepLines w:val="0"/>
              <w:pageBreakBefore w:val="0"/>
              <w:widowControl/>
              <w:kinsoku/>
              <w:wordWrap/>
              <w:overflowPunct/>
              <w:topLinePunct w:val="0"/>
              <w:autoSpaceDE w:val="0"/>
              <w:autoSpaceDN w:val="0"/>
              <w:bidi w:val="0"/>
              <w:spacing w:line="240" w:lineRule="auto"/>
              <w:ind w:left="420" w:leftChars="2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2）重缺陷：明显不符合标准规定、但对产品使用性能和产品外观影响不严重的缺陷；</w:t>
            </w:r>
          </w:p>
          <w:p w14:paraId="49E432D0">
            <w:pPr>
              <w:keepNext w:val="0"/>
              <w:keepLines w:val="0"/>
              <w:pageBreakBefore w:val="0"/>
              <w:widowControl/>
              <w:kinsoku/>
              <w:wordWrap/>
              <w:overflowPunct/>
              <w:topLinePunct w:val="0"/>
              <w:autoSpaceDE w:val="0"/>
              <w:autoSpaceDN w:val="0"/>
              <w:bidi w:val="0"/>
              <w:spacing w:line="240" w:lineRule="auto"/>
              <w:ind w:left="420" w:leftChars="200"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3）轻缺陷：不符合标准规定、但对产品使用性能和产品外观影响较小的缺陷。</w:t>
            </w:r>
          </w:p>
          <w:p w14:paraId="59320AAC">
            <w:pPr>
              <w:keepNext w:val="0"/>
              <w:keepLines w:val="0"/>
              <w:pageBreakBefore w:val="0"/>
              <w:widowControl/>
              <w:kinsoku/>
              <w:wordWrap/>
              <w:overflowPunct/>
              <w:topLinePunct w:val="0"/>
              <w:bidi w:val="0"/>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方正黑体_GBK" w:hAnsi="方正黑体_GBK" w:eastAsia="方正黑体_GBK" w:cs="方正黑体_GBK"/>
                <w:kern w:val="24"/>
                <w:sz w:val="21"/>
                <w:szCs w:val="21"/>
              </w:rPr>
              <w:t xml:space="preserve">5.4.3 </w:t>
            </w:r>
            <w:r>
              <w:rPr>
                <w:rFonts w:hint="eastAsia" w:ascii="宋体" w:hAnsi="宋体" w:eastAsia="宋体" w:cs="宋体"/>
                <w:kern w:val="24"/>
                <w:sz w:val="21"/>
                <w:szCs w:val="21"/>
              </w:rPr>
              <w:t xml:space="preserve"> 缺陷判定细则</w:t>
            </w:r>
          </w:p>
          <w:p w14:paraId="767688C7">
            <w:pPr>
              <w:keepNext w:val="0"/>
              <w:keepLines w:val="0"/>
              <w:pageBreakBefore w:val="0"/>
              <w:widowControl/>
              <w:kinsoku/>
              <w:wordWrap/>
              <w:overflowPunct/>
              <w:topLinePunct w:val="0"/>
              <w:autoSpaceDE w:val="0"/>
              <w:autoSpaceDN w:val="0"/>
              <w:bidi w:val="0"/>
              <w:adjustRightInd/>
              <w:snapToGrid/>
              <w:spacing w:line="240" w:lineRule="auto"/>
              <w:ind w:left="420" w:leftChars="20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单件产品缺陷判定按表5规定。</w:t>
            </w:r>
          </w:p>
          <w:p w14:paraId="2CF332D8">
            <w:pPr>
              <w:keepLines w:val="0"/>
              <w:pageBreakBefore w:val="0"/>
              <w:widowControl/>
              <w:topLinePunct w:val="0"/>
              <w:bidi w:val="0"/>
              <w:spacing w:line="240" w:lineRule="auto"/>
              <w:jc w:val="center"/>
              <w:rPr>
                <w:rFonts w:hAnsi="黑体" w:eastAsia="黑体"/>
                <w:kern w:val="0"/>
                <w:sz w:val="21"/>
                <w:szCs w:val="21"/>
              </w:rPr>
            </w:pPr>
          </w:p>
          <w:p w14:paraId="3F732342">
            <w:pPr>
              <w:pStyle w:val="2"/>
              <w:rPr>
                <w:rFonts w:hAnsi="黑体" w:eastAsia="黑体"/>
                <w:kern w:val="0"/>
                <w:sz w:val="21"/>
                <w:szCs w:val="21"/>
              </w:rPr>
            </w:pPr>
          </w:p>
          <w:p w14:paraId="6B0E6236">
            <w:pPr>
              <w:rPr>
                <w:rFonts w:hAnsi="黑体" w:eastAsia="黑体"/>
                <w:kern w:val="0"/>
                <w:sz w:val="21"/>
                <w:szCs w:val="21"/>
              </w:rPr>
            </w:pPr>
          </w:p>
          <w:p w14:paraId="5AB6F1D6">
            <w:pPr>
              <w:pStyle w:val="2"/>
            </w:pPr>
          </w:p>
          <w:p w14:paraId="3AC0AD64"/>
          <w:p w14:paraId="771E683E">
            <w:pPr>
              <w:keepLines w:val="0"/>
              <w:pageBreakBefore w:val="0"/>
              <w:widowControl/>
              <w:topLinePunct w:val="0"/>
              <w:bidi w:val="0"/>
              <w:spacing w:line="240" w:lineRule="auto"/>
              <w:jc w:val="center"/>
              <w:rPr>
                <w:rFonts w:hint="eastAsia" w:ascii="方正小标宋简体" w:hAnsi="方正小标宋简体" w:eastAsia="方正小标宋简体" w:cs="方正小标宋简体"/>
                <w:kern w:val="0"/>
                <w:sz w:val="21"/>
                <w:szCs w:val="21"/>
              </w:rPr>
            </w:pPr>
            <w:r>
              <w:rPr>
                <w:rFonts w:hint="eastAsia" w:ascii="方正小标宋简体" w:hAnsi="方正小标宋简体" w:eastAsia="方正小标宋简体" w:cs="方正小标宋简体"/>
                <w:kern w:val="0"/>
                <w:sz w:val="21"/>
                <w:szCs w:val="21"/>
              </w:rPr>
              <w:t>表5  缺陷判定细则</w:t>
            </w:r>
          </w:p>
          <w:tbl>
            <w:tblPr>
              <w:tblStyle w:val="58"/>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14"/>
              <w:gridCol w:w="1986"/>
              <w:gridCol w:w="1702"/>
              <w:gridCol w:w="1510"/>
            </w:tblGrid>
            <w:tr w14:paraId="3D5C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46" w:type="dxa"/>
                  <w:tcBorders>
                    <w:top w:val="single" w:color="auto" w:sz="12" w:space="0"/>
                    <w:left w:val="single" w:color="auto" w:sz="12" w:space="0"/>
                    <w:bottom w:val="single" w:color="auto" w:sz="12" w:space="0"/>
                    <w:right w:val="single" w:color="auto" w:sz="4" w:space="0"/>
                  </w:tcBorders>
                  <w:noWrap w:val="0"/>
                  <w:vAlign w:val="center"/>
                </w:tcPr>
                <w:p w14:paraId="3965980F">
                  <w:pPr>
                    <w:keepLines w:val="0"/>
                    <w:pageBreakBefore w:val="0"/>
                    <w:kinsoku w:val="0"/>
                    <w:overflowPunct w:val="0"/>
                    <w:topLinePunct w:val="0"/>
                    <w:autoSpaceDE w:val="0"/>
                    <w:autoSpaceDN w:val="0"/>
                    <w:bidi w:val="0"/>
                    <w:spacing w:line="240" w:lineRule="auto"/>
                    <w:jc w:val="center"/>
                    <w:rPr>
                      <w:rFonts w:hint="eastAsia" w:ascii="黑体" w:hAnsi="黑体" w:eastAsia="黑体" w:cs="黑体"/>
                      <w:color w:val="000000"/>
                      <w:kern w:val="18"/>
                      <w:sz w:val="21"/>
                      <w:szCs w:val="21"/>
                    </w:rPr>
                  </w:pPr>
                  <w:r>
                    <w:rPr>
                      <w:rFonts w:hint="eastAsia" w:ascii="黑体" w:hAnsi="黑体" w:eastAsia="黑体" w:cs="黑体"/>
                      <w:color w:val="000000"/>
                      <w:kern w:val="18"/>
                      <w:sz w:val="21"/>
                      <w:szCs w:val="21"/>
                    </w:rPr>
                    <w:t>序号</w:t>
                  </w:r>
                </w:p>
              </w:tc>
              <w:tc>
                <w:tcPr>
                  <w:tcW w:w="814" w:type="dxa"/>
                  <w:tcBorders>
                    <w:top w:val="single" w:color="auto" w:sz="12" w:space="0"/>
                    <w:left w:val="single" w:color="auto" w:sz="4" w:space="0"/>
                    <w:bottom w:val="single" w:color="auto" w:sz="12" w:space="0"/>
                    <w:right w:val="single" w:color="auto" w:sz="4" w:space="0"/>
                  </w:tcBorders>
                  <w:noWrap w:val="0"/>
                  <w:vAlign w:val="center"/>
                </w:tcPr>
                <w:p w14:paraId="21FA20EC">
                  <w:pPr>
                    <w:keepLines w:val="0"/>
                    <w:pageBreakBefore w:val="0"/>
                    <w:kinsoku w:val="0"/>
                    <w:overflowPunct w:val="0"/>
                    <w:topLinePunct w:val="0"/>
                    <w:autoSpaceDE w:val="0"/>
                    <w:autoSpaceDN w:val="0"/>
                    <w:bidi w:val="0"/>
                    <w:spacing w:line="240" w:lineRule="auto"/>
                    <w:jc w:val="center"/>
                    <w:rPr>
                      <w:rFonts w:hint="eastAsia" w:ascii="黑体" w:hAnsi="黑体" w:eastAsia="黑体" w:cs="黑体"/>
                      <w:color w:val="000000"/>
                      <w:kern w:val="18"/>
                      <w:sz w:val="21"/>
                      <w:szCs w:val="21"/>
                    </w:rPr>
                  </w:pPr>
                  <w:r>
                    <w:rPr>
                      <w:rFonts w:hint="eastAsia" w:ascii="黑体" w:hAnsi="黑体" w:eastAsia="黑体" w:cs="黑体"/>
                      <w:color w:val="000000"/>
                      <w:kern w:val="18"/>
                      <w:sz w:val="21"/>
                      <w:szCs w:val="21"/>
                    </w:rPr>
                    <w:t>项目</w:t>
                  </w:r>
                </w:p>
              </w:tc>
              <w:tc>
                <w:tcPr>
                  <w:tcW w:w="1986" w:type="dxa"/>
                  <w:tcBorders>
                    <w:top w:val="single" w:color="auto" w:sz="12" w:space="0"/>
                    <w:left w:val="single" w:color="auto" w:sz="4" w:space="0"/>
                    <w:bottom w:val="single" w:color="auto" w:sz="12" w:space="0"/>
                    <w:right w:val="single" w:color="auto" w:sz="4" w:space="0"/>
                  </w:tcBorders>
                  <w:noWrap w:val="0"/>
                  <w:vAlign w:val="center"/>
                </w:tcPr>
                <w:p w14:paraId="3BACD5A9">
                  <w:pPr>
                    <w:keepLines w:val="0"/>
                    <w:pageBreakBefore w:val="0"/>
                    <w:kinsoku w:val="0"/>
                    <w:overflowPunct w:val="0"/>
                    <w:topLinePunct w:val="0"/>
                    <w:autoSpaceDE w:val="0"/>
                    <w:autoSpaceDN w:val="0"/>
                    <w:bidi w:val="0"/>
                    <w:spacing w:line="240" w:lineRule="auto"/>
                    <w:jc w:val="center"/>
                    <w:rPr>
                      <w:rFonts w:hint="eastAsia" w:ascii="黑体" w:hAnsi="黑体" w:eastAsia="黑体" w:cs="黑体"/>
                      <w:color w:val="000000"/>
                      <w:kern w:val="18"/>
                      <w:sz w:val="21"/>
                      <w:szCs w:val="21"/>
                    </w:rPr>
                  </w:pPr>
                  <w:r>
                    <w:rPr>
                      <w:rFonts w:hint="eastAsia" w:ascii="黑体" w:hAnsi="黑体" w:eastAsia="黑体" w:cs="黑体"/>
                      <w:color w:val="000000"/>
                      <w:kern w:val="18"/>
                      <w:sz w:val="21"/>
                      <w:szCs w:val="21"/>
                    </w:rPr>
                    <w:t>轻缺陷</w:t>
                  </w:r>
                </w:p>
              </w:tc>
              <w:tc>
                <w:tcPr>
                  <w:tcW w:w="1702" w:type="dxa"/>
                  <w:tcBorders>
                    <w:top w:val="single" w:color="auto" w:sz="12" w:space="0"/>
                    <w:left w:val="single" w:color="auto" w:sz="4" w:space="0"/>
                    <w:bottom w:val="single" w:color="auto" w:sz="12" w:space="0"/>
                    <w:right w:val="single" w:color="auto" w:sz="4" w:space="0"/>
                  </w:tcBorders>
                  <w:noWrap w:val="0"/>
                  <w:vAlign w:val="center"/>
                </w:tcPr>
                <w:p w14:paraId="453E06B0">
                  <w:pPr>
                    <w:keepLines w:val="0"/>
                    <w:pageBreakBefore w:val="0"/>
                    <w:kinsoku w:val="0"/>
                    <w:overflowPunct w:val="0"/>
                    <w:topLinePunct w:val="0"/>
                    <w:autoSpaceDE w:val="0"/>
                    <w:autoSpaceDN w:val="0"/>
                    <w:bidi w:val="0"/>
                    <w:spacing w:line="240" w:lineRule="auto"/>
                    <w:jc w:val="center"/>
                    <w:rPr>
                      <w:rFonts w:hint="eastAsia" w:ascii="黑体" w:hAnsi="黑体" w:eastAsia="黑体" w:cs="黑体"/>
                      <w:color w:val="000000"/>
                      <w:kern w:val="18"/>
                      <w:sz w:val="21"/>
                      <w:szCs w:val="21"/>
                    </w:rPr>
                  </w:pPr>
                  <w:r>
                    <w:rPr>
                      <w:rFonts w:hint="eastAsia" w:ascii="黑体" w:hAnsi="黑体" w:eastAsia="黑体" w:cs="黑体"/>
                      <w:color w:val="000000"/>
                      <w:kern w:val="18"/>
                      <w:sz w:val="21"/>
                      <w:szCs w:val="21"/>
                    </w:rPr>
                    <w:t>重缺陷</w:t>
                  </w:r>
                </w:p>
              </w:tc>
              <w:tc>
                <w:tcPr>
                  <w:tcW w:w="1510" w:type="dxa"/>
                  <w:tcBorders>
                    <w:top w:val="single" w:color="auto" w:sz="12" w:space="0"/>
                    <w:left w:val="single" w:color="auto" w:sz="4" w:space="0"/>
                    <w:bottom w:val="single" w:color="auto" w:sz="12" w:space="0"/>
                    <w:right w:val="single" w:color="auto" w:sz="12" w:space="0"/>
                  </w:tcBorders>
                  <w:noWrap w:val="0"/>
                  <w:vAlign w:val="center"/>
                </w:tcPr>
                <w:p w14:paraId="3CB2A9B5">
                  <w:pPr>
                    <w:keepLines w:val="0"/>
                    <w:pageBreakBefore w:val="0"/>
                    <w:kinsoku w:val="0"/>
                    <w:overflowPunct w:val="0"/>
                    <w:topLinePunct w:val="0"/>
                    <w:autoSpaceDE w:val="0"/>
                    <w:autoSpaceDN w:val="0"/>
                    <w:bidi w:val="0"/>
                    <w:spacing w:line="240" w:lineRule="auto"/>
                    <w:jc w:val="center"/>
                    <w:rPr>
                      <w:rFonts w:hint="eastAsia" w:ascii="黑体" w:hAnsi="黑体" w:eastAsia="黑体" w:cs="黑体"/>
                      <w:color w:val="000000"/>
                      <w:kern w:val="18"/>
                      <w:sz w:val="21"/>
                      <w:szCs w:val="21"/>
                    </w:rPr>
                  </w:pPr>
                  <w:r>
                    <w:rPr>
                      <w:rFonts w:hint="eastAsia" w:ascii="黑体" w:hAnsi="黑体" w:eastAsia="黑体" w:cs="黑体"/>
                      <w:color w:val="000000"/>
                      <w:kern w:val="18"/>
                      <w:sz w:val="21"/>
                      <w:szCs w:val="21"/>
                    </w:rPr>
                    <w:t>严重缺陷</w:t>
                  </w:r>
                </w:p>
              </w:tc>
            </w:tr>
            <w:tr w14:paraId="5D9F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46" w:type="dxa"/>
                  <w:tcBorders>
                    <w:top w:val="single" w:color="auto" w:sz="12" w:space="0"/>
                    <w:left w:val="single" w:color="auto" w:sz="12" w:space="0"/>
                    <w:bottom w:val="single" w:color="auto" w:sz="4" w:space="0"/>
                    <w:right w:val="single" w:color="auto" w:sz="4" w:space="0"/>
                  </w:tcBorders>
                  <w:noWrap w:val="0"/>
                  <w:vAlign w:val="center"/>
                </w:tcPr>
                <w:p w14:paraId="437046D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814" w:type="dxa"/>
                  <w:tcBorders>
                    <w:top w:val="single" w:color="auto" w:sz="12" w:space="0"/>
                    <w:left w:val="single" w:color="auto" w:sz="4" w:space="0"/>
                    <w:bottom w:val="single" w:color="auto" w:sz="4" w:space="0"/>
                    <w:right w:val="single" w:color="auto" w:sz="4" w:space="0"/>
                  </w:tcBorders>
                  <w:noWrap w:val="0"/>
                  <w:vAlign w:val="center"/>
                </w:tcPr>
                <w:p w14:paraId="0CA5DEF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成品</w:t>
                  </w:r>
                </w:p>
                <w:p w14:paraId="428F2950">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尺寸</w:t>
                  </w:r>
                </w:p>
              </w:tc>
              <w:tc>
                <w:tcPr>
                  <w:tcW w:w="1986" w:type="dxa"/>
                  <w:tcBorders>
                    <w:top w:val="single" w:color="auto" w:sz="12" w:space="0"/>
                    <w:left w:val="single" w:color="auto" w:sz="4" w:space="0"/>
                    <w:bottom w:val="single" w:color="auto" w:sz="4" w:space="0"/>
                    <w:right w:val="single" w:color="auto" w:sz="4" w:space="0"/>
                  </w:tcBorders>
                  <w:noWrap w:val="0"/>
                  <w:vAlign w:val="center"/>
                </w:tcPr>
                <w:p w14:paraId="251C7BD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主要部位：超过允许偏差</w:t>
                  </w:r>
                </w:p>
                <w:p w14:paraId="4B81415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非主要部位：超过允许偏差≥1倍</w:t>
                  </w:r>
                </w:p>
              </w:tc>
              <w:tc>
                <w:tcPr>
                  <w:tcW w:w="1702" w:type="dxa"/>
                  <w:tcBorders>
                    <w:top w:val="single" w:color="auto" w:sz="12" w:space="0"/>
                    <w:left w:val="single" w:color="auto" w:sz="4" w:space="0"/>
                    <w:bottom w:val="single" w:color="auto" w:sz="4" w:space="0"/>
                    <w:right w:val="single" w:color="auto" w:sz="4" w:space="0"/>
                  </w:tcBorders>
                  <w:noWrap w:val="0"/>
                  <w:vAlign w:val="center"/>
                </w:tcPr>
                <w:p w14:paraId="455845A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表面部位：超过允许偏差1倍</w:t>
                  </w:r>
                </w:p>
                <w:p w14:paraId="603CCE8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非表面部位：超过允许偏差2倍</w:t>
                  </w:r>
                </w:p>
              </w:tc>
              <w:tc>
                <w:tcPr>
                  <w:tcW w:w="1510" w:type="dxa"/>
                  <w:tcBorders>
                    <w:top w:val="single" w:color="auto" w:sz="12" w:space="0"/>
                    <w:left w:val="single" w:color="auto" w:sz="4" w:space="0"/>
                    <w:bottom w:val="single" w:color="auto" w:sz="4" w:space="0"/>
                    <w:right w:val="single" w:color="auto" w:sz="12" w:space="0"/>
                  </w:tcBorders>
                  <w:noWrap w:val="0"/>
                  <w:vAlign w:val="center"/>
                </w:tcPr>
                <w:p w14:paraId="2267379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超过重缺陷</w:t>
                  </w:r>
                </w:p>
              </w:tc>
            </w:tr>
            <w:tr w14:paraId="12B1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6" w:type="dxa"/>
                  <w:tcBorders>
                    <w:top w:val="single" w:color="auto" w:sz="4" w:space="0"/>
                    <w:left w:val="single" w:color="auto" w:sz="12" w:space="0"/>
                    <w:bottom w:val="single" w:color="auto" w:sz="4" w:space="0"/>
                    <w:right w:val="single" w:color="auto" w:sz="4" w:space="0"/>
                  </w:tcBorders>
                  <w:noWrap w:val="0"/>
                  <w:vAlign w:val="center"/>
                </w:tcPr>
                <w:p w14:paraId="1EC2782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D88B23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色差</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4693B9C">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超过标准规定范围</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6B4CF4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超过标准规定范围限1级</w:t>
                  </w:r>
                </w:p>
              </w:tc>
              <w:tc>
                <w:tcPr>
                  <w:tcW w:w="1510" w:type="dxa"/>
                  <w:tcBorders>
                    <w:top w:val="single" w:color="auto" w:sz="4" w:space="0"/>
                    <w:left w:val="single" w:color="auto" w:sz="4" w:space="0"/>
                    <w:bottom w:val="single" w:color="auto" w:sz="4" w:space="0"/>
                    <w:right w:val="single" w:color="auto" w:sz="12" w:space="0"/>
                  </w:tcBorders>
                  <w:noWrap w:val="0"/>
                  <w:vAlign w:val="center"/>
                </w:tcPr>
                <w:p w14:paraId="639A985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338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46" w:type="dxa"/>
                  <w:tcBorders>
                    <w:top w:val="single" w:color="auto" w:sz="4" w:space="0"/>
                    <w:left w:val="single" w:color="auto" w:sz="12" w:space="0"/>
                    <w:bottom w:val="single" w:color="auto" w:sz="4" w:space="0"/>
                    <w:right w:val="single" w:color="auto" w:sz="4" w:space="0"/>
                  </w:tcBorders>
                  <w:noWrap w:val="0"/>
                  <w:vAlign w:val="center"/>
                </w:tcPr>
                <w:p w14:paraId="7E6864F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7E4505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开、断线</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4A6F12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被面每处限2针，每床限2处。绗棉每床限3处每处限3.0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cm</w:t>
                  </w:r>
                </w:p>
              </w:tc>
              <w:tc>
                <w:tcPr>
                  <w:tcW w:w="1702" w:type="dxa"/>
                  <w:vMerge w:val="restart"/>
                  <w:tcBorders>
                    <w:top w:val="single" w:color="auto" w:sz="4" w:space="0"/>
                    <w:left w:val="single" w:color="auto" w:sz="4" w:space="0"/>
                    <w:bottom w:val="single" w:color="auto" w:sz="4" w:space="0"/>
                    <w:right w:val="single" w:color="auto" w:sz="4" w:space="0"/>
                  </w:tcBorders>
                  <w:noWrap w:val="0"/>
                  <w:vAlign w:val="center"/>
                </w:tcPr>
                <w:p w14:paraId="37BC942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超出轻缺陷范围</w:t>
                  </w:r>
                </w:p>
              </w:tc>
              <w:tc>
                <w:tcPr>
                  <w:tcW w:w="1510" w:type="dxa"/>
                  <w:vMerge w:val="restart"/>
                  <w:tcBorders>
                    <w:top w:val="single" w:color="auto" w:sz="4" w:space="0"/>
                    <w:left w:val="single" w:color="auto" w:sz="4" w:space="0"/>
                    <w:bottom w:val="single" w:color="auto" w:sz="4" w:space="0"/>
                    <w:right w:val="single" w:color="auto" w:sz="12" w:space="0"/>
                  </w:tcBorders>
                  <w:noWrap w:val="0"/>
                  <w:vAlign w:val="center"/>
                </w:tcPr>
                <w:p w14:paraId="597EA41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5CA2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6" w:type="dxa"/>
                  <w:tcBorders>
                    <w:top w:val="single" w:color="auto" w:sz="4" w:space="0"/>
                    <w:left w:val="single" w:color="auto" w:sz="12" w:space="0"/>
                    <w:bottom w:val="single" w:color="auto" w:sz="4" w:space="0"/>
                    <w:right w:val="single" w:color="auto" w:sz="4" w:space="0"/>
                  </w:tcBorders>
                  <w:noWrap w:val="0"/>
                  <w:vAlign w:val="center"/>
                </w:tcPr>
                <w:p w14:paraId="5C91997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94F70B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针距</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FB83D3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超过标准规定限3针</w:t>
                  </w:r>
                </w:p>
              </w:tc>
              <w:tc>
                <w:tcPr>
                  <w:tcW w:w="1702" w:type="dxa"/>
                  <w:vMerge w:val="continue"/>
                  <w:tcBorders>
                    <w:top w:val="single" w:color="auto" w:sz="4" w:space="0"/>
                    <w:left w:val="single" w:color="auto" w:sz="4" w:space="0"/>
                    <w:bottom w:val="single" w:color="auto" w:sz="4" w:space="0"/>
                    <w:right w:val="single" w:color="auto" w:sz="4" w:space="0"/>
                  </w:tcBorders>
                  <w:noWrap w:val="0"/>
                  <w:vAlign w:val="center"/>
                </w:tcPr>
                <w:p w14:paraId="57CB6AE1">
                  <w:pPr>
                    <w:widowControl/>
                    <w:jc w:val="center"/>
                    <w:rPr>
                      <w:rFonts w:hint="eastAsia" w:ascii="宋体" w:hAnsi="宋体" w:eastAsia="宋体" w:cs="宋体"/>
                      <w:color w:val="000000"/>
                      <w:sz w:val="18"/>
                      <w:szCs w:val="18"/>
                    </w:rPr>
                  </w:pPr>
                </w:p>
              </w:tc>
              <w:tc>
                <w:tcPr>
                  <w:tcW w:w="1510" w:type="dxa"/>
                  <w:vMerge w:val="continue"/>
                  <w:tcBorders>
                    <w:top w:val="single" w:color="auto" w:sz="4" w:space="0"/>
                    <w:left w:val="single" w:color="auto" w:sz="4" w:space="0"/>
                    <w:bottom w:val="single" w:color="auto" w:sz="4" w:space="0"/>
                    <w:right w:val="single" w:color="auto" w:sz="12" w:space="0"/>
                  </w:tcBorders>
                  <w:noWrap w:val="0"/>
                  <w:vAlign w:val="center"/>
                </w:tcPr>
                <w:p w14:paraId="133487A6">
                  <w:pPr>
                    <w:widowControl/>
                    <w:jc w:val="center"/>
                    <w:rPr>
                      <w:rFonts w:hint="eastAsia" w:ascii="宋体" w:hAnsi="宋体" w:eastAsia="宋体" w:cs="宋体"/>
                      <w:color w:val="000000"/>
                      <w:sz w:val="18"/>
                      <w:szCs w:val="18"/>
                    </w:rPr>
                  </w:pPr>
                </w:p>
              </w:tc>
            </w:tr>
            <w:tr w14:paraId="62E2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6" w:type="dxa"/>
                  <w:tcBorders>
                    <w:top w:val="single" w:color="auto" w:sz="4" w:space="0"/>
                    <w:left w:val="single" w:color="auto" w:sz="12" w:space="0"/>
                    <w:bottom w:val="single" w:color="auto" w:sz="4" w:space="0"/>
                    <w:right w:val="single" w:color="auto" w:sz="4" w:space="0"/>
                  </w:tcBorders>
                  <w:noWrap w:val="0"/>
                  <w:vAlign w:val="center"/>
                </w:tcPr>
                <w:p w14:paraId="4BABF52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B8570E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被胎</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F132D9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总重超出允许偏差限1倍</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DEDA3C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总重超出允许偏差1.5倍</w:t>
                  </w:r>
                </w:p>
              </w:tc>
              <w:tc>
                <w:tcPr>
                  <w:tcW w:w="1510" w:type="dxa"/>
                  <w:tcBorders>
                    <w:top w:val="single" w:color="auto" w:sz="4" w:space="0"/>
                    <w:left w:val="single" w:color="auto" w:sz="4" w:space="0"/>
                    <w:bottom w:val="single" w:color="auto" w:sz="4" w:space="0"/>
                    <w:right w:val="single" w:color="auto" w:sz="12" w:space="0"/>
                  </w:tcBorders>
                  <w:noWrap w:val="0"/>
                  <w:vAlign w:val="center"/>
                </w:tcPr>
                <w:p w14:paraId="544EBC7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超过重缺陷</w:t>
                  </w:r>
                </w:p>
              </w:tc>
            </w:tr>
            <w:tr w14:paraId="4181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6" w:type="dxa"/>
                  <w:tcBorders>
                    <w:top w:val="single" w:color="auto" w:sz="4" w:space="0"/>
                    <w:left w:val="single" w:color="auto" w:sz="12" w:space="0"/>
                    <w:bottom w:val="single" w:color="auto" w:sz="4" w:space="0"/>
                    <w:right w:val="single" w:color="auto" w:sz="4" w:space="0"/>
                  </w:tcBorders>
                  <w:noWrap w:val="0"/>
                  <w:vAlign w:val="center"/>
                </w:tcPr>
                <w:p w14:paraId="5E75F3A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F2F8D7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线头</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78F9065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表面1.0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cm以上线头限3根</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0857DA3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1510" w:type="dxa"/>
                  <w:tcBorders>
                    <w:top w:val="single" w:color="auto" w:sz="4" w:space="0"/>
                    <w:left w:val="single" w:color="auto" w:sz="4" w:space="0"/>
                    <w:bottom w:val="single" w:color="auto" w:sz="4" w:space="0"/>
                    <w:right w:val="single" w:color="auto" w:sz="12" w:space="0"/>
                  </w:tcBorders>
                  <w:noWrap w:val="0"/>
                  <w:vAlign w:val="center"/>
                </w:tcPr>
                <w:p w14:paraId="627A25E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14:paraId="75C8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6" w:type="dxa"/>
                  <w:tcBorders>
                    <w:top w:val="single" w:color="auto" w:sz="4" w:space="0"/>
                    <w:left w:val="single" w:color="auto" w:sz="12" w:space="0"/>
                    <w:bottom w:val="single" w:color="auto" w:sz="4" w:space="0"/>
                    <w:right w:val="single" w:color="auto" w:sz="4" w:space="0"/>
                  </w:tcBorders>
                  <w:noWrap w:val="0"/>
                  <w:vAlign w:val="center"/>
                </w:tcPr>
                <w:p w14:paraId="0F6F8DB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DE61DA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污渍</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214CC3A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表面1.0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cm两处，其他部位加倍</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CE77A8E">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超出轻缺陷范围</w:t>
                  </w:r>
                </w:p>
              </w:tc>
              <w:tc>
                <w:tcPr>
                  <w:tcW w:w="1510" w:type="dxa"/>
                  <w:tcBorders>
                    <w:top w:val="single" w:color="auto" w:sz="4" w:space="0"/>
                    <w:left w:val="single" w:color="auto" w:sz="4" w:space="0"/>
                    <w:bottom w:val="single" w:color="auto" w:sz="4" w:space="0"/>
                    <w:right w:val="single" w:color="auto" w:sz="12" w:space="0"/>
                  </w:tcBorders>
                  <w:noWrap w:val="0"/>
                  <w:vAlign w:val="center"/>
                </w:tcPr>
                <w:p w14:paraId="17B2998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表面有破洞</w:t>
                  </w:r>
                </w:p>
              </w:tc>
            </w:tr>
            <w:tr w14:paraId="3D4F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6" w:type="dxa"/>
                  <w:tcBorders>
                    <w:top w:val="single" w:color="auto" w:sz="4" w:space="0"/>
                    <w:left w:val="single" w:color="auto" w:sz="12" w:space="0"/>
                    <w:bottom w:val="single" w:color="auto" w:sz="4" w:space="0"/>
                    <w:right w:val="single" w:color="auto" w:sz="4" w:space="0"/>
                  </w:tcBorders>
                  <w:noWrap w:val="0"/>
                  <w:vAlign w:val="center"/>
                </w:tcPr>
                <w:p w14:paraId="6157C97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90752D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标志</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52D8DC5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字迹不清、内容不规范</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0CA57B3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缺项、外标志不全</w:t>
                  </w:r>
                </w:p>
              </w:tc>
              <w:tc>
                <w:tcPr>
                  <w:tcW w:w="1510" w:type="dxa"/>
                  <w:tcBorders>
                    <w:top w:val="single" w:color="auto" w:sz="4" w:space="0"/>
                    <w:left w:val="single" w:color="auto" w:sz="4" w:space="0"/>
                    <w:bottom w:val="single" w:color="auto" w:sz="4" w:space="0"/>
                    <w:right w:val="single" w:color="auto" w:sz="12" w:space="0"/>
                  </w:tcBorders>
                  <w:noWrap w:val="0"/>
                  <w:vAlign w:val="center"/>
                </w:tcPr>
                <w:p w14:paraId="5318373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没有水洗标志</w:t>
                  </w:r>
                </w:p>
              </w:tc>
            </w:tr>
            <w:tr w14:paraId="2EAA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6" w:type="dxa"/>
                  <w:tcBorders>
                    <w:top w:val="single" w:color="auto" w:sz="4" w:space="0"/>
                    <w:left w:val="single" w:color="auto" w:sz="12" w:space="0"/>
                    <w:bottom w:val="single" w:color="auto" w:sz="12" w:space="0"/>
                    <w:right w:val="single" w:color="auto" w:sz="4" w:space="0"/>
                  </w:tcBorders>
                  <w:noWrap w:val="0"/>
                  <w:vAlign w:val="center"/>
                </w:tcPr>
                <w:p w14:paraId="6BC4AAC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814" w:type="dxa"/>
                  <w:tcBorders>
                    <w:top w:val="single" w:color="auto" w:sz="4" w:space="0"/>
                    <w:left w:val="single" w:color="auto" w:sz="4" w:space="0"/>
                    <w:bottom w:val="single" w:color="auto" w:sz="12" w:space="0"/>
                    <w:right w:val="single" w:color="auto" w:sz="4" w:space="0"/>
                  </w:tcBorders>
                  <w:noWrap w:val="0"/>
                  <w:vAlign w:val="center"/>
                </w:tcPr>
                <w:p w14:paraId="6FD4FBA7">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包装</w:t>
                  </w:r>
                </w:p>
              </w:tc>
              <w:tc>
                <w:tcPr>
                  <w:tcW w:w="1986" w:type="dxa"/>
                  <w:tcBorders>
                    <w:top w:val="single" w:color="auto" w:sz="4" w:space="0"/>
                    <w:left w:val="single" w:color="auto" w:sz="4" w:space="0"/>
                    <w:bottom w:val="single" w:color="auto" w:sz="12" w:space="0"/>
                    <w:right w:val="single" w:color="auto" w:sz="4" w:space="0"/>
                  </w:tcBorders>
                  <w:noWrap w:val="0"/>
                  <w:vAlign w:val="center"/>
                </w:tcPr>
                <w:p w14:paraId="7346B7D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包装尺寸不符、不整齐</w:t>
                  </w:r>
                </w:p>
              </w:tc>
              <w:tc>
                <w:tcPr>
                  <w:tcW w:w="1702" w:type="dxa"/>
                  <w:tcBorders>
                    <w:top w:val="single" w:color="auto" w:sz="4" w:space="0"/>
                    <w:left w:val="single" w:color="auto" w:sz="4" w:space="0"/>
                    <w:bottom w:val="single" w:color="auto" w:sz="12" w:space="0"/>
                    <w:right w:val="single" w:color="auto" w:sz="4" w:space="0"/>
                  </w:tcBorders>
                  <w:noWrap w:val="0"/>
                  <w:vAlign w:val="center"/>
                </w:tcPr>
                <w:p w14:paraId="05800F2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包装材料不符要求</w:t>
                  </w:r>
                </w:p>
              </w:tc>
              <w:tc>
                <w:tcPr>
                  <w:tcW w:w="1510" w:type="dxa"/>
                  <w:tcBorders>
                    <w:top w:val="single" w:color="auto" w:sz="4" w:space="0"/>
                    <w:left w:val="single" w:color="auto" w:sz="4" w:space="0"/>
                    <w:bottom w:val="single" w:color="auto" w:sz="12" w:space="0"/>
                    <w:right w:val="single" w:color="auto" w:sz="12" w:space="0"/>
                  </w:tcBorders>
                  <w:noWrap w:val="0"/>
                  <w:vAlign w:val="center"/>
                </w:tcPr>
                <w:p w14:paraId="6F63CBD1">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包装不牢固、无检验单</w:t>
                  </w:r>
                </w:p>
              </w:tc>
            </w:tr>
          </w:tbl>
          <w:p w14:paraId="7AEAC43E">
            <w:pPr>
              <w:keepNext w:val="0"/>
              <w:keepLines w:val="0"/>
              <w:pageBreakBefore w:val="0"/>
              <w:widowControl/>
              <w:kinsoku/>
              <w:wordWrap/>
              <w:overflowPunct/>
              <w:topLinePunct w:val="0"/>
              <w:autoSpaceDE/>
              <w:autoSpaceDN/>
              <w:bidi w:val="0"/>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方正黑体_GBK" w:hAnsi="方正黑体_GBK" w:eastAsia="方正黑体_GBK" w:cs="方正黑体_GBK"/>
                <w:kern w:val="24"/>
                <w:sz w:val="21"/>
                <w:szCs w:val="21"/>
              </w:rPr>
              <w:t xml:space="preserve">5.4.4 </w:t>
            </w:r>
            <w:r>
              <w:rPr>
                <w:rFonts w:hint="eastAsia" w:ascii="宋体" w:hAnsi="宋体" w:eastAsia="宋体" w:cs="宋体"/>
                <w:kern w:val="24"/>
                <w:sz w:val="21"/>
                <w:szCs w:val="21"/>
              </w:rPr>
              <w:t xml:space="preserve"> 单件样品外观质量评定</w:t>
            </w:r>
          </w:p>
          <w:p w14:paraId="34C5D5CB">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按5.4.3对单件样本进行外观质量评定，如缺陷数符合以下要求则判该件产品外观质量合格，否则为不合格：</w:t>
            </w:r>
          </w:p>
          <w:p w14:paraId="7A89F334">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严重缺陷=0，重缺陷=0，轻缺陷≤10，或</w:t>
            </w:r>
          </w:p>
          <w:p w14:paraId="6573E943">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严重缺陷=0，重缺陷=1，轻缺陷≤6</w:t>
            </w:r>
          </w:p>
          <w:p w14:paraId="562BC94A">
            <w:pPr>
              <w:keepNext w:val="0"/>
              <w:keepLines w:val="0"/>
              <w:pageBreakBefore w:val="0"/>
              <w:widowControl/>
              <w:kinsoku/>
              <w:wordWrap/>
              <w:overflowPunct/>
              <w:topLinePunct w:val="0"/>
              <w:autoSpaceDE/>
              <w:autoSpaceDN/>
              <w:bidi w:val="0"/>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方正黑体_GBK" w:hAnsi="方正黑体_GBK" w:eastAsia="方正黑体_GBK" w:cs="方正黑体_GBK"/>
                <w:kern w:val="24"/>
                <w:sz w:val="21"/>
                <w:szCs w:val="21"/>
              </w:rPr>
              <w:t xml:space="preserve">5.4.5 </w:t>
            </w:r>
            <w:r>
              <w:rPr>
                <w:rFonts w:hint="eastAsia" w:ascii="宋体" w:hAnsi="宋体" w:eastAsia="宋体" w:cs="宋体"/>
                <w:kern w:val="24"/>
                <w:sz w:val="21"/>
                <w:szCs w:val="21"/>
              </w:rPr>
              <w:t xml:space="preserve"> 批量外观评定</w:t>
            </w:r>
          </w:p>
          <w:p w14:paraId="7A303176">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按5.2.3 抽取的每个样品按5.4.4进行单件评定，如果不合格样本数不超过10%，则该批产品外观质量合格，否则该批产品外观质量不合格。</w:t>
            </w:r>
          </w:p>
          <w:p w14:paraId="2029BB02">
            <w:pPr>
              <w:keepNext w:val="0"/>
              <w:keepLines w:val="0"/>
              <w:pageBreakBefore w:val="0"/>
              <w:widowControl/>
              <w:numPr>
                <w:ilvl w:val="1"/>
                <w:numId w:val="23"/>
              </w:numPr>
              <w:kinsoku/>
              <w:wordWrap/>
              <w:overflowPunct/>
              <w:topLinePunct w:val="0"/>
              <w:autoSpaceDE/>
              <w:autoSpaceDN/>
              <w:bidi w:val="0"/>
              <w:spacing w:line="240" w:lineRule="auto"/>
              <w:ind w:left="420" w:leftChars="200" w:firstLine="0" w:firstLineChars="0"/>
              <w:textAlignment w:val="auto"/>
              <w:outlineLvl w:val="5"/>
              <w:rPr>
                <w:rFonts w:hint="eastAsia" w:ascii="宋体" w:hAnsi="宋体" w:eastAsia="宋体" w:cs="宋体"/>
                <w:kern w:val="21"/>
                <w:sz w:val="21"/>
                <w:szCs w:val="21"/>
              </w:rPr>
            </w:pPr>
            <w:r>
              <w:rPr>
                <w:rFonts w:hint="eastAsia" w:ascii="宋体" w:hAnsi="宋体" w:eastAsia="宋体" w:cs="宋体"/>
                <w:kern w:val="21"/>
                <w:sz w:val="21"/>
                <w:szCs w:val="21"/>
              </w:rPr>
              <w:t>成品和材料性能</w:t>
            </w:r>
          </w:p>
          <w:p w14:paraId="5678E6DB">
            <w:pPr>
              <w:keepNext w:val="0"/>
              <w:keepLines w:val="0"/>
              <w:pageBreakBefore w:val="0"/>
              <w:widowControl/>
              <w:kinsoku/>
              <w:wordWrap/>
              <w:overflowPunct/>
              <w:topLinePunct w:val="0"/>
              <w:autoSpaceDE/>
              <w:autoSpaceDN/>
              <w:bidi w:val="0"/>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方正黑体_GBK" w:hAnsi="方正黑体_GBK" w:eastAsia="方正黑体_GBK" w:cs="方正黑体_GBK"/>
                <w:kern w:val="24"/>
                <w:sz w:val="21"/>
                <w:szCs w:val="21"/>
              </w:rPr>
              <w:t xml:space="preserve">5.5.1  </w:t>
            </w:r>
            <w:r>
              <w:rPr>
                <w:rFonts w:hint="eastAsia" w:ascii="宋体" w:hAnsi="宋体" w:eastAsia="宋体" w:cs="宋体"/>
                <w:kern w:val="24"/>
                <w:sz w:val="21"/>
                <w:szCs w:val="21"/>
              </w:rPr>
              <w:t>成品和材料主要性能抽验项目按照表4规定进行。</w:t>
            </w:r>
          </w:p>
          <w:p w14:paraId="5C371112">
            <w:pPr>
              <w:keepNext w:val="0"/>
              <w:keepLines w:val="0"/>
              <w:pageBreakBefore w:val="0"/>
              <w:widowControl/>
              <w:kinsoku/>
              <w:wordWrap/>
              <w:overflowPunct/>
              <w:topLinePunct w:val="0"/>
              <w:autoSpaceDE/>
              <w:autoSpaceDN/>
              <w:bidi w:val="0"/>
              <w:spacing w:line="240" w:lineRule="auto"/>
              <w:ind w:left="420" w:leftChars="200" w:firstLine="0" w:firstLineChars="0"/>
              <w:jc w:val="left"/>
              <w:textAlignment w:val="auto"/>
              <w:outlineLvl w:val="6"/>
              <w:rPr>
                <w:rFonts w:hint="eastAsia" w:ascii="宋体" w:hAnsi="宋体" w:eastAsia="宋体" w:cs="宋体"/>
                <w:color w:val="auto"/>
                <w:kern w:val="24"/>
                <w:sz w:val="21"/>
                <w:szCs w:val="21"/>
              </w:rPr>
            </w:pPr>
            <w:r>
              <w:rPr>
                <w:rFonts w:hint="eastAsia" w:ascii="方正黑体_GBK" w:hAnsi="方正黑体_GBK" w:eastAsia="方正黑体_GBK" w:cs="方正黑体_GBK"/>
                <w:kern w:val="24"/>
                <w:sz w:val="21"/>
                <w:szCs w:val="21"/>
              </w:rPr>
              <w:t xml:space="preserve">5.5.2  </w:t>
            </w:r>
            <w:r>
              <w:rPr>
                <w:rFonts w:hint="eastAsia" w:ascii="宋体" w:hAnsi="宋体" w:eastAsia="宋体" w:cs="宋体"/>
                <w:color w:val="auto"/>
                <w:kern w:val="24"/>
                <w:sz w:val="21"/>
                <w:szCs w:val="21"/>
              </w:rPr>
              <w:t>内在质量评定</w:t>
            </w:r>
          </w:p>
          <w:p w14:paraId="38764AA5">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样品内在质量全部达到5.5.1要求，判该批内在质量合格；如有不合格项，可再取1个样品对不合格项进行复测，结果合格作批内在质量合格，否则判批内在质量不合格。</w:t>
            </w:r>
          </w:p>
          <w:p w14:paraId="04A3AD3B">
            <w:pPr>
              <w:keepNext w:val="0"/>
              <w:keepLines w:val="0"/>
              <w:pageBreakBefore w:val="0"/>
              <w:widowControl/>
              <w:numPr>
                <w:ilvl w:val="1"/>
                <w:numId w:val="23"/>
              </w:numPr>
              <w:kinsoku/>
              <w:wordWrap/>
              <w:overflowPunct/>
              <w:topLinePunct w:val="0"/>
              <w:autoSpaceDE/>
              <w:autoSpaceDN/>
              <w:bidi w:val="0"/>
              <w:spacing w:line="240" w:lineRule="auto"/>
              <w:ind w:left="420" w:leftChars="200" w:firstLine="0" w:firstLineChars="0"/>
              <w:textAlignment w:val="auto"/>
              <w:outlineLvl w:val="5"/>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验收批质量</w:t>
            </w:r>
          </w:p>
          <w:p w14:paraId="351E0130">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kern w:val="21"/>
                <w:sz w:val="21"/>
                <w:szCs w:val="21"/>
              </w:rPr>
            </w:pPr>
            <w:r>
              <w:rPr>
                <w:rFonts w:hint="eastAsia" w:ascii="宋体" w:hAnsi="宋体" w:eastAsia="宋体" w:cs="宋体"/>
                <w:kern w:val="21"/>
                <w:sz w:val="21"/>
                <w:szCs w:val="21"/>
              </w:rPr>
              <w:t>对验收批产品按5.4和5.5检验后，如产品批内在质量和外观质量均合格判为批产品合格，否则为不合格。</w:t>
            </w:r>
          </w:p>
          <w:p w14:paraId="7AAB2AA5">
            <w:pPr>
              <w:keepNext w:val="0"/>
              <w:keepLines w:val="0"/>
              <w:pageBreakBefore w:val="0"/>
              <w:widowControl/>
              <w:numPr>
                <w:ilvl w:val="0"/>
                <w:numId w:val="23"/>
              </w:numPr>
              <w:tabs>
                <w:tab w:val="left" w:pos="360"/>
              </w:tabs>
              <w:kinsoku/>
              <w:wordWrap/>
              <w:overflowPunct/>
              <w:topLinePunct w:val="0"/>
              <w:autoSpaceDE/>
              <w:autoSpaceDN/>
              <w:bidi w:val="0"/>
              <w:adjustRightInd/>
              <w:snapToGrid/>
              <w:spacing w:before="157" w:beforeLines="50" w:after="157" w:afterLines="50" w:line="240" w:lineRule="auto"/>
              <w:ind w:left="0" w:leftChars="0" w:firstLine="0" w:firstLineChars="0"/>
              <w:textAlignment w:val="auto"/>
              <w:outlineLvl w:val="4"/>
              <w:rPr>
                <w:rFonts w:hint="eastAsia" w:ascii="黑体" w:hAnsi="黑体" w:eastAsia="黑体" w:cs="黑体"/>
                <w:color w:val="000000"/>
                <w:kern w:val="0"/>
                <w:sz w:val="21"/>
                <w:szCs w:val="21"/>
              </w:rPr>
            </w:pPr>
            <w:bookmarkStart w:id="396" w:name="_Toc237327413"/>
            <w:bookmarkStart w:id="397" w:name="_Toc236717443"/>
            <w:bookmarkStart w:id="398" w:name="_Toc367025590"/>
            <w:bookmarkStart w:id="399" w:name="_Toc236732797"/>
            <w:r>
              <w:rPr>
                <w:rFonts w:hint="eastAsia" w:ascii="黑体" w:hAnsi="黑体" w:eastAsia="黑体" w:cs="黑体"/>
                <w:color w:val="000000"/>
                <w:kern w:val="0"/>
                <w:sz w:val="21"/>
                <w:szCs w:val="21"/>
              </w:rPr>
              <w:t>标志、包装、运输与贮存</w:t>
            </w:r>
            <w:bookmarkEnd w:id="396"/>
            <w:bookmarkEnd w:id="397"/>
            <w:bookmarkEnd w:id="398"/>
            <w:bookmarkEnd w:id="399"/>
          </w:p>
          <w:p w14:paraId="694227DB">
            <w:pPr>
              <w:keepNext w:val="0"/>
              <w:keepLines w:val="0"/>
              <w:pageBreakBefore w:val="0"/>
              <w:widowControl/>
              <w:numPr>
                <w:ilvl w:val="1"/>
                <w:numId w:val="23"/>
              </w:numPr>
              <w:tabs>
                <w:tab w:val="left" w:pos="360"/>
              </w:tabs>
              <w:kinsoku/>
              <w:wordWrap/>
              <w:overflowPunct/>
              <w:topLinePunct w:val="0"/>
              <w:autoSpaceDE/>
              <w:autoSpaceDN/>
              <w:bidi w:val="0"/>
              <w:spacing w:line="240" w:lineRule="auto"/>
              <w:ind w:left="420" w:leftChars="200" w:firstLine="0" w:firstLineChars="0"/>
              <w:textAlignment w:val="auto"/>
              <w:outlineLvl w:val="5"/>
              <w:rPr>
                <w:rFonts w:hint="eastAsia" w:ascii="宋体" w:hAnsi="宋体" w:eastAsia="宋体" w:cs="宋体"/>
                <w:kern w:val="21"/>
                <w:sz w:val="21"/>
                <w:szCs w:val="21"/>
              </w:rPr>
            </w:pPr>
            <w:bookmarkStart w:id="400" w:name="_Toc236717444"/>
            <w:bookmarkStart w:id="401" w:name="_Toc237327414"/>
            <w:bookmarkStart w:id="402" w:name="_Toc236732798"/>
            <w:bookmarkStart w:id="403" w:name="_Toc367025591"/>
            <w:r>
              <w:rPr>
                <w:rFonts w:hint="eastAsia" w:ascii="宋体" w:hAnsi="宋体" w:eastAsia="宋体" w:cs="宋体"/>
                <w:kern w:val="21"/>
                <w:sz w:val="21"/>
                <w:szCs w:val="21"/>
              </w:rPr>
              <w:t>标志</w:t>
            </w:r>
            <w:bookmarkEnd w:id="400"/>
            <w:bookmarkEnd w:id="401"/>
            <w:bookmarkEnd w:id="402"/>
            <w:bookmarkEnd w:id="403"/>
          </w:p>
          <w:p w14:paraId="7A13173C">
            <w:pPr>
              <w:keepNext w:val="0"/>
              <w:keepLines w:val="0"/>
              <w:pageBreakBefore w:val="0"/>
              <w:widowControl/>
              <w:numPr>
                <w:ilvl w:val="2"/>
                <w:numId w:val="23"/>
              </w:numPr>
              <w:kinsoku/>
              <w:wordWrap/>
              <w:overflowPunct/>
              <w:topLinePunct w:val="0"/>
              <w:autoSpaceDE/>
              <w:autoSpaceDN/>
              <w:bidi w:val="0"/>
              <w:spacing w:line="240" w:lineRule="auto"/>
              <w:ind w:left="420" w:leftChars="200" w:firstLine="0" w:firstLineChars="0"/>
              <w:jc w:val="both"/>
              <w:textAlignment w:val="auto"/>
              <w:outlineLvl w:val="6"/>
              <w:rPr>
                <w:rFonts w:hint="eastAsia" w:ascii="宋体" w:hAnsi="宋体" w:eastAsia="宋体" w:cs="宋体"/>
                <w:kern w:val="24"/>
                <w:sz w:val="21"/>
                <w:szCs w:val="21"/>
              </w:rPr>
            </w:pPr>
            <w:r>
              <w:rPr>
                <w:rFonts w:hint="eastAsia" w:ascii="宋体" w:hAnsi="宋体" w:eastAsia="宋体" w:cs="宋体"/>
                <w:kern w:val="24"/>
                <w:sz w:val="21"/>
                <w:szCs w:val="21"/>
              </w:rPr>
              <w:t>产品标志</w:t>
            </w:r>
          </w:p>
          <w:p w14:paraId="4D593CBF">
            <w:pPr>
              <w:keepNext w:val="0"/>
              <w:keepLines w:val="0"/>
              <w:pageBreakBefore w:val="0"/>
              <w:kinsoku/>
              <w:wordWrap/>
              <w:overflowPunct/>
              <w:topLinePunct w:val="0"/>
              <w:autoSpaceDE/>
              <w:autoSpaceDN/>
              <w:bidi w:val="0"/>
              <w:adjustRightInd w:val="0"/>
              <w:snapToGrid w:val="0"/>
              <w:spacing w:line="240" w:lineRule="auto"/>
              <w:ind w:left="420" w:leftChars="200" w:firstLine="0" w:firstLineChars="0"/>
              <w:textAlignment w:val="auto"/>
              <w:rPr>
                <w:rFonts w:hint="eastAsia" w:ascii="宋体" w:hAnsi="宋体" w:eastAsia="宋体" w:cs="宋体"/>
                <w:kern w:val="21"/>
                <w:sz w:val="21"/>
                <w:szCs w:val="21"/>
              </w:rPr>
            </w:pPr>
            <w:r>
              <w:rPr>
                <w:rFonts w:hint="eastAsia" w:ascii="方正黑体_GBK" w:hAnsi="方正黑体_GBK" w:eastAsia="方正黑体_GBK" w:cs="方正黑体_GBK"/>
                <w:kern w:val="24"/>
                <w:sz w:val="21"/>
                <w:szCs w:val="21"/>
              </w:rPr>
              <w:t>6.1.1.1</w:t>
            </w:r>
            <w:r>
              <w:rPr>
                <w:rFonts w:hint="eastAsia" w:ascii="方正黑体_GBK" w:hAnsi="方正黑体_GBK" w:eastAsia="方正黑体_GBK" w:cs="方正黑体_GBK"/>
                <w:kern w:val="24"/>
                <w:sz w:val="21"/>
                <w:szCs w:val="21"/>
                <w:lang w:val="en-US" w:eastAsia="zh-CN"/>
              </w:rPr>
              <w:t xml:space="preserve"> </w:t>
            </w:r>
            <w:r>
              <w:rPr>
                <w:rFonts w:hint="eastAsia" w:ascii="宋体" w:hAnsi="宋体" w:eastAsia="宋体" w:cs="宋体"/>
                <w:kern w:val="21"/>
                <w:sz w:val="21"/>
                <w:szCs w:val="21"/>
              </w:rPr>
              <w:t>产品标志为尺寸100</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mm×60</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mm的白色涤纶耐久性标签。耐久性标签应选用耐磨、防水材料，并能够与二维条码材质强力粘合。</w:t>
            </w:r>
          </w:p>
          <w:p w14:paraId="1D2654DD">
            <w:pPr>
              <w:keepNext w:val="0"/>
              <w:keepLines w:val="0"/>
              <w:pageBreakBefore w:val="0"/>
              <w:kinsoku/>
              <w:wordWrap/>
              <w:overflowPunct/>
              <w:topLinePunct w:val="0"/>
              <w:autoSpaceDE/>
              <w:autoSpaceDN/>
              <w:bidi w:val="0"/>
              <w:adjustRightInd w:val="0"/>
              <w:snapToGrid w:val="0"/>
              <w:spacing w:line="240" w:lineRule="auto"/>
              <w:ind w:left="420" w:leftChars="200" w:firstLine="0" w:firstLineChars="0"/>
              <w:textAlignment w:val="auto"/>
              <w:rPr>
                <w:rFonts w:hint="eastAsia" w:ascii="宋体" w:hAnsi="宋体" w:eastAsia="宋体" w:cs="宋体"/>
                <w:kern w:val="21"/>
                <w:sz w:val="21"/>
                <w:szCs w:val="21"/>
              </w:rPr>
            </w:pPr>
            <w:r>
              <w:rPr>
                <w:rFonts w:hint="eastAsia" w:ascii="方正黑体_GBK" w:hAnsi="方正黑体_GBK" w:eastAsia="方正黑体_GBK" w:cs="方正黑体_GBK"/>
                <w:kern w:val="24"/>
                <w:sz w:val="21"/>
                <w:szCs w:val="21"/>
              </w:rPr>
              <w:t xml:space="preserve">6.1.1.2 </w:t>
            </w:r>
            <w:r>
              <w:rPr>
                <w:rFonts w:hint="eastAsia" w:ascii="宋体" w:hAnsi="宋体" w:eastAsia="宋体" w:cs="宋体"/>
                <w:kern w:val="21"/>
                <w:sz w:val="21"/>
                <w:szCs w:val="21"/>
                <w:lang w:val="en-US" w:eastAsia="zh-CN"/>
              </w:rPr>
              <w:t xml:space="preserve"> </w:t>
            </w:r>
            <w:r>
              <w:rPr>
                <w:rFonts w:hint="eastAsia" w:ascii="宋体" w:hAnsi="宋体" w:eastAsia="宋体" w:cs="宋体"/>
                <w:kern w:val="21"/>
                <w:sz w:val="21"/>
                <w:szCs w:val="21"/>
              </w:rPr>
              <w:t>耐久性标签正面为产品信息，印字为黑色，主要包括产品名称、适用范围、填充物重量、填充物成分、面料成分、生产日期、</w:t>
            </w:r>
            <w:r>
              <w:rPr>
                <w:rFonts w:hint="eastAsia" w:ascii="宋体" w:hAnsi="宋体" w:eastAsia="宋体" w:cs="宋体"/>
                <w:kern w:val="21"/>
                <w:sz w:val="21"/>
                <w:szCs w:val="21"/>
                <w:lang w:val="en-US" w:eastAsia="zh-CN"/>
              </w:rPr>
              <w:t>调拨</w:t>
            </w:r>
            <w:r>
              <w:rPr>
                <w:rFonts w:hint="eastAsia" w:ascii="宋体" w:hAnsi="宋体" w:eastAsia="宋体" w:cs="宋体"/>
                <w:kern w:val="21"/>
                <w:sz w:val="21"/>
                <w:szCs w:val="21"/>
              </w:rPr>
              <w:t>单位名称</w:t>
            </w:r>
            <w:r>
              <w:rPr>
                <w:rFonts w:hint="eastAsia" w:ascii="宋体" w:hAnsi="宋体" w:eastAsia="宋体" w:cs="宋体"/>
                <w:kern w:val="21"/>
                <w:sz w:val="21"/>
                <w:szCs w:val="21"/>
                <w:lang w:eastAsia="zh-CN"/>
              </w:rPr>
              <w:t>、</w:t>
            </w:r>
            <w:r>
              <w:rPr>
                <w:rFonts w:hint="eastAsia" w:ascii="宋体" w:hAnsi="宋体" w:eastAsia="宋体" w:cs="宋体"/>
                <w:kern w:val="21"/>
                <w:sz w:val="21"/>
                <w:szCs w:val="21"/>
                <w:lang w:val="en-US" w:eastAsia="zh-CN"/>
              </w:rPr>
              <w:t>采购及监制单位</w:t>
            </w:r>
            <w:r>
              <w:rPr>
                <w:rFonts w:hint="eastAsia" w:ascii="宋体" w:hAnsi="宋体" w:eastAsia="宋体" w:cs="宋体"/>
                <w:kern w:val="21"/>
                <w:sz w:val="21"/>
                <w:szCs w:val="21"/>
              </w:rPr>
              <w:t>名称</w:t>
            </w:r>
            <w:r>
              <w:rPr>
                <w:rFonts w:hint="eastAsia" w:ascii="宋体" w:hAnsi="宋体" w:eastAsia="宋体" w:cs="宋体"/>
                <w:kern w:val="21"/>
                <w:sz w:val="21"/>
                <w:szCs w:val="21"/>
                <w:lang w:val="en-US" w:eastAsia="zh-CN"/>
              </w:rPr>
              <w:t>和承制单位名称</w:t>
            </w:r>
            <w:r>
              <w:rPr>
                <w:rFonts w:hint="eastAsia" w:ascii="宋体" w:hAnsi="宋体" w:eastAsia="宋体" w:cs="宋体"/>
                <w:kern w:val="21"/>
                <w:sz w:val="21"/>
                <w:szCs w:val="21"/>
              </w:rPr>
              <w:t>等信息。见图1。</w:t>
            </w:r>
          </w:p>
          <w:p w14:paraId="633E4F6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kern w:val="21"/>
                <w:sz w:val="21"/>
                <w:szCs w:val="21"/>
              </w:rPr>
            </w:pPr>
          </w:p>
          <w:tbl>
            <w:tblPr>
              <w:tblStyle w:val="58"/>
              <w:tblpPr w:leftFromText="180" w:rightFromText="180" w:vertAnchor="text" w:horzAnchor="page" w:tblpX="591" w:tblpY="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0"/>
            </w:tblGrid>
            <w:tr w14:paraId="4F01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trPr>
              <w:tc>
                <w:tcPr>
                  <w:tcW w:w="5680" w:type="dxa"/>
                  <w:tcBorders>
                    <w:top w:val="double" w:color="auto" w:sz="4" w:space="0"/>
                    <w:left w:val="double" w:color="auto" w:sz="4" w:space="0"/>
                    <w:bottom w:val="double" w:color="auto" w:sz="4" w:space="0"/>
                    <w:right w:val="double" w:color="auto" w:sz="4" w:space="0"/>
                  </w:tcBorders>
                  <w:noWrap w:val="0"/>
                  <w:vAlign w:val="center"/>
                </w:tcPr>
                <w:p w14:paraId="68A0AC2D">
                  <w:pPr>
                    <w:keepNext w:val="0"/>
                    <w:keepLines w:val="0"/>
                    <w:pageBreakBefore w:val="0"/>
                    <w:kinsoku/>
                    <w:wordWrap/>
                    <w:overflowPunct/>
                    <w:topLinePunct w:val="0"/>
                    <w:autoSpaceDE/>
                    <w:autoSpaceDN/>
                    <w:bidi w:val="0"/>
                    <w:spacing w:line="240" w:lineRule="auto"/>
                    <w:ind w:firstLine="105" w:firstLineChars="50"/>
                    <w:jc w:val="left"/>
                    <w:textAlignment w:val="auto"/>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产品名称：救灾专用棉被</w:t>
                  </w:r>
                  <w:r>
                    <w:rPr>
                      <w:rFonts w:hint="eastAsia" w:ascii="方正黑体_GBK" w:hAnsi="方正黑体_GBK" w:eastAsia="方正黑体_GBK" w:cs="方正黑体_GBK"/>
                      <w:kern w:val="21"/>
                      <w:sz w:val="21"/>
                      <w:szCs w:val="21"/>
                      <w:lang w:val="en-US" w:eastAsia="zh-CN"/>
                    </w:rPr>
                    <w:t xml:space="preserve">  </w:t>
                  </w:r>
                  <w:r>
                    <w:rPr>
                      <w:rFonts w:hint="eastAsia" w:ascii="方正黑体_GBK" w:hAnsi="方正黑体_GBK" w:eastAsia="方正黑体_GBK" w:cs="方正黑体_GBK"/>
                      <w:color w:val="000000"/>
                      <w:kern w:val="21"/>
                      <w:sz w:val="21"/>
                      <w:szCs w:val="21"/>
                    </w:rPr>
                    <w:t>适用范围</w:t>
                  </w:r>
                  <w:r>
                    <w:rPr>
                      <w:rFonts w:hint="eastAsia" w:ascii="方正黑体_GBK" w:hAnsi="方正黑体_GBK" w:eastAsia="方正黑体_GBK" w:cs="方正黑体_GBK"/>
                      <w:kern w:val="21"/>
                      <w:sz w:val="21"/>
                      <w:szCs w:val="21"/>
                    </w:rPr>
                    <w:t>：高寒区</w:t>
                  </w:r>
                </w:p>
                <w:p w14:paraId="6FF55DDD">
                  <w:pPr>
                    <w:keepNext w:val="0"/>
                    <w:keepLines w:val="0"/>
                    <w:pageBreakBefore w:val="0"/>
                    <w:kinsoku/>
                    <w:wordWrap/>
                    <w:overflowPunct/>
                    <w:topLinePunct w:val="0"/>
                    <w:autoSpaceDE/>
                    <w:autoSpaceDN/>
                    <w:bidi w:val="0"/>
                    <w:spacing w:line="240" w:lineRule="auto"/>
                    <w:ind w:left="120" w:leftChars="57"/>
                    <w:jc w:val="left"/>
                    <w:textAlignment w:val="auto"/>
                    <w:rPr>
                      <w:rFonts w:hint="eastAsia" w:ascii="方正黑体_GBK" w:hAnsi="方正黑体_GBK" w:eastAsia="方正黑体_GBK" w:cs="方正黑体_GBK"/>
                      <w:kern w:val="21"/>
                      <w:sz w:val="21"/>
                      <w:szCs w:val="21"/>
                      <w:lang w:val="en-US" w:eastAsia="zh-CN"/>
                    </w:rPr>
                  </w:pPr>
                  <w:r>
                    <w:rPr>
                      <w:rFonts w:hint="eastAsia" w:ascii="方正黑体_GBK" w:hAnsi="方正黑体_GBK" w:eastAsia="方正黑体_GBK" w:cs="方正黑体_GBK"/>
                      <w:kern w:val="21"/>
                      <w:sz w:val="21"/>
                      <w:szCs w:val="21"/>
                    </w:rPr>
                    <w:t>填充物重量：××××</w:t>
                  </w:r>
                  <w:r>
                    <w:rPr>
                      <w:rFonts w:hint="eastAsia" w:ascii="方正黑体_GBK" w:hAnsi="方正黑体_GBK" w:eastAsia="方正黑体_GBK" w:cs="方正黑体_GBK"/>
                      <w:kern w:val="21"/>
                      <w:sz w:val="21"/>
                      <w:szCs w:val="21"/>
                      <w:lang w:val="en-US" w:eastAsia="zh-CN"/>
                    </w:rPr>
                    <w:t>k</w:t>
                  </w:r>
                  <w:r>
                    <w:rPr>
                      <w:rFonts w:hint="eastAsia" w:ascii="方正黑体_GBK" w:hAnsi="方正黑体_GBK" w:eastAsia="方正黑体_GBK" w:cs="方正黑体_GBK"/>
                      <w:kern w:val="21"/>
                      <w:sz w:val="21"/>
                      <w:szCs w:val="21"/>
                    </w:rPr>
                    <w:t>g填充物成分：</w:t>
                  </w:r>
                  <w:r>
                    <w:rPr>
                      <w:rFonts w:hint="eastAsia" w:ascii="方正黑体_GBK" w:hAnsi="方正黑体_GBK" w:eastAsia="方正黑体_GBK" w:cs="方正黑体_GBK"/>
                      <w:kern w:val="21"/>
                      <w:sz w:val="21"/>
                      <w:szCs w:val="21"/>
                      <w:lang w:eastAsia="zh-CN"/>
                    </w:rPr>
                    <w:t>棉</w:t>
                  </w:r>
                  <w:r>
                    <w:rPr>
                      <w:rFonts w:hint="eastAsia" w:ascii="方正黑体_GBK" w:hAnsi="方正黑体_GBK" w:eastAsia="方正黑体_GBK" w:cs="方正黑体_GBK"/>
                      <w:kern w:val="21"/>
                      <w:sz w:val="21"/>
                      <w:szCs w:val="21"/>
                      <w:lang w:val="en-US" w:eastAsia="zh-CN"/>
                    </w:rPr>
                    <w:t>100%</w:t>
                  </w:r>
                </w:p>
                <w:p w14:paraId="3B6B9524">
                  <w:pPr>
                    <w:keepNext w:val="0"/>
                    <w:keepLines w:val="0"/>
                    <w:pageBreakBefore w:val="0"/>
                    <w:kinsoku/>
                    <w:wordWrap/>
                    <w:overflowPunct/>
                    <w:topLinePunct w:val="0"/>
                    <w:autoSpaceDE/>
                    <w:autoSpaceDN/>
                    <w:bidi w:val="0"/>
                    <w:spacing w:line="240" w:lineRule="auto"/>
                    <w:ind w:left="120" w:leftChars="57"/>
                    <w:jc w:val="left"/>
                    <w:textAlignment w:val="auto"/>
                    <w:rPr>
                      <w:rFonts w:hint="eastAsia" w:ascii="方正黑体_GBK" w:hAnsi="方正黑体_GBK" w:eastAsia="方正黑体_GBK" w:cs="方正黑体_GBK"/>
                      <w:kern w:val="21"/>
                      <w:sz w:val="21"/>
                      <w:szCs w:val="21"/>
                    </w:rPr>
                  </w:pPr>
                  <w:r>
                    <w:rPr>
                      <w:rFonts w:hint="eastAsia" w:ascii="方正黑体_GBK" w:hAnsi="方正黑体_GBK" w:eastAsia="方正黑体_GBK" w:cs="方正黑体_GBK"/>
                      <w:kern w:val="21"/>
                      <w:sz w:val="21"/>
                      <w:szCs w:val="21"/>
                    </w:rPr>
                    <w:t>面料成分：</w:t>
                  </w:r>
                  <w:r>
                    <w:rPr>
                      <w:rFonts w:hint="eastAsia" w:ascii="方正黑体_GBK" w:hAnsi="方正黑体_GBK" w:eastAsia="方正黑体_GBK" w:cs="方正黑体_GBK"/>
                      <w:kern w:val="21"/>
                      <w:sz w:val="21"/>
                      <w:szCs w:val="21"/>
                      <w:lang w:eastAsia="zh-CN"/>
                    </w:rPr>
                    <w:t>棉</w:t>
                  </w:r>
                  <w:r>
                    <w:rPr>
                      <w:rFonts w:hint="eastAsia" w:ascii="方正黑体_GBK" w:hAnsi="方正黑体_GBK" w:eastAsia="方正黑体_GBK" w:cs="方正黑体_GBK"/>
                      <w:kern w:val="21"/>
                      <w:sz w:val="21"/>
                      <w:szCs w:val="21"/>
                      <w:lang w:val="en-US" w:eastAsia="zh-CN"/>
                    </w:rPr>
                    <w:t xml:space="preserve">100%   </w:t>
                  </w:r>
                </w:p>
                <w:p w14:paraId="577A6A3E">
                  <w:pPr>
                    <w:keepNext w:val="0"/>
                    <w:keepLines w:val="0"/>
                    <w:pageBreakBefore w:val="0"/>
                    <w:kinsoku/>
                    <w:wordWrap/>
                    <w:overflowPunct/>
                    <w:topLinePunct w:val="0"/>
                    <w:autoSpaceDE/>
                    <w:autoSpaceDN/>
                    <w:bidi w:val="0"/>
                    <w:spacing w:line="240" w:lineRule="auto"/>
                    <w:ind w:left="120" w:leftChars="57"/>
                    <w:jc w:val="left"/>
                    <w:textAlignment w:val="auto"/>
                    <w:rPr>
                      <w:rFonts w:hint="eastAsia" w:ascii="方正黑体_GBK" w:hAnsi="方正黑体_GBK" w:eastAsia="方正黑体_GBK" w:cs="方正黑体_GBK"/>
                      <w:kern w:val="21"/>
                      <w:sz w:val="21"/>
                      <w:szCs w:val="21"/>
                      <w:lang w:eastAsia="zh-CN"/>
                    </w:rPr>
                  </w:pPr>
                  <w:r>
                    <w:rPr>
                      <w:rFonts w:hint="eastAsia" w:ascii="方正黑体_GBK" w:hAnsi="方正黑体_GBK" w:eastAsia="方正黑体_GBK" w:cs="方正黑体_GBK"/>
                      <w:kern w:val="21"/>
                      <w:sz w:val="21"/>
                      <w:szCs w:val="21"/>
                      <w:lang w:val="en-US" w:eastAsia="zh-CN"/>
                    </w:rPr>
                    <w:t>调拨单位</w:t>
                  </w:r>
                  <w:r>
                    <w:rPr>
                      <w:rFonts w:hint="eastAsia" w:ascii="方正黑体_GBK" w:hAnsi="方正黑体_GBK" w:eastAsia="方正黑体_GBK" w:cs="方正黑体_GBK"/>
                      <w:kern w:val="21"/>
                      <w:sz w:val="21"/>
                      <w:szCs w:val="21"/>
                      <w:lang w:eastAsia="zh-CN"/>
                    </w:rPr>
                    <w:t>：松原市</w:t>
                  </w:r>
                  <w:r>
                    <w:rPr>
                      <w:rFonts w:hint="eastAsia" w:ascii="方正黑体_GBK" w:hAnsi="方正黑体_GBK" w:eastAsia="方正黑体_GBK" w:cs="方正黑体_GBK"/>
                      <w:kern w:val="21"/>
                      <w:sz w:val="21"/>
                      <w:szCs w:val="21"/>
                    </w:rPr>
                    <w:t>应急管理</w:t>
                  </w:r>
                  <w:r>
                    <w:rPr>
                      <w:rFonts w:hint="eastAsia" w:ascii="方正黑体_GBK" w:hAnsi="方正黑体_GBK" w:eastAsia="方正黑体_GBK" w:cs="方正黑体_GBK"/>
                      <w:kern w:val="21"/>
                      <w:sz w:val="21"/>
                      <w:szCs w:val="21"/>
                      <w:lang w:eastAsia="zh-CN"/>
                    </w:rPr>
                    <w:t>局</w:t>
                  </w:r>
                </w:p>
                <w:p w14:paraId="6B127273">
                  <w:pPr>
                    <w:keepNext w:val="0"/>
                    <w:keepLines w:val="0"/>
                    <w:pageBreakBefore w:val="0"/>
                    <w:kinsoku/>
                    <w:wordWrap/>
                    <w:overflowPunct/>
                    <w:topLinePunct w:val="0"/>
                    <w:autoSpaceDE/>
                    <w:autoSpaceDN/>
                    <w:bidi w:val="0"/>
                    <w:spacing w:line="240" w:lineRule="auto"/>
                    <w:ind w:left="120" w:leftChars="57"/>
                    <w:jc w:val="left"/>
                    <w:textAlignment w:val="auto"/>
                    <w:rPr>
                      <w:rFonts w:hint="eastAsia" w:ascii="方正黑体_GBK" w:hAnsi="方正黑体_GBK" w:eastAsia="方正黑体_GBK" w:cs="方正黑体_GBK"/>
                      <w:kern w:val="21"/>
                      <w:sz w:val="21"/>
                      <w:szCs w:val="21"/>
                      <w:lang w:eastAsia="zh-CN"/>
                    </w:rPr>
                  </w:pPr>
                  <w:r>
                    <w:rPr>
                      <w:rFonts w:hint="eastAsia" w:ascii="方正黑体_GBK" w:hAnsi="方正黑体_GBK" w:eastAsia="方正黑体_GBK" w:cs="方正黑体_GBK"/>
                      <w:kern w:val="21"/>
                      <w:sz w:val="21"/>
                      <w:szCs w:val="21"/>
                      <w:lang w:eastAsia="zh-CN"/>
                    </w:rPr>
                    <w:t>采购</w:t>
                  </w:r>
                  <w:r>
                    <w:rPr>
                      <w:rFonts w:hint="eastAsia" w:ascii="方正黑体_GBK" w:hAnsi="方正黑体_GBK" w:eastAsia="方正黑体_GBK" w:cs="方正黑体_GBK"/>
                      <w:kern w:val="21"/>
                      <w:sz w:val="21"/>
                      <w:szCs w:val="21"/>
                      <w:lang w:val="en-US" w:eastAsia="zh-CN"/>
                    </w:rPr>
                    <w:t>及监制</w:t>
                  </w:r>
                  <w:r>
                    <w:rPr>
                      <w:rFonts w:hint="eastAsia" w:ascii="方正黑体_GBK" w:hAnsi="方正黑体_GBK" w:eastAsia="方正黑体_GBK" w:cs="方正黑体_GBK"/>
                      <w:kern w:val="21"/>
                      <w:sz w:val="21"/>
                      <w:szCs w:val="21"/>
                      <w:lang w:eastAsia="zh-CN"/>
                    </w:rPr>
                    <w:t>单位：松原市粮食</w:t>
                  </w:r>
                  <w:r>
                    <w:rPr>
                      <w:rFonts w:hint="eastAsia" w:ascii="方正黑体_GBK" w:hAnsi="方正黑体_GBK" w:eastAsia="方正黑体_GBK" w:cs="方正黑体_GBK"/>
                      <w:kern w:val="21"/>
                      <w:sz w:val="21"/>
                      <w:szCs w:val="21"/>
                      <w:lang w:val="en-US" w:eastAsia="zh-CN"/>
                    </w:rPr>
                    <w:t>和物资</w:t>
                  </w:r>
                  <w:r>
                    <w:rPr>
                      <w:rFonts w:hint="eastAsia" w:ascii="方正黑体_GBK" w:hAnsi="方正黑体_GBK" w:eastAsia="方正黑体_GBK" w:cs="方正黑体_GBK"/>
                      <w:kern w:val="21"/>
                      <w:sz w:val="21"/>
                      <w:szCs w:val="21"/>
                      <w:lang w:eastAsia="zh-CN"/>
                    </w:rPr>
                    <w:t>储备局</w:t>
                  </w:r>
                </w:p>
                <w:p w14:paraId="2C5F649B">
                  <w:pPr>
                    <w:keepNext w:val="0"/>
                    <w:keepLines w:val="0"/>
                    <w:pageBreakBefore w:val="0"/>
                    <w:kinsoku/>
                    <w:wordWrap/>
                    <w:overflowPunct/>
                    <w:topLinePunct w:val="0"/>
                    <w:autoSpaceDE/>
                    <w:autoSpaceDN/>
                    <w:bidi w:val="0"/>
                    <w:spacing w:line="240" w:lineRule="auto"/>
                    <w:ind w:left="120" w:leftChars="57"/>
                    <w:jc w:val="left"/>
                    <w:textAlignment w:val="auto"/>
                    <w:rPr>
                      <w:rFonts w:hint="eastAsia" w:eastAsia="黑体"/>
                      <w:kern w:val="21"/>
                      <w:sz w:val="21"/>
                      <w:szCs w:val="21"/>
                      <w:lang w:eastAsia="zh-CN"/>
                    </w:rPr>
                  </w:pPr>
                  <w:r>
                    <w:rPr>
                      <w:rFonts w:hint="eastAsia" w:ascii="方正黑体_GBK" w:hAnsi="方正黑体_GBK" w:eastAsia="方正黑体_GBK" w:cs="方正黑体_GBK"/>
                      <w:kern w:val="21"/>
                      <w:sz w:val="21"/>
                      <w:szCs w:val="21"/>
                      <w:lang w:val="en-US" w:eastAsia="zh-CN"/>
                    </w:rPr>
                    <w:t>承制</w:t>
                  </w:r>
                  <w:r>
                    <w:rPr>
                      <w:rFonts w:hint="eastAsia" w:ascii="方正黑体_GBK" w:hAnsi="方正黑体_GBK" w:eastAsia="方正黑体_GBK" w:cs="方正黑体_GBK"/>
                      <w:kern w:val="21"/>
                      <w:sz w:val="21"/>
                      <w:szCs w:val="21"/>
                      <w:lang w:eastAsia="zh-CN"/>
                    </w:rPr>
                    <w:t>单位：</w:t>
                  </w:r>
                  <w:r>
                    <w:rPr>
                      <w:rFonts w:hint="eastAsia" w:ascii="方正黑体_GBK" w:hAnsi="方正黑体_GBK" w:eastAsia="方正黑体_GBK" w:cs="方正黑体_GBK"/>
                      <w:kern w:val="21"/>
                      <w:sz w:val="21"/>
                      <w:szCs w:val="21"/>
                    </w:rPr>
                    <w:t>××××</w:t>
                  </w:r>
                  <w:r>
                    <w:rPr>
                      <w:rFonts w:hint="eastAsia" w:ascii="方正黑体_GBK" w:hAnsi="方正黑体_GBK" w:eastAsia="方正黑体_GBK" w:cs="方正黑体_GBK"/>
                      <w:kern w:val="21"/>
                      <w:sz w:val="21"/>
                      <w:szCs w:val="21"/>
                      <w:lang w:val="en-US" w:eastAsia="zh-CN"/>
                    </w:rPr>
                    <w:t xml:space="preserve">         </w:t>
                  </w:r>
                  <w:r>
                    <w:rPr>
                      <w:rFonts w:hint="eastAsia" w:ascii="方正黑体_GBK" w:hAnsi="方正黑体_GBK" w:eastAsia="方正黑体_GBK" w:cs="方正黑体_GBK"/>
                      <w:kern w:val="21"/>
                      <w:sz w:val="21"/>
                      <w:szCs w:val="21"/>
                    </w:rPr>
                    <w:t>生产日期：××××年×月</w:t>
                  </w:r>
                </w:p>
              </w:tc>
            </w:tr>
          </w:tbl>
          <w:p w14:paraId="12F0A0A6">
            <w:pPr>
              <w:keepNext w:val="0"/>
              <w:keepLines w:val="0"/>
              <w:pageBreakBefore w:val="0"/>
              <w:widowControl/>
              <w:kinsoku/>
              <w:wordWrap/>
              <w:overflowPunct/>
              <w:topLinePunct w:val="0"/>
              <w:autoSpaceDE/>
              <w:autoSpaceDN/>
              <w:bidi w:val="0"/>
              <w:spacing w:line="240" w:lineRule="auto"/>
              <w:jc w:val="center"/>
              <w:textAlignment w:val="auto"/>
              <w:rPr>
                <w:rFonts w:hint="eastAsia" w:ascii="黑体" w:hAnsi="黑体" w:eastAsia="黑体" w:cs="黑体"/>
                <w:kern w:val="24"/>
                <w:sz w:val="21"/>
                <w:szCs w:val="21"/>
              </w:rPr>
            </w:pPr>
            <w:r>
              <w:rPr>
                <w:rFonts w:hint="eastAsia" w:ascii="黑体" w:hAnsi="黑体" w:eastAsia="黑体" w:cs="黑体"/>
                <w:kern w:val="24"/>
                <w:sz w:val="21"/>
                <w:szCs w:val="21"/>
              </w:rPr>
              <w:t>图1产品标志耐久性标签</w:t>
            </w:r>
          </w:p>
          <w:p w14:paraId="276E13BE">
            <w:pPr>
              <w:keepNext w:val="0"/>
              <w:keepLines w:val="0"/>
              <w:pageBreakBefore w:val="0"/>
              <w:widowControl/>
              <w:kinsoku/>
              <w:wordWrap/>
              <w:overflowPunct/>
              <w:topLinePunct w:val="0"/>
              <w:autoSpaceDE/>
              <w:autoSpaceDN/>
              <w:bidi w:val="0"/>
              <w:spacing w:line="240" w:lineRule="auto"/>
              <w:jc w:val="center"/>
              <w:textAlignment w:val="auto"/>
              <w:rPr>
                <w:rFonts w:hint="eastAsia" w:ascii="黑体" w:hAnsi="黑体" w:eastAsia="黑体" w:cs="黑体"/>
                <w:kern w:val="24"/>
                <w:sz w:val="21"/>
                <w:szCs w:val="21"/>
              </w:rPr>
            </w:pPr>
          </w:p>
          <w:p w14:paraId="204F0547">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宋体" w:hAnsi="宋体" w:eastAsia="宋体" w:cs="宋体"/>
                <w:kern w:val="24"/>
                <w:sz w:val="21"/>
                <w:szCs w:val="21"/>
              </w:rPr>
              <w:t>包装标志</w:t>
            </w:r>
          </w:p>
          <w:p w14:paraId="402C64D9">
            <w:pPr>
              <w:keepNext w:val="0"/>
              <w:keepLines w:val="0"/>
              <w:pageBreakBefore w:val="0"/>
              <w:widowControl/>
              <w:numPr>
                <w:ilvl w:val="3"/>
                <w:numId w:val="23"/>
              </w:numPr>
              <w:kinsoku/>
              <w:wordWrap/>
              <w:overflowPunct/>
              <w:topLinePunct w:val="0"/>
              <w:autoSpaceDE/>
              <w:autoSpaceDN/>
              <w:bidi w:val="0"/>
              <w:adjustRightInd/>
              <w:snapToGrid/>
              <w:spacing w:line="240" w:lineRule="auto"/>
              <w:ind w:left="420" w:leftChars="200" w:firstLine="0" w:firstLineChars="0"/>
              <w:textAlignment w:val="auto"/>
              <w:outlineLvl w:val="7"/>
              <w:rPr>
                <w:rFonts w:hint="eastAsia" w:ascii="宋体" w:hAnsi="宋体" w:eastAsia="宋体" w:cs="宋体"/>
                <w:kern w:val="0"/>
                <w:sz w:val="21"/>
                <w:szCs w:val="21"/>
              </w:rPr>
            </w:pPr>
            <w:r>
              <w:rPr>
                <w:rFonts w:hint="eastAsia" w:ascii="宋体" w:hAnsi="宋体" w:eastAsia="宋体" w:cs="宋体"/>
                <w:kern w:val="24"/>
                <w:sz w:val="21"/>
                <w:szCs w:val="21"/>
              </w:rPr>
              <w:t>外包装两个正面</w:t>
            </w:r>
            <w:r>
              <w:rPr>
                <w:rFonts w:hint="eastAsia" w:ascii="宋体" w:hAnsi="宋体" w:eastAsia="宋体" w:cs="宋体"/>
                <w:kern w:val="0"/>
                <w:sz w:val="21"/>
                <w:szCs w:val="21"/>
              </w:rPr>
              <w:t>需标注产品名称、数量、重量、生产日期、</w:t>
            </w:r>
            <w:r>
              <w:rPr>
                <w:rFonts w:hint="eastAsia" w:ascii="宋体" w:hAnsi="宋体" w:eastAsia="宋体" w:cs="宋体"/>
                <w:kern w:val="0"/>
                <w:sz w:val="21"/>
                <w:szCs w:val="21"/>
                <w:lang w:val="en-US" w:eastAsia="zh-CN"/>
              </w:rPr>
              <w:t>调拨单位名称、采购及监制单位名称、</w:t>
            </w:r>
            <w:r>
              <w:rPr>
                <w:rFonts w:hint="eastAsia" w:ascii="宋体" w:hAnsi="宋体" w:eastAsia="宋体" w:cs="宋体"/>
                <w:kern w:val="0"/>
                <w:sz w:val="21"/>
                <w:szCs w:val="21"/>
              </w:rPr>
              <w:t>承制单位名称</w:t>
            </w:r>
            <w:r>
              <w:rPr>
                <w:rFonts w:hint="eastAsia" w:ascii="宋体" w:hAnsi="宋体" w:eastAsia="宋体" w:cs="宋体"/>
                <w:kern w:val="0"/>
                <w:sz w:val="21"/>
                <w:szCs w:val="21"/>
                <w:lang w:val="en-US" w:eastAsia="zh-CN"/>
              </w:rPr>
              <w:t>和</w:t>
            </w:r>
            <w:r>
              <w:rPr>
                <w:rFonts w:hint="eastAsia" w:ascii="宋体" w:hAnsi="宋体" w:eastAsia="宋体" w:cs="宋体"/>
                <w:kern w:val="0"/>
                <w:sz w:val="21"/>
                <w:szCs w:val="21"/>
              </w:rPr>
              <w:t>填充物成分。其</w:t>
            </w:r>
            <w:r>
              <w:rPr>
                <w:rFonts w:hint="eastAsia" w:ascii="宋体" w:hAnsi="宋体" w:eastAsia="宋体" w:cs="宋体"/>
                <w:kern w:val="0"/>
                <w:sz w:val="21"/>
                <w:szCs w:val="21"/>
                <w:lang w:val="en-US" w:eastAsia="zh-CN"/>
              </w:rPr>
              <w:t>中</w:t>
            </w:r>
            <w:r>
              <w:rPr>
                <w:rFonts w:hint="eastAsia" w:ascii="宋体" w:hAnsi="宋体" w:eastAsia="宋体" w:cs="宋体"/>
                <w:kern w:val="0"/>
                <w:sz w:val="21"/>
                <w:szCs w:val="21"/>
              </w:rPr>
              <w:t>产品名称、</w:t>
            </w:r>
            <w:r>
              <w:rPr>
                <w:rFonts w:hint="eastAsia" w:ascii="宋体" w:hAnsi="宋体" w:eastAsia="宋体" w:cs="宋体"/>
                <w:kern w:val="0"/>
                <w:sz w:val="21"/>
                <w:szCs w:val="21"/>
                <w:lang w:val="en-US" w:eastAsia="zh-CN"/>
              </w:rPr>
              <w:t>调拨单位、采购单位及</w:t>
            </w:r>
            <w:r>
              <w:rPr>
                <w:rFonts w:hint="eastAsia" w:ascii="宋体" w:hAnsi="宋体" w:eastAsia="宋体" w:cs="宋体"/>
                <w:kern w:val="0"/>
                <w:sz w:val="21"/>
                <w:szCs w:val="21"/>
              </w:rPr>
              <w:t>承制单位名称</w:t>
            </w:r>
            <w:r>
              <w:rPr>
                <w:rFonts w:hint="eastAsia" w:ascii="宋体" w:hAnsi="宋体" w:eastAsia="宋体" w:cs="宋体"/>
                <w:kern w:val="24"/>
                <w:sz w:val="21"/>
                <w:szCs w:val="21"/>
              </w:rPr>
              <w:t>为黑体字，其余为宋体字；字体大小适宜、布局合理，</w:t>
            </w:r>
            <w:r>
              <w:rPr>
                <w:rFonts w:hint="eastAsia" w:ascii="宋体" w:hAnsi="宋体" w:eastAsia="宋体" w:cs="宋体"/>
                <w:kern w:val="0"/>
                <w:sz w:val="21"/>
                <w:szCs w:val="21"/>
              </w:rPr>
              <w:t>标注示例见图2。</w:t>
            </w:r>
          </w:p>
          <w:p w14:paraId="28DF2803">
            <w:pPr>
              <w:keepNext w:val="0"/>
              <w:keepLines w:val="0"/>
              <w:pageBreakBefore w:val="0"/>
              <w:widowControl/>
              <w:numPr>
                <w:ilvl w:val="3"/>
                <w:numId w:val="23"/>
              </w:numPr>
              <w:kinsoku/>
              <w:wordWrap/>
              <w:overflowPunct/>
              <w:topLinePunct w:val="0"/>
              <w:autoSpaceDE/>
              <w:autoSpaceDN/>
              <w:bidi w:val="0"/>
              <w:adjustRightInd/>
              <w:snapToGrid/>
              <w:spacing w:line="240" w:lineRule="auto"/>
              <w:ind w:left="420" w:leftChars="200" w:firstLine="0" w:firstLineChars="0"/>
              <w:textAlignment w:val="auto"/>
              <w:outlineLvl w:val="7"/>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外包装侧面需标注“救灾专用”、“注意防潮”</w:t>
            </w:r>
            <w:r>
              <w:rPr>
                <w:rFonts w:hint="eastAsia" w:ascii="宋体" w:hAnsi="宋体" w:eastAsia="宋体" w:cs="宋体"/>
                <w:kern w:val="24"/>
                <w:sz w:val="21"/>
                <w:szCs w:val="21"/>
              </w:rPr>
              <w:t>字样；字体为黑体字，字体大小适宜、布局合理，</w:t>
            </w:r>
            <w:r>
              <w:rPr>
                <w:rFonts w:hint="eastAsia" w:ascii="宋体" w:hAnsi="宋体" w:eastAsia="宋体" w:cs="宋体"/>
                <w:kern w:val="0"/>
                <w:sz w:val="21"/>
                <w:szCs w:val="21"/>
              </w:rPr>
              <w:t>标注见图2。</w:t>
            </w:r>
          </w:p>
          <w:p w14:paraId="23FABB3B">
            <w:pPr>
              <w:keepNext w:val="0"/>
              <w:keepLines w:val="0"/>
              <w:pageBreakBefore w:val="0"/>
              <w:widowControl/>
              <w:numPr>
                <w:ilvl w:val="3"/>
                <w:numId w:val="23"/>
              </w:numPr>
              <w:kinsoku/>
              <w:wordWrap/>
              <w:overflowPunct/>
              <w:topLinePunct w:val="0"/>
              <w:autoSpaceDE/>
              <w:autoSpaceDN/>
              <w:bidi w:val="0"/>
              <w:adjustRightInd/>
              <w:snapToGrid/>
              <w:spacing w:line="240" w:lineRule="auto"/>
              <w:ind w:left="420" w:leftChars="200" w:firstLine="0" w:firstLineChars="0"/>
              <w:textAlignment w:val="auto"/>
              <w:outlineLvl w:val="7"/>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将10个与包装内一样的二维码装入软包装的透明卡盒中，牢固的固定在捆包绳处，将软包装卡盒插在捆包绳处，防止搬运中掉落。</w:t>
            </w:r>
          </w:p>
          <w:p w14:paraId="359D69F0">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outlineLvl w:val="7"/>
              <w:rPr>
                <w:rFonts w:hint="eastAsia" w:ascii="宋体" w:hAnsi="宋体" w:eastAsia="宋体" w:cs="宋体"/>
                <w:kern w:val="0"/>
                <w:sz w:val="21"/>
                <w:szCs w:val="21"/>
              </w:rPr>
            </w:pPr>
          </w:p>
          <w:tbl>
            <w:tblPr>
              <w:tblStyle w:val="59"/>
              <w:tblpPr w:leftFromText="180" w:rightFromText="180" w:vertAnchor="text" w:horzAnchor="page" w:tblpX="116" w:tblpY="2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342"/>
              <w:gridCol w:w="1145"/>
            </w:tblGrid>
            <w:tr w14:paraId="01EC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560" w:type="dxa"/>
                  <w:gridSpan w:val="3"/>
                  <w:vAlign w:val="top"/>
                </w:tcPr>
                <w:p w14:paraId="7F66D2A3">
                  <w:pPr>
                    <w:keepLines w:val="0"/>
                    <w:pageBreakBefore w:val="0"/>
                    <w:widowControl/>
                    <w:topLinePunct w:val="0"/>
                    <w:bidi w:val="0"/>
                    <w:spacing w:line="240" w:lineRule="auto"/>
                    <w:jc w:val="center"/>
                    <w:rPr>
                      <w:rFonts w:hint="default" w:eastAsia="黑体"/>
                      <w:kern w:val="24"/>
                      <w:sz w:val="21"/>
                      <w:szCs w:val="21"/>
                      <w:vertAlign w:val="baseline"/>
                      <w:lang w:val="en-US" w:eastAsia="zh-CN"/>
                    </w:rPr>
                  </w:pPr>
                  <w:r>
                    <w:rPr>
                      <w:rFonts w:hint="eastAsia" w:eastAsia="黑体"/>
                      <w:kern w:val="24"/>
                      <w:sz w:val="21"/>
                      <w:szCs w:val="21"/>
                      <w:vertAlign w:val="baseline"/>
                      <w:lang w:val="en-US" w:eastAsia="zh-CN"/>
                    </w:rPr>
                    <w:t>救灾专用  棉被  高寒区</w:t>
                  </w:r>
                </w:p>
              </w:tc>
            </w:tr>
            <w:tr w14:paraId="016A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73" w:type="dxa"/>
                  <w:vAlign w:val="top"/>
                </w:tcPr>
                <w:p w14:paraId="24FFAB8C">
                  <w:pPr>
                    <w:keepLines w:val="0"/>
                    <w:pageBreakBefore w:val="0"/>
                    <w:widowControl/>
                    <w:topLinePunct w:val="0"/>
                    <w:bidi w:val="0"/>
                    <w:spacing w:line="240" w:lineRule="auto"/>
                    <w:jc w:val="center"/>
                    <w:rPr>
                      <w:rFonts w:hint="eastAsia" w:eastAsia="黑体"/>
                      <w:kern w:val="24"/>
                      <w:sz w:val="21"/>
                      <w:szCs w:val="21"/>
                      <w:vertAlign w:val="baseline"/>
                      <w:lang w:val="en-US" w:eastAsia="zh-CN"/>
                    </w:rPr>
                  </w:pPr>
                  <w:r>
                    <w:rPr>
                      <w:rFonts w:hint="eastAsia" w:eastAsia="黑体"/>
                      <w:kern w:val="24"/>
                      <w:sz w:val="21"/>
                      <w:szCs w:val="21"/>
                      <w:vertAlign w:val="baseline"/>
                      <w:lang w:val="en-US" w:eastAsia="zh-CN"/>
                    </w:rPr>
                    <w:t>数量</w:t>
                  </w:r>
                </w:p>
              </w:tc>
              <w:tc>
                <w:tcPr>
                  <w:tcW w:w="1342" w:type="dxa"/>
                  <w:vAlign w:val="top"/>
                </w:tcPr>
                <w:p w14:paraId="43EF6DBD">
                  <w:pPr>
                    <w:keepLines w:val="0"/>
                    <w:pageBreakBefore w:val="0"/>
                    <w:widowControl/>
                    <w:topLinePunct w:val="0"/>
                    <w:bidi w:val="0"/>
                    <w:spacing w:line="240" w:lineRule="auto"/>
                    <w:jc w:val="center"/>
                    <w:rPr>
                      <w:rFonts w:hint="default" w:eastAsia="黑体"/>
                      <w:kern w:val="24"/>
                      <w:sz w:val="21"/>
                      <w:szCs w:val="21"/>
                      <w:vertAlign w:val="baseline"/>
                      <w:lang w:val="en-US" w:eastAsia="zh-CN"/>
                    </w:rPr>
                  </w:pPr>
                  <w:r>
                    <w:rPr>
                      <w:rFonts w:hint="eastAsia" w:eastAsia="黑体"/>
                      <w:kern w:val="24"/>
                      <w:sz w:val="21"/>
                      <w:szCs w:val="21"/>
                      <w:vertAlign w:val="baseline"/>
                      <w:lang w:val="en-US" w:eastAsia="zh-CN"/>
                    </w:rPr>
                    <w:t>10床</w:t>
                  </w:r>
                </w:p>
              </w:tc>
              <w:tc>
                <w:tcPr>
                  <w:tcW w:w="1145" w:type="dxa"/>
                  <w:vAlign w:val="top"/>
                </w:tcPr>
                <w:p w14:paraId="63958C62">
                  <w:pPr>
                    <w:keepLines w:val="0"/>
                    <w:pageBreakBefore w:val="0"/>
                    <w:widowControl/>
                    <w:topLinePunct w:val="0"/>
                    <w:bidi w:val="0"/>
                    <w:spacing w:line="240" w:lineRule="auto"/>
                    <w:jc w:val="center"/>
                    <w:rPr>
                      <w:rFonts w:eastAsia="黑体"/>
                      <w:kern w:val="24"/>
                      <w:sz w:val="21"/>
                      <w:szCs w:val="21"/>
                      <w:vertAlign w:val="baseline"/>
                    </w:rPr>
                  </w:pPr>
                  <w:r>
                    <w:rPr>
                      <w:rFonts w:eastAsia="黑体"/>
                      <w:kern w:val="21"/>
                      <w:sz w:val="21"/>
                      <w:szCs w:val="21"/>
                    </w:rPr>
                    <w:t>××××</w:t>
                  </w:r>
                  <w:r>
                    <w:rPr>
                      <w:rFonts w:hint="eastAsia" w:eastAsia="黑体"/>
                      <w:kern w:val="21"/>
                      <w:sz w:val="21"/>
                      <w:szCs w:val="21"/>
                      <w:lang w:val="en-US" w:eastAsia="zh-CN"/>
                    </w:rPr>
                    <w:t>k</w:t>
                  </w:r>
                  <w:r>
                    <w:rPr>
                      <w:rFonts w:hint="eastAsia" w:eastAsia="黑体"/>
                      <w:kern w:val="21"/>
                      <w:sz w:val="21"/>
                      <w:szCs w:val="21"/>
                    </w:rPr>
                    <w:t>g</w:t>
                  </w:r>
                </w:p>
              </w:tc>
            </w:tr>
            <w:tr w14:paraId="3CDD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415" w:type="dxa"/>
                  <w:gridSpan w:val="2"/>
                  <w:vAlign w:val="top"/>
                </w:tcPr>
                <w:p w14:paraId="1E149AAE">
                  <w:pPr>
                    <w:keepLines w:val="0"/>
                    <w:pageBreakBefore w:val="0"/>
                    <w:widowControl/>
                    <w:topLinePunct w:val="0"/>
                    <w:bidi w:val="0"/>
                    <w:spacing w:line="240" w:lineRule="auto"/>
                    <w:jc w:val="center"/>
                    <w:rPr>
                      <w:rFonts w:hint="default" w:eastAsia="黑体"/>
                      <w:kern w:val="24"/>
                      <w:sz w:val="21"/>
                      <w:szCs w:val="21"/>
                      <w:vertAlign w:val="baseline"/>
                      <w:lang w:val="en-US" w:eastAsia="zh-CN"/>
                    </w:rPr>
                  </w:pPr>
                  <w:r>
                    <w:rPr>
                      <w:rFonts w:hint="eastAsia" w:eastAsia="黑体"/>
                      <w:kern w:val="24"/>
                      <w:sz w:val="21"/>
                      <w:szCs w:val="21"/>
                      <w:vertAlign w:val="baseline"/>
                      <w:lang w:val="en-US" w:eastAsia="zh-CN"/>
                    </w:rPr>
                    <w:t>XXXX年XX月</w:t>
                  </w:r>
                </w:p>
              </w:tc>
              <w:tc>
                <w:tcPr>
                  <w:tcW w:w="1145" w:type="dxa"/>
                  <w:vAlign w:val="top"/>
                </w:tcPr>
                <w:p w14:paraId="36F52314">
                  <w:pPr>
                    <w:keepLines w:val="0"/>
                    <w:pageBreakBefore w:val="0"/>
                    <w:widowControl/>
                    <w:topLinePunct w:val="0"/>
                    <w:bidi w:val="0"/>
                    <w:spacing w:line="240" w:lineRule="auto"/>
                    <w:jc w:val="center"/>
                    <w:rPr>
                      <w:rFonts w:eastAsia="黑体"/>
                      <w:kern w:val="24"/>
                      <w:sz w:val="21"/>
                      <w:szCs w:val="21"/>
                      <w:vertAlign w:val="baseline"/>
                    </w:rPr>
                  </w:pPr>
                </w:p>
              </w:tc>
            </w:tr>
            <w:tr w14:paraId="7EDC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415" w:type="dxa"/>
                  <w:gridSpan w:val="2"/>
                  <w:vAlign w:val="top"/>
                </w:tcPr>
                <w:p w14:paraId="67267ECE">
                  <w:pPr>
                    <w:keepLines w:val="0"/>
                    <w:pageBreakBefore w:val="0"/>
                    <w:widowControl/>
                    <w:topLinePunct w:val="0"/>
                    <w:bidi w:val="0"/>
                    <w:spacing w:line="240" w:lineRule="auto"/>
                    <w:jc w:val="center"/>
                    <w:rPr>
                      <w:rFonts w:hint="default" w:eastAsia="黑体"/>
                      <w:kern w:val="24"/>
                      <w:sz w:val="21"/>
                      <w:szCs w:val="21"/>
                      <w:vertAlign w:val="baseline"/>
                      <w:lang w:val="en-US" w:eastAsia="zh-CN"/>
                    </w:rPr>
                  </w:pPr>
                  <w:r>
                    <w:rPr>
                      <w:rFonts w:hint="eastAsia" w:eastAsia="黑体"/>
                      <w:kern w:val="24"/>
                      <w:sz w:val="21"/>
                      <w:szCs w:val="21"/>
                      <w:vertAlign w:val="baseline"/>
                      <w:lang w:val="en-US" w:eastAsia="zh-CN"/>
                    </w:rPr>
                    <w:t>承制单位：  XXXXX</w:t>
                  </w:r>
                </w:p>
              </w:tc>
              <w:tc>
                <w:tcPr>
                  <w:tcW w:w="1145" w:type="dxa"/>
                  <w:vAlign w:val="top"/>
                </w:tcPr>
                <w:p w14:paraId="744044CB">
                  <w:pPr>
                    <w:keepLines w:val="0"/>
                    <w:pageBreakBefore w:val="0"/>
                    <w:widowControl/>
                    <w:topLinePunct w:val="0"/>
                    <w:bidi w:val="0"/>
                    <w:spacing w:line="240" w:lineRule="auto"/>
                    <w:jc w:val="center"/>
                    <w:rPr>
                      <w:rFonts w:eastAsia="黑体"/>
                      <w:kern w:val="24"/>
                      <w:sz w:val="21"/>
                      <w:szCs w:val="21"/>
                      <w:vertAlign w:val="baseline"/>
                    </w:rPr>
                  </w:pPr>
                </w:p>
              </w:tc>
            </w:tr>
            <w:tr w14:paraId="7AF2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560" w:type="dxa"/>
                  <w:gridSpan w:val="3"/>
                  <w:vAlign w:val="top"/>
                </w:tcPr>
                <w:p w14:paraId="7F3589B8">
                  <w:pPr>
                    <w:keepLines w:val="0"/>
                    <w:pageBreakBefore w:val="0"/>
                    <w:widowControl/>
                    <w:topLinePunct w:val="0"/>
                    <w:bidi w:val="0"/>
                    <w:spacing w:line="240" w:lineRule="auto"/>
                    <w:jc w:val="center"/>
                    <w:rPr>
                      <w:rFonts w:hint="default" w:eastAsia="黑体"/>
                      <w:kern w:val="24"/>
                      <w:sz w:val="21"/>
                      <w:szCs w:val="21"/>
                      <w:vertAlign w:val="baseline"/>
                      <w:lang w:val="en-US" w:eastAsia="zh-CN"/>
                    </w:rPr>
                  </w:pPr>
                  <w:r>
                    <w:rPr>
                      <w:rFonts w:hint="eastAsia" w:eastAsia="黑体"/>
                      <w:kern w:val="24"/>
                      <w:sz w:val="21"/>
                      <w:szCs w:val="21"/>
                      <w:vertAlign w:val="baseline"/>
                      <w:lang w:val="en-US" w:eastAsia="zh-CN"/>
                    </w:rPr>
                    <w:t xml:space="preserve">调拨单位：松原市应急管理局  </w:t>
                  </w:r>
                </w:p>
              </w:tc>
            </w:tr>
            <w:tr w14:paraId="7795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560" w:type="dxa"/>
                  <w:gridSpan w:val="3"/>
                  <w:vAlign w:val="top"/>
                </w:tcPr>
                <w:p w14:paraId="5BC0E44D">
                  <w:pPr>
                    <w:keepLines w:val="0"/>
                    <w:pageBreakBefore w:val="0"/>
                    <w:widowControl/>
                    <w:topLinePunct w:val="0"/>
                    <w:bidi w:val="0"/>
                    <w:spacing w:line="240" w:lineRule="auto"/>
                    <w:jc w:val="center"/>
                    <w:rPr>
                      <w:rFonts w:hint="default" w:eastAsia="黑体"/>
                      <w:kern w:val="24"/>
                      <w:sz w:val="21"/>
                      <w:szCs w:val="21"/>
                      <w:vertAlign w:val="baseline"/>
                      <w:lang w:val="en-US" w:eastAsia="zh-CN"/>
                    </w:rPr>
                  </w:pPr>
                  <w:r>
                    <w:rPr>
                      <w:rFonts w:hint="eastAsia" w:eastAsia="黑体"/>
                      <w:kern w:val="24"/>
                      <w:sz w:val="21"/>
                      <w:szCs w:val="21"/>
                      <w:vertAlign w:val="baseline"/>
                      <w:lang w:val="en-US" w:eastAsia="zh-CN"/>
                    </w:rPr>
                    <w:t>采购及监制单位：松原市粮食和物资储备局</w:t>
                  </w:r>
                </w:p>
              </w:tc>
            </w:tr>
          </w:tbl>
          <w:p w14:paraId="0D55FBE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textAlignment w:val="auto"/>
              <w:outlineLvl w:val="7"/>
              <w:rPr>
                <w:rFonts w:hint="eastAsia" w:ascii="宋体" w:hAnsi="宋体" w:eastAsia="宋体" w:cs="宋体"/>
                <w:kern w:val="0"/>
                <w:sz w:val="21"/>
                <w:szCs w:val="21"/>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tblGrid>
            <w:tr w14:paraId="1391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2680" w:type="dxa"/>
                  <w:vAlign w:val="top"/>
                </w:tcPr>
                <w:p w14:paraId="1C6933F9">
                  <w:pPr>
                    <w:keepLines w:val="0"/>
                    <w:pageBreakBefore w:val="0"/>
                    <w:widowControl/>
                    <w:topLinePunct w:val="0"/>
                    <w:bidi w:val="0"/>
                    <w:spacing w:line="240" w:lineRule="auto"/>
                    <w:jc w:val="center"/>
                    <w:rPr>
                      <w:rFonts w:eastAsia="黑体"/>
                      <w:kern w:val="24"/>
                      <w:sz w:val="21"/>
                      <w:szCs w:val="21"/>
                      <w:vertAlign w:val="baseline"/>
                    </w:rPr>
                  </w:pPr>
                </w:p>
                <w:p w14:paraId="7647E1DB">
                  <w:pPr>
                    <w:keepLines w:val="0"/>
                    <w:pageBreakBefore w:val="0"/>
                    <w:widowControl/>
                    <w:topLinePunct w:val="0"/>
                    <w:bidi w:val="0"/>
                    <w:spacing w:line="240" w:lineRule="auto"/>
                    <w:jc w:val="center"/>
                    <w:rPr>
                      <w:rFonts w:hint="eastAsia" w:eastAsia="黑体"/>
                      <w:kern w:val="24"/>
                      <w:sz w:val="32"/>
                      <w:szCs w:val="32"/>
                      <w:vertAlign w:val="baseline"/>
                      <w:lang w:val="en-US" w:eastAsia="zh-CN"/>
                    </w:rPr>
                  </w:pPr>
                  <w:r>
                    <w:rPr>
                      <w:rFonts w:hint="eastAsia" w:eastAsia="黑体"/>
                      <w:kern w:val="24"/>
                      <w:sz w:val="32"/>
                      <w:szCs w:val="32"/>
                      <w:vertAlign w:val="baseline"/>
                      <w:lang w:val="en-US" w:eastAsia="zh-CN"/>
                    </w:rPr>
                    <w:t>救灾专用</w:t>
                  </w:r>
                </w:p>
                <w:p w14:paraId="0FF99F69">
                  <w:pPr>
                    <w:keepLines w:val="0"/>
                    <w:pageBreakBefore w:val="0"/>
                    <w:widowControl/>
                    <w:topLinePunct w:val="0"/>
                    <w:bidi w:val="0"/>
                    <w:spacing w:line="240" w:lineRule="auto"/>
                    <w:jc w:val="center"/>
                    <w:rPr>
                      <w:rFonts w:hint="default" w:eastAsia="黑体"/>
                      <w:kern w:val="24"/>
                      <w:sz w:val="21"/>
                      <w:szCs w:val="21"/>
                      <w:vertAlign w:val="baseline"/>
                      <w:lang w:val="en-US" w:eastAsia="zh-CN"/>
                    </w:rPr>
                  </w:pPr>
                  <w:r>
                    <w:rPr>
                      <w:rFonts w:hint="eastAsia" w:eastAsia="黑体"/>
                      <w:kern w:val="24"/>
                      <w:sz w:val="32"/>
                      <w:szCs w:val="32"/>
                      <w:vertAlign w:val="baseline"/>
                      <w:lang w:val="en-US" w:eastAsia="zh-CN"/>
                    </w:rPr>
                    <w:t>注意防潮</w:t>
                  </w:r>
                </w:p>
              </w:tc>
            </w:tr>
          </w:tbl>
          <w:p w14:paraId="37714AAA">
            <w:pPr>
              <w:keepLines w:val="0"/>
              <w:pageBreakBefore w:val="0"/>
              <w:topLinePunct w:val="0"/>
              <w:bidi w:val="0"/>
              <w:spacing w:line="240" w:lineRule="auto"/>
              <w:ind w:firstLine="1050" w:firstLineChars="500"/>
              <w:rPr>
                <w:rFonts w:hint="default"/>
                <w:sz w:val="21"/>
                <w:szCs w:val="21"/>
                <w:lang w:val="en-US" w:eastAsia="zh-CN"/>
              </w:rPr>
            </w:pPr>
          </w:p>
          <w:p w14:paraId="65A02521">
            <w:pPr>
              <w:keepLines w:val="0"/>
              <w:pageBreakBefore w:val="0"/>
              <w:widowControl/>
              <w:topLinePunct w:val="0"/>
              <w:bidi w:val="0"/>
              <w:spacing w:line="240" w:lineRule="auto"/>
              <w:ind w:firstLine="1470" w:firstLineChars="700"/>
              <w:jc w:val="both"/>
              <w:rPr>
                <w:rFonts w:hint="default" w:ascii="黑体" w:hAnsi="黑体" w:eastAsia="黑体" w:cs="黑体"/>
                <w:kern w:val="24"/>
                <w:sz w:val="21"/>
                <w:szCs w:val="21"/>
                <w:lang w:val="en-US" w:eastAsia="zh-CN"/>
              </w:rPr>
            </w:pPr>
            <w:r>
              <w:rPr>
                <w:rFonts w:hint="eastAsia" w:ascii="黑体" w:hAnsi="黑体" w:eastAsia="黑体" w:cs="黑体"/>
                <w:kern w:val="24"/>
                <w:sz w:val="21"/>
                <w:szCs w:val="21"/>
                <w:lang w:val="en-US" w:eastAsia="zh-CN"/>
              </w:rPr>
              <w:t>正面                           侧面</w:t>
            </w:r>
          </w:p>
          <w:p w14:paraId="73E551F0">
            <w:pPr>
              <w:keepLines w:val="0"/>
              <w:pageBreakBefore w:val="0"/>
              <w:widowControl/>
              <w:topLinePunct w:val="0"/>
              <w:bidi w:val="0"/>
              <w:spacing w:line="240" w:lineRule="auto"/>
              <w:jc w:val="center"/>
              <w:rPr>
                <w:rFonts w:hint="eastAsia" w:ascii="黑体" w:hAnsi="黑体" w:eastAsia="黑体" w:cs="黑体"/>
                <w:kern w:val="24"/>
                <w:sz w:val="21"/>
                <w:szCs w:val="21"/>
              </w:rPr>
            </w:pPr>
            <w:r>
              <w:rPr>
                <w:rFonts w:hint="eastAsia" w:ascii="黑体" w:hAnsi="黑体" w:eastAsia="黑体" w:cs="黑体"/>
                <w:kern w:val="24"/>
                <w:sz w:val="21"/>
                <w:szCs w:val="21"/>
              </w:rPr>
              <w:t>图2 外包装标志</w:t>
            </w:r>
          </w:p>
          <w:p w14:paraId="5F2227A8">
            <w:pPr>
              <w:keepLines w:val="0"/>
              <w:pageBreakBefore w:val="0"/>
              <w:widowControl/>
              <w:topLinePunct w:val="0"/>
              <w:bidi w:val="0"/>
              <w:spacing w:line="240" w:lineRule="auto"/>
              <w:jc w:val="center"/>
              <w:rPr>
                <w:rFonts w:hint="eastAsia" w:ascii="黑体" w:hAnsi="黑体" w:eastAsia="黑体" w:cs="黑体"/>
                <w:kern w:val="24"/>
                <w:sz w:val="21"/>
                <w:szCs w:val="21"/>
              </w:rPr>
            </w:pPr>
          </w:p>
          <w:p w14:paraId="22370C0E">
            <w:pPr>
              <w:keepNext w:val="0"/>
              <w:keepLines w:val="0"/>
              <w:pageBreakBefore w:val="0"/>
              <w:widowControl/>
              <w:numPr>
                <w:ilvl w:val="1"/>
                <w:numId w:val="23"/>
              </w:numPr>
              <w:tabs>
                <w:tab w:val="left" w:pos="360"/>
              </w:tabs>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宋体" w:hAnsi="宋体" w:eastAsia="宋体" w:cs="宋体"/>
                <w:kern w:val="21"/>
                <w:sz w:val="21"/>
                <w:szCs w:val="21"/>
              </w:rPr>
            </w:pPr>
            <w:bookmarkStart w:id="404" w:name="_Toc367025592"/>
            <w:bookmarkStart w:id="405" w:name="_Toc236717445"/>
            <w:bookmarkStart w:id="406" w:name="_Toc237327415"/>
            <w:bookmarkStart w:id="407" w:name="_Toc236732799"/>
            <w:r>
              <w:rPr>
                <w:rFonts w:hint="eastAsia" w:ascii="宋体" w:hAnsi="宋体" w:eastAsia="宋体" w:cs="宋体"/>
                <w:kern w:val="21"/>
                <w:sz w:val="21"/>
                <w:szCs w:val="21"/>
              </w:rPr>
              <w:t>包装</w:t>
            </w:r>
            <w:bookmarkEnd w:id="404"/>
            <w:bookmarkEnd w:id="405"/>
            <w:bookmarkEnd w:id="406"/>
            <w:bookmarkEnd w:id="407"/>
          </w:p>
          <w:p w14:paraId="09D2A9A1">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宋体" w:hAnsi="宋体" w:eastAsia="宋体" w:cs="宋体"/>
                <w:kern w:val="24"/>
                <w:sz w:val="21"/>
                <w:szCs w:val="21"/>
              </w:rPr>
              <w:t>外层包装材料用聚丙烯编织布，内衬牛皮纸。</w:t>
            </w:r>
          </w:p>
          <w:p w14:paraId="458553AC">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宋体" w:hAnsi="宋体" w:eastAsia="宋体" w:cs="宋体"/>
                <w:kern w:val="24"/>
                <w:sz w:val="21"/>
                <w:szCs w:val="21"/>
              </w:rPr>
              <w:t>编织布结合处用Φ0.2</w:t>
            </w:r>
            <w:r>
              <w:rPr>
                <w:rFonts w:hint="eastAsia" w:ascii="宋体" w:hAnsi="宋体" w:eastAsia="宋体" w:cs="宋体"/>
                <w:kern w:val="24"/>
                <w:sz w:val="21"/>
                <w:szCs w:val="21"/>
                <w:lang w:val="en-US" w:eastAsia="zh-CN"/>
              </w:rPr>
              <w:t xml:space="preserve"> </w:t>
            </w:r>
            <w:r>
              <w:rPr>
                <w:rFonts w:hint="eastAsia" w:ascii="宋体" w:hAnsi="宋体" w:eastAsia="宋体" w:cs="宋体"/>
                <w:kern w:val="24"/>
                <w:sz w:val="21"/>
                <w:szCs w:val="21"/>
              </w:rPr>
              <w:t>cm绳缝合牢固，用Φ0.7</w:t>
            </w:r>
            <w:r>
              <w:rPr>
                <w:rFonts w:hint="eastAsia" w:ascii="宋体" w:hAnsi="宋体" w:eastAsia="宋体" w:cs="宋体"/>
                <w:kern w:val="24"/>
                <w:sz w:val="21"/>
                <w:szCs w:val="21"/>
                <w:lang w:val="en-US" w:eastAsia="zh-CN"/>
              </w:rPr>
              <w:t xml:space="preserve"> </w:t>
            </w:r>
            <w:r>
              <w:rPr>
                <w:rFonts w:hint="eastAsia" w:ascii="宋体" w:hAnsi="宋体" w:eastAsia="宋体" w:cs="宋体"/>
                <w:kern w:val="24"/>
                <w:sz w:val="21"/>
                <w:szCs w:val="21"/>
              </w:rPr>
              <w:t>cm麻绳捆扎成“卅”型，横竖均为双道捆扎。</w:t>
            </w:r>
          </w:p>
          <w:p w14:paraId="515177AC">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宋体" w:hAnsi="宋体" w:eastAsia="宋体" w:cs="宋体"/>
                <w:kern w:val="24"/>
                <w:sz w:val="21"/>
                <w:szCs w:val="21"/>
              </w:rPr>
              <w:t>聚丙烯编织布、牛皮纸、缝包绳、捆包麻绳材料规格见表6。</w:t>
            </w:r>
          </w:p>
          <w:p w14:paraId="6D546973">
            <w:pPr>
              <w:keepLines w:val="0"/>
              <w:pageBreakBefore w:val="0"/>
              <w:widowControl/>
              <w:topLinePunct w:val="0"/>
              <w:bidi w:val="0"/>
              <w:spacing w:line="240" w:lineRule="auto"/>
              <w:jc w:val="center"/>
              <w:outlineLvl w:val="6"/>
              <w:rPr>
                <w:rFonts w:hint="eastAsia" w:ascii="方正小标宋简体" w:hAnsi="方正小标宋简体" w:eastAsia="方正小标宋简体" w:cs="方正小标宋简体"/>
                <w:kern w:val="24"/>
                <w:sz w:val="21"/>
                <w:szCs w:val="21"/>
              </w:rPr>
            </w:pPr>
            <w:r>
              <w:rPr>
                <w:rFonts w:hint="eastAsia" w:ascii="方正小标宋简体" w:hAnsi="方正小标宋简体" w:eastAsia="方正小标宋简体" w:cs="方正小标宋简体"/>
                <w:kern w:val="0"/>
                <w:sz w:val="21"/>
                <w:szCs w:val="21"/>
              </w:rPr>
              <w:t>表6  包装材料规格要求</w:t>
            </w:r>
          </w:p>
          <w:tbl>
            <w:tblPr>
              <w:tblStyle w:val="58"/>
              <w:tblW w:w="666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Layout w:type="fixed"/>
              <w:tblCellMar>
                <w:top w:w="0" w:type="dxa"/>
                <w:left w:w="108" w:type="dxa"/>
                <w:bottom w:w="0" w:type="dxa"/>
                <w:right w:w="108" w:type="dxa"/>
              </w:tblCellMar>
            </w:tblPr>
            <w:tblGrid>
              <w:gridCol w:w="1585"/>
              <w:gridCol w:w="5083"/>
            </w:tblGrid>
            <w:tr w14:paraId="2EC733E4">
              <w:tblPrEx>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CellMar>
                  <w:top w:w="0" w:type="dxa"/>
                  <w:left w:w="108" w:type="dxa"/>
                  <w:bottom w:w="0" w:type="dxa"/>
                  <w:right w:w="108" w:type="dxa"/>
                </w:tblCellMar>
              </w:tblPrEx>
              <w:trPr>
                <w:trHeight w:val="373" w:hRule="atLeast"/>
                <w:jc w:val="center"/>
              </w:trPr>
              <w:tc>
                <w:tcPr>
                  <w:tcW w:w="1585" w:type="dxa"/>
                  <w:tcBorders>
                    <w:top w:val="single" w:color="auto" w:sz="12" w:space="0"/>
                    <w:left w:val="single" w:color="auto" w:sz="12" w:space="0"/>
                    <w:bottom w:val="single" w:color="auto" w:sz="12" w:space="0"/>
                    <w:right w:val="single" w:color="auto" w:sz="2" w:space="0"/>
                  </w:tcBorders>
                  <w:noWrap w:val="0"/>
                  <w:vAlign w:val="center"/>
                </w:tcPr>
                <w:p w14:paraId="06B25EB8">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包装材料</w:t>
                  </w:r>
                </w:p>
              </w:tc>
              <w:tc>
                <w:tcPr>
                  <w:tcW w:w="5083" w:type="dxa"/>
                  <w:tcBorders>
                    <w:top w:val="single" w:color="auto" w:sz="12" w:space="0"/>
                    <w:left w:val="single" w:color="auto" w:sz="2" w:space="0"/>
                    <w:bottom w:val="single" w:color="auto" w:sz="12" w:space="0"/>
                    <w:right w:val="single" w:color="auto" w:sz="12" w:space="0"/>
                  </w:tcBorders>
                  <w:noWrap w:val="0"/>
                  <w:vAlign w:val="center"/>
                </w:tcPr>
                <w:p w14:paraId="16D382A2">
                  <w:pPr>
                    <w:keepLines w:val="0"/>
                    <w:pageBreakBefore w:val="0"/>
                    <w:topLinePunct w:val="0"/>
                    <w:bidi w:val="0"/>
                    <w:snapToGrid w:val="0"/>
                    <w:spacing w:line="240" w:lineRule="auto"/>
                    <w:jc w:val="center"/>
                    <w:rPr>
                      <w:rFonts w:hint="eastAsia" w:ascii="黑体" w:hAnsi="黑体" w:eastAsia="黑体" w:cs="黑体"/>
                      <w:kern w:val="21"/>
                      <w:sz w:val="21"/>
                      <w:szCs w:val="21"/>
                    </w:rPr>
                  </w:pPr>
                  <w:r>
                    <w:rPr>
                      <w:rFonts w:hint="eastAsia" w:ascii="黑体" w:hAnsi="黑体" w:eastAsia="黑体" w:cs="黑体"/>
                      <w:kern w:val="21"/>
                      <w:sz w:val="21"/>
                      <w:szCs w:val="21"/>
                    </w:rPr>
                    <w:t>规格</w:t>
                  </w:r>
                </w:p>
              </w:tc>
            </w:tr>
            <w:tr w14:paraId="6A61C05B">
              <w:tblPrEx>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CellMar>
                  <w:top w:w="0" w:type="dxa"/>
                  <w:left w:w="108" w:type="dxa"/>
                  <w:bottom w:w="0" w:type="dxa"/>
                  <w:right w:w="108" w:type="dxa"/>
                </w:tblCellMar>
              </w:tblPrEx>
              <w:trPr>
                <w:trHeight w:val="312" w:hRule="atLeast"/>
                <w:jc w:val="center"/>
              </w:trPr>
              <w:tc>
                <w:tcPr>
                  <w:tcW w:w="1585" w:type="dxa"/>
                  <w:tcBorders>
                    <w:top w:val="single" w:color="auto" w:sz="12" w:space="0"/>
                    <w:left w:val="single" w:color="auto" w:sz="12" w:space="0"/>
                    <w:bottom w:val="single" w:color="auto" w:sz="2" w:space="0"/>
                    <w:right w:val="single" w:color="auto" w:sz="2" w:space="0"/>
                  </w:tcBorders>
                  <w:noWrap w:val="0"/>
                  <w:vAlign w:val="center"/>
                </w:tcPr>
                <w:p w14:paraId="680830DF">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聚丙烯编织布</w:t>
                  </w:r>
                </w:p>
              </w:tc>
              <w:tc>
                <w:tcPr>
                  <w:tcW w:w="5083" w:type="dxa"/>
                  <w:tcBorders>
                    <w:top w:val="single" w:color="auto" w:sz="12" w:space="0"/>
                    <w:left w:val="single" w:color="auto" w:sz="2" w:space="0"/>
                    <w:bottom w:val="single" w:color="auto" w:sz="2" w:space="0"/>
                    <w:right w:val="single" w:color="auto" w:sz="12" w:space="0"/>
                  </w:tcBorders>
                  <w:noWrap w:val="0"/>
                  <w:vAlign w:val="center"/>
                </w:tcPr>
                <w:p w14:paraId="7BA2544D">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单面复膜，经/纬密度≥40根/10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cm，单位面积质量≥90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g/m</w:t>
                  </w:r>
                  <w:r>
                    <w:rPr>
                      <w:rFonts w:hint="eastAsia" w:ascii="宋体" w:hAnsi="宋体" w:eastAsia="宋体" w:cs="宋体"/>
                      <w:color w:val="000000"/>
                      <w:sz w:val="18"/>
                      <w:szCs w:val="18"/>
                      <w:vertAlign w:val="superscript"/>
                    </w:rPr>
                    <w:t>2</w:t>
                  </w:r>
                  <w:r>
                    <w:rPr>
                      <w:rFonts w:hint="eastAsia" w:ascii="宋体" w:hAnsi="宋体" w:eastAsia="宋体" w:cs="宋体"/>
                      <w:color w:val="000000"/>
                      <w:sz w:val="18"/>
                      <w:szCs w:val="18"/>
                    </w:rPr>
                    <w:t>,断裂强力经纬向各≥700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N；</w:t>
                  </w:r>
                </w:p>
                <w:p w14:paraId="2D6A715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72h紫外线照射强度下降不超过40%(Ⅱ型紫外线60℃辐照8h与50℃无辐照冷暴露4h交替,辅照度0.63</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W/m</w:t>
                  </w:r>
                  <w:r>
                    <w:rPr>
                      <w:rFonts w:hint="eastAsia" w:ascii="宋体" w:hAnsi="宋体" w:eastAsia="宋体" w:cs="宋体"/>
                      <w:color w:val="000000"/>
                      <w:sz w:val="18"/>
                      <w:szCs w:val="18"/>
                      <w:vertAlign w:val="superscript"/>
                    </w:rPr>
                    <w:t>2</w:t>
                  </w:r>
                  <w:r>
                    <w:rPr>
                      <w:rFonts w:hint="eastAsia" w:ascii="宋体" w:hAnsi="宋体" w:eastAsia="宋体" w:cs="宋体"/>
                      <w:color w:val="000000"/>
                      <w:sz w:val="18"/>
                      <w:szCs w:val="18"/>
                    </w:rPr>
                    <w:t>)</w:t>
                  </w:r>
                </w:p>
              </w:tc>
            </w:tr>
            <w:tr w14:paraId="078630A1">
              <w:tblPrEx>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CellMar>
                  <w:top w:w="0" w:type="dxa"/>
                  <w:left w:w="108" w:type="dxa"/>
                  <w:bottom w:w="0" w:type="dxa"/>
                  <w:right w:w="108" w:type="dxa"/>
                </w:tblCellMar>
              </w:tblPrEx>
              <w:trPr>
                <w:trHeight w:val="312" w:hRule="atLeast"/>
                <w:jc w:val="center"/>
              </w:trPr>
              <w:tc>
                <w:tcPr>
                  <w:tcW w:w="1585" w:type="dxa"/>
                  <w:tcBorders>
                    <w:top w:val="single" w:color="auto" w:sz="2" w:space="0"/>
                    <w:left w:val="single" w:color="auto" w:sz="12" w:space="0"/>
                    <w:bottom w:val="single" w:color="auto" w:sz="2" w:space="0"/>
                    <w:right w:val="single" w:color="auto" w:sz="2" w:space="0"/>
                  </w:tcBorders>
                  <w:noWrap w:val="0"/>
                  <w:vAlign w:val="center"/>
                </w:tcPr>
                <w:p w14:paraId="73F00802">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缝包绳</w:t>
                  </w:r>
                </w:p>
              </w:tc>
              <w:tc>
                <w:tcPr>
                  <w:tcW w:w="5083" w:type="dxa"/>
                  <w:tcBorders>
                    <w:top w:val="single" w:color="auto" w:sz="2" w:space="0"/>
                    <w:left w:val="single" w:color="auto" w:sz="2" w:space="0"/>
                    <w:bottom w:val="single" w:color="auto" w:sz="2" w:space="0"/>
                    <w:right w:val="single" w:color="auto" w:sz="12" w:space="0"/>
                  </w:tcBorders>
                  <w:noWrap w:val="0"/>
                  <w:vAlign w:val="center"/>
                </w:tcPr>
                <w:p w14:paraId="18829748">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Φ0.2㎝二股断裂强力≥200N</w:t>
                  </w:r>
                </w:p>
              </w:tc>
            </w:tr>
            <w:tr w14:paraId="0D611D4D">
              <w:tblPrEx>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CellMar>
                  <w:top w:w="0" w:type="dxa"/>
                  <w:left w:w="108" w:type="dxa"/>
                  <w:bottom w:w="0" w:type="dxa"/>
                  <w:right w:w="108" w:type="dxa"/>
                </w:tblCellMar>
              </w:tblPrEx>
              <w:trPr>
                <w:trHeight w:val="312" w:hRule="atLeast"/>
                <w:jc w:val="center"/>
              </w:trPr>
              <w:tc>
                <w:tcPr>
                  <w:tcW w:w="1585" w:type="dxa"/>
                  <w:tcBorders>
                    <w:top w:val="single" w:color="auto" w:sz="2" w:space="0"/>
                    <w:left w:val="single" w:color="auto" w:sz="12" w:space="0"/>
                    <w:bottom w:val="single" w:color="auto" w:sz="2" w:space="0"/>
                    <w:right w:val="single" w:color="auto" w:sz="2" w:space="0"/>
                  </w:tcBorders>
                  <w:noWrap w:val="0"/>
                  <w:vAlign w:val="center"/>
                </w:tcPr>
                <w:p w14:paraId="62A95AE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捆包麻绳</w:t>
                  </w:r>
                </w:p>
              </w:tc>
              <w:tc>
                <w:tcPr>
                  <w:tcW w:w="5083" w:type="dxa"/>
                  <w:tcBorders>
                    <w:top w:val="single" w:color="auto" w:sz="2" w:space="0"/>
                    <w:left w:val="single" w:color="auto" w:sz="2" w:space="0"/>
                    <w:bottom w:val="single" w:color="auto" w:sz="2" w:space="0"/>
                    <w:right w:val="single" w:color="auto" w:sz="12" w:space="0"/>
                  </w:tcBorders>
                  <w:noWrap w:val="0"/>
                  <w:vAlign w:val="center"/>
                </w:tcPr>
                <w:p w14:paraId="219A77B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Φ0.7㎝三股断裂强力≥1100N</w:t>
                  </w:r>
                </w:p>
              </w:tc>
            </w:tr>
            <w:tr w14:paraId="5FF7D6A2">
              <w:tblPrEx>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CellMar>
                  <w:top w:w="0" w:type="dxa"/>
                  <w:left w:w="108" w:type="dxa"/>
                  <w:bottom w:w="0" w:type="dxa"/>
                  <w:right w:w="108" w:type="dxa"/>
                </w:tblCellMar>
              </w:tblPrEx>
              <w:trPr>
                <w:trHeight w:val="312" w:hRule="atLeast"/>
                <w:jc w:val="center"/>
              </w:trPr>
              <w:tc>
                <w:tcPr>
                  <w:tcW w:w="1585" w:type="dxa"/>
                  <w:tcBorders>
                    <w:top w:val="single" w:color="auto" w:sz="2" w:space="0"/>
                    <w:left w:val="single" w:color="auto" w:sz="12" w:space="0"/>
                    <w:bottom w:val="single" w:color="auto" w:sz="12" w:space="0"/>
                    <w:right w:val="single" w:color="auto" w:sz="2" w:space="0"/>
                  </w:tcBorders>
                  <w:noWrap w:val="0"/>
                  <w:vAlign w:val="center"/>
                </w:tcPr>
                <w:p w14:paraId="0D9DF9B3">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牛皮纸</w:t>
                  </w:r>
                </w:p>
              </w:tc>
              <w:tc>
                <w:tcPr>
                  <w:tcW w:w="5083" w:type="dxa"/>
                  <w:tcBorders>
                    <w:top w:val="single" w:color="auto" w:sz="2" w:space="0"/>
                    <w:left w:val="single" w:color="auto" w:sz="2" w:space="0"/>
                    <w:bottom w:val="single" w:color="auto" w:sz="12" w:space="0"/>
                    <w:right w:val="single" w:color="auto" w:sz="12" w:space="0"/>
                  </w:tcBorders>
                  <w:noWrap w:val="0"/>
                  <w:vAlign w:val="center"/>
                </w:tcPr>
                <w:p w14:paraId="2888607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克重≥70</w:t>
                  </w: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g/m</w:t>
                  </w:r>
                  <w:r>
                    <w:rPr>
                      <w:rFonts w:hint="eastAsia" w:ascii="宋体" w:hAnsi="宋体" w:eastAsia="宋体" w:cs="宋体"/>
                      <w:color w:val="000000"/>
                      <w:sz w:val="18"/>
                      <w:szCs w:val="18"/>
                      <w:vertAlign w:val="superscript"/>
                    </w:rPr>
                    <w:t>2</w:t>
                  </w:r>
                </w:p>
              </w:tc>
            </w:tr>
          </w:tbl>
          <w:p w14:paraId="51E717DE">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宋体" w:hAnsi="宋体" w:eastAsia="宋体" w:cs="宋体"/>
                <w:kern w:val="24"/>
                <w:sz w:val="21"/>
                <w:szCs w:val="21"/>
              </w:rPr>
              <w:t>每包10床，包装统一尺寸为75</w:t>
            </w:r>
            <w:r>
              <w:rPr>
                <w:rFonts w:hint="eastAsia" w:ascii="宋体" w:hAnsi="宋体" w:eastAsia="宋体" w:cs="宋体"/>
                <w:kern w:val="24"/>
                <w:sz w:val="21"/>
                <w:szCs w:val="21"/>
                <w:lang w:val="en-US" w:eastAsia="zh-CN"/>
              </w:rPr>
              <w:t xml:space="preserve"> </w:t>
            </w:r>
            <w:r>
              <w:rPr>
                <w:rFonts w:hint="eastAsia" w:ascii="宋体" w:hAnsi="宋体" w:eastAsia="宋体" w:cs="宋体"/>
                <w:kern w:val="24"/>
                <w:sz w:val="21"/>
                <w:szCs w:val="21"/>
              </w:rPr>
              <w:t>cm×55</w:t>
            </w:r>
            <w:r>
              <w:rPr>
                <w:rFonts w:hint="eastAsia" w:ascii="宋体" w:hAnsi="宋体" w:eastAsia="宋体" w:cs="宋体"/>
                <w:kern w:val="24"/>
                <w:sz w:val="21"/>
                <w:szCs w:val="21"/>
                <w:lang w:val="en-US" w:eastAsia="zh-CN"/>
              </w:rPr>
              <w:t xml:space="preserve"> </w:t>
            </w:r>
            <w:r>
              <w:rPr>
                <w:rFonts w:hint="eastAsia" w:ascii="宋体" w:hAnsi="宋体" w:eastAsia="宋体" w:cs="宋体"/>
                <w:kern w:val="24"/>
                <w:sz w:val="21"/>
                <w:szCs w:val="21"/>
              </w:rPr>
              <w:t>cm×45</w:t>
            </w:r>
            <w:r>
              <w:rPr>
                <w:rFonts w:hint="eastAsia" w:ascii="宋体" w:hAnsi="宋体" w:eastAsia="宋体" w:cs="宋体"/>
                <w:kern w:val="24"/>
                <w:sz w:val="21"/>
                <w:szCs w:val="21"/>
                <w:lang w:val="en-US" w:eastAsia="zh-CN"/>
              </w:rPr>
              <w:t xml:space="preserve"> </w:t>
            </w:r>
            <w:r>
              <w:rPr>
                <w:rFonts w:hint="eastAsia" w:ascii="宋体" w:hAnsi="宋体" w:eastAsia="宋体" w:cs="宋体"/>
                <w:kern w:val="24"/>
                <w:sz w:val="21"/>
                <w:szCs w:val="21"/>
              </w:rPr>
              <w:t>cm（长×宽×高）或按合同规定执行。捆扎应牢固、严紧。</w:t>
            </w:r>
          </w:p>
          <w:p w14:paraId="05463DE3">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宋体" w:hAnsi="宋体" w:eastAsia="宋体" w:cs="宋体"/>
                <w:kern w:val="24"/>
                <w:sz w:val="21"/>
                <w:szCs w:val="21"/>
              </w:rPr>
              <w:t>每包内需放检验单，样式见图3。其中“检验单”、“产品名称”、“数量”、“生产日期”、“检验人员”、“承制单位名称”标题为黑体字，其他为宋体字。检验单尺寸为B5纸的1/4，字体大小适宜。</w:t>
            </w:r>
          </w:p>
          <w:tbl>
            <w:tblPr>
              <w:tblStyle w:val="58"/>
              <w:tblpPr w:leftFromText="180" w:rightFromText="180" w:vertAnchor="text" w:horzAnchor="margin" w:tblpXSpec="center" w:tblpY="1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tblGrid>
            <w:tr w14:paraId="2AC0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4" w:type="dxa"/>
                  <w:gridSpan w:val="2"/>
                  <w:tcBorders>
                    <w:top w:val="single" w:color="auto" w:sz="12" w:space="0"/>
                    <w:left w:val="single" w:color="auto" w:sz="12" w:space="0"/>
                    <w:bottom w:val="single" w:color="auto" w:sz="12" w:space="0"/>
                    <w:right w:val="single" w:color="auto" w:sz="12" w:space="0"/>
                  </w:tcBorders>
                  <w:noWrap w:val="0"/>
                  <w:vAlign w:val="center"/>
                </w:tcPr>
                <w:p w14:paraId="23F4EEE1">
                  <w:pPr>
                    <w:keepLines w:val="0"/>
                    <w:pageBreakBefore w:val="0"/>
                    <w:topLinePunct w:val="0"/>
                    <w:bidi w:val="0"/>
                    <w:spacing w:line="240" w:lineRule="auto"/>
                    <w:jc w:val="center"/>
                    <w:rPr>
                      <w:rFonts w:eastAsia="黑体"/>
                      <w:sz w:val="21"/>
                      <w:szCs w:val="21"/>
                    </w:rPr>
                  </w:pPr>
                  <w:r>
                    <w:rPr>
                      <w:rFonts w:hAnsi="黑体" w:eastAsia="黑体"/>
                      <w:sz w:val="21"/>
                      <w:szCs w:val="21"/>
                    </w:rPr>
                    <w:t>检　验　单</w:t>
                  </w:r>
                </w:p>
              </w:tc>
            </w:tr>
            <w:tr w14:paraId="5751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1" w:type="dxa"/>
                  <w:tcBorders>
                    <w:top w:val="single" w:color="auto" w:sz="12" w:space="0"/>
                    <w:left w:val="single" w:color="auto" w:sz="12" w:space="0"/>
                    <w:bottom w:val="single" w:color="auto" w:sz="12" w:space="0"/>
                    <w:right w:val="single" w:color="auto" w:sz="12" w:space="0"/>
                  </w:tcBorders>
                  <w:noWrap w:val="0"/>
                  <w:vAlign w:val="center"/>
                </w:tcPr>
                <w:p w14:paraId="75F2978B">
                  <w:pPr>
                    <w:keepLines w:val="0"/>
                    <w:pageBreakBefore w:val="0"/>
                    <w:topLinePunct w:val="0"/>
                    <w:bidi w:val="0"/>
                    <w:spacing w:line="240" w:lineRule="auto"/>
                    <w:jc w:val="center"/>
                    <w:rPr>
                      <w:rFonts w:eastAsia="黑体"/>
                      <w:bCs/>
                      <w:sz w:val="21"/>
                      <w:szCs w:val="21"/>
                    </w:rPr>
                  </w:pPr>
                  <w:r>
                    <w:rPr>
                      <w:rFonts w:hAnsi="黑体" w:eastAsia="黑体"/>
                      <w:bCs/>
                      <w:sz w:val="21"/>
                      <w:szCs w:val="21"/>
                    </w:rPr>
                    <w:t>产品名称</w:t>
                  </w:r>
                </w:p>
              </w:tc>
              <w:tc>
                <w:tcPr>
                  <w:tcW w:w="1843" w:type="dxa"/>
                  <w:tcBorders>
                    <w:top w:val="single" w:color="auto" w:sz="12" w:space="0"/>
                    <w:left w:val="single" w:color="auto" w:sz="12" w:space="0"/>
                    <w:bottom w:val="single" w:color="auto" w:sz="12" w:space="0"/>
                    <w:right w:val="single" w:color="auto" w:sz="12" w:space="0"/>
                  </w:tcBorders>
                  <w:noWrap w:val="0"/>
                  <w:vAlign w:val="center"/>
                </w:tcPr>
                <w:p w14:paraId="2E704AAA">
                  <w:pPr>
                    <w:keepLines w:val="0"/>
                    <w:pageBreakBefore w:val="0"/>
                    <w:topLinePunct w:val="0"/>
                    <w:bidi w:val="0"/>
                    <w:spacing w:line="240" w:lineRule="auto"/>
                    <w:jc w:val="center"/>
                    <w:rPr>
                      <w:sz w:val="21"/>
                      <w:szCs w:val="21"/>
                    </w:rPr>
                  </w:pPr>
                </w:p>
              </w:tc>
            </w:tr>
            <w:tr w14:paraId="1DBA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1" w:type="dxa"/>
                  <w:tcBorders>
                    <w:top w:val="single" w:color="auto" w:sz="12" w:space="0"/>
                    <w:left w:val="single" w:color="auto" w:sz="12" w:space="0"/>
                    <w:bottom w:val="single" w:color="auto" w:sz="12" w:space="0"/>
                    <w:right w:val="single" w:color="auto" w:sz="12" w:space="0"/>
                  </w:tcBorders>
                  <w:noWrap w:val="0"/>
                  <w:vAlign w:val="center"/>
                </w:tcPr>
                <w:p w14:paraId="0F6CDEC7">
                  <w:pPr>
                    <w:keepLines w:val="0"/>
                    <w:pageBreakBefore w:val="0"/>
                    <w:topLinePunct w:val="0"/>
                    <w:bidi w:val="0"/>
                    <w:spacing w:line="240" w:lineRule="auto"/>
                    <w:jc w:val="center"/>
                    <w:rPr>
                      <w:rFonts w:eastAsia="黑体"/>
                      <w:bCs/>
                      <w:sz w:val="21"/>
                      <w:szCs w:val="21"/>
                    </w:rPr>
                  </w:pPr>
                  <w:r>
                    <w:rPr>
                      <w:rFonts w:hAnsi="黑体" w:eastAsia="黑体"/>
                      <w:bCs/>
                      <w:sz w:val="21"/>
                      <w:szCs w:val="21"/>
                    </w:rPr>
                    <w:t>数量</w:t>
                  </w:r>
                </w:p>
              </w:tc>
              <w:tc>
                <w:tcPr>
                  <w:tcW w:w="1843" w:type="dxa"/>
                  <w:tcBorders>
                    <w:top w:val="single" w:color="auto" w:sz="12" w:space="0"/>
                    <w:left w:val="single" w:color="auto" w:sz="12" w:space="0"/>
                    <w:bottom w:val="single" w:color="auto" w:sz="12" w:space="0"/>
                    <w:right w:val="single" w:color="auto" w:sz="12" w:space="0"/>
                  </w:tcBorders>
                  <w:noWrap w:val="0"/>
                  <w:vAlign w:val="center"/>
                </w:tcPr>
                <w:p w14:paraId="4BACCA82">
                  <w:pPr>
                    <w:keepLines w:val="0"/>
                    <w:pageBreakBefore w:val="0"/>
                    <w:topLinePunct w:val="0"/>
                    <w:bidi w:val="0"/>
                    <w:spacing w:line="240" w:lineRule="auto"/>
                    <w:jc w:val="center"/>
                    <w:rPr>
                      <w:sz w:val="21"/>
                      <w:szCs w:val="21"/>
                    </w:rPr>
                  </w:pPr>
                </w:p>
              </w:tc>
            </w:tr>
            <w:tr w14:paraId="4A50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1" w:type="dxa"/>
                  <w:tcBorders>
                    <w:top w:val="single" w:color="auto" w:sz="12" w:space="0"/>
                    <w:left w:val="single" w:color="auto" w:sz="12" w:space="0"/>
                    <w:bottom w:val="single" w:color="auto" w:sz="12" w:space="0"/>
                    <w:right w:val="single" w:color="auto" w:sz="12" w:space="0"/>
                  </w:tcBorders>
                  <w:noWrap w:val="0"/>
                  <w:vAlign w:val="center"/>
                </w:tcPr>
                <w:p w14:paraId="115D9266">
                  <w:pPr>
                    <w:keepLines w:val="0"/>
                    <w:pageBreakBefore w:val="0"/>
                    <w:topLinePunct w:val="0"/>
                    <w:bidi w:val="0"/>
                    <w:spacing w:line="240" w:lineRule="auto"/>
                    <w:jc w:val="center"/>
                    <w:rPr>
                      <w:rFonts w:eastAsia="黑体"/>
                      <w:bCs/>
                      <w:sz w:val="21"/>
                      <w:szCs w:val="21"/>
                    </w:rPr>
                  </w:pPr>
                  <w:r>
                    <w:rPr>
                      <w:rFonts w:hAnsi="黑体" w:eastAsia="黑体"/>
                      <w:bCs/>
                      <w:sz w:val="21"/>
                      <w:szCs w:val="21"/>
                    </w:rPr>
                    <w:t>生产日期</w:t>
                  </w:r>
                </w:p>
              </w:tc>
              <w:tc>
                <w:tcPr>
                  <w:tcW w:w="1843" w:type="dxa"/>
                  <w:tcBorders>
                    <w:top w:val="single" w:color="auto" w:sz="12" w:space="0"/>
                    <w:left w:val="single" w:color="auto" w:sz="12" w:space="0"/>
                    <w:bottom w:val="single" w:color="auto" w:sz="12" w:space="0"/>
                    <w:right w:val="single" w:color="auto" w:sz="12" w:space="0"/>
                  </w:tcBorders>
                  <w:noWrap w:val="0"/>
                  <w:vAlign w:val="center"/>
                </w:tcPr>
                <w:p w14:paraId="1499C9FC">
                  <w:pPr>
                    <w:keepLines w:val="0"/>
                    <w:pageBreakBefore w:val="0"/>
                    <w:topLinePunct w:val="0"/>
                    <w:bidi w:val="0"/>
                    <w:spacing w:line="240" w:lineRule="auto"/>
                    <w:jc w:val="center"/>
                    <w:rPr>
                      <w:sz w:val="21"/>
                      <w:szCs w:val="21"/>
                    </w:rPr>
                  </w:pPr>
                  <w:r>
                    <w:rPr>
                      <w:rFonts w:hAnsi="宋体"/>
                      <w:sz w:val="21"/>
                      <w:szCs w:val="21"/>
                    </w:rPr>
                    <w:t>年</w:t>
                  </w:r>
                  <w:r>
                    <w:rPr>
                      <w:rFonts w:hint="eastAsia" w:hAnsi="宋体"/>
                      <w:sz w:val="21"/>
                      <w:szCs w:val="21"/>
                      <w:lang w:val="en-US" w:eastAsia="zh-CN"/>
                    </w:rPr>
                    <w:t xml:space="preserve"> </w:t>
                  </w:r>
                  <w:r>
                    <w:rPr>
                      <w:rFonts w:hAnsi="宋体"/>
                      <w:sz w:val="21"/>
                      <w:szCs w:val="21"/>
                    </w:rPr>
                    <w:t>月</w:t>
                  </w:r>
                  <w:r>
                    <w:rPr>
                      <w:rFonts w:hint="eastAsia" w:hAnsi="宋体"/>
                      <w:sz w:val="21"/>
                      <w:szCs w:val="21"/>
                      <w:lang w:val="en-US" w:eastAsia="zh-CN"/>
                    </w:rPr>
                    <w:t xml:space="preserve"> </w:t>
                  </w:r>
                  <w:r>
                    <w:rPr>
                      <w:rFonts w:hAnsi="宋体"/>
                      <w:sz w:val="21"/>
                      <w:szCs w:val="21"/>
                    </w:rPr>
                    <w:t>日</w:t>
                  </w:r>
                </w:p>
              </w:tc>
            </w:tr>
            <w:tr w14:paraId="4A35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1" w:type="dxa"/>
                  <w:tcBorders>
                    <w:top w:val="single" w:color="auto" w:sz="12" w:space="0"/>
                    <w:left w:val="single" w:color="auto" w:sz="12" w:space="0"/>
                    <w:bottom w:val="single" w:color="auto" w:sz="12" w:space="0"/>
                    <w:right w:val="single" w:color="auto" w:sz="12" w:space="0"/>
                  </w:tcBorders>
                  <w:noWrap w:val="0"/>
                  <w:vAlign w:val="center"/>
                </w:tcPr>
                <w:p w14:paraId="0B72460F">
                  <w:pPr>
                    <w:keepLines w:val="0"/>
                    <w:pageBreakBefore w:val="0"/>
                    <w:topLinePunct w:val="0"/>
                    <w:bidi w:val="0"/>
                    <w:spacing w:line="240" w:lineRule="auto"/>
                    <w:jc w:val="center"/>
                    <w:rPr>
                      <w:rFonts w:eastAsia="黑体"/>
                      <w:bCs/>
                      <w:sz w:val="21"/>
                      <w:szCs w:val="21"/>
                    </w:rPr>
                  </w:pPr>
                  <w:r>
                    <w:rPr>
                      <w:rFonts w:hAnsi="黑体" w:eastAsia="黑体"/>
                      <w:bCs/>
                      <w:sz w:val="21"/>
                      <w:szCs w:val="21"/>
                    </w:rPr>
                    <w:t>检验人员</w:t>
                  </w:r>
                </w:p>
              </w:tc>
              <w:tc>
                <w:tcPr>
                  <w:tcW w:w="1843" w:type="dxa"/>
                  <w:tcBorders>
                    <w:top w:val="single" w:color="auto" w:sz="12" w:space="0"/>
                    <w:left w:val="single" w:color="auto" w:sz="12" w:space="0"/>
                    <w:bottom w:val="single" w:color="auto" w:sz="12" w:space="0"/>
                    <w:right w:val="single" w:color="auto" w:sz="12" w:space="0"/>
                  </w:tcBorders>
                  <w:noWrap w:val="0"/>
                  <w:vAlign w:val="center"/>
                </w:tcPr>
                <w:p w14:paraId="44AA15E5">
                  <w:pPr>
                    <w:keepLines w:val="0"/>
                    <w:pageBreakBefore w:val="0"/>
                    <w:topLinePunct w:val="0"/>
                    <w:bidi w:val="0"/>
                    <w:spacing w:line="240" w:lineRule="auto"/>
                    <w:jc w:val="center"/>
                    <w:rPr>
                      <w:sz w:val="21"/>
                      <w:szCs w:val="21"/>
                    </w:rPr>
                  </w:pPr>
                  <w:r>
                    <w:rPr>
                      <w:rFonts w:hAnsi="宋体"/>
                      <w:sz w:val="21"/>
                      <w:szCs w:val="21"/>
                    </w:rPr>
                    <w:t>（检验工号）</w:t>
                  </w:r>
                </w:p>
              </w:tc>
            </w:tr>
            <w:tr w14:paraId="1374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951" w:type="dxa"/>
                  <w:tcBorders>
                    <w:top w:val="single" w:color="auto" w:sz="12" w:space="0"/>
                    <w:left w:val="single" w:color="auto" w:sz="12" w:space="0"/>
                    <w:bottom w:val="single" w:color="auto" w:sz="18" w:space="0"/>
                    <w:right w:val="single" w:color="auto" w:sz="12" w:space="0"/>
                  </w:tcBorders>
                  <w:noWrap w:val="0"/>
                  <w:vAlign w:val="center"/>
                </w:tcPr>
                <w:p w14:paraId="3CC8AAAF">
                  <w:pPr>
                    <w:keepLines w:val="0"/>
                    <w:pageBreakBefore w:val="0"/>
                    <w:topLinePunct w:val="0"/>
                    <w:bidi w:val="0"/>
                    <w:spacing w:line="240" w:lineRule="auto"/>
                    <w:jc w:val="center"/>
                    <w:rPr>
                      <w:rFonts w:eastAsia="黑体"/>
                      <w:bCs/>
                      <w:sz w:val="21"/>
                      <w:szCs w:val="21"/>
                    </w:rPr>
                  </w:pPr>
                  <w:r>
                    <w:rPr>
                      <w:rFonts w:hAnsi="黑体" w:eastAsia="黑体"/>
                      <w:bCs/>
                      <w:sz w:val="21"/>
                      <w:szCs w:val="21"/>
                    </w:rPr>
                    <w:t>承制单位</w:t>
                  </w:r>
                </w:p>
              </w:tc>
              <w:tc>
                <w:tcPr>
                  <w:tcW w:w="1843" w:type="dxa"/>
                  <w:tcBorders>
                    <w:top w:val="single" w:color="auto" w:sz="12" w:space="0"/>
                    <w:left w:val="single" w:color="auto" w:sz="12" w:space="0"/>
                    <w:bottom w:val="single" w:color="auto" w:sz="18" w:space="0"/>
                    <w:right w:val="single" w:color="auto" w:sz="12" w:space="0"/>
                  </w:tcBorders>
                  <w:noWrap w:val="0"/>
                  <w:vAlign w:val="center"/>
                </w:tcPr>
                <w:p w14:paraId="43C5BD1E">
                  <w:pPr>
                    <w:keepLines w:val="0"/>
                    <w:pageBreakBefore w:val="0"/>
                    <w:topLinePunct w:val="0"/>
                    <w:bidi w:val="0"/>
                    <w:spacing w:line="240" w:lineRule="auto"/>
                    <w:jc w:val="center"/>
                    <w:rPr>
                      <w:sz w:val="21"/>
                      <w:szCs w:val="21"/>
                    </w:rPr>
                  </w:pPr>
                  <w:r>
                    <w:rPr>
                      <w:rFonts w:hAnsi="宋体"/>
                      <w:sz w:val="21"/>
                      <w:szCs w:val="21"/>
                    </w:rPr>
                    <w:t>（单位全称）</w:t>
                  </w:r>
                </w:p>
              </w:tc>
            </w:tr>
          </w:tbl>
          <w:p w14:paraId="4943405E">
            <w:pPr>
              <w:keepLines w:val="0"/>
              <w:pageBreakBefore w:val="0"/>
              <w:topLinePunct w:val="0"/>
              <w:bidi w:val="0"/>
              <w:spacing w:line="240" w:lineRule="auto"/>
              <w:rPr>
                <w:kern w:val="21"/>
                <w:sz w:val="21"/>
                <w:szCs w:val="21"/>
              </w:rPr>
            </w:pPr>
          </w:p>
          <w:p w14:paraId="49F5577E">
            <w:pPr>
              <w:keepLines w:val="0"/>
              <w:pageBreakBefore w:val="0"/>
              <w:topLinePunct w:val="0"/>
              <w:bidi w:val="0"/>
              <w:spacing w:line="240" w:lineRule="auto"/>
              <w:rPr>
                <w:kern w:val="21"/>
                <w:sz w:val="21"/>
                <w:szCs w:val="21"/>
              </w:rPr>
            </w:pPr>
          </w:p>
          <w:p w14:paraId="229459FD">
            <w:pPr>
              <w:keepLines w:val="0"/>
              <w:pageBreakBefore w:val="0"/>
              <w:topLinePunct w:val="0"/>
              <w:bidi w:val="0"/>
              <w:spacing w:line="240" w:lineRule="auto"/>
              <w:rPr>
                <w:kern w:val="21"/>
                <w:sz w:val="21"/>
                <w:szCs w:val="21"/>
              </w:rPr>
            </w:pPr>
          </w:p>
          <w:p w14:paraId="47813879">
            <w:pPr>
              <w:keepLines w:val="0"/>
              <w:pageBreakBefore w:val="0"/>
              <w:topLinePunct w:val="0"/>
              <w:bidi w:val="0"/>
              <w:spacing w:line="240" w:lineRule="auto"/>
              <w:rPr>
                <w:kern w:val="21"/>
                <w:sz w:val="21"/>
                <w:szCs w:val="21"/>
              </w:rPr>
            </w:pPr>
          </w:p>
          <w:p w14:paraId="54A2DAE9">
            <w:pPr>
              <w:keepLines w:val="0"/>
              <w:pageBreakBefore w:val="0"/>
              <w:topLinePunct w:val="0"/>
              <w:bidi w:val="0"/>
              <w:spacing w:line="240" w:lineRule="auto"/>
              <w:rPr>
                <w:kern w:val="21"/>
                <w:sz w:val="21"/>
                <w:szCs w:val="21"/>
              </w:rPr>
            </w:pPr>
          </w:p>
          <w:p w14:paraId="138EF03C">
            <w:pPr>
              <w:keepLines w:val="0"/>
              <w:pageBreakBefore w:val="0"/>
              <w:topLinePunct w:val="0"/>
              <w:bidi w:val="0"/>
              <w:spacing w:line="240" w:lineRule="auto"/>
              <w:rPr>
                <w:kern w:val="21"/>
                <w:sz w:val="21"/>
                <w:szCs w:val="21"/>
              </w:rPr>
            </w:pPr>
          </w:p>
          <w:p w14:paraId="3401D80B">
            <w:pPr>
              <w:keepLines w:val="0"/>
              <w:pageBreakBefore w:val="0"/>
              <w:topLinePunct w:val="0"/>
              <w:bidi w:val="0"/>
              <w:spacing w:line="240" w:lineRule="auto"/>
              <w:rPr>
                <w:kern w:val="21"/>
                <w:sz w:val="21"/>
                <w:szCs w:val="21"/>
              </w:rPr>
            </w:pPr>
          </w:p>
          <w:p w14:paraId="15E2BDB2">
            <w:pPr>
              <w:keepLines w:val="0"/>
              <w:pageBreakBefore w:val="0"/>
              <w:topLinePunct w:val="0"/>
              <w:bidi w:val="0"/>
              <w:spacing w:line="240" w:lineRule="auto"/>
              <w:rPr>
                <w:kern w:val="21"/>
                <w:sz w:val="21"/>
                <w:szCs w:val="21"/>
              </w:rPr>
            </w:pPr>
          </w:p>
          <w:p w14:paraId="11BC4021">
            <w:pPr>
              <w:keepLines w:val="0"/>
              <w:pageBreakBefore w:val="0"/>
              <w:topLinePunct w:val="0"/>
              <w:bidi w:val="0"/>
              <w:spacing w:line="240" w:lineRule="auto"/>
              <w:rPr>
                <w:kern w:val="21"/>
                <w:sz w:val="21"/>
                <w:szCs w:val="21"/>
              </w:rPr>
            </w:pPr>
          </w:p>
          <w:p w14:paraId="07D34342">
            <w:pPr>
              <w:keepLines w:val="0"/>
              <w:pageBreakBefore w:val="0"/>
              <w:widowControl/>
              <w:topLinePunct w:val="0"/>
              <w:bidi w:val="0"/>
              <w:spacing w:line="240" w:lineRule="auto"/>
              <w:jc w:val="center"/>
              <w:rPr>
                <w:rFonts w:hAnsi="黑体" w:eastAsia="黑体"/>
                <w:kern w:val="0"/>
                <w:sz w:val="21"/>
                <w:szCs w:val="21"/>
              </w:rPr>
            </w:pPr>
          </w:p>
          <w:p w14:paraId="1819327E">
            <w:pPr>
              <w:keepLines w:val="0"/>
              <w:pageBreakBefore w:val="0"/>
              <w:widowControl/>
              <w:topLinePunct w:val="0"/>
              <w:bidi w:val="0"/>
              <w:spacing w:line="240" w:lineRule="auto"/>
              <w:jc w:val="center"/>
              <w:rPr>
                <w:rFonts w:hAnsi="黑体" w:eastAsia="黑体"/>
                <w:kern w:val="0"/>
                <w:sz w:val="21"/>
                <w:szCs w:val="21"/>
              </w:rPr>
            </w:pPr>
            <w:r>
              <w:rPr>
                <w:rFonts w:hAnsi="黑体" w:eastAsia="黑体"/>
                <w:kern w:val="0"/>
                <w:sz w:val="21"/>
                <w:szCs w:val="21"/>
              </w:rPr>
              <w:t>图</w:t>
            </w:r>
            <w:r>
              <w:rPr>
                <w:rFonts w:eastAsia="黑体"/>
                <w:kern w:val="0"/>
                <w:sz w:val="21"/>
                <w:szCs w:val="21"/>
              </w:rPr>
              <w:t xml:space="preserve">3 </w:t>
            </w:r>
            <w:r>
              <w:rPr>
                <w:rFonts w:hAnsi="黑体" w:eastAsia="黑体"/>
                <w:kern w:val="0"/>
                <w:sz w:val="21"/>
                <w:szCs w:val="21"/>
              </w:rPr>
              <w:t>检验单样式</w:t>
            </w:r>
          </w:p>
          <w:p w14:paraId="5F196CF1">
            <w:pPr>
              <w:keepLines w:val="0"/>
              <w:pageBreakBefore w:val="0"/>
              <w:widowControl/>
              <w:topLinePunct w:val="0"/>
              <w:bidi w:val="0"/>
              <w:spacing w:line="240" w:lineRule="auto"/>
              <w:jc w:val="center"/>
              <w:rPr>
                <w:rFonts w:eastAsia="黑体"/>
                <w:kern w:val="0"/>
                <w:sz w:val="21"/>
                <w:szCs w:val="21"/>
              </w:rPr>
            </w:pPr>
          </w:p>
          <w:p w14:paraId="65808354">
            <w:pPr>
              <w:keepNext w:val="0"/>
              <w:keepLines w:val="0"/>
              <w:pageBreakBefore w:val="0"/>
              <w:widowControl/>
              <w:numPr>
                <w:ilvl w:val="1"/>
                <w:numId w:val="23"/>
              </w:numPr>
              <w:tabs>
                <w:tab w:val="left" w:pos="360"/>
              </w:tabs>
              <w:kinsoku/>
              <w:wordWrap/>
              <w:overflowPunct/>
              <w:topLinePunct w:val="0"/>
              <w:autoSpaceDE/>
              <w:autoSpaceDN/>
              <w:bidi w:val="0"/>
              <w:adjustRightInd/>
              <w:snapToGrid/>
              <w:spacing w:line="240" w:lineRule="auto"/>
              <w:ind w:left="420" w:leftChars="200" w:firstLine="0" w:firstLineChars="0"/>
              <w:textAlignment w:val="auto"/>
              <w:outlineLvl w:val="5"/>
              <w:rPr>
                <w:rFonts w:hint="eastAsia" w:ascii="宋体" w:hAnsi="宋体" w:eastAsia="宋体" w:cs="宋体"/>
                <w:kern w:val="21"/>
                <w:sz w:val="21"/>
                <w:szCs w:val="21"/>
              </w:rPr>
            </w:pPr>
            <w:bookmarkStart w:id="408" w:name="_Toc236732800"/>
            <w:bookmarkStart w:id="409" w:name="_Toc237327416"/>
            <w:bookmarkStart w:id="410" w:name="_Toc367025593"/>
            <w:bookmarkStart w:id="411" w:name="_Toc236717446"/>
            <w:r>
              <w:rPr>
                <w:rFonts w:hint="eastAsia" w:ascii="宋体" w:hAnsi="宋体" w:eastAsia="宋体" w:cs="宋体"/>
                <w:kern w:val="21"/>
                <w:sz w:val="21"/>
                <w:szCs w:val="21"/>
              </w:rPr>
              <w:t>运输与贮存</w:t>
            </w:r>
            <w:bookmarkEnd w:id="408"/>
            <w:bookmarkEnd w:id="409"/>
            <w:bookmarkEnd w:id="410"/>
            <w:bookmarkEnd w:id="411"/>
          </w:p>
          <w:p w14:paraId="338EC522">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宋体" w:hAnsi="宋体" w:eastAsia="宋体" w:cs="宋体"/>
                <w:kern w:val="24"/>
                <w:sz w:val="21"/>
                <w:szCs w:val="21"/>
              </w:rPr>
              <w:t>运输与贮存中严禁露天存放，应防止雨淋、曝晒、污染、重压。运输根据合同要求执行。</w:t>
            </w:r>
          </w:p>
          <w:p w14:paraId="12F9A172">
            <w:pPr>
              <w:keepNext w:val="0"/>
              <w:keepLines w:val="0"/>
              <w:pageBreakBefore w:val="0"/>
              <w:widowControl/>
              <w:numPr>
                <w:ilvl w:val="2"/>
                <w:numId w:val="23"/>
              </w:numPr>
              <w:kinsoku/>
              <w:wordWrap/>
              <w:overflowPunct/>
              <w:topLinePunct w:val="0"/>
              <w:autoSpaceDE/>
              <w:autoSpaceDN/>
              <w:bidi w:val="0"/>
              <w:adjustRightInd/>
              <w:snapToGrid/>
              <w:spacing w:line="240" w:lineRule="auto"/>
              <w:ind w:left="420" w:leftChars="200" w:firstLine="0" w:firstLineChars="0"/>
              <w:jc w:val="left"/>
              <w:textAlignment w:val="auto"/>
              <w:outlineLvl w:val="6"/>
              <w:rPr>
                <w:rFonts w:hint="eastAsia" w:ascii="宋体" w:hAnsi="宋体" w:eastAsia="宋体" w:cs="宋体"/>
                <w:kern w:val="24"/>
                <w:sz w:val="21"/>
                <w:szCs w:val="21"/>
              </w:rPr>
            </w:pPr>
            <w:r>
              <w:rPr>
                <w:rFonts w:hint="eastAsia" w:ascii="宋体" w:hAnsi="宋体" w:eastAsia="宋体" w:cs="宋体"/>
                <w:kern w:val="24"/>
                <w:sz w:val="21"/>
                <w:szCs w:val="21"/>
              </w:rPr>
              <w:t>产品应贮存在通风干燥的库房内，相对湿度不得超过70%，并不得与化学药物同库混放。</w:t>
            </w:r>
          </w:p>
          <w:p w14:paraId="200C02E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outlineLvl w:val="6"/>
              <w:rPr>
                <w:rFonts w:ascii="宋体" w:hAnsi="宋体" w:eastAsia="宋体" w:cs="Arial"/>
                <w:color w:val="000000"/>
                <w:kern w:val="0"/>
                <w:sz w:val="32"/>
                <w:szCs w:val="32"/>
              </w:rPr>
            </w:pPr>
            <w:r>
              <w:rPr>
                <w:rFonts w:hint="eastAsia" w:ascii="宋体" w:hAnsi="宋体" w:cs="宋体"/>
                <w:kern w:val="24"/>
                <w:sz w:val="21"/>
                <w:szCs w:val="21"/>
                <w:lang w:val="en-US" w:eastAsia="zh-CN"/>
              </w:rPr>
              <w:t>6.3.3</w:t>
            </w:r>
            <w:r>
              <w:rPr>
                <w:rFonts w:hint="eastAsia" w:ascii="宋体" w:hAnsi="宋体" w:eastAsia="宋体" w:cs="宋体"/>
                <w:kern w:val="24"/>
                <w:sz w:val="21"/>
                <w:szCs w:val="21"/>
              </w:rPr>
              <w:t>包装件应码放在货架上，货架距地面高度不得低于15</w:t>
            </w:r>
            <w:r>
              <w:rPr>
                <w:rFonts w:hint="eastAsia" w:ascii="宋体" w:hAnsi="宋体" w:eastAsia="宋体" w:cs="宋体"/>
                <w:kern w:val="24"/>
                <w:sz w:val="21"/>
                <w:szCs w:val="21"/>
                <w:lang w:val="en-US" w:eastAsia="zh-CN"/>
              </w:rPr>
              <w:t xml:space="preserve"> </w:t>
            </w:r>
            <w:r>
              <w:rPr>
                <w:rFonts w:hint="eastAsia" w:ascii="宋体" w:hAnsi="宋体" w:eastAsia="宋体" w:cs="宋体"/>
                <w:kern w:val="24"/>
                <w:sz w:val="21"/>
                <w:szCs w:val="21"/>
              </w:rPr>
              <w:t>cm。</w:t>
            </w:r>
            <w:bookmarkStart w:id="412" w:name="_Toc191462725"/>
            <w:bookmarkEnd w:id="412"/>
            <w:bookmarkStart w:id="413" w:name="_Toc237327417"/>
            <w:bookmarkEnd w:id="413"/>
            <w:bookmarkStart w:id="414" w:name="_Toc237327419"/>
            <w:bookmarkEnd w:id="414"/>
            <w:bookmarkStart w:id="415" w:name="_Toc236732803"/>
            <w:bookmarkEnd w:id="415"/>
            <w:bookmarkStart w:id="416" w:name="_Toc191462641"/>
            <w:bookmarkEnd w:id="416"/>
            <w:bookmarkStart w:id="417" w:name="_Toc193103977"/>
            <w:bookmarkEnd w:id="417"/>
            <w:bookmarkStart w:id="418" w:name="_Toc236732801"/>
            <w:bookmarkEnd w:id="418"/>
            <w:bookmarkStart w:id="419" w:name="_Toc236717447"/>
            <w:bookmarkEnd w:id="419"/>
            <w:r>
              <w:rPr>
                <w:rFonts w:hint="eastAsia" w:ascii="宋体" w:hAnsi="宋体" w:eastAsia="宋体" w:cs="宋体"/>
                <w:kern w:val="24"/>
                <w:sz w:val="21"/>
                <w:szCs w:val="21"/>
              </w:rPr>
              <w:t>码放时包间应留有间隙以利通风，或适当时间倒包通风。</w:t>
            </w:r>
          </w:p>
        </w:tc>
        <w:tc>
          <w:tcPr>
            <w:tcW w:w="904" w:type="dxa"/>
            <w:vAlign w:val="center"/>
          </w:tcPr>
          <w:p w14:paraId="7C8F9F2B">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700</w:t>
            </w:r>
            <w:r>
              <w:rPr>
                <w:rFonts w:hint="eastAsia" w:ascii="宋体" w:hAnsi="宋体" w:eastAsia="宋体" w:cs="Arial"/>
                <w:color w:val="000000"/>
                <w:kern w:val="0"/>
                <w:sz w:val="24"/>
                <w:szCs w:val="24"/>
                <w:lang w:val="en-US" w:eastAsia="zh-CN"/>
              </w:rPr>
              <w:t>条</w:t>
            </w:r>
          </w:p>
        </w:tc>
        <w:tc>
          <w:tcPr>
            <w:tcW w:w="794" w:type="dxa"/>
            <w:vAlign w:val="center"/>
          </w:tcPr>
          <w:p w14:paraId="1A73352D">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w:t>
            </w:r>
            <w:r>
              <w:rPr>
                <w:rFonts w:hint="eastAsia" w:ascii="宋体" w:hAnsi="宋体" w:cs="Arial"/>
                <w:color w:val="000000"/>
                <w:kern w:val="0"/>
                <w:sz w:val="24"/>
                <w:szCs w:val="24"/>
                <w:lang w:val="en-US" w:eastAsia="zh-CN"/>
              </w:rPr>
              <w:t>30</w:t>
            </w:r>
          </w:p>
        </w:tc>
        <w:tc>
          <w:tcPr>
            <w:tcW w:w="1038" w:type="dxa"/>
            <w:vAlign w:val="center"/>
          </w:tcPr>
          <w:p w14:paraId="17CBAC00">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91000</w:t>
            </w:r>
          </w:p>
        </w:tc>
      </w:tr>
      <w:tr w14:paraId="5530D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59" w:type="dxa"/>
            <w:vAlign w:val="center"/>
          </w:tcPr>
          <w:p w14:paraId="466023E9">
            <w:pPr>
              <w:keepLines w:val="0"/>
              <w:pageBreakBefore w:val="0"/>
              <w:topLinePunct w:val="0"/>
              <w:bidi w:val="0"/>
              <w:snapToGrid w:val="0"/>
              <w:spacing w:line="240" w:lineRule="auto"/>
              <w:jc w:val="center"/>
              <w:rPr>
                <w:rFonts w:ascii="宋体" w:hAnsi="宋体" w:eastAsia="宋体" w:cs="Arial"/>
                <w:color w:val="000000"/>
                <w:kern w:val="0"/>
                <w:sz w:val="32"/>
                <w:szCs w:val="32"/>
              </w:rPr>
            </w:pPr>
            <w:r>
              <w:rPr>
                <w:rFonts w:hint="eastAsia" w:ascii="宋体" w:hAnsi="宋体" w:eastAsia="宋体" w:cs="Arial"/>
                <w:color w:val="000000"/>
                <w:kern w:val="0"/>
                <w:sz w:val="32"/>
                <w:szCs w:val="32"/>
              </w:rPr>
              <w:t>3</w:t>
            </w:r>
          </w:p>
        </w:tc>
        <w:tc>
          <w:tcPr>
            <w:tcW w:w="697" w:type="dxa"/>
            <w:vAlign w:val="center"/>
          </w:tcPr>
          <w:p w14:paraId="7FFE644F">
            <w:pPr>
              <w:keepLines w:val="0"/>
              <w:pageBreakBefore w:val="0"/>
              <w:topLinePunct w:val="0"/>
              <w:bidi w:val="0"/>
              <w:snapToGrid w:val="0"/>
              <w:spacing w:line="240" w:lineRule="auto"/>
              <w:jc w:val="center"/>
              <w:rPr>
                <w:rFonts w:hint="eastAsia" w:ascii="宋体" w:hAnsi="宋体" w:eastAsia="宋体" w:cs="Arial"/>
                <w:color w:val="000000"/>
                <w:kern w:val="0"/>
                <w:sz w:val="32"/>
                <w:szCs w:val="32"/>
                <w:lang w:eastAsia="zh-CN"/>
              </w:rPr>
            </w:pPr>
            <w:r>
              <w:rPr>
                <w:rFonts w:hint="eastAsia" w:ascii="宋体" w:hAnsi="宋体" w:eastAsia="宋体" w:cs="Arial"/>
                <w:color w:val="000000"/>
                <w:kern w:val="0"/>
                <w:sz w:val="32"/>
                <w:szCs w:val="32"/>
                <w:lang w:eastAsia="zh-CN"/>
              </w:rPr>
              <w:t>棉褥</w:t>
            </w:r>
          </w:p>
        </w:tc>
        <w:tc>
          <w:tcPr>
            <w:tcW w:w="6783" w:type="dxa"/>
            <w:vAlign w:val="center"/>
          </w:tcPr>
          <w:p w14:paraId="5D456459">
            <w:pPr>
              <w:pStyle w:val="535"/>
              <w:keepLines w:val="0"/>
              <w:pageBreakBefore w:val="0"/>
              <w:topLinePunct w:val="0"/>
              <w:bidi w:val="0"/>
              <w:spacing w:line="240" w:lineRule="auto"/>
              <w:jc w:val="center"/>
              <w:rPr>
                <w:rFonts w:hint="eastAsia" w:ascii="方正黑体_GBK" w:hAnsi="方正黑体_GBK" w:eastAsia="方正黑体_GBK" w:cs="方正黑体_GBK"/>
                <w:sz w:val="21"/>
                <w:szCs w:val="21"/>
                <w:highlight w:val="none"/>
                <w:lang w:val="en-US" w:eastAsia="zh-CN"/>
              </w:rPr>
            </w:pPr>
            <w:bookmarkStart w:id="420" w:name="_Toc32657870"/>
            <w:bookmarkStart w:id="421" w:name="_Toc32657922"/>
            <w:bookmarkStart w:id="422" w:name="_Toc90391606"/>
            <w:bookmarkStart w:id="423" w:name="_Toc34205807"/>
            <w:bookmarkStart w:id="424" w:name="_Toc13438"/>
            <w:bookmarkStart w:id="425" w:name="_Toc5234"/>
            <w:r>
              <w:rPr>
                <w:rFonts w:hint="eastAsia" w:ascii="方正黑体_GBK" w:hAnsi="方正黑体_GBK" w:eastAsia="方正黑体_GBK" w:cs="方正黑体_GBK"/>
                <w:sz w:val="21"/>
                <w:szCs w:val="21"/>
                <w:highlight w:val="none"/>
              </w:rPr>
              <w:t>救灾棉</w:t>
            </w:r>
            <w:bookmarkEnd w:id="420"/>
            <w:bookmarkEnd w:id="421"/>
            <w:r>
              <w:rPr>
                <w:rFonts w:hint="eastAsia" w:ascii="方正黑体_GBK" w:hAnsi="方正黑体_GBK" w:eastAsia="方正黑体_GBK" w:cs="方正黑体_GBK"/>
                <w:sz w:val="21"/>
                <w:szCs w:val="21"/>
                <w:highlight w:val="none"/>
              </w:rPr>
              <w:t>褥</w:t>
            </w:r>
            <w:bookmarkEnd w:id="422"/>
            <w:bookmarkEnd w:id="423"/>
            <w:r>
              <w:rPr>
                <w:rFonts w:hint="eastAsia" w:ascii="方正黑体_GBK" w:hAnsi="方正黑体_GBK" w:eastAsia="方正黑体_GBK" w:cs="方正黑体_GBK"/>
                <w:sz w:val="21"/>
                <w:szCs w:val="21"/>
                <w:highlight w:val="none"/>
                <w:lang w:val="en-US" w:eastAsia="zh-CN"/>
              </w:rPr>
              <w:t>技术文件</w:t>
            </w:r>
            <w:bookmarkEnd w:id="424"/>
            <w:bookmarkEnd w:id="425"/>
          </w:p>
          <w:p w14:paraId="1D6AECF0">
            <w:pPr>
              <w:pStyle w:val="536"/>
              <w:keepLines w:val="0"/>
              <w:pageBreakBefore w:val="0"/>
              <w:numPr>
                <w:ilvl w:val="1"/>
                <w:numId w:val="0"/>
              </w:numPr>
              <w:topLinePunct w:val="0"/>
              <w:bidi w:val="0"/>
              <w:spacing w:line="240" w:lineRule="auto"/>
              <w:ind w:left="105" w:leftChars="0"/>
              <w:rPr>
                <w:rFonts w:hint="eastAsia"/>
              </w:rPr>
            </w:pPr>
            <w:bookmarkStart w:id="426" w:name="_Toc24465"/>
            <w:bookmarkStart w:id="427" w:name="_Toc90391607"/>
            <w:bookmarkStart w:id="428" w:name="_Toc486595043"/>
            <w:bookmarkStart w:id="429" w:name="_Toc486596861"/>
            <w:bookmarkStart w:id="430" w:name="_Toc31698"/>
            <w:bookmarkStart w:id="431" w:name="_Toc486599733"/>
            <w:r>
              <w:rPr>
                <w:rFonts w:hint="eastAsia"/>
                <w:lang w:val="en-US" w:eastAsia="zh-CN"/>
              </w:rPr>
              <w:t>1</w:t>
            </w:r>
            <w:r>
              <w:rPr>
                <w:rFonts w:hint="eastAsia"/>
              </w:rPr>
              <w:t>范围</w:t>
            </w:r>
            <w:bookmarkEnd w:id="426"/>
            <w:bookmarkEnd w:id="427"/>
            <w:bookmarkEnd w:id="428"/>
            <w:bookmarkEnd w:id="429"/>
            <w:bookmarkEnd w:id="430"/>
            <w:bookmarkEnd w:id="431"/>
          </w:p>
          <w:p w14:paraId="792F71DC">
            <w:pPr>
              <w:pStyle w:val="269"/>
              <w:keepLines w:val="0"/>
              <w:pageBreakBefore w:val="0"/>
              <w:tabs>
                <w:tab w:val="center" w:pos="4201"/>
                <w:tab w:val="right" w:leader="dot" w:pos="9298"/>
              </w:tabs>
              <w:topLinePunct w:val="0"/>
              <w:bidi w:val="0"/>
              <w:spacing w:line="240" w:lineRule="auto"/>
              <w:rPr>
                <w:rFonts w:hint="eastAsia"/>
              </w:rPr>
            </w:pPr>
            <w:r>
              <w:rPr>
                <w:rFonts w:hint="eastAsia"/>
              </w:rPr>
              <w:t>本文件规定了</w:t>
            </w:r>
            <w:r>
              <w:rPr>
                <w:rFonts w:hint="eastAsia" w:ascii="Arial" w:hAnsi="Arial" w:cs="Arial"/>
              </w:rPr>
              <w:t>救灾</w:t>
            </w:r>
            <w:r>
              <w:rPr>
                <w:rFonts w:ascii="Arial" w:hAnsi="Arial" w:cs="Arial"/>
              </w:rPr>
              <w:t>棉褥</w:t>
            </w:r>
            <w:r>
              <w:rPr>
                <w:rFonts w:hint="eastAsia" w:ascii="Arial" w:hAnsi="Arial" w:cs="Arial"/>
              </w:rPr>
              <w:t>的技术要求、试验方法、检验规则、标志、包装、运输及贮存。</w:t>
            </w:r>
          </w:p>
          <w:p w14:paraId="1D47D468">
            <w:pPr>
              <w:pStyle w:val="269"/>
              <w:keepLines w:val="0"/>
              <w:pageBreakBefore w:val="0"/>
              <w:tabs>
                <w:tab w:val="center" w:pos="4201"/>
                <w:tab w:val="right" w:leader="dot" w:pos="9298"/>
              </w:tabs>
              <w:topLinePunct w:val="0"/>
              <w:bidi w:val="0"/>
              <w:spacing w:line="240" w:lineRule="auto"/>
              <w:rPr>
                <w:rFonts w:hint="eastAsia"/>
              </w:rPr>
            </w:pPr>
            <w:r>
              <w:rPr>
                <w:rFonts w:hint="eastAsia"/>
              </w:rPr>
              <w:t>本文件适用于</w:t>
            </w:r>
            <w:r>
              <w:rPr>
                <w:rFonts w:hint="eastAsia" w:ascii="Arial" w:hAnsi="Arial" w:cs="Arial"/>
              </w:rPr>
              <w:t>救灾</w:t>
            </w:r>
            <w:r>
              <w:rPr>
                <w:rFonts w:ascii="Arial" w:hAnsi="Arial" w:cs="Arial"/>
              </w:rPr>
              <w:t>棉褥</w:t>
            </w:r>
            <w:r>
              <w:rPr>
                <w:rFonts w:hint="eastAsia"/>
              </w:rPr>
              <w:t>的订购、生产与验收。</w:t>
            </w:r>
          </w:p>
          <w:p w14:paraId="7E1292EE">
            <w:pPr>
              <w:pStyle w:val="536"/>
              <w:keepLines w:val="0"/>
              <w:pageBreakBefore w:val="0"/>
              <w:numPr>
                <w:ilvl w:val="1"/>
                <w:numId w:val="0"/>
              </w:numPr>
              <w:topLinePunct w:val="0"/>
              <w:bidi w:val="0"/>
              <w:spacing w:line="240" w:lineRule="auto"/>
              <w:ind w:left="105" w:leftChars="0"/>
              <w:rPr>
                <w:rFonts w:hint="eastAsia"/>
              </w:rPr>
            </w:pPr>
            <w:bookmarkStart w:id="432" w:name="_Toc486599734"/>
            <w:bookmarkStart w:id="433" w:name="_Toc486596862"/>
            <w:bookmarkStart w:id="434" w:name="_Toc18519"/>
            <w:bookmarkStart w:id="435" w:name="_Toc90391608"/>
            <w:bookmarkStart w:id="436" w:name="_Toc6093"/>
            <w:bookmarkStart w:id="437" w:name="_Toc486595044"/>
            <w:r>
              <w:rPr>
                <w:rFonts w:hint="eastAsia"/>
                <w:lang w:val="en-US" w:eastAsia="zh-CN"/>
              </w:rPr>
              <w:t xml:space="preserve">2 </w:t>
            </w:r>
            <w:r>
              <w:rPr>
                <w:rFonts w:hint="eastAsia"/>
              </w:rPr>
              <w:t>文件性引用文件</w:t>
            </w:r>
            <w:bookmarkEnd w:id="432"/>
            <w:bookmarkEnd w:id="433"/>
            <w:bookmarkEnd w:id="434"/>
            <w:bookmarkEnd w:id="435"/>
            <w:bookmarkEnd w:id="436"/>
            <w:bookmarkEnd w:id="437"/>
          </w:p>
          <w:p w14:paraId="6A2E4701">
            <w:pPr>
              <w:pStyle w:val="269"/>
              <w:keepLines w:val="0"/>
              <w:pageBreakBefore w:val="0"/>
              <w:tabs>
                <w:tab w:val="center" w:pos="4201"/>
                <w:tab w:val="right" w:leader="dot" w:pos="9298"/>
              </w:tabs>
              <w:topLinePunct w:val="0"/>
              <w:bidi w:val="0"/>
              <w:spacing w:line="240" w:lineRule="auto"/>
              <w:rPr>
                <w:rFonts w:hint="eastAsia"/>
              </w:rPr>
            </w:pPr>
            <w:r>
              <w:rPr>
                <w:rFonts w:hAnsi="宋体" w:cs="Arial"/>
              </w:rPr>
              <w:t>下列文件</w:t>
            </w:r>
            <w:bookmarkStart w:id="438" w:name="_Toc486595045"/>
            <w:bookmarkEnd w:id="438"/>
            <w:bookmarkStart w:id="439" w:name="_Toc475691046"/>
            <w:bookmarkStart w:id="440" w:name="_Toc465873903"/>
            <w:bookmarkStart w:id="441" w:name="_Toc464313141"/>
            <w:bookmarkStart w:id="442" w:name="_Toc17346"/>
            <w:bookmarkStart w:id="443" w:name="_Toc475375081"/>
            <w:bookmarkStart w:id="444" w:name="_Toc465871384"/>
            <w:bookmarkStart w:id="445" w:name="_Toc464462780"/>
            <w:bookmarkStart w:id="446" w:name="_Toc3671"/>
            <w:bookmarkStart w:id="447" w:name="_Toc472513327"/>
            <w:r>
              <w:rPr>
                <w:rFonts w:hint="eastAsia"/>
              </w:rPr>
              <w:t>对于本文件的应用是必不可少的。凡是注日期的引用文件，仅所注日期的版本适用于本文件。凡是不注日期的引用文件，其最新版本（包括所有的修改单）适用于本文件。</w:t>
            </w:r>
          </w:p>
          <w:p w14:paraId="34CBDA27">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GB/T 250</w:t>
            </w:r>
            <w:r>
              <w:rPr>
                <w:rFonts w:hint="eastAsia" w:hAnsi="宋体" w:cs="Arial"/>
              </w:rPr>
              <w:t>-2008</w:t>
            </w:r>
            <w:r>
              <w:rPr>
                <w:rFonts w:hAnsi="宋体" w:cs="Arial"/>
              </w:rPr>
              <w:t>　</w:t>
            </w:r>
            <w:r>
              <w:rPr>
                <w:rFonts w:hint="eastAsia" w:hAnsi="宋体" w:cs="Arial"/>
              </w:rPr>
              <w:t>纺织品 色牢度试验 评定变色用灰色样</w:t>
            </w:r>
          </w:p>
          <w:p w14:paraId="01E34AD7">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 xml:space="preserve">GB/T </w:t>
            </w:r>
            <w:r>
              <w:rPr>
                <w:rFonts w:hint="eastAsia" w:hAnsi="宋体" w:cs="Arial"/>
              </w:rPr>
              <w:t>1040.1-2018  塑料 拉伸性能的测定 第1部分：总则</w:t>
            </w:r>
          </w:p>
          <w:p w14:paraId="5C6DB709">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GB</w:t>
            </w:r>
            <w:r>
              <w:rPr>
                <w:rFonts w:hint="eastAsia" w:hAnsi="宋体" w:cs="Arial"/>
              </w:rPr>
              <w:t xml:space="preserve"> 1103-2007</w:t>
            </w:r>
            <w:r>
              <w:rPr>
                <w:rFonts w:hAnsi="宋体" w:cs="Arial"/>
              </w:rPr>
              <w:t xml:space="preserve">  </w:t>
            </w:r>
            <w:r>
              <w:rPr>
                <w:rFonts w:hint="eastAsia" w:hAnsi="宋体" w:cs="Arial"/>
              </w:rPr>
              <w:t>棉花 细绒棉</w:t>
            </w:r>
          </w:p>
          <w:p w14:paraId="32DD99D2">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GB/T 2910.1</w:t>
            </w:r>
            <w:r>
              <w:rPr>
                <w:rFonts w:hint="eastAsia" w:hAnsi="宋体" w:cs="Arial"/>
              </w:rPr>
              <w:t>1</w:t>
            </w:r>
            <w:r>
              <w:rPr>
                <w:rFonts w:hAnsi="宋体" w:cs="Arial"/>
              </w:rPr>
              <w:t>-2009</w:t>
            </w:r>
            <w:r>
              <w:rPr>
                <w:rFonts w:hint="eastAsia" w:hAnsi="宋体" w:cs="Arial"/>
              </w:rPr>
              <w:t xml:space="preserve">  定量化学分析 第11部分：纤维素纤维与聚酯纤维的混合物（硫酸法）</w:t>
            </w:r>
          </w:p>
          <w:p w14:paraId="60060EB7">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 xml:space="preserve">GB/T </w:t>
            </w:r>
            <w:r>
              <w:rPr>
                <w:rFonts w:hint="eastAsia" w:hAnsi="宋体" w:cs="Arial"/>
              </w:rPr>
              <w:t>2912.1-2009</w:t>
            </w:r>
            <w:r>
              <w:rPr>
                <w:rFonts w:hAnsi="宋体" w:cs="Arial"/>
              </w:rPr>
              <w:t>　纺织品　</w:t>
            </w:r>
            <w:r>
              <w:rPr>
                <w:rFonts w:hint="eastAsia" w:hAnsi="宋体" w:cs="Arial"/>
              </w:rPr>
              <w:t>甲醛</w:t>
            </w:r>
            <w:r>
              <w:rPr>
                <w:rFonts w:hAnsi="宋体" w:cs="Arial"/>
              </w:rPr>
              <w:t>的测定</w:t>
            </w:r>
            <w:r>
              <w:rPr>
                <w:rFonts w:hint="eastAsia" w:hAnsi="宋体" w:cs="Arial"/>
              </w:rPr>
              <w:t xml:space="preserve"> 第1部分：游离水解的甲醛（水萃取法）</w:t>
            </w:r>
          </w:p>
          <w:p w14:paraId="6CA72918">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 xml:space="preserve">GB/T </w:t>
            </w:r>
            <w:r>
              <w:rPr>
                <w:rFonts w:hint="eastAsia" w:hAnsi="宋体" w:cs="Arial"/>
              </w:rPr>
              <w:t>2918-2018</w:t>
            </w:r>
            <w:r>
              <w:rPr>
                <w:rFonts w:hAnsi="宋体" w:cs="Arial"/>
              </w:rPr>
              <w:t>　</w:t>
            </w:r>
            <w:r>
              <w:rPr>
                <w:rFonts w:hint="eastAsia" w:hAnsi="宋体" w:cs="Arial"/>
              </w:rPr>
              <w:t>塑料</w:t>
            </w:r>
            <w:r>
              <w:rPr>
                <w:rFonts w:hAnsi="宋体" w:cs="Arial"/>
              </w:rPr>
              <w:t>试样状态调节和试验的标准环境</w:t>
            </w:r>
          </w:p>
          <w:p w14:paraId="2E017BF9">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GB/T 3920</w:t>
            </w:r>
            <w:r>
              <w:rPr>
                <w:rFonts w:hint="eastAsia" w:hAnsi="宋体" w:cs="Arial"/>
              </w:rPr>
              <w:t>-2008</w:t>
            </w:r>
            <w:r>
              <w:rPr>
                <w:rFonts w:hAnsi="宋体" w:cs="Arial"/>
              </w:rPr>
              <w:t>　纺织品　色牢度试验　耐摩擦色牢度</w:t>
            </w:r>
          </w:p>
          <w:p w14:paraId="57C14C58">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GB/T 3921</w:t>
            </w:r>
            <w:r>
              <w:rPr>
                <w:rFonts w:hint="eastAsia" w:hAnsi="宋体" w:cs="Arial"/>
              </w:rPr>
              <w:t>-2008</w:t>
            </w:r>
            <w:r>
              <w:rPr>
                <w:rFonts w:hAnsi="宋体" w:cs="Arial"/>
              </w:rPr>
              <w:t>　纺织品　色牢度试验　耐</w:t>
            </w:r>
            <w:r>
              <w:rPr>
                <w:rFonts w:hint="eastAsia" w:hAnsi="宋体" w:cs="Arial"/>
              </w:rPr>
              <w:t>皂</w:t>
            </w:r>
            <w:r>
              <w:rPr>
                <w:rFonts w:hAnsi="宋体" w:cs="Arial"/>
              </w:rPr>
              <w:t>洗色牢度</w:t>
            </w:r>
          </w:p>
          <w:p w14:paraId="0314CDD6">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GB/T 3923.1</w:t>
            </w:r>
            <w:r>
              <w:rPr>
                <w:rFonts w:hint="eastAsia" w:hAnsi="宋体" w:cs="Arial"/>
              </w:rPr>
              <w:t>-2013</w:t>
            </w:r>
            <w:r>
              <w:rPr>
                <w:rFonts w:hAnsi="宋体" w:cs="Arial"/>
              </w:rPr>
              <w:t>　纺织品　织物拉伸性能 第1部分：断裂强力和断裂伸长率的测定　条样法</w:t>
            </w:r>
          </w:p>
          <w:p w14:paraId="214F32E6">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GB/T 4666</w:t>
            </w:r>
            <w:r>
              <w:rPr>
                <w:rFonts w:hint="eastAsia" w:hAnsi="宋体" w:cs="Arial"/>
              </w:rPr>
              <w:t>-2009</w:t>
            </w:r>
            <w:r>
              <w:rPr>
                <w:rFonts w:hAnsi="宋体" w:cs="Arial"/>
              </w:rPr>
              <w:t xml:space="preserve">  纺织品  织物长度和幅宽的测定</w:t>
            </w:r>
          </w:p>
          <w:p w14:paraId="6FAC6DC4">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GB/T 4668</w:t>
            </w:r>
            <w:r>
              <w:rPr>
                <w:rFonts w:hint="eastAsia" w:hAnsi="宋体" w:cs="Arial"/>
              </w:rPr>
              <w:t>-1995</w:t>
            </w:r>
            <w:r>
              <w:rPr>
                <w:rFonts w:hAnsi="宋体" w:cs="Arial"/>
              </w:rPr>
              <w:t>　机织物密度的测定</w:t>
            </w:r>
          </w:p>
          <w:p w14:paraId="52AA9463">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 xml:space="preserve">GB/T </w:t>
            </w:r>
            <w:r>
              <w:rPr>
                <w:rFonts w:hint="eastAsia" w:hAnsi="宋体" w:cs="Arial"/>
              </w:rPr>
              <w:t>6529-2008</w:t>
            </w:r>
            <w:r>
              <w:rPr>
                <w:rFonts w:hAnsi="宋体" w:cs="Arial"/>
              </w:rPr>
              <w:t>　</w:t>
            </w:r>
            <w:r>
              <w:rPr>
                <w:rFonts w:hint="eastAsia" w:hAnsi="宋体" w:cs="Arial"/>
              </w:rPr>
              <w:t>纺织品  调湿和试验用标准大气</w:t>
            </w:r>
          </w:p>
          <w:p w14:paraId="01E89E02">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GB/T 6836</w:t>
            </w:r>
            <w:r>
              <w:rPr>
                <w:rFonts w:hint="eastAsia" w:hAnsi="宋体" w:cs="Arial"/>
              </w:rPr>
              <w:t>-2018</w:t>
            </w:r>
            <w:r>
              <w:rPr>
                <w:rFonts w:hAnsi="宋体" w:cs="Arial"/>
              </w:rPr>
              <w:t>　缝纫线</w:t>
            </w:r>
          </w:p>
          <w:p w14:paraId="6FB357A1">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 xml:space="preserve">GB/T </w:t>
            </w:r>
            <w:r>
              <w:rPr>
                <w:rFonts w:hint="eastAsia" w:hAnsi="宋体" w:cs="Arial"/>
              </w:rPr>
              <w:t>7573</w:t>
            </w:r>
            <w:r>
              <w:rPr>
                <w:rFonts w:hAnsi="宋体" w:cs="Arial"/>
              </w:rPr>
              <w:t>-200</w:t>
            </w:r>
            <w:r>
              <w:rPr>
                <w:rFonts w:hint="eastAsia" w:hAnsi="宋体" w:cs="Arial"/>
              </w:rPr>
              <w:t>9</w:t>
            </w:r>
            <w:r>
              <w:rPr>
                <w:rFonts w:hAnsi="宋体" w:cs="Arial"/>
              </w:rPr>
              <w:t>　纺织品　</w:t>
            </w:r>
            <w:r>
              <w:rPr>
                <w:rFonts w:hint="eastAsia" w:hAnsi="宋体" w:cs="Arial"/>
              </w:rPr>
              <w:t>水</w:t>
            </w:r>
            <w:r>
              <w:rPr>
                <w:rFonts w:hAnsi="宋体" w:cs="Arial"/>
              </w:rPr>
              <w:t>萃取液</w:t>
            </w:r>
            <w:r>
              <w:rPr>
                <w:rFonts w:hint="eastAsia" w:hAnsi="宋体" w:cs="Arial"/>
              </w:rPr>
              <w:t>pH值得测定</w:t>
            </w:r>
          </w:p>
          <w:p w14:paraId="5100F8C3">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GB/T 8628</w:t>
            </w:r>
            <w:r>
              <w:rPr>
                <w:rFonts w:hint="eastAsia" w:hAnsi="宋体" w:cs="Arial"/>
              </w:rPr>
              <w:t>-2013</w:t>
            </w:r>
            <w:r>
              <w:rPr>
                <w:rFonts w:hAnsi="宋体" w:cs="Arial"/>
              </w:rPr>
              <w:t>　纺织品　测定尺寸变化的试验中织物试样和服装的准备、标记及测量</w:t>
            </w:r>
          </w:p>
          <w:p w14:paraId="7EE59A7C">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GB/T 8629</w:t>
            </w:r>
            <w:r>
              <w:rPr>
                <w:rFonts w:hint="eastAsia" w:hAnsi="宋体" w:cs="Arial"/>
              </w:rPr>
              <w:t>-2017</w:t>
            </w:r>
            <w:r>
              <w:rPr>
                <w:rFonts w:hAnsi="宋体" w:cs="Arial"/>
              </w:rPr>
              <w:t>　纺织品　试验用家庭洗涤和干燥程序</w:t>
            </w:r>
          </w:p>
          <w:p w14:paraId="1EE6290C">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GB/T 8630-2013</w:t>
            </w:r>
            <w:r>
              <w:rPr>
                <w:rFonts w:hint="eastAsia" w:hAnsi="宋体" w:cs="Arial"/>
              </w:rPr>
              <w:t xml:space="preserve">  纺织品  洗涤和干燥后尺寸变化的测定</w:t>
            </w:r>
          </w:p>
          <w:p w14:paraId="2C2EFAAA">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GB 18401</w:t>
            </w:r>
            <w:r>
              <w:rPr>
                <w:rFonts w:hint="eastAsia" w:hAnsi="宋体" w:cs="Arial"/>
              </w:rPr>
              <w:t>-2010</w:t>
            </w:r>
            <w:r>
              <w:rPr>
                <w:rFonts w:hAnsi="宋体" w:cs="Arial"/>
              </w:rPr>
              <w:t>　国家纺织产品基本安全技术文件</w:t>
            </w:r>
          </w:p>
          <w:p w14:paraId="7B36FAF5">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 xml:space="preserve">GB/T </w:t>
            </w:r>
            <w:r>
              <w:rPr>
                <w:rFonts w:hint="eastAsia" w:hAnsi="宋体" w:cs="Arial"/>
              </w:rPr>
              <w:t>22865-2008</w:t>
            </w:r>
            <w:r>
              <w:rPr>
                <w:rFonts w:hAnsi="宋体" w:cs="Arial"/>
              </w:rPr>
              <w:t xml:space="preserve">  </w:t>
            </w:r>
            <w:r>
              <w:rPr>
                <w:rFonts w:hint="eastAsia" w:hAnsi="宋体" w:cs="Arial"/>
              </w:rPr>
              <w:t>牛皮纸</w:t>
            </w:r>
          </w:p>
          <w:p w14:paraId="36F6A45B">
            <w:pPr>
              <w:pStyle w:val="269"/>
              <w:keepLines w:val="0"/>
              <w:pageBreakBefore w:val="0"/>
              <w:tabs>
                <w:tab w:val="center" w:pos="4201"/>
                <w:tab w:val="right" w:leader="dot" w:pos="9298"/>
              </w:tabs>
              <w:topLinePunct w:val="0"/>
              <w:bidi w:val="0"/>
              <w:spacing w:line="240" w:lineRule="auto"/>
              <w:rPr>
                <w:rFonts w:hAnsi="宋体" w:cs="Arial"/>
              </w:rPr>
            </w:pPr>
            <w:r>
              <w:rPr>
                <w:rFonts w:hAnsi="宋体" w:cs="Arial"/>
              </w:rPr>
              <w:t>GB/T 29256.5-2012</w:t>
            </w:r>
            <w:r>
              <w:rPr>
                <w:rFonts w:hint="eastAsia" w:hAnsi="宋体" w:cs="Arial"/>
              </w:rPr>
              <w:t xml:space="preserve">  纺织品  机织物结构分析方法  第5部分织物中拆下纱线线密度的测定</w:t>
            </w:r>
          </w:p>
          <w:p w14:paraId="450360DE">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FZ/T 01093</w:t>
            </w:r>
            <w:r>
              <w:rPr>
                <w:rFonts w:hint="eastAsia" w:hAnsi="宋体" w:cs="Arial"/>
              </w:rPr>
              <w:t>-2008</w:t>
            </w:r>
            <w:r>
              <w:rPr>
                <w:rFonts w:hAnsi="宋体" w:cs="Arial"/>
              </w:rPr>
              <w:t>　机织物结构分析方法　织物中拆下纱线线密度的测定</w:t>
            </w:r>
          </w:p>
          <w:p w14:paraId="34092097">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FZ/T 60003-1991</w:t>
            </w:r>
            <w:r>
              <w:rPr>
                <w:rFonts w:hint="eastAsia" w:hAnsi="宋体" w:cs="Arial"/>
              </w:rPr>
              <w:t xml:space="preserve">  非织造布  单位面积质量的测定</w:t>
            </w:r>
          </w:p>
          <w:p w14:paraId="62496C32">
            <w:pPr>
              <w:pStyle w:val="269"/>
              <w:keepLines w:val="0"/>
              <w:pageBreakBefore w:val="0"/>
              <w:tabs>
                <w:tab w:val="center" w:pos="4201"/>
                <w:tab w:val="right" w:leader="dot" w:pos="9298"/>
              </w:tabs>
              <w:topLinePunct w:val="0"/>
              <w:bidi w:val="0"/>
              <w:spacing w:line="240" w:lineRule="auto"/>
              <w:rPr>
                <w:rFonts w:hAnsi="宋体" w:cs="Arial"/>
              </w:rPr>
            </w:pPr>
            <w:r>
              <w:rPr>
                <w:rFonts w:hint="eastAsia" w:hAnsi="宋体" w:cs="Arial"/>
              </w:rPr>
              <w:t>FZ/T 60005-1991  非织造布  断裂强力及断裂伸长的测定</w:t>
            </w:r>
          </w:p>
          <w:p w14:paraId="7AEF772B">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FZ</w:t>
            </w:r>
            <w:r>
              <w:rPr>
                <w:rFonts w:hint="eastAsia" w:hAnsi="宋体" w:cs="Arial"/>
              </w:rPr>
              <w:t>/T 65002-1995</w:t>
            </w:r>
            <w:r>
              <w:rPr>
                <w:rFonts w:hAnsi="宋体" w:cs="Arial"/>
              </w:rPr>
              <w:t xml:space="preserve">  </w:t>
            </w:r>
            <w:r>
              <w:rPr>
                <w:rFonts w:hint="eastAsia" w:hAnsi="宋体" w:cs="Arial"/>
              </w:rPr>
              <w:t>特种</w:t>
            </w:r>
            <w:r>
              <w:rPr>
                <w:rFonts w:hAnsi="宋体" w:cs="Arial"/>
              </w:rPr>
              <w:t>工业用绳带</w:t>
            </w:r>
            <w:r>
              <w:rPr>
                <w:rFonts w:hint="eastAsia" w:hAnsi="宋体" w:cs="Arial"/>
              </w:rPr>
              <w:t xml:space="preserve"> 物理机械性能试验方法</w:t>
            </w:r>
          </w:p>
          <w:p w14:paraId="2A0339C2">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FZ/T 64003-2011</w:t>
            </w:r>
            <w:r>
              <w:rPr>
                <w:rFonts w:hint="eastAsia" w:hAnsi="宋体" w:cs="Arial"/>
              </w:rPr>
              <w:t xml:space="preserve">  喷胶棉絮片</w:t>
            </w:r>
          </w:p>
          <w:p w14:paraId="150A9797">
            <w:pPr>
              <w:pStyle w:val="269"/>
              <w:keepLines w:val="0"/>
              <w:pageBreakBefore w:val="0"/>
              <w:tabs>
                <w:tab w:val="center" w:pos="4201"/>
                <w:tab w:val="right" w:leader="dot" w:pos="9298"/>
              </w:tabs>
              <w:topLinePunct w:val="0"/>
              <w:bidi w:val="0"/>
              <w:spacing w:line="240" w:lineRule="auto"/>
              <w:rPr>
                <w:rFonts w:hint="eastAsia" w:hAnsi="宋体" w:cs="Arial"/>
              </w:rPr>
            </w:pPr>
            <w:r>
              <w:rPr>
                <w:rFonts w:hint="eastAsia" w:hAnsi="宋体" w:cs="Arial"/>
              </w:rPr>
              <w:t>QB/T 2173-2001  尼龙拉链</w:t>
            </w:r>
          </w:p>
          <w:p w14:paraId="42DC4EFC">
            <w:pPr>
              <w:pStyle w:val="269"/>
              <w:keepLines w:val="0"/>
              <w:pageBreakBefore w:val="0"/>
              <w:tabs>
                <w:tab w:val="center" w:pos="4201"/>
                <w:tab w:val="right" w:leader="dot" w:pos="9298"/>
              </w:tabs>
              <w:topLinePunct w:val="0"/>
              <w:bidi w:val="0"/>
              <w:spacing w:line="240" w:lineRule="auto"/>
              <w:rPr>
                <w:rFonts w:hint="eastAsia" w:hAnsi="宋体" w:cs="Arial"/>
              </w:rPr>
            </w:pPr>
            <w:r>
              <w:rPr>
                <w:rFonts w:hAnsi="宋体" w:cs="Arial"/>
              </w:rPr>
              <w:t>JBS 9.2-1992</w:t>
            </w:r>
            <w:r>
              <w:rPr>
                <w:rFonts w:hint="eastAsia" w:hAnsi="宋体" w:cs="Arial"/>
              </w:rPr>
              <w:t xml:space="preserve">  絮片抗拉强度的测定</w:t>
            </w:r>
          </w:p>
          <w:p w14:paraId="68E934C3">
            <w:pPr>
              <w:pStyle w:val="536"/>
              <w:keepLines w:val="0"/>
              <w:pageBreakBefore w:val="0"/>
              <w:numPr>
                <w:ilvl w:val="1"/>
                <w:numId w:val="0"/>
              </w:numPr>
              <w:topLinePunct w:val="0"/>
              <w:bidi w:val="0"/>
              <w:spacing w:line="240" w:lineRule="auto"/>
              <w:ind w:left="105" w:leftChars="0"/>
              <w:rPr>
                <w:rFonts w:hint="eastAsia"/>
                <w:lang w:val="en-US" w:eastAsia="zh-CN"/>
              </w:rPr>
            </w:pPr>
            <w:bookmarkStart w:id="448" w:name="_Toc15798"/>
            <w:bookmarkStart w:id="449" w:name="_Toc90391609"/>
            <w:bookmarkStart w:id="450" w:name="_Toc6391"/>
            <w:r>
              <w:rPr>
                <w:rFonts w:hint="eastAsia"/>
                <w:lang w:val="en-US" w:eastAsia="zh-CN"/>
              </w:rPr>
              <w:t>3 要求</w:t>
            </w:r>
            <w:bookmarkEnd w:id="439"/>
            <w:bookmarkEnd w:id="440"/>
            <w:bookmarkEnd w:id="441"/>
            <w:bookmarkEnd w:id="442"/>
            <w:bookmarkEnd w:id="443"/>
            <w:bookmarkEnd w:id="444"/>
            <w:bookmarkEnd w:id="445"/>
            <w:bookmarkEnd w:id="446"/>
            <w:bookmarkEnd w:id="447"/>
            <w:bookmarkEnd w:id="448"/>
            <w:bookmarkEnd w:id="449"/>
            <w:bookmarkEnd w:id="450"/>
          </w:p>
          <w:p w14:paraId="39202280">
            <w:pPr>
              <w:pStyle w:val="434"/>
              <w:keepLines w:val="0"/>
              <w:pageBreakBefore w:val="0"/>
              <w:numPr>
                <w:ilvl w:val="2"/>
                <w:numId w:val="0"/>
              </w:numPr>
              <w:topLinePunct w:val="0"/>
              <w:bidi w:val="0"/>
              <w:spacing w:line="240" w:lineRule="auto"/>
              <w:ind w:left="420" w:leftChars="200" w:firstLine="0" w:firstLineChars="0"/>
              <w:rPr>
                <w:rFonts w:hint="eastAsia" w:ascii="Arial" w:hAnsi="Arial" w:cs="Arial"/>
              </w:rPr>
            </w:pPr>
            <w:bookmarkStart w:id="451" w:name="_Toc90391610"/>
            <w:bookmarkStart w:id="452" w:name="_Toc17781"/>
            <w:bookmarkStart w:id="453" w:name="_Toc29655"/>
            <w:bookmarkStart w:id="454" w:name="_Toc32657874"/>
            <w:r>
              <w:rPr>
                <w:rFonts w:hint="eastAsia" w:ascii="方正黑体_GBK" w:hAnsi="方正黑体_GBK" w:eastAsia="方正黑体_GBK" w:cs="方正黑体_GBK"/>
                <w:kern w:val="24"/>
                <w:sz w:val="21"/>
                <w:szCs w:val="21"/>
                <w:lang w:val="en-US" w:eastAsia="zh-CN" w:bidi="ar-SA"/>
              </w:rPr>
              <w:t>3.1样式</w:t>
            </w:r>
            <w:bookmarkEnd w:id="451"/>
            <w:bookmarkEnd w:id="452"/>
            <w:bookmarkEnd w:id="453"/>
            <w:bookmarkEnd w:id="454"/>
          </w:p>
          <w:p w14:paraId="25BD43FD">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hAnsi="宋体"/>
              </w:rPr>
            </w:pPr>
            <w:bookmarkStart w:id="455" w:name="_Toc465758017"/>
            <w:r>
              <w:rPr>
                <w:rFonts w:hint="eastAsia" w:hAnsi="宋体" w:cs="Arial"/>
              </w:rPr>
              <w:t>救灾</w:t>
            </w:r>
            <w:r>
              <w:rPr>
                <w:rFonts w:hAnsi="宋体" w:cs="Arial"/>
              </w:rPr>
              <w:t>棉褥的样式见图</w:t>
            </w:r>
            <w:r>
              <w:rPr>
                <w:rFonts w:hint="eastAsia" w:hAnsi="宋体" w:cs="Arial"/>
              </w:rPr>
              <w:t>1批准的标样</w:t>
            </w:r>
            <w:r>
              <w:rPr>
                <w:rFonts w:hint="eastAsia" w:hAnsi="宋体"/>
              </w:rPr>
              <w:t>。</w:t>
            </w:r>
          </w:p>
          <w:p w14:paraId="1B33576F">
            <w:pPr>
              <w:pStyle w:val="269"/>
              <w:keepLines w:val="0"/>
              <w:pageBreakBefore w:val="0"/>
              <w:tabs>
                <w:tab w:val="center" w:pos="4201"/>
                <w:tab w:val="right" w:leader="dot" w:pos="9298"/>
              </w:tabs>
              <w:topLinePunct w:val="0"/>
              <w:bidi w:val="0"/>
              <w:spacing w:line="240" w:lineRule="auto"/>
              <w:ind w:left="0" w:leftChars="0" w:firstLine="0" w:firstLineChars="0"/>
              <w:jc w:val="center"/>
              <w:rPr>
                <w:rFonts w:hint="eastAsia"/>
                <w:color w:val="000000"/>
              </w:rPr>
            </w:pPr>
            <w:r>
              <w:rPr>
                <w:color w:val="000000"/>
              </w:rPr>
              <w:drawing>
                <wp:inline distT="0" distB="0" distL="114300" distR="114300">
                  <wp:extent cx="4133215" cy="675005"/>
                  <wp:effectExtent l="0" t="0" r="635" b="10795"/>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17"/>
                          <a:stretch>
                            <a:fillRect/>
                          </a:stretch>
                        </pic:blipFill>
                        <pic:spPr>
                          <a:xfrm>
                            <a:off x="0" y="0"/>
                            <a:ext cx="4133215" cy="675005"/>
                          </a:xfrm>
                          <a:prstGeom prst="rect">
                            <a:avLst/>
                          </a:prstGeom>
                          <a:noFill/>
                          <a:ln>
                            <a:noFill/>
                          </a:ln>
                        </pic:spPr>
                      </pic:pic>
                    </a:graphicData>
                  </a:graphic>
                </wp:inline>
              </w:drawing>
            </w:r>
          </w:p>
          <w:p w14:paraId="65D1FD61">
            <w:pPr>
              <w:pStyle w:val="537"/>
              <w:keepLines w:val="0"/>
              <w:pageBreakBefore w:val="0"/>
              <w:numPr>
                <w:ilvl w:val="0"/>
                <w:numId w:val="0"/>
              </w:numPr>
              <w:tabs>
                <w:tab w:val="left" w:pos="360"/>
              </w:tabs>
              <w:topLinePunct w:val="0"/>
              <w:bidi w:val="0"/>
              <w:spacing w:before="0" w:beforeLines="0" w:after="0" w:afterLines="0" w:line="240" w:lineRule="auto"/>
              <w:ind w:left="2740" w:leftChars="0" w:firstLine="0" w:firstLineChars="0"/>
              <w:jc w:val="both"/>
              <w:rPr>
                <w:rFonts w:ascii="Arial" w:hAnsi="Arial" w:cs="Arial"/>
              </w:rPr>
            </w:pPr>
            <w:r>
              <w:rPr>
                <w:rFonts w:hint="eastAsia" w:ascii="Arial" w:hAnsi="Arial" w:cs="Arial"/>
                <w:lang w:eastAsia="zh-CN"/>
              </w:rPr>
              <w:t>图</w:t>
            </w:r>
            <w:r>
              <w:rPr>
                <w:rFonts w:hint="eastAsia" w:ascii="Arial" w:hAnsi="Arial" w:cs="Arial"/>
                <w:lang w:val="en-US" w:eastAsia="zh-CN"/>
              </w:rPr>
              <w:t>1</w:t>
            </w:r>
            <w:r>
              <w:rPr>
                <w:rFonts w:ascii="Arial" w:hAnsi="Arial" w:cs="Arial"/>
              </w:rPr>
              <w:t>棉褥样式</w:t>
            </w:r>
            <w:bookmarkEnd w:id="455"/>
          </w:p>
          <w:p w14:paraId="78396376">
            <w:pPr>
              <w:pStyle w:val="434"/>
              <w:keepLines w:val="0"/>
              <w:pageBreakBefore w:val="0"/>
              <w:numPr>
                <w:ilvl w:val="2"/>
                <w:numId w:val="0"/>
              </w:numPr>
              <w:topLinePunct w:val="0"/>
              <w:bidi w:val="0"/>
              <w:spacing w:line="240" w:lineRule="auto"/>
              <w:ind w:left="420" w:leftChars="200" w:firstLine="0" w:firstLineChars="0"/>
              <w:rPr>
                <w:rFonts w:hint="eastAsia" w:ascii="Arial" w:hAnsi="Arial" w:cs="Arial"/>
              </w:rPr>
            </w:pPr>
            <w:bookmarkStart w:id="456" w:name="_Toc90391611"/>
            <w:bookmarkStart w:id="457" w:name="_Toc20945"/>
            <w:bookmarkStart w:id="458" w:name="_Toc28432"/>
            <w:r>
              <w:rPr>
                <w:rFonts w:hint="eastAsia" w:ascii="方正黑体_GBK" w:hAnsi="方正黑体_GBK" w:eastAsia="方正黑体_GBK" w:cs="方正黑体_GBK"/>
                <w:kern w:val="24"/>
                <w:sz w:val="21"/>
                <w:szCs w:val="21"/>
                <w:lang w:val="en-US" w:eastAsia="zh-CN" w:bidi="ar-SA"/>
              </w:rPr>
              <w:t xml:space="preserve">3.2 </w:t>
            </w:r>
            <w:r>
              <w:rPr>
                <w:rFonts w:hint="eastAsia" w:ascii="Arial" w:hAnsi="Arial" w:cs="Arial"/>
              </w:rPr>
              <w:t>规格</w:t>
            </w:r>
            <w:r>
              <w:rPr>
                <w:rFonts w:ascii="Arial" w:hAnsi="Arial" w:cs="Arial"/>
              </w:rPr>
              <w:t>尺寸</w:t>
            </w:r>
            <w:bookmarkEnd w:id="456"/>
            <w:bookmarkEnd w:id="457"/>
            <w:bookmarkEnd w:id="458"/>
          </w:p>
          <w:p w14:paraId="7751B948">
            <w:pPr>
              <w:pStyle w:val="269"/>
              <w:keepLines w:val="0"/>
              <w:pageBreakBefore w:val="0"/>
              <w:tabs>
                <w:tab w:val="center" w:pos="4201"/>
                <w:tab w:val="right" w:leader="dot" w:pos="9298"/>
              </w:tabs>
              <w:topLinePunct w:val="0"/>
              <w:bidi w:val="0"/>
              <w:spacing w:line="240" w:lineRule="auto"/>
              <w:rPr>
                <w:rFonts w:hint="eastAsia" w:ascii="宋体" w:hAnsi="宋体" w:eastAsia="宋体" w:cs="Arial"/>
              </w:rPr>
            </w:pPr>
            <w:r>
              <w:rPr>
                <w:rFonts w:hint="eastAsia" w:ascii="方正黑体_GBK" w:hAnsi="方正黑体_GBK" w:eastAsia="方正黑体_GBK" w:cs="方正黑体_GBK"/>
                <w:kern w:val="24"/>
                <w:sz w:val="21"/>
                <w:szCs w:val="21"/>
                <w:lang w:val="en-US" w:eastAsia="zh-CN" w:bidi="ar-SA"/>
              </w:rPr>
              <w:t xml:space="preserve">3.2.1  </w:t>
            </w:r>
            <w:r>
              <w:rPr>
                <w:rFonts w:hint="eastAsia" w:ascii="宋体" w:hAnsi="宋体" w:eastAsia="宋体" w:cs="Arial"/>
              </w:rPr>
              <w:t>救灾棉褥的规格尺寸及允许偏差见表1。</w:t>
            </w:r>
          </w:p>
          <w:p w14:paraId="699B58FE">
            <w:pPr>
              <w:pStyle w:val="269"/>
              <w:keepLines w:val="0"/>
              <w:pageBreakBefore w:val="0"/>
              <w:tabs>
                <w:tab w:val="center" w:pos="4201"/>
                <w:tab w:val="right" w:leader="dot" w:pos="9298"/>
              </w:tabs>
              <w:topLinePunct w:val="0"/>
              <w:bidi w:val="0"/>
              <w:spacing w:line="240" w:lineRule="auto"/>
              <w:rPr>
                <w:rFonts w:ascii="宋体" w:hAnsi="宋体" w:eastAsia="宋体" w:cs="Arial"/>
              </w:rPr>
            </w:pPr>
            <w:r>
              <w:rPr>
                <w:rFonts w:hint="eastAsia" w:ascii="方正黑体_GBK" w:hAnsi="方正黑体_GBK" w:eastAsia="方正黑体_GBK" w:cs="方正黑体_GBK"/>
                <w:kern w:val="24"/>
                <w:sz w:val="21"/>
                <w:szCs w:val="21"/>
                <w:lang w:val="en-US" w:eastAsia="zh-CN" w:bidi="ar-SA"/>
              </w:rPr>
              <w:t xml:space="preserve">3.2.2  </w:t>
            </w:r>
            <w:r>
              <w:rPr>
                <w:rFonts w:hint="eastAsia" w:ascii="宋体" w:hAnsi="宋体" w:eastAsia="宋体" w:cs="Arial"/>
              </w:rPr>
              <w:t>规格尺寸测量位置见图2，图中所注数字为表1中各测量部位编号。</w:t>
            </w:r>
          </w:p>
          <w:p w14:paraId="5070F992">
            <w:pPr>
              <w:pStyle w:val="269"/>
              <w:keepLines w:val="0"/>
              <w:pageBreakBefore w:val="0"/>
              <w:topLinePunct w:val="0"/>
              <w:bidi w:val="0"/>
              <w:spacing w:line="240" w:lineRule="auto"/>
            </w:pPr>
          </w:p>
          <w:tbl>
            <w:tblPr>
              <w:tblStyle w:val="5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24"/>
              <w:gridCol w:w="2425"/>
              <w:gridCol w:w="1817"/>
            </w:tblGrid>
            <w:tr w14:paraId="5060F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4"/>
                  <w:tcBorders>
                    <w:top w:val="nil"/>
                    <w:left w:val="nil"/>
                    <w:bottom w:val="single" w:color="auto" w:sz="8" w:space="0"/>
                    <w:right w:val="nil"/>
                  </w:tcBorders>
                  <w:noWrap w:val="0"/>
                  <w:vAlign w:val="top"/>
                </w:tcPr>
                <w:p w14:paraId="7DEDD618">
                  <w:pPr>
                    <w:keepLines w:val="0"/>
                    <w:pageBreakBefore w:val="0"/>
                    <w:wordWrap/>
                    <w:topLinePunct w:val="0"/>
                    <w:bidi w:val="0"/>
                    <w:spacing w:line="240" w:lineRule="auto"/>
                    <w:jc w:val="center"/>
                    <w:rPr>
                      <w:rFonts w:hint="eastAsia" w:ascii="宋体" w:hAnsi="宋体"/>
                      <w:sz w:val="18"/>
                      <w:szCs w:val="18"/>
                    </w:rPr>
                  </w:pPr>
                  <w:r>
                    <w:rPr>
                      <w:rFonts w:hint="eastAsia" w:ascii="黑体" w:hAnsi="黑体" w:eastAsia="黑体"/>
                      <w:color w:val="000000"/>
                      <w:lang w:val="en-US" w:eastAsia="zh-CN"/>
                    </w:rPr>
                    <w:t xml:space="preserve">                       </w:t>
                  </w:r>
                  <w:r>
                    <w:rPr>
                      <w:rFonts w:hint="eastAsia" w:ascii="黑体" w:hAnsi="黑体" w:eastAsia="黑体"/>
                      <w:color w:val="000000"/>
                    </w:rPr>
                    <w:t>表1   规格尺寸</w:t>
                  </w:r>
                  <w:r>
                    <w:rPr>
                      <w:rFonts w:ascii="黑体" w:hAnsi="黑体" w:eastAsia="黑体"/>
                      <w:color w:val="000000"/>
                    </w:rPr>
                    <w:t xml:space="preserve">  </w:t>
                  </w:r>
                  <w:r>
                    <w:rPr>
                      <w:rFonts w:hint="eastAsia" w:ascii="黑体" w:hAnsi="黑体" w:eastAsia="黑体"/>
                      <w:color w:val="000000"/>
                    </w:rPr>
                    <w:t xml:space="preserve">         </w:t>
                  </w:r>
                  <w:r>
                    <w:rPr>
                      <w:rFonts w:hint="eastAsia" w:ascii="黑体" w:hAnsi="黑体" w:eastAsia="黑体"/>
                      <w:color w:val="000000"/>
                      <w:lang w:val="en-US" w:eastAsia="zh-CN"/>
                    </w:rPr>
                    <w:t xml:space="preserve"> </w:t>
                  </w:r>
                  <w:r>
                    <w:rPr>
                      <w:rFonts w:ascii="黑体" w:hAnsi="黑体" w:eastAsia="黑体"/>
                      <w:color w:val="000000"/>
                    </w:rPr>
                    <w:t xml:space="preserve"> </w:t>
                  </w:r>
                  <w:r>
                    <w:rPr>
                      <w:rFonts w:ascii="宋体" w:hAnsi="宋体"/>
                      <w:color w:val="000000"/>
                      <w:sz w:val="18"/>
                      <w:szCs w:val="18"/>
                    </w:rPr>
                    <w:t>单位为厘米</w:t>
                  </w:r>
                </w:p>
              </w:tc>
            </w:tr>
            <w:tr w14:paraId="0E0BF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 w:hRule="atLeast"/>
                <w:tblHeader/>
              </w:trPr>
              <w:tc>
                <w:tcPr>
                  <w:tcW w:w="367" w:type="pct"/>
                  <w:tcBorders>
                    <w:top w:val="single" w:color="auto" w:sz="12" w:space="0"/>
                    <w:left w:val="single" w:color="auto" w:sz="12" w:space="0"/>
                    <w:bottom w:val="single" w:color="auto" w:sz="8" w:space="0"/>
                    <w:right w:val="single" w:color="auto" w:sz="4" w:space="0"/>
                  </w:tcBorders>
                  <w:noWrap w:val="0"/>
                  <w:vAlign w:val="center"/>
                </w:tcPr>
                <w:p w14:paraId="398CB25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序号</w:t>
                  </w:r>
                </w:p>
              </w:tc>
              <w:tc>
                <w:tcPr>
                  <w:tcW w:w="1393" w:type="pct"/>
                  <w:tcBorders>
                    <w:top w:val="single" w:color="auto" w:sz="12" w:space="0"/>
                    <w:left w:val="single" w:color="auto" w:sz="4" w:space="0"/>
                    <w:bottom w:val="single" w:color="auto" w:sz="8" w:space="0"/>
                    <w:right w:val="single" w:color="auto" w:sz="4" w:space="0"/>
                  </w:tcBorders>
                  <w:noWrap w:val="0"/>
                  <w:vAlign w:val="center"/>
                </w:tcPr>
                <w:p w14:paraId="20AF189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部位名称</w:t>
                  </w:r>
                </w:p>
              </w:tc>
              <w:tc>
                <w:tcPr>
                  <w:tcW w:w="1852" w:type="pct"/>
                  <w:tcBorders>
                    <w:top w:val="single" w:color="auto" w:sz="12" w:space="0"/>
                    <w:left w:val="single" w:color="auto" w:sz="4" w:space="0"/>
                    <w:bottom w:val="single" w:color="auto" w:sz="8" w:space="0"/>
                    <w:right w:val="single" w:color="auto" w:sz="4" w:space="0"/>
                  </w:tcBorders>
                  <w:noWrap w:val="0"/>
                  <w:vAlign w:val="center"/>
                </w:tcPr>
                <w:p w14:paraId="36DF86E4">
                  <w:pPr>
                    <w:keepLines w:val="0"/>
                    <w:pageBreakBefore w:val="0"/>
                    <w:topLinePunct w:val="0"/>
                    <w:bidi w:val="0"/>
                    <w:spacing w:line="240" w:lineRule="auto"/>
                    <w:jc w:val="center"/>
                    <w:rPr>
                      <w:rFonts w:hint="eastAsia" w:ascii="宋体" w:hAnsi="宋体"/>
                      <w:sz w:val="18"/>
                      <w:szCs w:val="18"/>
                      <w:highlight w:val="yellow"/>
                    </w:rPr>
                  </w:pPr>
                  <w:r>
                    <w:rPr>
                      <w:rFonts w:hint="eastAsia" w:ascii="宋体" w:hAnsi="宋体"/>
                      <w:sz w:val="18"/>
                      <w:szCs w:val="18"/>
                    </w:rPr>
                    <w:t>规格尺寸</w:t>
                  </w:r>
                </w:p>
              </w:tc>
              <w:tc>
                <w:tcPr>
                  <w:tcW w:w="1389" w:type="pct"/>
                  <w:tcBorders>
                    <w:top w:val="single" w:color="auto" w:sz="12" w:space="0"/>
                    <w:left w:val="single" w:color="auto" w:sz="4" w:space="0"/>
                    <w:bottom w:val="single" w:color="auto" w:sz="8" w:space="0"/>
                    <w:right w:val="single" w:color="auto" w:sz="12" w:space="0"/>
                  </w:tcBorders>
                  <w:noWrap w:val="0"/>
                  <w:vAlign w:val="center"/>
                </w:tcPr>
                <w:p w14:paraId="1165792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极限偏差（±）</w:t>
                  </w:r>
                </w:p>
              </w:tc>
            </w:tr>
            <w:tr w14:paraId="628FC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67" w:type="pct"/>
                  <w:tcBorders>
                    <w:top w:val="single" w:color="auto" w:sz="12" w:space="0"/>
                    <w:left w:val="single" w:color="auto" w:sz="12" w:space="0"/>
                  </w:tcBorders>
                  <w:noWrap w:val="0"/>
                  <w:vAlign w:val="center"/>
                </w:tcPr>
                <w:p w14:paraId="25D20C5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w:t>
                  </w:r>
                </w:p>
              </w:tc>
              <w:tc>
                <w:tcPr>
                  <w:tcW w:w="1393" w:type="pct"/>
                  <w:tcBorders>
                    <w:top w:val="single" w:color="auto" w:sz="12" w:space="0"/>
                  </w:tcBorders>
                  <w:noWrap w:val="0"/>
                  <w:vAlign w:val="center"/>
                </w:tcPr>
                <w:p w14:paraId="4694FC5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褥套长</w:t>
                  </w:r>
                </w:p>
              </w:tc>
              <w:tc>
                <w:tcPr>
                  <w:tcW w:w="1852" w:type="pct"/>
                  <w:tcBorders>
                    <w:top w:val="single" w:color="auto" w:sz="12" w:space="0"/>
                  </w:tcBorders>
                  <w:noWrap w:val="0"/>
                  <w:vAlign w:val="center"/>
                </w:tcPr>
                <w:p w14:paraId="4FCDCCAD">
                  <w:pPr>
                    <w:keepLines w:val="0"/>
                    <w:pageBreakBefore w:val="0"/>
                    <w:topLinePunct w:val="0"/>
                    <w:bidi w:val="0"/>
                    <w:spacing w:line="240" w:lineRule="auto"/>
                    <w:jc w:val="center"/>
                    <w:rPr>
                      <w:rFonts w:hint="eastAsia" w:ascii="宋体" w:hAnsi="宋体"/>
                      <w:sz w:val="18"/>
                      <w:szCs w:val="18"/>
                      <w:highlight w:val="yellow"/>
                    </w:rPr>
                  </w:pPr>
                  <w:r>
                    <w:rPr>
                      <w:rFonts w:hint="eastAsia" w:ascii="宋体" w:hAnsi="宋体"/>
                      <w:sz w:val="18"/>
                      <w:szCs w:val="18"/>
                    </w:rPr>
                    <w:t>203.0</w:t>
                  </w:r>
                </w:p>
              </w:tc>
              <w:tc>
                <w:tcPr>
                  <w:tcW w:w="1389" w:type="pct"/>
                  <w:tcBorders>
                    <w:top w:val="single" w:color="auto" w:sz="12" w:space="0"/>
                    <w:right w:val="single" w:color="auto" w:sz="12" w:space="0"/>
                  </w:tcBorders>
                  <w:noWrap w:val="0"/>
                  <w:vAlign w:val="center"/>
                </w:tcPr>
                <w:p w14:paraId="5218F1E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3.0</w:t>
                  </w:r>
                </w:p>
              </w:tc>
            </w:tr>
            <w:tr w14:paraId="4AE06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67" w:type="pct"/>
                  <w:tcBorders>
                    <w:left w:val="single" w:color="auto" w:sz="12" w:space="0"/>
                  </w:tcBorders>
                  <w:noWrap w:val="0"/>
                  <w:vAlign w:val="center"/>
                </w:tcPr>
                <w:p w14:paraId="4A6A722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2</w:t>
                  </w:r>
                </w:p>
              </w:tc>
              <w:tc>
                <w:tcPr>
                  <w:tcW w:w="1393" w:type="pct"/>
                  <w:noWrap w:val="0"/>
                  <w:vAlign w:val="center"/>
                </w:tcPr>
                <w:p w14:paraId="688C566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褥套宽</w:t>
                  </w:r>
                </w:p>
              </w:tc>
              <w:tc>
                <w:tcPr>
                  <w:tcW w:w="1852" w:type="pct"/>
                  <w:noWrap w:val="0"/>
                  <w:vAlign w:val="center"/>
                </w:tcPr>
                <w:p w14:paraId="052EBCA0">
                  <w:pPr>
                    <w:keepLines w:val="0"/>
                    <w:pageBreakBefore w:val="0"/>
                    <w:topLinePunct w:val="0"/>
                    <w:bidi w:val="0"/>
                    <w:spacing w:line="240" w:lineRule="auto"/>
                    <w:jc w:val="center"/>
                    <w:rPr>
                      <w:rFonts w:hint="eastAsia" w:ascii="宋体" w:hAnsi="宋体"/>
                      <w:sz w:val="18"/>
                      <w:szCs w:val="18"/>
                      <w:highlight w:val="yellow"/>
                    </w:rPr>
                  </w:pPr>
                  <w:r>
                    <w:rPr>
                      <w:rFonts w:hint="eastAsia" w:ascii="宋体" w:hAnsi="宋体"/>
                      <w:sz w:val="18"/>
                      <w:szCs w:val="18"/>
                    </w:rPr>
                    <w:t>93.0</w:t>
                  </w:r>
                </w:p>
              </w:tc>
              <w:tc>
                <w:tcPr>
                  <w:tcW w:w="1389" w:type="pct"/>
                  <w:tcBorders>
                    <w:right w:val="single" w:color="auto" w:sz="12" w:space="0"/>
                  </w:tcBorders>
                  <w:noWrap w:val="0"/>
                  <w:vAlign w:val="center"/>
                </w:tcPr>
                <w:p w14:paraId="6AAC53D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1.5</w:t>
                  </w:r>
                </w:p>
              </w:tc>
            </w:tr>
            <w:tr w14:paraId="702EC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67" w:type="pct"/>
                  <w:tcBorders>
                    <w:left w:val="single" w:color="auto" w:sz="12" w:space="0"/>
                  </w:tcBorders>
                  <w:noWrap w:val="0"/>
                  <w:vAlign w:val="center"/>
                </w:tcPr>
                <w:p w14:paraId="5F06E02C">
                  <w:pPr>
                    <w:keepLines w:val="0"/>
                    <w:pageBreakBefore w:val="0"/>
                    <w:topLinePunct w:val="0"/>
                    <w:bidi w:val="0"/>
                    <w:spacing w:line="240" w:lineRule="auto"/>
                    <w:jc w:val="center"/>
                    <w:rPr>
                      <w:rFonts w:ascii="宋体" w:hAnsi="宋体"/>
                      <w:sz w:val="18"/>
                      <w:szCs w:val="18"/>
                    </w:rPr>
                  </w:pPr>
                  <w:r>
                    <w:rPr>
                      <w:rFonts w:ascii="宋体" w:hAnsi="宋体"/>
                      <w:sz w:val="18"/>
                      <w:szCs w:val="18"/>
                    </w:rPr>
                    <w:t>3</w:t>
                  </w:r>
                </w:p>
              </w:tc>
              <w:tc>
                <w:tcPr>
                  <w:tcW w:w="1393" w:type="pct"/>
                  <w:noWrap w:val="0"/>
                  <w:vAlign w:val="center"/>
                </w:tcPr>
                <w:p w14:paraId="26C0BF8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拉链长</w:t>
                  </w:r>
                </w:p>
              </w:tc>
              <w:tc>
                <w:tcPr>
                  <w:tcW w:w="1852" w:type="pct"/>
                  <w:noWrap w:val="0"/>
                  <w:vAlign w:val="center"/>
                </w:tcPr>
                <w:p w14:paraId="003FD0B6">
                  <w:pPr>
                    <w:keepLines w:val="0"/>
                    <w:pageBreakBefore w:val="0"/>
                    <w:topLinePunct w:val="0"/>
                    <w:bidi w:val="0"/>
                    <w:spacing w:line="240" w:lineRule="auto"/>
                    <w:jc w:val="center"/>
                    <w:rPr>
                      <w:rFonts w:hint="eastAsia" w:ascii="宋体" w:hAnsi="宋体"/>
                      <w:sz w:val="18"/>
                      <w:szCs w:val="18"/>
                      <w:highlight w:val="yellow"/>
                    </w:rPr>
                  </w:pPr>
                  <w:r>
                    <w:rPr>
                      <w:rFonts w:hint="eastAsia" w:ascii="宋体" w:hAnsi="宋体"/>
                      <w:sz w:val="18"/>
                      <w:szCs w:val="18"/>
                    </w:rPr>
                    <w:t>83.0</w:t>
                  </w:r>
                </w:p>
              </w:tc>
              <w:tc>
                <w:tcPr>
                  <w:tcW w:w="1389" w:type="pct"/>
                  <w:tcBorders>
                    <w:right w:val="single" w:color="auto" w:sz="12" w:space="0"/>
                  </w:tcBorders>
                  <w:noWrap w:val="0"/>
                  <w:vAlign w:val="center"/>
                </w:tcPr>
                <w:p w14:paraId="010B135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2.0</w:t>
                  </w:r>
                </w:p>
              </w:tc>
            </w:tr>
            <w:tr w14:paraId="1A9958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67" w:type="pct"/>
                  <w:tcBorders>
                    <w:left w:val="single" w:color="auto" w:sz="12" w:space="0"/>
                  </w:tcBorders>
                  <w:noWrap w:val="0"/>
                  <w:vAlign w:val="center"/>
                </w:tcPr>
                <w:p w14:paraId="5D3F8518">
                  <w:pPr>
                    <w:keepLines w:val="0"/>
                    <w:pageBreakBefore w:val="0"/>
                    <w:topLinePunct w:val="0"/>
                    <w:bidi w:val="0"/>
                    <w:spacing w:line="240" w:lineRule="auto"/>
                    <w:jc w:val="center"/>
                    <w:rPr>
                      <w:rFonts w:ascii="宋体" w:hAnsi="宋体"/>
                      <w:sz w:val="18"/>
                      <w:szCs w:val="18"/>
                    </w:rPr>
                  </w:pPr>
                  <w:r>
                    <w:rPr>
                      <w:rFonts w:ascii="宋体" w:hAnsi="宋体"/>
                      <w:sz w:val="18"/>
                      <w:szCs w:val="18"/>
                    </w:rPr>
                    <w:t>4</w:t>
                  </w:r>
                </w:p>
              </w:tc>
              <w:tc>
                <w:tcPr>
                  <w:tcW w:w="1393" w:type="pct"/>
                  <w:noWrap w:val="0"/>
                  <w:vAlign w:val="center"/>
                </w:tcPr>
                <w:p w14:paraId="2866075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褥胎长</w:t>
                  </w:r>
                </w:p>
              </w:tc>
              <w:tc>
                <w:tcPr>
                  <w:tcW w:w="1852" w:type="pct"/>
                  <w:noWrap w:val="0"/>
                  <w:vAlign w:val="center"/>
                </w:tcPr>
                <w:p w14:paraId="680F05D2">
                  <w:pPr>
                    <w:keepLines w:val="0"/>
                    <w:pageBreakBefore w:val="0"/>
                    <w:topLinePunct w:val="0"/>
                    <w:bidi w:val="0"/>
                    <w:spacing w:line="240" w:lineRule="auto"/>
                    <w:jc w:val="center"/>
                    <w:rPr>
                      <w:rFonts w:hint="eastAsia" w:ascii="宋体" w:hAnsi="宋体"/>
                      <w:sz w:val="18"/>
                      <w:szCs w:val="18"/>
                      <w:highlight w:val="yellow"/>
                    </w:rPr>
                  </w:pPr>
                  <w:r>
                    <w:rPr>
                      <w:rFonts w:hint="eastAsia" w:ascii="宋体" w:hAnsi="宋体"/>
                      <w:sz w:val="18"/>
                      <w:szCs w:val="18"/>
                    </w:rPr>
                    <w:t>200.0</w:t>
                  </w:r>
                </w:p>
              </w:tc>
              <w:tc>
                <w:tcPr>
                  <w:tcW w:w="1389" w:type="pct"/>
                  <w:tcBorders>
                    <w:right w:val="single" w:color="auto" w:sz="12" w:space="0"/>
                  </w:tcBorders>
                  <w:noWrap w:val="0"/>
                  <w:vAlign w:val="center"/>
                </w:tcPr>
                <w:p w14:paraId="0DA5C7D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3.0</w:t>
                  </w:r>
                </w:p>
              </w:tc>
            </w:tr>
            <w:tr w14:paraId="7B6CC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367" w:type="pct"/>
                  <w:tcBorders>
                    <w:left w:val="single" w:color="auto" w:sz="12" w:space="0"/>
                    <w:bottom w:val="single" w:color="auto" w:sz="12" w:space="0"/>
                  </w:tcBorders>
                  <w:noWrap w:val="0"/>
                  <w:vAlign w:val="center"/>
                </w:tcPr>
                <w:p w14:paraId="10D2E2A1">
                  <w:pPr>
                    <w:keepLines w:val="0"/>
                    <w:pageBreakBefore w:val="0"/>
                    <w:topLinePunct w:val="0"/>
                    <w:bidi w:val="0"/>
                    <w:spacing w:line="240" w:lineRule="auto"/>
                    <w:jc w:val="center"/>
                    <w:rPr>
                      <w:rFonts w:ascii="宋体" w:hAnsi="宋体"/>
                      <w:sz w:val="18"/>
                      <w:szCs w:val="18"/>
                    </w:rPr>
                  </w:pPr>
                  <w:r>
                    <w:rPr>
                      <w:rFonts w:ascii="宋体" w:hAnsi="宋体"/>
                      <w:sz w:val="18"/>
                      <w:szCs w:val="18"/>
                    </w:rPr>
                    <w:t>5</w:t>
                  </w:r>
                </w:p>
              </w:tc>
              <w:tc>
                <w:tcPr>
                  <w:tcW w:w="1393" w:type="pct"/>
                  <w:tcBorders>
                    <w:bottom w:val="single" w:color="auto" w:sz="12" w:space="0"/>
                  </w:tcBorders>
                  <w:noWrap w:val="0"/>
                  <w:vAlign w:val="center"/>
                </w:tcPr>
                <w:p w14:paraId="6D18F6C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褥胎宽</w:t>
                  </w:r>
                </w:p>
              </w:tc>
              <w:tc>
                <w:tcPr>
                  <w:tcW w:w="1852" w:type="pct"/>
                  <w:tcBorders>
                    <w:bottom w:val="single" w:color="auto" w:sz="12" w:space="0"/>
                  </w:tcBorders>
                  <w:noWrap w:val="0"/>
                  <w:vAlign w:val="center"/>
                </w:tcPr>
                <w:p w14:paraId="57B8F993">
                  <w:pPr>
                    <w:keepLines w:val="0"/>
                    <w:pageBreakBefore w:val="0"/>
                    <w:topLinePunct w:val="0"/>
                    <w:bidi w:val="0"/>
                    <w:spacing w:line="240" w:lineRule="auto"/>
                    <w:jc w:val="center"/>
                    <w:rPr>
                      <w:rFonts w:hint="eastAsia" w:ascii="宋体" w:hAnsi="宋体"/>
                      <w:sz w:val="18"/>
                      <w:szCs w:val="18"/>
                      <w:highlight w:val="yellow"/>
                    </w:rPr>
                  </w:pPr>
                  <w:r>
                    <w:rPr>
                      <w:rFonts w:hint="eastAsia" w:ascii="宋体" w:hAnsi="宋体"/>
                      <w:sz w:val="18"/>
                      <w:szCs w:val="18"/>
                    </w:rPr>
                    <w:t>90.0</w:t>
                  </w:r>
                </w:p>
              </w:tc>
              <w:tc>
                <w:tcPr>
                  <w:tcW w:w="1389" w:type="pct"/>
                  <w:tcBorders>
                    <w:bottom w:val="single" w:color="auto" w:sz="12" w:space="0"/>
                    <w:right w:val="single" w:color="auto" w:sz="12" w:space="0"/>
                  </w:tcBorders>
                  <w:noWrap w:val="0"/>
                  <w:vAlign w:val="center"/>
                </w:tcPr>
                <w:p w14:paraId="7E3D285E">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1.5</w:t>
                  </w:r>
                </w:p>
              </w:tc>
            </w:tr>
          </w:tbl>
          <w:p w14:paraId="21AE0200">
            <w:pPr>
              <w:pStyle w:val="434"/>
              <w:keepLines w:val="0"/>
              <w:pageBreakBefore w:val="0"/>
              <w:numPr>
                <w:ilvl w:val="2"/>
                <w:numId w:val="0"/>
              </w:numPr>
              <w:topLinePunct w:val="0"/>
              <w:bidi w:val="0"/>
              <w:spacing w:line="240" w:lineRule="auto"/>
              <w:ind w:left="420" w:leftChars="200" w:firstLine="0" w:firstLineChars="0"/>
              <w:rPr>
                <w:rFonts w:hint="eastAsia" w:ascii="方正黑体_GBK" w:hAnsi="方正黑体_GBK" w:eastAsia="方正黑体_GBK" w:cs="方正黑体_GBK"/>
                <w:kern w:val="24"/>
                <w:sz w:val="21"/>
                <w:szCs w:val="21"/>
                <w:lang w:val="en-US" w:eastAsia="zh-CN" w:bidi="ar-SA"/>
              </w:rPr>
            </w:pPr>
            <w:bookmarkStart w:id="459" w:name="_Toc90391612"/>
            <w:r>
              <w:rPr>
                <w:sz w:val="21"/>
              </w:rPr>
              <mc:AlternateContent>
                <mc:Choice Requires="wps">
                  <w:drawing>
                    <wp:anchor distT="0" distB="0" distL="114300" distR="114300" simplePos="0" relativeHeight="251681792" behindDoc="0" locked="0" layoutInCell="1" allowOverlap="1">
                      <wp:simplePos x="0" y="0"/>
                      <wp:positionH relativeFrom="column">
                        <wp:posOffset>2098040</wp:posOffset>
                      </wp:positionH>
                      <wp:positionV relativeFrom="paragraph">
                        <wp:posOffset>40640</wp:posOffset>
                      </wp:positionV>
                      <wp:extent cx="118745" cy="214630"/>
                      <wp:effectExtent l="0" t="0" r="14605" b="13970"/>
                      <wp:wrapNone/>
                      <wp:docPr id="267" name="文本框 267"/>
                      <wp:cNvGraphicFramePr/>
                      <a:graphic xmlns:a="http://schemas.openxmlformats.org/drawingml/2006/main">
                        <a:graphicData uri="http://schemas.microsoft.com/office/word/2010/wordprocessingShape">
                          <wps:wsp>
                            <wps:cNvSpPr txBox="1"/>
                            <wps:spPr>
                              <a:xfrm>
                                <a:off x="0" y="0"/>
                                <a:ext cx="118745" cy="214630"/>
                              </a:xfrm>
                              <a:prstGeom prst="rect">
                                <a:avLst/>
                              </a:prstGeom>
                              <a:solidFill>
                                <a:srgbClr val="FFFFFF"/>
                              </a:solidFill>
                              <a:ln>
                                <a:noFill/>
                              </a:ln>
                              <a:effectLst/>
                            </wps:spPr>
                            <wps:txbx>
                              <w:txbxContent>
                                <w:p w14:paraId="4F7ED748">
                                  <w:pPr>
                                    <w:jc w:val="center"/>
                                    <w:rPr>
                                      <w:rFonts w:hint="default" w:ascii="宋体" w:hAnsi="宋体" w:eastAsia="宋体"/>
                                      <w:sz w:val="18"/>
                                      <w:szCs w:val="18"/>
                                      <w:lang w:val="en-US" w:eastAsia="zh-CN"/>
                                    </w:rPr>
                                  </w:pPr>
                                  <w:r>
                                    <w:rPr>
                                      <w:rFonts w:hint="eastAsia" w:ascii="宋体" w:hAnsi="宋体"/>
                                      <w:sz w:val="18"/>
                                      <w:szCs w:val="18"/>
                                      <w:lang w:val="en-US" w:eastAsia="zh-CN"/>
                                    </w:rPr>
                                    <w:t>4</w:t>
                                  </w:r>
                                </w:p>
                              </w:txbxContent>
                            </wps:txbx>
                            <wps:bodyPr vert="horz" lIns="0" tIns="0" rIns="0" bIns="0" anchor="t" anchorCtr="0" upright="1"/>
                          </wps:wsp>
                        </a:graphicData>
                      </a:graphic>
                    </wp:anchor>
                  </w:drawing>
                </mc:Choice>
                <mc:Fallback>
                  <w:pict>
                    <v:shape id="_x0000_s1026" o:spid="_x0000_s1026" o:spt="202" type="#_x0000_t202" style="position:absolute;left:0pt;margin-left:165.2pt;margin-top:3.2pt;height:16.9pt;width:9.35pt;z-index:251681792;mso-width-relative:page;mso-height-relative:page;" fillcolor="#FFFFFF" filled="t" stroked="f" coordsize="21600,21600" o:gfxdata="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syuS1wAAAAgBAAAPAAAAAAAAAAEAIAAAACIAAABkcnMvZG93bnJldi54bWxQSwECFAAUAAAACACH&#10;TuJAZMt94uwBAADRAwAADgAAAAAAAAABACAAAAAmAQAAZHJzL2Uyb0RvYy54bWxQSwUGAAAAAAYA&#10;BgBZAQAAhAUAAAAA&#10;">
                      <v:fill on="t" focussize="0,0"/>
                      <v:stroke on="f"/>
                      <v:imagedata o:title=""/>
                      <o:lock v:ext="edit" aspectratio="f"/>
                      <v:textbox inset="0mm,0mm,0mm,0mm">
                        <w:txbxContent>
                          <w:p w14:paraId="4F7ED748">
                            <w:pPr>
                              <w:jc w:val="center"/>
                              <w:rPr>
                                <w:rFonts w:hint="default" w:ascii="宋体" w:hAnsi="宋体" w:eastAsia="宋体"/>
                                <w:sz w:val="18"/>
                                <w:szCs w:val="18"/>
                                <w:lang w:val="en-US" w:eastAsia="zh-CN"/>
                              </w:rPr>
                            </w:pPr>
                            <w:r>
                              <w:rPr>
                                <w:rFonts w:hint="eastAsia" w:ascii="宋体" w:hAnsi="宋体"/>
                                <w:sz w:val="18"/>
                                <w:szCs w:val="18"/>
                                <w:lang w:val="en-US" w:eastAsia="zh-CN"/>
                              </w:rPr>
                              <w:t>4</w:t>
                            </w:r>
                          </w:p>
                        </w:txbxContent>
                      </v:textbox>
                    </v:shape>
                  </w:pict>
                </mc:Fallback>
              </mc:AlternateContent>
            </w:r>
            <w:r>
              <w:rPr>
                <w:sz w:val="15"/>
              </w:rPr>
              <mc:AlternateContent>
                <mc:Choice Requires="wpg">
                  <w:drawing>
                    <wp:anchor distT="0" distB="0" distL="114300" distR="114300" simplePos="0" relativeHeight="251669504" behindDoc="0" locked="0" layoutInCell="1" allowOverlap="1">
                      <wp:simplePos x="0" y="0"/>
                      <wp:positionH relativeFrom="column">
                        <wp:posOffset>219075</wp:posOffset>
                      </wp:positionH>
                      <wp:positionV relativeFrom="paragraph">
                        <wp:posOffset>61595</wp:posOffset>
                      </wp:positionV>
                      <wp:extent cx="3836670" cy="1926590"/>
                      <wp:effectExtent l="0" t="0" r="11430" b="54610"/>
                      <wp:wrapNone/>
                      <wp:docPr id="303" name="组合 303"/>
                      <wp:cNvGraphicFramePr/>
                      <a:graphic xmlns:a="http://schemas.openxmlformats.org/drawingml/2006/main">
                        <a:graphicData uri="http://schemas.microsoft.com/office/word/2010/wordprocessingGroup">
                          <wpg:wgp>
                            <wpg:cNvGrpSpPr/>
                            <wpg:grpSpPr>
                              <a:xfrm>
                                <a:off x="0" y="0"/>
                                <a:ext cx="3836670" cy="1926590"/>
                                <a:chOff x="7366" y="27508"/>
                                <a:chExt cx="6042" cy="3034"/>
                              </a:xfrm>
                              <a:effectLst/>
                            </wpg:grpSpPr>
                            <wpg:grpSp>
                              <wpg:cNvPr id="301" name="组合 301"/>
                              <wpg:cNvGrpSpPr/>
                              <wpg:grpSpPr>
                                <a:xfrm>
                                  <a:off x="7366" y="27508"/>
                                  <a:ext cx="6042" cy="3034"/>
                                  <a:chOff x="7366" y="27508"/>
                                  <a:chExt cx="6042" cy="3034"/>
                                </a:xfrm>
                                <a:effectLst/>
                              </wpg:grpSpPr>
                              <wpg:grpSp>
                                <wpg:cNvPr id="299" name="组合 299"/>
                                <wpg:cNvGrpSpPr/>
                                <wpg:grpSpPr>
                                  <a:xfrm>
                                    <a:off x="7366" y="27508"/>
                                    <a:ext cx="6042" cy="3034"/>
                                    <a:chOff x="7366" y="27508"/>
                                    <a:chExt cx="6042" cy="3034"/>
                                  </a:xfrm>
                                  <a:effectLst/>
                                </wpg:grpSpPr>
                                <wps:wsp>
                                  <wps:cNvPr id="268" name="直接连接符 268"/>
                                  <wps:cNvCnPr/>
                                  <wps:spPr>
                                    <a:xfrm>
                                      <a:off x="12791" y="29892"/>
                                      <a:ext cx="280" cy="0"/>
                                    </a:xfrm>
                                    <a:prstGeom prst="line">
                                      <a:avLst/>
                                    </a:prstGeom>
                                    <a:ln w="6350" cap="flat" cmpd="sng">
                                      <a:solidFill>
                                        <a:srgbClr val="000000"/>
                                      </a:solidFill>
                                      <a:prstDash val="solid"/>
                                      <a:headEnd type="none" w="med" len="med"/>
                                      <a:tailEnd type="none" w="med" len="med"/>
                                    </a:ln>
                                    <a:effectLst/>
                                  </wps:spPr>
                                  <wps:bodyPr upright="1"/>
                                </wps:wsp>
                                <wpg:grpSp>
                                  <wpg:cNvPr id="298" name="组合 298"/>
                                  <wpg:cNvGrpSpPr/>
                                  <wpg:grpSpPr>
                                    <a:xfrm>
                                      <a:off x="7366" y="27508"/>
                                      <a:ext cx="6042" cy="3034"/>
                                      <a:chOff x="7366" y="27508"/>
                                      <a:chExt cx="6042" cy="3034"/>
                                    </a:xfrm>
                                    <a:effectLst/>
                                  </wpg:grpSpPr>
                                  <wpg:grpSp>
                                    <wpg:cNvPr id="296" name="组合 296"/>
                                    <wpg:cNvGrpSpPr/>
                                    <wpg:grpSpPr>
                                      <a:xfrm>
                                        <a:off x="7366" y="27508"/>
                                        <a:ext cx="6042" cy="3034"/>
                                        <a:chOff x="7366" y="27508"/>
                                        <a:chExt cx="6042" cy="3034"/>
                                      </a:xfrm>
                                      <a:effectLst/>
                                    </wpg:grpSpPr>
                                    <wps:wsp>
                                      <wps:cNvPr id="269" name="直接连接符 269"/>
                                      <wps:cNvCnPr/>
                                      <wps:spPr>
                                        <a:xfrm>
                                          <a:off x="12791" y="27926"/>
                                          <a:ext cx="605" cy="0"/>
                                        </a:xfrm>
                                        <a:prstGeom prst="line">
                                          <a:avLst/>
                                        </a:prstGeom>
                                        <a:ln w="6350" cap="flat" cmpd="sng">
                                          <a:solidFill>
                                            <a:srgbClr val="000000"/>
                                          </a:solidFill>
                                          <a:prstDash val="solid"/>
                                          <a:headEnd type="none" w="med" len="med"/>
                                          <a:tailEnd type="none" w="med" len="med"/>
                                        </a:ln>
                                        <a:effectLst/>
                                      </wps:spPr>
                                      <wps:bodyPr upright="1"/>
                                    </wps:wsp>
                                    <wpg:grpSp>
                                      <wpg:cNvPr id="295" name="组合 295"/>
                                      <wpg:cNvGrpSpPr/>
                                      <wpg:grpSpPr>
                                        <a:xfrm>
                                          <a:off x="7366" y="27508"/>
                                          <a:ext cx="6042" cy="3035"/>
                                          <a:chOff x="7353" y="27508"/>
                                          <a:chExt cx="6042" cy="3035"/>
                                        </a:xfrm>
                                        <a:effectLst/>
                                      </wpg:grpSpPr>
                                      <wps:wsp>
                                        <wps:cNvPr id="270" name="直接连接符 270"/>
                                        <wps:cNvCnPr/>
                                        <wps:spPr>
                                          <a:xfrm>
                                            <a:off x="10660" y="30543"/>
                                            <a:ext cx="2133" cy="0"/>
                                          </a:xfrm>
                                          <a:prstGeom prst="line">
                                            <a:avLst/>
                                          </a:prstGeom>
                                          <a:ln w="6350" cap="flat" cmpd="sng">
                                            <a:solidFill>
                                              <a:srgbClr val="000000"/>
                                            </a:solidFill>
                                            <a:prstDash val="solid"/>
                                            <a:headEnd type="none" w="sm" len="sm"/>
                                            <a:tailEnd type="triangle" w="med" len="med"/>
                                          </a:ln>
                                          <a:effectLst/>
                                        </wps:spPr>
                                        <wps:bodyPr upright="1"/>
                                      </wps:wsp>
                                      <wpg:grpSp>
                                        <wpg:cNvPr id="294" name="组合 294"/>
                                        <wpg:cNvGrpSpPr/>
                                        <wpg:grpSpPr>
                                          <a:xfrm>
                                            <a:off x="7353" y="27508"/>
                                            <a:ext cx="6042" cy="3034"/>
                                            <a:chOff x="7353" y="27508"/>
                                            <a:chExt cx="6042" cy="3034"/>
                                          </a:xfrm>
                                          <a:effectLst/>
                                        </wpg:grpSpPr>
                                        <wps:wsp>
                                          <wps:cNvPr id="271" name="直接连接符 271"/>
                                          <wps:cNvCnPr/>
                                          <wps:spPr>
                                            <a:xfrm>
                                              <a:off x="12767" y="30268"/>
                                              <a:ext cx="629" cy="0"/>
                                            </a:xfrm>
                                            <a:prstGeom prst="line">
                                              <a:avLst/>
                                            </a:prstGeom>
                                            <a:ln w="6350" cap="flat" cmpd="sng">
                                              <a:solidFill>
                                                <a:srgbClr val="000000"/>
                                              </a:solidFill>
                                              <a:prstDash val="solid"/>
                                              <a:headEnd type="none" w="med" len="med"/>
                                              <a:tailEnd type="none" w="med" len="med"/>
                                            </a:ln>
                                            <a:effectLst/>
                                          </wps:spPr>
                                          <wps:bodyPr upright="1"/>
                                        </wps:wsp>
                                        <wpg:grpSp>
                                          <wpg:cNvPr id="293" name="组合 293"/>
                                          <wpg:cNvGrpSpPr/>
                                          <wpg:grpSpPr>
                                            <a:xfrm>
                                              <a:off x="7353" y="27508"/>
                                              <a:ext cx="5906" cy="3034"/>
                                              <a:chOff x="7353" y="27508"/>
                                              <a:chExt cx="5906" cy="3034"/>
                                            </a:xfrm>
                                            <a:effectLst/>
                                          </wpg:grpSpPr>
                                          <wpg:grpSp>
                                            <wpg:cNvPr id="291" name="组合 291"/>
                                            <wpg:cNvGrpSpPr/>
                                            <wpg:grpSpPr>
                                              <a:xfrm>
                                                <a:off x="7353" y="27508"/>
                                                <a:ext cx="5906" cy="3034"/>
                                                <a:chOff x="7353" y="27508"/>
                                                <a:chExt cx="5906" cy="3034"/>
                                              </a:xfrm>
                                              <a:effectLst/>
                                            </wpg:grpSpPr>
                                            <wpg:grpSp>
                                              <wpg:cNvPr id="274" name="组合 274"/>
                                              <wpg:cNvGrpSpPr/>
                                              <wpg:grpSpPr>
                                                <a:xfrm>
                                                  <a:off x="7361" y="27508"/>
                                                  <a:ext cx="621" cy="588"/>
                                                  <a:chOff x="7361" y="27508"/>
                                                  <a:chExt cx="621" cy="588"/>
                                                </a:xfrm>
                                                <a:effectLst/>
                                              </wpg:grpSpPr>
                                              <wps:wsp>
                                                <wps:cNvPr id="272" name="直接连接符 272"/>
                                                <wps:cNvCnPr/>
                                                <wps:spPr>
                                                  <a:xfrm>
                                                    <a:off x="7982" y="27508"/>
                                                    <a:ext cx="0" cy="589"/>
                                                  </a:xfrm>
                                                  <a:prstGeom prst="line">
                                                    <a:avLst/>
                                                  </a:prstGeom>
                                                  <a:ln w="6350" cap="flat" cmpd="sng">
                                                    <a:solidFill>
                                                      <a:srgbClr val="000000"/>
                                                    </a:solidFill>
                                                    <a:prstDash val="solid"/>
                                                    <a:headEnd type="none" w="med" len="med"/>
                                                    <a:tailEnd type="none" w="med" len="med"/>
                                                  </a:ln>
                                                  <a:effectLst/>
                                                </wps:spPr>
                                                <wps:bodyPr upright="1"/>
                                              </wps:wsp>
                                              <wps:wsp>
                                                <wps:cNvPr id="273" name="直接连接符 273"/>
                                                <wps:cNvCnPr/>
                                                <wps:spPr>
                                                  <a:xfrm>
                                                    <a:off x="7361" y="28043"/>
                                                    <a:ext cx="621" cy="0"/>
                                                  </a:xfrm>
                                                  <a:prstGeom prst="line">
                                                    <a:avLst/>
                                                  </a:prstGeom>
                                                  <a:ln w="6350" cap="flat" cmpd="sng">
                                                    <a:solidFill>
                                                      <a:srgbClr val="000000"/>
                                                    </a:solidFill>
                                                    <a:prstDash val="solid"/>
                                                    <a:headEnd type="none" w="med" len="med"/>
                                                    <a:tailEnd type="none" w="med" len="med"/>
                                                  </a:ln>
                                                  <a:effectLst/>
                                                </wps:spPr>
                                                <wps:bodyPr upright="1"/>
                                              </wps:wsp>
                                            </wpg:grpSp>
                                            <wpg:grpSp>
                                              <wpg:cNvPr id="290" name="组合 290"/>
                                              <wpg:cNvGrpSpPr/>
                                              <wpg:grpSpPr>
                                                <a:xfrm>
                                                  <a:off x="7353" y="27684"/>
                                                  <a:ext cx="5906" cy="2858"/>
                                                  <a:chOff x="7353" y="27684"/>
                                                  <a:chExt cx="5906" cy="2858"/>
                                                </a:xfrm>
                                                <a:effectLst/>
                                              </wpg:grpSpPr>
                                              <wps:wsp>
                                                <wps:cNvPr id="275" name="直接连接符 275"/>
                                                <wps:cNvCnPr/>
                                                <wps:spPr>
                                                  <a:xfrm>
                                                    <a:off x="7353" y="30186"/>
                                                    <a:ext cx="629" cy="0"/>
                                                  </a:xfrm>
                                                  <a:prstGeom prst="line">
                                                    <a:avLst/>
                                                  </a:prstGeom>
                                                  <a:ln w="6350" cap="flat" cmpd="sng">
                                                    <a:solidFill>
                                                      <a:srgbClr val="000000"/>
                                                    </a:solidFill>
                                                    <a:prstDash val="solid"/>
                                                    <a:headEnd type="none" w="med" len="med"/>
                                                    <a:tailEnd type="none" w="med" len="med"/>
                                                  </a:ln>
                                                  <a:effectLst/>
                                                </wps:spPr>
                                                <wps:bodyPr upright="1"/>
                                              </wps:wsp>
                                              <wpg:grpSp>
                                                <wpg:cNvPr id="289" name="组合 289"/>
                                                <wpg:cNvGrpSpPr/>
                                                <wpg:grpSpPr>
                                                  <a:xfrm>
                                                    <a:off x="7567" y="27684"/>
                                                    <a:ext cx="5692" cy="2858"/>
                                                    <a:chOff x="7567" y="27684"/>
                                                    <a:chExt cx="5692" cy="2858"/>
                                                  </a:xfrm>
                                                  <a:effectLst/>
                                                </wpg:grpSpPr>
                                                <wps:wsp>
                                                  <wps:cNvPr id="276" name="直接连接符 276"/>
                                                  <wps:cNvCnPr/>
                                                  <wps:spPr>
                                                    <a:xfrm>
                                                      <a:off x="13259" y="29362"/>
                                                      <a:ext cx="0" cy="882"/>
                                                    </a:xfrm>
                                                    <a:prstGeom prst="line">
                                                      <a:avLst/>
                                                    </a:prstGeom>
                                                    <a:ln w="6350" cap="flat" cmpd="sng">
                                                      <a:solidFill>
                                                        <a:srgbClr val="000000"/>
                                                      </a:solidFill>
                                                      <a:prstDash val="solid"/>
                                                      <a:headEnd type="none" w="med" len="med"/>
                                                      <a:tailEnd type="triangle" w="med" len="med"/>
                                                    </a:ln>
                                                    <a:effectLst/>
                                                  </wps:spPr>
                                                  <wps:bodyPr upright="1"/>
                                                </wps:wsp>
                                                <wps:wsp>
                                                  <wps:cNvPr id="277" name="直接连接符 277"/>
                                                  <wps:cNvCnPr/>
                                                  <wps:spPr>
                                                    <a:xfrm>
                                                      <a:off x="13259" y="27926"/>
                                                      <a:ext cx="0" cy="999"/>
                                                    </a:xfrm>
                                                    <a:prstGeom prst="line">
                                                      <a:avLst/>
                                                    </a:prstGeom>
                                                    <a:ln w="6350" cap="flat" cmpd="sng">
                                                      <a:solidFill>
                                                        <a:srgbClr val="000000"/>
                                                      </a:solidFill>
                                                      <a:prstDash val="solid"/>
                                                      <a:headEnd type="triangle" w="med" len="med"/>
                                                      <a:tailEnd type="none" w="sm" len="sm"/>
                                                    </a:ln>
                                                    <a:effectLst/>
                                                  </wps:spPr>
                                                  <wps:bodyPr upright="1"/>
                                                </wps:wsp>
                                                <wps:wsp>
                                                  <wps:cNvPr id="278" name="直接连接符 278"/>
                                                  <wps:cNvCnPr/>
                                                  <wps:spPr>
                                                    <a:xfrm>
                                                      <a:off x="12955" y="29298"/>
                                                      <a:ext cx="0" cy="594"/>
                                                    </a:xfrm>
                                                    <a:prstGeom prst="line">
                                                      <a:avLst/>
                                                    </a:prstGeom>
                                                    <a:ln w="6350" cap="flat" cmpd="sng">
                                                      <a:solidFill>
                                                        <a:srgbClr val="000000"/>
                                                      </a:solidFill>
                                                      <a:prstDash val="solid"/>
                                                      <a:headEnd type="none" w="med" len="med"/>
                                                      <a:tailEnd type="triangle" w="med" len="med"/>
                                                    </a:ln>
                                                    <a:effectLst/>
                                                  </wps:spPr>
                                                  <wps:bodyPr upright="1"/>
                                                </wps:wsp>
                                                <wps:wsp>
                                                  <wps:cNvPr id="279" name="直接连接符 279"/>
                                                  <wps:cNvCnPr/>
                                                  <wps:spPr>
                                                    <a:xfrm>
                                                      <a:off x="12955" y="28196"/>
                                                      <a:ext cx="0" cy="820"/>
                                                    </a:xfrm>
                                                    <a:prstGeom prst="line">
                                                      <a:avLst/>
                                                    </a:prstGeom>
                                                    <a:ln w="6350" cap="flat" cmpd="sng">
                                                      <a:solidFill>
                                                        <a:srgbClr val="000000"/>
                                                      </a:solidFill>
                                                      <a:prstDash val="solid"/>
                                                      <a:headEnd type="triangle" w="med" len="med"/>
                                                      <a:tailEnd type="none" w="sm" len="sm"/>
                                                    </a:ln>
                                                    <a:effectLst/>
                                                  </wps:spPr>
                                                  <wps:bodyPr upright="1"/>
                                                </wps:wsp>
                                                <wpg:grpSp>
                                                  <wpg:cNvPr id="288" name="组合 288"/>
                                                  <wpg:cNvGrpSpPr/>
                                                  <wpg:grpSpPr>
                                                    <a:xfrm>
                                                      <a:off x="7567" y="27684"/>
                                                      <a:ext cx="5222" cy="2858"/>
                                                      <a:chOff x="7567" y="27684"/>
                                                      <a:chExt cx="5222" cy="2858"/>
                                                    </a:xfrm>
                                                    <a:effectLst/>
                                                  </wpg:grpSpPr>
                                                  <wps:wsp>
                                                    <wps:cNvPr id="280" name="直接连接符 280"/>
                                                    <wps:cNvCnPr/>
                                                    <wps:spPr>
                                                      <a:xfrm>
                                                        <a:off x="7982" y="27684"/>
                                                        <a:ext cx="2100" cy="0"/>
                                                      </a:xfrm>
                                                      <a:prstGeom prst="line">
                                                        <a:avLst/>
                                                      </a:prstGeom>
                                                      <a:ln w="6350" cap="flat" cmpd="sng">
                                                        <a:solidFill>
                                                          <a:srgbClr val="000000"/>
                                                        </a:solidFill>
                                                        <a:prstDash val="solid"/>
                                                        <a:headEnd type="triangle" w="med" len="med"/>
                                                        <a:tailEnd type="none" w="med" len="med"/>
                                                      </a:ln>
                                                      <a:effectLst/>
                                                    </wps:spPr>
                                                    <wps:bodyPr upright="1"/>
                                                  </wps:wsp>
                                                  <wpg:grpSp>
                                                    <wpg:cNvPr id="287" name="组合 287"/>
                                                    <wpg:cNvGrpSpPr/>
                                                    <wpg:grpSpPr>
                                                      <a:xfrm>
                                                        <a:off x="7567" y="27684"/>
                                                        <a:ext cx="5223" cy="2859"/>
                                                        <a:chOff x="7567" y="27684"/>
                                                        <a:chExt cx="5223" cy="2859"/>
                                                      </a:xfrm>
                                                      <a:effectLst/>
                                                    </wpg:grpSpPr>
                                                    <wps:wsp>
                                                      <wps:cNvPr id="281" name="直接连接符 281"/>
                                                      <wps:cNvCnPr/>
                                                      <wps:spPr>
                                                        <a:xfrm>
                                                          <a:off x="7886" y="30543"/>
                                                          <a:ext cx="2100" cy="0"/>
                                                        </a:xfrm>
                                                        <a:prstGeom prst="line">
                                                          <a:avLst/>
                                                        </a:prstGeom>
                                                        <a:ln w="6350" cap="flat" cmpd="sng">
                                                          <a:solidFill>
                                                            <a:srgbClr val="000000"/>
                                                          </a:solidFill>
                                                          <a:prstDash val="solid"/>
                                                          <a:headEnd type="triangle" w="med" len="med"/>
                                                          <a:tailEnd type="none" w="med" len="med"/>
                                                        </a:ln>
                                                        <a:effectLst/>
                                                      </wps:spPr>
                                                      <wps:bodyPr upright="1"/>
                                                    </wps:wsp>
                                                    <wpg:grpSp>
                                                      <wpg:cNvPr id="284" name="组合 284"/>
                                                      <wpg:cNvGrpSpPr/>
                                                      <wpg:grpSpPr>
                                                        <a:xfrm>
                                                          <a:off x="7886" y="27684"/>
                                                          <a:ext cx="4904" cy="2602"/>
                                                          <a:chOff x="7886" y="27684"/>
                                                          <a:chExt cx="4904" cy="2602"/>
                                                        </a:xfrm>
                                                        <a:effectLst/>
                                                      </wpg:grpSpPr>
                                                      <wps:wsp>
                                                        <wps:cNvPr id="282" name="矩形 282"/>
                                                        <wps:cNvSpPr/>
                                                        <wps:spPr>
                                                          <a:xfrm>
                                                            <a:off x="7886" y="27926"/>
                                                            <a:ext cx="4905" cy="2360"/>
                                                          </a:xfrm>
                                                          <a:prstGeom prst="rect">
                                                            <a:avLst/>
                                                          </a:prstGeom>
                                                          <a:solidFill>
                                                            <a:srgbClr val="FFFFFF"/>
                                                          </a:solidFill>
                                                          <a:ln w="19050" cap="flat" cmpd="sng">
                                                            <a:solidFill>
                                                              <a:srgbClr val="000000"/>
                                                            </a:solidFill>
                                                            <a:prstDash val="solid"/>
                                                            <a:miter/>
                                                            <a:headEnd type="none" w="med" len="med"/>
                                                            <a:tailEnd type="none" w="med" len="med"/>
                                                          </a:ln>
                                                          <a:effectLst/>
                                                        </wps:spPr>
                                                        <wps:bodyPr vert="horz" anchor="t" anchorCtr="0" upright="1"/>
                                                      </wps:wsp>
                                                      <wps:wsp>
                                                        <wps:cNvPr id="283" name="直接连接符 283"/>
                                                        <wps:cNvCnPr/>
                                                        <wps:spPr>
                                                          <a:xfrm>
                                                            <a:off x="10756" y="27684"/>
                                                            <a:ext cx="1940" cy="0"/>
                                                          </a:xfrm>
                                                          <a:prstGeom prst="line">
                                                            <a:avLst/>
                                                          </a:prstGeom>
                                                          <a:ln w="6350" cap="flat" cmpd="sng">
                                                            <a:solidFill>
                                                              <a:srgbClr val="000000"/>
                                                            </a:solidFill>
                                                            <a:prstDash val="solid"/>
                                                            <a:headEnd type="none" w="sm" len="sm"/>
                                                            <a:tailEnd type="triangle" w="med" len="med"/>
                                                          </a:ln>
                                                          <a:effectLst/>
                                                        </wps:spPr>
                                                        <wps:bodyPr upright="1"/>
                                                      </wps:wsp>
                                                    </wpg:grpSp>
                                                    <wps:wsp>
                                                      <wps:cNvPr id="285" name="直接连接符 285"/>
                                                      <wps:cNvCnPr/>
                                                      <wps:spPr>
                                                        <a:xfrm>
                                                          <a:off x="7567" y="29479"/>
                                                          <a:ext cx="0" cy="707"/>
                                                        </a:xfrm>
                                                        <a:prstGeom prst="line">
                                                          <a:avLst/>
                                                        </a:prstGeom>
                                                        <a:ln w="6350" cap="flat" cmpd="sng">
                                                          <a:solidFill>
                                                            <a:srgbClr val="000000"/>
                                                          </a:solidFill>
                                                          <a:prstDash val="solid"/>
                                                          <a:headEnd type="none" w="med" len="med"/>
                                                          <a:tailEnd type="triangle" w="med" len="med"/>
                                                        </a:ln>
                                                        <a:effectLst/>
                                                      </wps:spPr>
                                                      <wps:bodyPr upright="1"/>
                                                    </wps:wsp>
                                                    <wps:wsp>
                                                      <wps:cNvPr id="286" name="直接连接符 286"/>
                                                      <wps:cNvCnPr/>
                                                      <wps:spPr>
                                                        <a:xfrm>
                                                          <a:off x="7567" y="28043"/>
                                                          <a:ext cx="0" cy="882"/>
                                                        </a:xfrm>
                                                        <a:prstGeom prst="line">
                                                          <a:avLst/>
                                                        </a:prstGeom>
                                                        <a:ln w="6350" cap="flat" cmpd="sng">
                                                          <a:solidFill>
                                                            <a:srgbClr val="000000"/>
                                                          </a:solidFill>
                                                          <a:prstDash val="solid"/>
                                                          <a:headEnd type="triangle" w="med" len="med"/>
                                                          <a:tailEnd type="none" w="sm" len="sm"/>
                                                        </a:ln>
                                                        <a:effectLst/>
                                                      </wps:spPr>
                                                      <wps:bodyPr upright="1"/>
                                                    </wps:wsp>
                                                  </wpg:grpSp>
                                                </wpg:grpSp>
                                              </wpg:grpSp>
                                            </wpg:grpSp>
                                          </wpg:grpSp>
                                          <wps:wsp>
                                            <wps:cNvPr id="292" name="矩形 292"/>
                                            <wps:cNvSpPr/>
                                            <wps:spPr>
                                              <a:xfrm>
                                                <a:off x="7982" y="28043"/>
                                                <a:ext cx="4725" cy="2143"/>
                                              </a:xfrm>
                                              <a:prstGeom prst="rect">
                                                <a:avLst/>
                                              </a:prstGeom>
                                              <a:solidFill>
                                                <a:srgbClr val="FFFFFF"/>
                                              </a:solidFill>
                                              <a:ln w="12700" cap="flat" cmpd="sng">
                                                <a:solidFill>
                                                  <a:srgbClr val="000000"/>
                                                </a:solidFill>
                                                <a:prstDash val="sysDot"/>
                                                <a:miter/>
                                                <a:headEnd type="none" w="med" len="med"/>
                                                <a:tailEnd type="none" w="med" len="med"/>
                                              </a:ln>
                                              <a:effectLst/>
                                            </wps:spPr>
                                            <wps:bodyPr vert="horz" anchor="t" anchorCtr="0" upright="1"/>
                                          </wps:wsp>
                                        </wpg:grpSp>
                                      </wpg:grpSp>
                                    </wpg:grpSp>
                                  </wpg:grpSp>
                                  <wps:wsp>
                                    <wps:cNvPr id="297" name="直接连接符 297"/>
                                    <wps:cNvCnPr/>
                                    <wps:spPr>
                                      <a:xfrm>
                                        <a:off x="12696" y="27508"/>
                                        <a:ext cx="0" cy="535"/>
                                      </a:xfrm>
                                      <a:prstGeom prst="line">
                                        <a:avLst/>
                                      </a:prstGeom>
                                      <a:ln w="6350" cap="flat" cmpd="sng">
                                        <a:solidFill>
                                          <a:srgbClr val="000000"/>
                                        </a:solidFill>
                                        <a:prstDash val="solid"/>
                                        <a:headEnd type="none" w="med" len="med"/>
                                        <a:tailEnd type="none" w="med" len="med"/>
                                      </a:ln>
                                      <a:effectLst/>
                                    </wps:spPr>
                                    <wps:bodyPr upright="1"/>
                                  </wps:wsp>
                                </wpg:grpSp>
                              </wpg:grpSp>
                              <wps:wsp>
                                <wps:cNvPr id="300" name="直接连接符 300"/>
                                <wps:cNvCnPr/>
                                <wps:spPr>
                                  <a:xfrm>
                                    <a:off x="12791" y="28196"/>
                                    <a:ext cx="280" cy="0"/>
                                  </a:xfrm>
                                  <a:prstGeom prst="line">
                                    <a:avLst/>
                                  </a:prstGeom>
                                  <a:ln w="6350" cap="flat" cmpd="sng">
                                    <a:solidFill>
                                      <a:srgbClr val="000000"/>
                                    </a:solidFill>
                                    <a:prstDash val="solid"/>
                                    <a:headEnd type="none" w="med" len="med"/>
                                    <a:tailEnd type="none" w="med" len="med"/>
                                  </a:ln>
                                  <a:effectLst/>
                                </wps:spPr>
                                <wps:bodyPr upright="1"/>
                              </wps:wsp>
                            </wpg:grpSp>
                            <wps:wsp>
                              <wps:cNvPr id="302" name="文本框 302"/>
                              <wps:cNvSpPr txBox="1"/>
                              <wps:spPr>
                                <a:xfrm>
                                  <a:off x="7468" y="29023"/>
                                  <a:ext cx="187" cy="338"/>
                                </a:xfrm>
                                <a:prstGeom prst="rect">
                                  <a:avLst/>
                                </a:prstGeom>
                                <a:solidFill>
                                  <a:srgbClr val="FFFFFF"/>
                                </a:solidFill>
                                <a:ln>
                                  <a:noFill/>
                                </a:ln>
                                <a:effectLst/>
                              </wps:spPr>
                              <wps:txbx>
                                <w:txbxContent>
                                  <w:p w14:paraId="368D2EF3">
                                    <w:pPr>
                                      <w:jc w:val="center"/>
                                      <w:rPr>
                                        <w:rFonts w:ascii="宋体" w:hAnsi="宋体"/>
                                        <w:sz w:val="18"/>
                                        <w:szCs w:val="18"/>
                                      </w:rPr>
                                    </w:pPr>
                                    <w:r>
                                      <w:rPr>
                                        <w:rFonts w:hint="eastAsia" w:ascii="宋体" w:hAnsi="宋体"/>
                                        <w:sz w:val="18"/>
                                        <w:szCs w:val="18"/>
                                      </w:rPr>
                                      <w:t>5</w:t>
                                    </w:r>
                                  </w:p>
                                </w:txbxContent>
                              </wps:txbx>
                              <wps:bodyPr vert="horz" lIns="0" tIns="0" rIns="0" bIns="0" anchor="t" anchorCtr="0" upright="1"/>
                            </wps:wsp>
                          </wpg:wgp>
                        </a:graphicData>
                      </a:graphic>
                    </wp:anchor>
                  </w:drawing>
                </mc:Choice>
                <mc:Fallback>
                  <w:pict>
                    <v:group id="_x0000_s1026" o:spid="_x0000_s1026" o:spt="203" style="position:absolute;left:0pt;margin-left:17.25pt;margin-top:4.85pt;height:151.7pt;width:302.1pt;z-index:251669504;mso-width-relative:page;mso-height-relative:page;" coordorigin="7366,27508" coordsize="6042,3034" o:gfxdata="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7Yt6XtkAAAAI&#10;AQAADwAAAAAAAAABACAAAAAiAAAAZHJzL2Rvd25yZXYueG1sUEsBAhQAFAAAAAgAh07iQDrvNzas&#10;BwAAGEIAAA4AAAAAAAAAAQAgAAAAKAEAAGRycy9lMm9Eb2MueG1sUEsFBgAAAAAGAAYAWQEAAEYL&#10;AAAAAA==&#10;">
                      <o:lock v:ext="edit" aspectratio="f"/>
                      <v:group id="_x0000_s1026" o:spid="_x0000_s1026" o:spt="203" style="position:absolute;left:7366;top:27508;height:3034;width:6042;" coordorigin="7366,27508" coordsize="6042,3034"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7366;top:27508;height:3034;width:6042;" coordorigin="7366,27508" coordsize="6042,3034" o:gfxdata="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vj8C3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2791;top:29892;height:0;width:280;" filled="f" stroked="t" coordsize="21600,21600" o:gfxdata="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58f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id="_x0000_s1026" o:spid="_x0000_s1026" o:spt="203" style="position:absolute;left:7366;top:27508;height:3034;width:6042;" coordorigin="7366,27508" coordsize="6042,3034"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7366;top:27508;height:3034;width:6042;" coordorigin="7366,27508" coordsize="6042,3034"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2791;top:27926;height:0;width:605;" filled="f" stroked="t" coordsize="21600,21600" o:gfxdata="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1VG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id="_x0000_s1026" o:spid="_x0000_s1026" o:spt="203" style="position:absolute;left:7366;top:27508;height:3035;width:6042;" coordorigin="7353,27508" coordsize="6042,3035"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line id="_x0000_s1026" o:spid="_x0000_s1026" o:spt="20" style="position:absolute;left:10660;top:30543;height:0;width:2133;" filled="f" stroked="t" coordsize="21600,21600" o:gfxdata="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2q67sAAADc&#10;AAAADwAAAAAAAAABACAAAAAiAAAAZHJzL2Rvd25yZXYueG1sUEsBAhQAFAAAAAgAh07iQDMvBZ47&#10;AAAAOQAAABAAAAAAAAAAAQAgAAAACgEAAGRycy9zaGFwZXhtbC54bWxQSwUGAAAAAAYABgBbAQAA&#10;tAMAAAAA&#10;">
                                  <v:fill on="f" focussize="0,0"/>
                                  <v:stroke weight="0.5pt" color="#000000" joinstyle="round" startarrowwidth="narrow" startarrowlength="short" endarrow="block"/>
                                  <v:imagedata o:title=""/>
                                  <o:lock v:ext="edit" aspectratio="f"/>
                                </v:line>
                                <v:group id="_x0000_s1026" o:spid="_x0000_s1026" o:spt="203" style="position:absolute;left:7353;top:27508;height:3034;width:6042;" coordorigin="7353,27508" coordsize="6042,3034"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2767;top:30268;height:0;width:629;" filled="f" stroked="t" coordsize="21600,21600" o:gfxdata="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azr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id="_x0000_s1026" o:spid="_x0000_s1026" o:spt="203" style="position:absolute;left:7353;top:27508;height:3034;width:5906;" coordorigin="7353,27508" coordsize="5906,3034"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7353;top:27508;height:3034;width:5906;" coordorigin="7353,27508" coordsize="5906,3034"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7361;top:27508;height:588;width:621;" coordorigin="7361,27508" coordsize="621,588" o:gfxdata="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gonT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982;top:27508;height:589;width:0;" filled="f" stroked="t" coordsize="21600,21600" o:gfxdata="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IUM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7361;top:28043;height:0;width:621;" filled="f" stroked="t" coordsize="21600,21600" o:gfxdata="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E9V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v:group id="_x0000_s1026" o:spid="_x0000_s1026" o:spt="203" style="position:absolute;left:7353;top:27684;height:2858;width:5906;" coordorigin="7353,27684" coordsize="5906,2858" o:gfxdata="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Wkq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353;top:30186;height:0;width:629;" filled="f" stroked="t" coordsize="21600,21600" o:gfxdata="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hyL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id="_x0000_s1026" o:spid="_x0000_s1026" o:spt="203" style="position:absolute;left:7567;top:27684;height:2858;width:5692;" coordorigin="7567,27684" coordsize="5692,2858" o:gfxdata="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ZWa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13259;top:29362;height:882;width:0;" filled="f" stroked="t" coordsize="21600,21600" o:gfxdata="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G3RL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line>
                                          <v:line id="_x0000_s1026" o:spid="_x0000_s1026" o:spt="20" style="position:absolute;left:13259;top:27926;height:999;width:0;" filled="f" stroked="t" coordsize="21600,21600" o:gfxdata="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UJer4A&#10;AADcAAAADwAAAAAAAAABACAAAAAiAAAAZHJzL2Rvd25yZXYueG1sUEsBAhQAFAAAAAgAh07iQDMv&#10;BZ47AAAAOQAAABAAAAAAAAAAAQAgAAAADQEAAGRycy9zaGFwZXhtbC54bWxQSwUGAAAAAAYABgBb&#10;AQAAtwMAAAAA&#10;">
                                            <v:fill on="f" focussize="0,0"/>
                                            <v:stroke weight="0.5pt" color="#000000" joinstyle="round" startarrow="block" endarrowwidth="narrow" endarrowlength="short"/>
                                            <v:imagedata o:title=""/>
                                            <o:lock v:ext="edit" aspectratio="f"/>
                                          </v:line>
                                          <v:line id="_x0000_s1026" o:spid="_x0000_s1026" o:spt="20" style="position:absolute;left:12955;top:29298;height:594;width:0;" filled="f" stroked="t" coordsize="21600,21600" o:gfxdata="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Grb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line>
                                          <v:line id="_x0000_s1026" o:spid="_x0000_s1026" o:spt="20" style="position:absolute;left:12955;top:28196;height:820;width:0;" filled="f" stroked="t" coordsize="21600,21600" o:gfxdata="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2OJO/&#10;AAAA3AAAAA8AAAAAAAAAAQAgAAAAIgAAAGRycy9kb3ducmV2LnhtbFBLAQIUABQAAAAIAIdO4kAz&#10;LwWeOwAAADkAAAAQAAAAAAAAAAEAIAAAAA4BAABkcnMvc2hhcGV4bWwueG1sUEsFBgAAAAAGAAYA&#10;WwEAALgDAAAAAA==&#10;">
                                            <v:fill on="f" focussize="0,0"/>
                                            <v:stroke weight="0.5pt" color="#000000" joinstyle="round" startarrow="block" endarrowwidth="narrow" endarrowlength="short"/>
                                            <v:imagedata o:title=""/>
                                            <o:lock v:ext="edit" aspectratio="f"/>
                                          </v:line>
                                          <v:group id="_x0000_s1026" o:spid="_x0000_s1026" o:spt="203" style="position:absolute;left:7567;top:27684;height:2858;width:5222;" coordorigin="7567,27684" coordsize="5222,2858"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7982;top:27684;height:0;width:2100;" filled="f" stroked="t" coordsize="21600,21600" o:gfxdata="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xX28AAAA&#10;3AAAAA8AAAAAAAAAAQAgAAAAIgAAAGRycy9kb3ducmV2LnhtbFBLAQIUABQAAAAIAIdO4kAzLwWe&#10;OwAAADkAAAAQAAAAAAAAAAEAIAAAAAsBAABkcnMvc2hhcGV4bWwueG1sUEsFBgAAAAAGAAYAWwEA&#10;ALUDAAAAAA==&#10;">
                                              <v:fill on="f" focussize="0,0"/>
                                              <v:stroke weight="0.5pt" color="#000000" joinstyle="round" startarrow="block"/>
                                              <v:imagedata o:title=""/>
                                              <o:lock v:ext="edit" aspectratio="f"/>
                                            </v:line>
                                            <v:group id="_x0000_s1026" o:spid="_x0000_s1026" o:spt="203" style="position:absolute;left:7567;top:27684;height:2859;width:5223;" coordorigin="7567,27684" coordsize="5223,2859" o:gfxdata="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0hWeD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886;top:30543;height:0;width:2100;" filled="f" stroked="t" coordsize="21600,21600" o:gfxdata="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fWDmvQAA&#10;ANwAAAAPAAAAAAAAAAEAIAAAACIAAABkcnMvZG93bnJldi54bWxQSwECFAAUAAAACACHTuJAMy8F&#10;njsAAAA5AAAAEAAAAAAAAAABACAAAAAMAQAAZHJzL3NoYXBleG1sLnhtbFBLBQYAAAAABgAGAFsB&#10;AAC2AwAAAAA=&#10;">
                                                <v:fill on="f" focussize="0,0"/>
                                                <v:stroke weight="0.5pt" color="#000000" joinstyle="round" startarrow="block"/>
                                                <v:imagedata o:title=""/>
                                                <o:lock v:ext="edit" aspectratio="f"/>
                                              </v:line>
                                              <v:group id="_x0000_s1026" o:spid="_x0000_s1026" o:spt="203" style="position:absolute;left:7886;top:27684;height:2602;width:4904;" coordorigin="7886,27684" coordsize="4904,2602" o:gfxdata="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V/n0vwAAANwAAAAPAAAAAAAAAAEAIAAAACIAAABkcnMvZG93bnJldi54&#10;bWxQSwECFAAUAAAACACHTuJAMy8FnjsAAAA5AAAAFQAAAAAAAAABACAAAAAOAQAAZHJzL2dyb3Vw&#10;c2hhcGV4bWwueG1sUEsFBgAAAAAGAAYAYAEAAMsDAAAAAA==&#10;">
                                                <o:lock v:ext="edit" aspectratio="f"/>
                                                <v:rect id="_x0000_s1026" o:spid="_x0000_s1026" o:spt="1" style="position:absolute;left:7886;top:27926;height:2360;width:4905;" fillcolor="#FFFFFF" filled="t" stroked="t" coordsize="21600,21600" o:gfxdata="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rZc2/&#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rect>
                                                <v:line id="_x0000_s1026" o:spid="_x0000_s1026" o:spt="20" style="position:absolute;left:10756;top:27684;height:0;width:1940;" filled="f" stroked="t" coordsize="21600,21600" o:gfxdata="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ypEu74A&#10;AADcAAAADwAAAAAAAAABACAAAAAiAAAAZHJzL2Rvd25yZXYueG1sUEsBAhQAFAAAAAgAh07iQDMv&#10;BZ47AAAAOQAAABAAAAAAAAAAAQAgAAAADQEAAGRycy9zaGFwZXhtbC54bWxQSwUGAAAAAAYABgBb&#10;AQAAtwMAAAAA&#10;">
                                                  <v:fill on="f" focussize="0,0"/>
                                                  <v:stroke weight="0.5pt" color="#000000" joinstyle="round" startarrowwidth="narrow" startarrowlength="short" endarrow="block"/>
                                                  <v:imagedata o:title=""/>
                                                  <o:lock v:ext="edit" aspectratio="f"/>
                                                </v:line>
                                              </v:group>
                                              <v:line id="_x0000_s1026" o:spid="_x0000_s1026" o:spt="20" style="position:absolute;left:7567;top:29479;height:707;width:0;" filled="f" stroked="t" coordsize="21600,21600" o:gfxdata="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WWRS/&#10;AAAA3AAAAA8AAAAAAAAAAQAgAAAAIgAAAGRycy9kb3ducmV2LnhtbFBLAQIUABQAAAAIAIdO4kAz&#10;LwWeOwAAADkAAAAQAAAAAAAAAAEAIAAAAA4BAABkcnMvc2hhcGV4bWwueG1sUEsFBgAAAAAGAAYA&#10;WwEAALgDAAAAAA==&#10;">
                                                <v:fill on="f" focussize="0,0"/>
                                                <v:stroke weight="0.5pt" color="#000000" joinstyle="round" endarrow="block"/>
                                                <v:imagedata o:title=""/>
                                                <o:lock v:ext="edit" aspectratio="f"/>
                                              </v:line>
                                              <v:line id="_x0000_s1026" o:spid="_x0000_s1026" o:spt="20" style="position:absolute;left:7567;top:28043;height:882;width:0;" filled="f" stroked="t" coordsize="21600,21600" o:gfxdata="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zcxr4A&#10;AADcAAAADwAAAAAAAAABACAAAAAiAAAAZHJzL2Rvd25yZXYueG1sUEsBAhQAFAAAAAgAh07iQDMv&#10;BZ47AAAAOQAAABAAAAAAAAAAAQAgAAAADQEAAGRycy9zaGFwZXhtbC54bWxQSwUGAAAAAAYABgBb&#10;AQAAtwMAAAAA&#10;">
                                                <v:fill on="f" focussize="0,0"/>
                                                <v:stroke weight="0.5pt" color="#000000" joinstyle="round" startarrow="block" endarrowwidth="narrow" endarrowlength="short"/>
                                                <v:imagedata o:title=""/>
                                                <o:lock v:ext="edit" aspectratio="f"/>
                                              </v:line>
                                            </v:group>
                                          </v:group>
                                        </v:group>
                                      </v:group>
                                    </v:group>
                                    <v:rect id="_x0000_s1026" o:spid="_x0000_s1026" o:spt="1" style="position:absolute;left:7982;top:28043;height:2143;width:4725;" fillcolor="#FFFFFF" filled="t" stroked="t" coordsize="21600,21600" o:gfxdata="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2Q4n&#10;wAAAANwAAAAPAAAAAAAAAAEAIAAAACIAAABkcnMvZG93bnJldi54bWxQSwECFAAUAAAACACHTuJA&#10;My8FnjsAAAA5AAAAEAAAAAAAAAABACAAAAAPAQAAZHJzL3NoYXBleG1sLnhtbFBLBQYAAAAABgAG&#10;AFsBAAC5AwAAAAA=&#10;">
                                      <v:fill on="t" focussize="0,0"/>
                                      <v:stroke weight="1pt" color="#000000" joinstyle="miter" dashstyle="1 1"/>
                                      <v:imagedata o:title=""/>
                                      <o:lock v:ext="edit" aspectratio="f"/>
                                    </v:rect>
                                  </v:group>
                                </v:group>
                              </v:group>
                            </v:group>
                            <v:line id="_x0000_s1026" o:spid="_x0000_s1026" o:spt="20" style="position:absolute;left:12696;top:27508;height:535;width:0;" filled="f" stroked="t" coordsize="21600,21600" o:gfxdata="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cxWj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group>
                        </v:group>
                        <v:line id="_x0000_s1026" o:spid="_x0000_s1026" o:spt="20" style="position:absolute;left:12791;top:28196;height:0;width:280;" filled="f" stroked="t" coordsize="21600,21600" o:gfxdata="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xF8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v:shape id="_x0000_s1026" o:spid="_x0000_s1026" o:spt="202" type="#_x0000_t202" style="position:absolute;left:7468;top:29023;height:338;width:187;" fillcolor="#FFFFFF" filled="t" stroked="f" coordsize="21600,21600" o:gfxdata="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Y+SLvQAA&#10;ANw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368D2EF3">
                              <w:pPr>
                                <w:jc w:val="center"/>
                                <w:rPr>
                                  <w:rFonts w:ascii="宋体" w:hAnsi="宋体"/>
                                  <w:sz w:val="18"/>
                                  <w:szCs w:val="18"/>
                                </w:rPr>
                              </w:pPr>
                              <w:r>
                                <w:rPr>
                                  <w:rFonts w:hint="eastAsia" w:ascii="宋体" w:hAnsi="宋体"/>
                                  <w:sz w:val="18"/>
                                  <w:szCs w:val="18"/>
                                </w:rPr>
                                <w:t>5</w:t>
                              </w:r>
                            </w:p>
                          </w:txbxContent>
                        </v:textbox>
                      </v:shape>
                    </v:group>
                  </w:pict>
                </mc:Fallback>
              </mc:AlternateContent>
            </w:r>
          </w:p>
          <w:p w14:paraId="6E364D6E">
            <w:pPr>
              <w:pStyle w:val="269"/>
              <w:rPr>
                <w:rFonts w:hint="eastAsia" w:ascii="方正黑体_GBK" w:hAnsi="方正黑体_GBK" w:eastAsia="方正黑体_GBK" w:cs="方正黑体_GBK"/>
                <w:kern w:val="24"/>
                <w:sz w:val="21"/>
                <w:szCs w:val="21"/>
                <w:lang w:val="en-US" w:eastAsia="zh-CN" w:bidi="ar-SA"/>
              </w:rPr>
            </w:pPr>
          </w:p>
          <w:p w14:paraId="7978AA28">
            <w:pPr>
              <w:rPr>
                <w:rFonts w:hint="eastAsia" w:ascii="方正黑体_GBK" w:hAnsi="方正黑体_GBK" w:eastAsia="方正黑体_GBK" w:cs="方正黑体_GBK"/>
                <w:kern w:val="24"/>
                <w:sz w:val="21"/>
                <w:szCs w:val="21"/>
                <w:lang w:val="en-US" w:eastAsia="zh-CN" w:bidi="ar-SA"/>
              </w:rPr>
            </w:pPr>
          </w:p>
          <w:p w14:paraId="28F22BE0">
            <w:pPr>
              <w:pStyle w:val="2"/>
              <w:rPr>
                <w:rFonts w:hint="eastAsia" w:ascii="方正黑体_GBK" w:hAnsi="方正黑体_GBK" w:eastAsia="方正黑体_GBK" w:cs="方正黑体_GBK"/>
                <w:kern w:val="24"/>
                <w:sz w:val="21"/>
                <w:szCs w:val="21"/>
                <w:lang w:val="en-US" w:eastAsia="zh-CN" w:bidi="ar-SA"/>
              </w:rPr>
            </w:pPr>
          </w:p>
          <w:p w14:paraId="7E417F9A">
            <w:pPr>
              <w:rPr>
                <w:rFonts w:hint="eastAsia" w:ascii="方正黑体_GBK" w:hAnsi="方正黑体_GBK" w:eastAsia="方正黑体_GBK" w:cs="方正黑体_GBK"/>
                <w:kern w:val="24"/>
                <w:sz w:val="21"/>
                <w:szCs w:val="21"/>
                <w:lang w:val="en-US" w:eastAsia="zh-CN" w:bidi="ar-SA"/>
              </w:rPr>
            </w:pPr>
            <w:r>
              <w:rPr>
                <w:sz w:val="21"/>
              </w:rPr>
              <mc:AlternateContent>
                <mc:Choice Requires="wps">
                  <w:drawing>
                    <wp:anchor distT="0" distB="0" distL="114300" distR="114300" simplePos="0" relativeHeight="251683840" behindDoc="0" locked="0" layoutInCell="1" allowOverlap="1">
                      <wp:simplePos x="0" y="0"/>
                      <wp:positionH relativeFrom="column">
                        <wp:posOffset>3910965</wp:posOffset>
                      </wp:positionH>
                      <wp:positionV relativeFrom="paragraph">
                        <wp:posOffset>95250</wp:posOffset>
                      </wp:positionV>
                      <wp:extent cx="118745" cy="214630"/>
                      <wp:effectExtent l="0" t="0" r="14605" b="13970"/>
                      <wp:wrapNone/>
                      <wp:docPr id="312" name="文本框 312"/>
                      <wp:cNvGraphicFramePr/>
                      <a:graphic xmlns:a="http://schemas.openxmlformats.org/drawingml/2006/main">
                        <a:graphicData uri="http://schemas.microsoft.com/office/word/2010/wordprocessingShape">
                          <wps:wsp>
                            <wps:cNvSpPr txBox="1"/>
                            <wps:spPr>
                              <a:xfrm>
                                <a:off x="0" y="0"/>
                                <a:ext cx="118745" cy="214630"/>
                              </a:xfrm>
                              <a:prstGeom prst="rect">
                                <a:avLst/>
                              </a:prstGeom>
                              <a:solidFill>
                                <a:srgbClr val="FFFFFF"/>
                              </a:solidFill>
                              <a:ln>
                                <a:noFill/>
                              </a:ln>
                              <a:effectLst/>
                            </wps:spPr>
                            <wps:txbx>
                              <w:txbxContent>
                                <w:p w14:paraId="766BF829">
                                  <w:pPr>
                                    <w:jc w:val="center"/>
                                    <w:rPr>
                                      <w:rFonts w:hint="default" w:ascii="宋体" w:hAnsi="宋体" w:eastAsia="宋体"/>
                                      <w:sz w:val="18"/>
                                      <w:szCs w:val="18"/>
                                      <w:lang w:val="en-US" w:eastAsia="zh-CN"/>
                                    </w:rPr>
                                  </w:pPr>
                                  <w:r>
                                    <w:rPr>
                                      <w:rFonts w:hint="eastAsia" w:ascii="宋体" w:hAnsi="宋体"/>
                                      <w:sz w:val="18"/>
                                      <w:szCs w:val="18"/>
                                      <w:lang w:val="en-US" w:eastAsia="zh-CN"/>
                                    </w:rPr>
                                    <w:t>2</w:t>
                                  </w:r>
                                </w:p>
                              </w:txbxContent>
                            </wps:txbx>
                            <wps:bodyPr vert="horz" lIns="0" tIns="0" rIns="0" bIns="0" anchor="t" anchorCtr="0" upright="1"/>
                          </wps:wsp>
                        </a:graphicData>
                      </a:graphic>
                    </wp:anchor>
                  </w:drawing>
                </mc:Choice>
                <mc:Fallback>
                  <w:pict>
                    <v:shape id="_x0000_s1026" o:spid="_x0000_s1026" o:spt="202" type="#_x0000_t202" style="position:absolute;left:0pt;margin-left:307.95pt;margin-top:7.5pt;height:16.9pt;width:9.35pt;z-index:251683840;mso-width-relative:page;mso-height-relative:page;" fillcolor="#FFFFFF" filled="t" stroked="f" coordsize="21600,21600" o:gfxdata="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hEFw9gAAAAJAQAADwAAAAAAAAABACAAAAAiAAAAZHJzL2Rvd25yZXYueG1sUEsBAhQAFAAAAAgA&#10;h07iQGG3gX3sAQAA0QMAAA4AAAAAAAAAAQAgAAAAJwEAAGRycy9lMm9Eb2MueG1sUEsFBgAAAAAG&#10;AAYAWQEAAIUFAAAAAA==&#10;">
                      <v:fill on="t" focussize="0,0"/>
                      <v:stroke on="f"/>
                      <v:imagedata o:title=""/>
                      <o:lock v:ext="edit" aspectratio="f"/>
                      <v:textbox inset="0mm,0mm,0mm,0mm">
                        <w:txbxContent>
                          <w:p w14:paraId="766BF829">
                            <w:pPr>
                              <w:jc w:val="center"/>
                              <w:rPr>
                                <w:rFonts w:hint="default" w:ascii="宋体" w:hAnsi="宋体" w:eastAsia="宋体"/>
                                <w:sz w:val="18"/>
                                <w:szCs w:val="18"/>
                                <w:lang w:val="en-US" w:eastAsia="zh-CN"/>
                              </w:rPr>
                            </w:pPr>
                            <w:r>
                              <w:rPr>
                                <w:rFonts w:hint="eastAsia" w:ascii="宋体" w:hAnsi="宋体"/>
                                <w:sz w:val="18"/>
                                <w:szCs w:val="18"/>
                                <w:lang w:val="en-US" w:eastAsia="zh-CN"/>
                              </w:rPr>
                              <w:t>2</w:t>
                            </w: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3700780</wp:posOffset>
                      </wp:positionH>
                      <wp:positionV relativeFrom="paragraph">
                        <wp:posOffset>91440</wp:posOffset>
                      </wp:positionV>
                      <wp:extent cx="118745" cy="214630"/>
                      <wp:effectExtent l="0" t="0" r="14605" b="13970"/>
                      <wp:wrapNone/>
                      <wp:docPr id="309" name="文本框 309"/>
                      <wp:cNvGraphicFramePr/>
                      <a:graphic xmlns:a="http://schemas.openxmlformats.org/drawingml/2006/main">
                        <a:graphicData uri="http://schemas.microsoft.com/office/word/2010/wordprocessingShape">
                          <wps:wsp>
                            <wps:cNvSpPr txBox="1"/>
                            <wps:spPr>
                              <a:xfrm>
                                <a:off x="0" y="0"/>
                                <a:ext cx="118745" cy="214630"/>
                              </a:xfrm>
                              <a:prstGeom prst="rect">
                                <a:avLst/>
                              </a:prstGeom>
                              <a:solidFill>
                                <a:srgbClr val="FFFFFF"/>
                              </a:solidFill>
                              <a:ln>
                                <a:noFill/>
                              </a:ln>
                              <a:effectLst/>
                            </wps:spPr>
                            <wps:txbx>
                              <w:txbxContent>
                                <w:p w14:paraId="09B68920">
                                  <w:pPr>
                                    <w:jc w:val="center"/>
                                    <w:rPr>
                                      <w:rFonts w:hint="default" w:ascii="宋体" w:hAnsi="宋体" w:eastAsia="宋体"/>
                                      <w:sz w:val="18"/>
                                      <w:szCs w:val="18"/>
                                      <w:lang w:val="en-US" w:eastAsia="zh-CN"/>
                                    </w:rPr>
                                  </w:pPr>
                                  <w:r>
                                    <w:rPr>
                                      <w:rFonts w:hint="eastAsia" w:ascii="宋体" w:hAnsi="宋体"/>
                                      <w:sz w:val="18"/>
                                      <w:szCs w:val="18"/>
                                      <w:lang w:val="en-US" w:eastAsia="zh-CN"/>
                                    </w:rPr>
                                    <w:t>3</w:t>
                                  </w:r>
                                </w:p>
                              </w:txbxContent>
                            </wps:txbx>
                            <wps:bodyPr vert="horz" lIns="0" tIns="0" rIns="0" bIns="0" anchor="t" anchorCtr="0" upright="1"/>
                          </wps:wsp>
                        </a:graphicData>
                      </a:graphic>
                    </wp:anchor>
                  </w:drawing>
                </mc:Choice>
                <mc:Fallback>
                  <w:pict>
                    <v:shape id="_x0000_s1026" o:spid="_x0000_s1026" o:spt="202" type="#_x0000_t202" style="position:absolute;left:0pt;margin-left:291.4pt;margin-top:7.2pt;height:16.9pt;width:9.35pt;z-index:251682816;mso-width-relative:page;mso-height-relative:page;" fillcolor="#FFFFFF" filled="t" stroked="f" coordsize="21600,21600" o:gfxdata="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rGKbdgAAAAJAQAADwAAAAAAAAABACAAAAAiAAAAZHJzL2Rvd25yZXYueG1sUEsBAhQAFAAAAAgA&#10;h07iQL0y5I3sAQAA0QMAAA4AAAAAAAAAAQAgAAAAJwEAAGRycy9lMm9Eb2MueG1sUEsFBgAAAAAG&#10;AAYAWQEAAIUFAAAAAA==&#10;">
                      <v:fill on="t" focussize="0,0"/>
                      <v:stroke on="f"/>
                      <v:imagedata o:title=""/>
                      <o:lock v:ext="edit" aspectratio="f"/>
                      <v:textbox inset="0mm,0mm,0mm,0mm">
                        <w:txbxContent>
                          <w:p w14:paraId="09B68920">
                            <w:pPr>
                              <w:jc w:val="center"/>
                              <w:rPr>
                                <w:rFonts w:hint="default" w:ascii="宋体" w:hAnsi="宋体" w:eastAsia="宋体"/>
                                <w:sz w:val="18"/>
                                <w:szCs w:val="18"/>
                                <w:lang w:val="en-US" w:eastAsia="zh-CN"/>
                              </w:rPr>
                            </w:pPr>
                            <w:r>
                              <w:rPr>
                                <w:rFonts w:hint="eastAsia" w:ascii="宋体" w:hAnsi="宋体"/>
                                <w:sz w:val="18"/>
                                <w:szCs w:val="18"/>
                                <w:lang w:val="en-US" w:eastAsia="zh-CN"/>
                              </w:rPr>
                              <w:t>3</w:t>
                            </w:r>
                          </w:p>
                        </w:txbxContent>
                      </v:textbox>
                    </v:shape>
                  </w:pict>
                </mc:Fallback>
              </mc:AlternateContent>
            </w:r>
          </w:p>
          <w:p w14:paraId="1F6EA1C8">
            <w:pPr>
              <w:pStyle w:val="2"/>
              <w:rPr>
                <w:rFonts w:hint="eastAsia" w:ascii="方正黑体_GBK" w:hAnsi="方正黑体_GBK" w:eastAsia="方正黑体_GBK" w:cs="方正黑体_GBK"/>
                <w:kern w:val="24"/>
                <w:sz w:val="21"/>
                <w:szCs w:val="21"/>
                <w:lang w:val="en-US" w:eastAsia="zh-CN" w:bidi="ar-SA"/>
              </w:rPr>
            </w:pPr>
          </w:p>
          <w:p w14:paraId="4EEC5F0D">
            <w:pPr>
              <w:rPr>
                <w:rFonts w:hint="eastAsia" w:ascii="方正黑体_GBK" w:hAnsi="方正黑体_GBK" w:eastAsia="方正黑体_GBK" w:cs="方正黑体_GBK"/>
                <w:kern w:val="24"/>
                <w:sz w:val="21"/>
                <w:szCs w:val="21"/>
                <w:lang w:val="en-US" w:eastAsia="zh-CN" w:bidi="ar-SA"/>
              </w:rPr>
            </w:pPr>
          </w:p>
          <w:p w14:paraId="3CBA9D51">
            <w:pPr>
              <w:pStyle w:val="2"/>
              <w:rPr>
                <w:rFonts w:hint="eastAsia"/>
                <w:lang w:val="en-US" w:eastAsia="zh-CN"/>
              </w:rPr>
            </w:pPr>
          </w:p>
          <w:p w14:paraId="2ED1D386">
            <w:pPr>
              <w:pStyle w:val="434"/>
              <w:keepLines w:val="0"/>
              <w:pageBreakBefore w:val="0"/>
              <w:numPr>
                <w:ilvl w:val="2"/>
                <w:numId w:val="0"/>
              </w:numPr>
              <w:topLinePunct w:val="0"/>
              <w:bidi w:val="0"/>
              <w:spacing w:line="240" w:lineRule="auto"/>
              <w:ind w:left="420" w:leftChars="200" w:firstLine="0" w:firstLineChars="0"/>
              <w:rPr>
                <w:rFonts w:hint="eastAsia" w:ascii="方正黑体_GBK" w:hAnsi="方正黑体_GBK" w:eastAsia="方正黑体_GBK" w:cs="方正黑体_GBK"/>
                <w:kern w:val="24"/>
                <w:sz w:val="21"/>
                <w:szCs w:val="21"/>
                <w:lang w:val="en-US" w:eastAsia="zh-CN" w:bidi="ar-SA"/>
              </w:rPr>
            </w:pPr>
            <w:r>
              <w:rPr>
                <w:sz w:val="21"/>
              </w:rPr>
              <mc:AlternateContent>
                <mc:Choice Requires="wps">
                  <w:drawing>
                    <wp:anchor distT="0" distB="0" distL="114300" distR="114300" simplePos="0" relativeHeight="251680768" behindDoc="0" locked="0" layoutInCell="1" allowOverlap="1">
                      <wp:simplePos x="0" y="0"/>
                      <wp:positionH relativeFrom="column">
                        <wp:posOffset>2058670</wp:posOffset>
                      </wp:positionH>
                      <wp:positionV relativeFrom="paragraph">
                        <wp:posOffset>59055</wp:posOffset>
                      </wp:positionV>
                      <wp:extent cx="118745" cy="214630"/>
                      <wp:effectExtent l="0" t="0" r="14605" b="13970"/>
                      <wp:wrapNone/>
                      <wp:docPr id="305" name="文本框 305"/>
                      <wp:cNvGraphicFramePr/>
                      <a:graphic xmlns:a="http://schemas.openxmlformats.org/drawingml/2006/main">
                        <a:graphicData uri="http://schemas.microsoft.com/office/word/2010/wordprocessingShape">
                          <wps:wsp>
                            <wps:cNvSpPr txBox="1"/>
                            <wps:spPr>
                              <a:xfrm>
                                <a:off x="0" y="0"/>
                                <a:ext cx="118745" cy="214630"/>
                              </a:xfrm>
                              <a:prstGeom prst="rect">
                                <a:avLst/>
                              </a:prstGeom>
                              <a:solidFill>
                                <a:srgbClr val="FFFFFF"/>
                              </a:solidFill>
                              <a:ln>
                                <a:noFill/>
                              </a:ln>
                              <a:effectLst/>
                            </wps:spPr>
                            <wps:txbx>
                              <w:txbxContent>
                                <w:p w14:paraId="0E79AF29">
                                  <w:pPr>
                                    <w:jc w:val="center"/>
                                    <w:rPr>
                                      <w:rFonts w:hint="eastAsia" w:ascii="宋体" w:hAnsi="宋体" w:eastAsia="宋体"/>
                                      <w:sz w:val="18"/>
                                      <w:szCs w:val="18"/>
                                      <w:lang w:val="en-US" w:eastAsia="zh-CN"/>
                                    </w:rPr>
                                  </w:pPr>
                                  <w:r>
                                    <w:rPr>
                                      <w:rFonts w:hint="eastAsia" w:ascii="宋体" w:hAnsi="宋体"/>
                                      <w:sz w:val="18"/>
                                      <w:szCs w:val="18"/>
                                      <w:lang w:val="en-US" w:eastAsia="zh-CN"/>
                                    </w:rPr>
                                    <w:t>1</w:t>
                                  </w:r>
                                </w:p>
                              </w:txbxContent>
                            </wps:txbx>
                            <wps:bodyPr vert="horz" lIns="0" tIns="0" rIns="0" bIns="0" anchor="t" anchorCtr="0" upright="1"/>
                          </wps:wsp>
                        </a:graphicData>
                      </a:graphic>
                    </wp:anchor>
                  </w:drawing>
                </mc:Choice>
                <mc:Fallback>
                  <w:pict>
                    <v:shape id="_x0000_s1026" o:spid="_x0000_s1026" o:spt="202" type="#_x0000_t202" style="position:absolute;left:0pt;margin-left:162.1pt;margin-top:4.65pt;height:16.9pt;width:9.35pt;z-index:251680768;mso-width-relative:page;mso-height-relative:page;" fillcolor="#FFFFFF" filled="t" stroked="f" coordsize="21600,21600" o:gfxdata="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Xyyl2AAAAAgBAAAPAAAAAAAAAAEAIAAAACIAAABkcnMvZG93bnJldi54bWxQSwECFAAUAAAACACH&#10;TuJAy0IQfesBAADRAwAADgAAAAAAAAABACAAAAAnAQAAZHJzL2Uyb0RvYy54bWxQSwUGAAAAAAYA&#10;BgBZAQAAhAUAAAAA&#10;">
                      <v:fill on="t" focussize="0,0"/>
                      <v:stroke on="f"/>
                      <v:imagedata o:title=""/>
                      <o:lock v:ext="edit" aspectratio="f"/>
                      <v:textbox inset="0mm,0mm,0mm,0mm">
                        <w:txbxContent>
                          <w:p w14:paraId="0E79AF29">
                            <w:pPr>
                              <w:jc w:val="center"/>
                              <w:rPr>
                                <w:rFonts w:hint="eastAsia" w:ascii="宋体" w:hAnsi="宋体" w:eastAsia="宋体"/>
                                <w:sz w:val="18"/>
                                <w:szCs w:val="18"/>
                                <w:lang w:val="en-US" w:eastAsia="zh-CN"/>
                              </w:rPr>
                            </w:pPr>
                            <w:r>
                              <w:rPr>
                                <w:rFonts w:hint="eastAsia" w:ascii="宋体" w:hAnsi="宋体"/>
                                <w:sz w:val="18"/>
                                <w:szCs w:val="18"/>
                                <w:lang w:val="en-US" w:eastAsia="zh-CN"/>
                              </w:rPr>
                              <w:t>1</w:t>
                            </w:r>
                          </w:p>
                        </w:txbxContent>
                      </v:textbox>
                    </v:shape>
                  </w:pict>
                </mc:Fallback>
              </mc:AlternateContent>
            </w:r>
          </w:p>
          <w:p w14:paraId="14C00F98">
            <w:pPr>
              <w:pStyle w:val="537"/>
              <w:keepLines w:val="0"/>
              <w:pageBreakBefore w:val="0"/>
              <w:numPr>
                <w:ilvl w:val="0"/>
                <w:numId w:val="0"/>
              </w:numPr>
              <w:tabs>
                <w:tab w:val="left" w:pos="360"/>
              </w:tabs>
              <w:topLinePunct w:val="0"/>
              <w:bidi w:val="0"/>
              <w:spacing w:before="0" w:beforeLines="0" w:after="0" w:afterLines="0" w:line="240" w:lineRule="auto"/>
              <w:jc w:val="center"/>
              <w:rPr>
                <w:rFonts w:hint="eastAsia" w:ascii="Arial" w:hAnsi="Arial" w:cs="Arial"/>
              </w:rPr>
            </w:pPr>
            <w:r>
              <w:rPr>
                <w:rFonts w:ascii="黑体" w:eastAsia="黑体"/>
                <w:sz w:val="20"/>
              </w:rPr>
              <mc:AlternateContent>
                <mc:Choice Requires="wps">
                  <w:drawing>
                    <wp:anchor distT="0" distB="0" distL="114300" distR="114300" simplePos="0" relativeHeight="251684864" behindDoc="0" locked="0" layoutInCell="1" allowOverlap="1">
                      <wp:simplePos x="0" y="0"/>
                      <wp:positionH relativeFrom="column">
                        <wp:posOffset>4262120</wp:posOffset>
                      </wp:positionH>
                      <wp:positionV relativeFrom="paragraph">
                        <wp:posOffset>187960</wp:posOffset>
                      </wp:positionV>
                      <wp:extent cx="177800" cy="0"/>
                      <wp:effectExtent l="0" t="4445" r="0" b="5080"/>
                      <wp:wrapNone/>
                      <wp:docPr id="308" name="直接连接符 308"/>
                      <wp:cNvGraphicFramePr/>
                      <a:graphic xmlns:a="http://schemas.openxmlformats.org/drawingml/2006/main">
                        <a:graphicData uri="http://schemas.microsoft.com/office/word/2010/wordprocessingShape">
                          <wps:wsp>
                            <wps:cNvCnPr/>
                            <wps:spPr>
                              <a:xfrm>
                                <a:off x="0" y="0"/>
                                <a:ext cx="1778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5.6pt;margin-top:14.8pt;height:0pt;width:14pt;z-index:251684864;mso-width-relative:page;mso-height-relative:page;" filled="f" stroked="t" coordsize="21600,21600" o:gfxdata="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mPRtdUAAAAJAQAADwAAAAAAAAABACAAAAAiAAAAZHJzL2Rvd25yZXYueG1s&#10;UEsBAhQAFAAAAAgAh07iQIQrqcX7AQAA9QMAAA4AAAAAAAAAAQAgAAAAJAEAAGRycy9lMm9Eb2Mu&#10;eG1sUEsFBgAAAAAGAAYAWQEAAJEFAAAAAA==&#10;">
                      <v:fill on="f" focussize="0,0"/>
                      <v:stroke weight="0.5pt" color="#000000" joinstyle="round"/>
                      <v:imagedata o:title=""/>
                      <o:lock v:ext="edit" aspectratio="f"/>
                    </v:line>
                  </w:pict>
                </mc:Fallback>
              </mc:AlternateContent>
            </w:r>
            <w:r>
              <w:rPr>
                <w:rFonts w:hint="eastAsia" w:ascii="Arial" w:hAnsi="Arial" w:cs="Arial"/>
                <w:lang w:eastAsia="zh-CN"/>
              </w:rPr>
              <w:t>图</w:t>
            </w:r>
            <w:r>
              <w:rPr>
                <w:rFonts w:hint="eastAsia" w:ascii="Arial" w:hAnsi="Arial" w:cs="Arial"/>
                <w:lang w:val="en-US" w:eastAsia="zh-CN"/>
              </w:rPr>
              <w:t>2</w:t>
            </w:r>
            <w:r>
              <w:rPr>
                <w:rFonts w:hint="eastAsia" w:ascii="Arial" w:hAnsi="Arial" w:cs="Arial"/>
              </w:rPr>
              <w:t>规格尺寸测量位置</w:t>
            </w:r>
          </w:p>
          <w:p w14:paraId="20D39D69">
            <w:pPr>
              <w:pStyle w:val="434"/>
              <w:keepLines w:val="0"/>
              <w:pageBreakBefore w:val="0"/>
              <w:numPr>
                <w:ilvl w:val="2"/>
                <w:numId w:val="0"/>
              </w:numPr>
              <w:topLinePunct w:val="0"/>
              <w:bidi w:val="0"/>
              <w:spacing w:line="240" w:lineRule="auto"/>
              <w:rPr>
                <w:rFonts w:hint="eastAsia" w:ascii="方正黑体_GBK" w:hAnsi="方正黑体_GBK" w:eastAsia="方正黑体_GBK" w:cs="方正黑体_GBK"/>
                <w:kern w:val="24"/>
                <w:sz w:val="21"/>
                <w:szCs w:val="21"/>
                <w:lang w:val="en-US" w:eastAsia="zh-CN" w:bidi="ar-SA"/>
              </w:rPr>
            </w:pPr>
          </w:p>
          <w:p w14:paraId="7F34C0CD">
            <w:pPr>
              <w:pStyle w:val="269"/>
              <w:rPr>
                <w:rFonts w:hint="eastAsia"/>
                <w:lang w:val="en-US" w:eastAsia="zh-CN"/>
              </w:rPr>
            </w:pPr>
          </w:p>
          <w:p w14:paraId="69E4AB2F">
            <w:pPr>
              <w:pStyle w:val="434"/>
              <w:keepLines w:val="0"/>
              <w:pageBreakBefore w:val="0"/>
              <w:numPr>
                <w:ilvl w:val="2"/>
                <w:numId w:val="0"/>
              </w:numPr>
              <w:topLinePunct w:val="0"/>
              <w:bidi w:val="0"/>
              <w:spacing w:line="240" w:lineRule="auto"/>
              <w:ind w:left="420" w:leftChars="200" w:firstLine="0" w:firstLineChars="0"/>
              <w:rPr>
                <w:rFonts w:hint="eastAsia" w:ascii="Arial" w:hAnsi="Arial" w:cs="Arial"/>
                <w:lang w:val="en-US" w:eastAsia="zh-CN"/>
              </w:rPr>
            </w:pPr>
            <w:bookmarkStart w:id="460" w:name="_Toc2071"/>
            <w:bookmarkStart w:id="461" w:name="_Toc14589"/>
            <w:r>
              <w:rPr>
                <w:rFonts w:hint="eastAsia" w:ascii="方正黑体_GBK" w:hAnsi="方正黑体_GBK" w:eastAsia="方正黑体_GBK" w:cs="方正黑体_GBK"/>
                <w:kern w:val="24"/>
                <w:sz w:val="21"/>
                <w:szCs w:val="21"/>
                <w:lang w:val="en-US" w:eastAsia="zh-CN" w:bidi="ar-SA"/>
              </w:rPr>
              <w:t>3.3</w:t>
            </w:r>
            <w:r>
              <w:rPr>
                <w:rFonts w:hint="eastAsia" w:ascii="Arial" w:hAnsi="Arial" w:cs="Arial"/>
                <w:lang w:val="en-US" w:eastAsia="zh-CN"/>
              </w:rPr>
              <w:t>材料</w:t>
            </w:r>
            <w:bookmarkEnd w:id="459"/>
            <w:bookmarkEnd w:id="460"/>
            <w:bookmarkEnd w:id="461"/>
          </w:p>
          <w:p w14:paraId="5D27A8E9">
            <w:pPr>
              <w:pStyle w:val="434"/>
              <w:keepLines w:val="0"/>
              <w:pageBreakBefore w:val="0"/>
              <w:numPr>
                <w:ilvl w:val="2"/>
                <w:numId w:val="0"/>
              </w:numPr>
              <w:topLinePunct w:val="0"/>
              <w:bidi w:val="0"/>
              <w:spacing w:line="240" w:lineRule="auto"/>
              <w:ind w:left="420" w:leftChars="200" w:firstLine="0" w:firstLineChars="0"/>
              <w:rPr>
                <w:rFonts w:hint="eastAsia" w:ascii="宋体" w:hAnsi="宋体" w:eastAsia="宋体" w:cs="Arial"/>
              </w:rPr>
            </w:pPr>
            <w:bookmarkStart w:id="462" w:name="_Toc13676"/>
            <w:bookmarkStart w:id="463" w:name="_Toc14094"/>
            <w:r>
              <w:rPr>
                <w:rFonts w:hint="eastAsia" w:ascii="方正黑体_GBK" w:hAnsi="方正黑体_GBK" w:eastAsia="方正黑体_GBK" w:cs="方正黑体_GBK"/>
                <w:kern w:val="24"/>
                <w:sz w:val="21"/>
                <w:szCs w:val="21"/>
                <w:lang w:val="en-US" w:eastAsia="zh-CN" w:bidi="ar-SA"/>
              </w:rPr>
              <w:t xml:space="preserve">3.3.1 </w:t>
            </w:r>
            <w:r>
              <w:rPr>
                <w:rFonts w:hint="eastAsia" w:ascii="宋体" w:hAnsi="宋体" w:eastAsia="宋体" w:cs="Arial"/>
                <w:lang w:val="en-US" w:eastAsia="zh-CN"/>
              </w:rPr>
              <w:t xml:space="preserve"> </w:t>
            </w:r>
            <w:r>
              <w:rPr>
                <w:rFonts w:hint="eastAsia" w:ascii="宋体" w:hAnsi="宋体" w:eastAsia="宋体" w:cs="Arial"/>
              </w:rPr>
              <w:t>面、里料为纯棉平布，样式及颜色应符合批准的标样。</w:t>
            </w:r>
            <w:bookmarkEnd w:id="462"/>
            <w:bookmarkEnd w:id="463"/>
          </w:p>
          <w:p w14:paraId="2F25D20D">
            <w:pPr>
              <w:pStyle w:val="269"/>
              <w:keepLines w:val="0"/>
              <w:pageBreakBefore w:val="0"/>
              <w:tabs>
                <w:tab w:val="center" w:pos="4201"/>
                <w:tab w:val="right" w:leader="dot" w:pos="9298"/>
              </w:tabs>
              <w:topLinePunct w:val="0"/>
              <w:bidi w:val="0"/>
              <w:spacing w:line="240" w:lineRule="auto"/>
              <w:rPr>
                <w:rFonts w:hint="eastAsia" w:ascii="宋体" w:hAnsi="宋体" w:eastAsia="宋体" w:cs="Arial"/>
              </w:rPr>
            </w:pPr>
            <w:r>
              <w:rPr>
                <w:rFonts w:hint="eastAsia" w:ascii="方正黑体_GBK" w:hAnsi="方正黑体_GBK" w:eastAsia="方正黑体_GBK" w:cs="方正黑体_GBK"/>
                <w:kern w:val="24"/>
                <w:sz w:val="21"/>
                <w:szCs w:val="21"/>
                <w:lang w:val="en-US" w:eastAsia="zh-CN" w:bidi="ar-SA"/>
              </w:rPr>
              <w:t xml:space="preserve">3.3.2  </w:t>
            </w:r>
            <w:r>
              <w:rPr>
                <w:rFonts w:hint="eastAsia" w:ascii="宋体" w:hAnsi="宋体" w:eastAsia="宋体" w:cs="Arial"/>
              </w:rPr>
              <w:t>褥胎絮料分为热熔涤纶絮片、热熔涤棉絮片、棉花三种。</w:t>
            </w:r>
          </w:p>
          <w:p w14:paraId="34131A4F">
            <w:pPr>
              <w:pStyle w:val="269"/>
              <w:keepLines w:val="0"/>
              <w:pageBreakBefore w:val="0"/>
              <w:tabs>
                <w:tab w:val="center" w:pos="4201"/>
                <w:tab w:val="right" w:leader="dot" w:pos="9298"/>
              </w:tabs>
              <w:topLinePunct w:val="0"/>
              <w:bidi w:val="0"/>
              <w:spacing w:line="240" w:lineRule="auto"/>
              <w:rPr>
                <w:rFonts w:hint="eastAsia" w:ascii="宋体" w:hAnsi="宋体" w:eastAsia="宋体" w:cs="Arial"/>
              </w:rPr>
            </w:pPr>
            <w:r>
              <w:rPr>
                <w:rFonts w:hint="eastAsia" w:ascii="方正黑体_GBK" w:hAnsi="方正黑体_GBK" w:eastAsia="方正黑体_GBK" w:cs="方正黑体_GBK"/>
                <w:kern w:val="24"/>
                <w:sz w:val="21"/>
                <w:szCs w:val="21"/>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3309620</wp:posOffset>
                      </wp:positionH>
                      <wp:positionV relativeFrom="paragraph">
                        <wp:posOffset>139700</wp:posOffset>
                      </wp:positionV>
                      <wp:extent cx="314325" cy="238125"/>
                      <wp:effectExtent l="0" t="0" r="9525" b="9525"/>
                      <wp:wrapNone/>
                      <wp:docPr id="306" name="矩形 306"/>
                      <wp:cNvGraphicFramePr/>
                      <a:graphic xmlns:a="http://schemas.openxmlformats.org/drawingml/2006/main">
                        <a:graphicData uri="http://schemas.microsoft.com/office/word/2010/wordprocessingShape">
                          <wps:wsp>
                            <wps:cNvSpPr/>
                            <wps:spPr>
                              <a:xfrm>
                                <a:off x="0" y="0"/>
                                <a:ext cx="314325" cy="238125"/>
                              </a:xfrm>
                              <a:prstGeom prst="rect">
                                <a:avLst/>
                              </a:prstGeom>
                              <a:solidFill>
                                <a:srgbClr val="FFFFFF"/>
                              </a:solidFill>
                              <a:ln>
                                <a:noFill/>
                              </a:ln>
                              <a:effectLst/>
                            </wps:spPr>
                            <wps:bodyPr vert="horz" anchor="t" anchorCtr="0" upright="1"/>
                          </wps:wsp>
                        </a:graphicData>
                      </a:graphic>
                    </wp:anchor>
                  </w:drawing>
                </mc:Choice>
                <mc:Fallback>
                  <w:pict>
                    <v:rect id="_x0000_s1026" o:spid="_x0000_s1026" o:spt="1" style="position:absolute;left:0pt;margin-left:260.6pt;margin-top:11pt;height:18.75pt;width:24.75pt;z-index:251676672;mso-width-relative:page;mso-height-relative:page;" fillcolor="#FFFFFF" filled="t" stroked="f" coordsize="21600,21600" o:gfxdata="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c7MMjXAAAACQEAAA8AAAAAAAAAAQAgAAAAIgAAAGRycy9k&#10;b3ducmV2LnhtbFBLAQIUABQAAAAIAIdO4kAjTLgjygEAAJUDAAAOAAAAAAAAAAEAIAAAACYBAABk&#10;cnMvZTJvRG9jLnhtbFBLBQYAAAAABgAGAFkBAABiBQAAAAA=&#10;">
                      <v:fill on="t" focussize="0,0"/>
                      <v:stroke on="f"/>
                      <v:imagedata o:title=""/>
                      <o:lock v:ext="edit" aspectratio="f"/>
                    </v:rect>
                  </w:pict>
                </mc:Fallback>
              </mc:AlternateContent>
            </w:r>
            <w:r>
              <w:rPr>
                <w:rFonts w:hint="eastAsia" w:ascii="方正黑体_GBK" w:hAnsi="方正黑体_GBK" w:eastAsia="方正黑体_GBK" w:cs="方正黑体_GBK"/>
                <w:kern w:val="24"/>
                <w:sz w:val="21"/>
                <w:szCs w:val="21"/>
                <w:lang w:val="en-US" w:eastAsia="zh-CN" w:bidi="ar-SA"/>
              </w:rPr>
              <w:t xml:space="preserve">3.3.3 </w:t>
            </w:r>
            <w:r>
              <w:rPr>
                <w:rFonts w:hint="eastAsia" w:ascii="宋体" w:hAnsi="宋体" w:eastAsia="宋体" w:cs="Arial"/>
                <w:lang w:val="en-US" w:eastAsia="zh-CN"/>
              </w:rPr>
              <w:t xml:space="preserve"> </w:t>
            </w:r>
            <w:r>
              <w:rPr>
                <w:rFonts w:hint="eastAsia" w:ascii="宋体" w:hAnsi="宋体" w:eastAsia="宋体" w:cs="Arial"/>
              </w:rPr>
              <w:t>材料规格及用途按表2规定。</w:t>
            </w:r>
          </w:p>
          <w:p w14:paraId="378B371C">
            <w:pPr>
              <w:pStyle w:val="269"/>
              <w:keepLines w:val="0"/>
              <w:pageBreakBefore w:val="0"/>
              <w:tabs>
                <w:tab w:val="center" w:pos="4201"/>
                <w:tab w:val="right" w:leader="dot" w:pos="9298"/>
              </w:tabs>
              <w:topLinePunct w:val="0"/>
              <w:bidi w:val="0"/>
              <w:spacing w:line="240" w:lineRule="auto"/>
              <w:rPr>
                <w:rFonts w:hint="eastAsia"/>
              </w:rPr>
            </w:pPr>
          </w:p>
          <w:p w14:paraId="0F95D653">
            <w:pPr>
              <w:rPr>
                <w:rFonts w:hint="eastAsia"/>
              </w:rPr>
            </w:pPr>
          </w:p>
          <w:tbl>
            <w:tblPr>
              <w:tblStyle w:val="58"/>
              <w:tblW w:w="500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1903"/>
              <w:gridCol w:w="1163"/>
              <w:gridCol w:w="1382"/>
            </w:tblGrid>
            <w:tr w14:paraId="50037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4"/>
                  <w:tcBorders>
                    <w:top w:val="nil"/>
                    <w:left w:val="nil"/>
                    <w:bottom w:val="single" w:color="auto" w:sz="8" w:space="0"/>
                    <w:right w:val="nil"/>
                  </w:tcBorders>
                  <w:noWrap w:val="0"/>
                  <w:vAlign w:val="center"/>
                </w:tcPr>
                <w:p w14:paraId="1E9B2F8C">
                  <w:pPr>
                    <w:keepLines w:val="0"/>
                    <w:pageBreakBefore w:val="0"/>
                    <w:topLinePunct w:val="0"/>
                    <w:bidi w:val="0"/>
                    <w:spacing w:line="240" w:lineRule="auto"/>
                    <w:jc w:val="center"/>
                    <w:rPr>
                      <w:rFonts w:hint="eastAsia" w:ascii="宋体" w:hAnsi="宋体"/>
                      <w:sz w:val="18"/>
                      <w:szCs w:val="18"/>
                    </w:rPr>
                  </w:pPr>
                  <w:r>
                    <w:rPr>
                      <w:rFonts w:hint="eastAsia" w:ascii="黑体" w:hAnsi="黑体" w:eastAsia="黑体"/>
                      <w:color w:val="000000"/>
                    </w:rPr>
                    <w:t>表2  材料规格及用途</w:t>
                  </w:r>
                </w:p>
              </w:tc>
            </w:tr>
            <w:tr w14:paraId="4F0C4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608" w:type="pct"/>
                  <w:tcBorders>
                    <w:top w:val="single" w:color="auto" w:sz="12" w:space="0"/>
                    <w:left w:val="single" w:color="auto" w:sz="12" w:space="0"/>
                    <w:bottom w:val="single" w:color="auto" w:sz="8" w:space="0"/>
                  </w:tcBorders>
                  <w:noWrap w:val="0"/>
                  <w:vAlign w:val="center"/>
                </w:tcPr>
                <w:p w14:paraId="37D27B8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名    称</w:t>
                  </w:r>
                </w:p>
              </w:tc>
              <w:tc>
                <w:tcPr>
                  <w:tcW w:w="1450" w:type="pct"/>
                  <w:tcBorders>
                    <w:top w:val="single" w:color="auto" w:sz="12" w:space="0"/>
                    <w:bottom w:val="single" w:color="auto" w:sz="8" w:space="0"/>
                    <w:right w:val="single" w:color="auto" w:sz="4" w:space="0"/>
                  </w:tcBorders>
                  <w:noWrap w:val="0"/>
                  <w:vAlign w:val="center"/>
                </w:tcPr>
                <w:p w14:paraId="13200E5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规    格</w:t>
                  </w:r>
                </w:p>
              </w:tc>
              <w:tc>
                <w:tcPr>
                  <w:tcW w:w="886" w:type="pct"/>
                  <w:tcBorders>
                    <w:top w:val="single" w:color="auto" w:sz="12" w:space="0"/>
                    <w:left w:val="single" w:color="auto" w:sz="4" w:space="0"/>
                    <w:bottom w:val="single" w:color="auto" w:sz="8" w:space="0"/>
                    <w:right w:val="single" w:color="auto" w:sz="4" w:space="0"/>
                  </w:tcBorders>
                  <w:noWrap w:val="0"/>
                  <w:vAlign w:val="center"/>
                </w:tcPr>
                <w:p w14:paraId="4BCFB29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要  求</w:t>
                  </w:r>
                </w:p>
              </w:tc>
              <w:tc>
                <w:tcPr>
                  <w:tcW w:w="1053" w:type="pct"/>
                  <w:tcBorders>
                    <w:top w:val="single" w:color="auto" w:sz="12" w:space="0"/>
                    <w:left w:val="single" w:color="auto" w:sz="4" w:space="0"/>
                    <w:bottom w:val="single" w:color="auto" w:sz="8" w:space="0"/>
                    <w:right w:val="single" w:color="auto" w:sz="12" w:space="0"/>
                  </w:tcBorders>
                  <w:noWrap w:val="0"/>
                  <w:vAlign w:val="center"/>
                </w:tcPr>
                <w:p w14:paraId="5CA31A1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用    途</w:t>
                  </w:r>
                </w:p>
              </w:tc>
            </w:tr>
            <w:tr w14:paraId="3F5E6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top w:val="single" w:color="auto" w:sz="12" w:space="0"/>
                    <w:left w:val="single" w:color="auto" w:sz="12" w:space="0"/>
                  </w:tcBorders>
                  <w:noWrap w:val="0"/>
                  <w:vAlign w:val="center"/>
                </w:tcPr>
                <w:p w14:paraId="3E1AE987">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纯棉</w:t>
                  </w:r>
                  <w:r>
                    <w:rPr>
                      <w:rFonts w:ascii="宋体" w:hAnsi="宋体"/>
                      <w:color w:val="000000"/>
                      <w:sz w:val="18"/>
                      <w:szCs w:val="18"/>
                    </w:rPr>
                    <w:t>平布</w:t>
                  </w:r>
                </w:p>
              </w:tc>
              <w:tc>
                <w:tcPr>
                  <w:tcW w:w="1450" w:type="pct"/>
                  <w:tcBorders>
                    <w:top w:val="single" w:color="auto" w:sz="12" w:space="0"/>
                  </w:tcBorders>
                  <w:noWrap w:val="0"/>
                  <w:vAlign w:val="center"/>
                </w:tcPr>
                <w:p w14:paraId="109187E7">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18</w:t>
                  </w:r>
                  <w:r>
                    <w:rPr>
                      <w:rFonts w:hint="eastAsia" w:ascii="宋体" w:hAnsi="宋体"/>
                      <w:color w:val="000000"/>
                      <w:sz w:val="18"/>
                      <w:szCs w:val="18"/>
                      <w:lang w:val="en-US" w:eastAsia="zh-CN"/>
                    </w:rPr>
                    <w:t xml:space="preserve"> </w:t>
                  </w:r>
                  <w:r>
                    <w:rPr>
                      <w:rFonts w:hint="eastAsia" w:ascii="宋体" w:hAnsi="宋体"/>
                      <w:color w:val="000000"/>
                      <w:sz w:val="18"/>
                      <w:szCs w:val="18"/>
                    </w:rPr>
                    <w:t>tex/18</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tex </w:t>
                  </w:r>
                </w:p>
              </w:tc>
              <w:tc>
                <w:tcPr>
                  <w:tcW w:w="886" w:type="pct"/>
                  <w:tcBorders>
                    <w:top w:val="single" w:color="auto" w:sz="12" w:space="0"/>
                  </w:tcBorders>
                  <w:noWrap w:val="0"/>
                  <w:vAlign w:val="center"/>
                </w:tcPr>
                <w:p w14:paraId="335555A6">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附录A</w:t>
                  </w:r>
                </w:p>
              </w:tc>
              <w:tc>
                <w:tcPr>
                  <w:tcW w:w="1053" w:type="pct"/>
                  <w:tcBorders>
                    <w:top w:val="single" w:color="auto" w:sz="12" w:space="0"/>
                    <w:right w:val="single" w:color="auto" w:sz="12" w:space="0"/>
                  </w:tcBorders>
                  <w:noWrap w:val="0"/>
                  <w:vAlign w:val="center"/>
                </w:tcPr>
                <w:p w14:paraId="50AD8DCD">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被褥套面、里</w:t>
                  </w:r>
                </w:p>
              </w:tc>
            </w:tr>
            <w:tr w14:paraId="09BF4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left w:val="single" w:color="auto" w:sz="12" w:space="0"/>
                  </w:tcBorders>
                  <w:noWrap w:val="0"/>
                  <w:vAlign w:val="center"/>
                </w:tcPr>
                <w:p w14:paraId="45863E56">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highlight w:val="none"/>
                    </w:rPr>
                    <w:t>棉花</w:t>
                  </w:r>
                </w:p>
              </w:tc>
              <w:tc>
                <w:tcPr>
                  <w:tcW w:w="1450" w:type="pct"/>
                  <w:noWrap w:val="0"/>
                  <w:vAlign w:val="center"/>
                </w:tcPr>
                <w:p w14:paraId="103D0834">
                  <w:pPr>
                    <w:pStyle w:val="36"/>
                    <w:keepLines w:val="0"/>
                    <w:pageBreakBefore w:val="0"/>
                    <w:topLinePunct w:val="0"/>
                    <w:bidi w:val="0"/>
                    <w:snapToGrid/>
                    <w:spacing w:line="240" w:lineRule="auto"/>
                    <w:ind w:firstLine="540" w:firstLineChars="300"/>
                    <w:rPr>
                      <w:rFonts w:hint="eastAsia" w:ascii="宋体" w:hAnsi="宋体"/>
                      <w:color w:val="000000"/>
                      <w:lang w:val="en-US" w:eastAsia="zh-CN"/>
                    </w:rPr>
                  </w:pPr>
                  <w:r>
                    <w:rPr>
                      <w:rFonts w:hint="eastAsia" w:ascii="宋体" w:hAnsi="宋体"/>
                      <w:color w:val="000000"/>
                      <w:highlight w:val="none"/>
                      <w:lang w:val="en-US" w:eastAsia="zh-CN"/>
                    </w:rPr>
                    <w:t>品级不低于4级</w:t>
                  </w:r>
                </w:p>
              </w:tc>
              <w:tc>
                <w:tcPr>
                  <w:tcW w:w="886" w:type="pct"/>
                  <w:noWrap w:val="0"/>
                  <w:vAlign w:val="center"/>
                </w:tcPr>
                <w:p w14:paraId="6D4FFD67">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GB 1103-2007</w:t>
                  </w:r>
                </w:p>
              </w:tc>
              <w:tc>
                <w:tcPr>
                  <w:tcW w:w="1053" w:type="pct"/>
                  <w:tcBorders>
                    <w:right w:val="single" w:color="auto" w:sz="12" w:space="0"/>
                  </w:tcBorders>
                  <w:noWrap w:val="0"/>
                  <w:vAlign w:val="center"/>
                </w:tcPr>
                <w:p w14:paraId="43A02A2A">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棉褥胎</w:t>
                  </w:r>
                </w:p>
              </w:tc>
            </w:tr>
            <w:tr w14:paraId="25948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left w:val="single" w:color="auto" w:sz="12" w:space="0"/>
                  </w:tcBorders>
                  <w:noWrap w:val="0"/>
                  <w:vAlign w:val="center"/>
                </w:tcPr>
                <w:p w14:paraId="190B83B0">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网纱</w:t>
                  </w:r>
                </w:p>
              </w:tc>
              <w:tc>
                <w:tcPr>
                  <w:tcW w:w="1450" w:type="pct"/>
                  <w:noWrap w:val="0"/>
                  <w:vAlign w:val="center"/>
                </w:tcPr>
                <w:p w14:paraId="656AE3EE">
                  <w:pPr>
                    <w:pStyle w:val="36"/>
                    <w:keepLines w:val="0"/>
                    <w:pageBreakBefore w:val="0"/>
                    <w:topLinePunct w:val="0"/>
                    <w:bidi w:val="0"/>
                    <w:snapToGrid/>
                    <w:spacing w:line="240" w:lineRule="auto"/>
                    <w:jc w:val="center"/>
                    <w:rPr>
                      <w:rFonts w:hint="eastAsia" w:ascii="宋体" w:hAnsi="宋体"/>
                      <w:color w:val="000000"/>
                      <w:lang w:val="en-US" w:eastAsia="zh-CN"/>
                    </w:rPr>
                  </w:pPr>
                  <w:r>
                    <w:rPr>
                      <w:rFonts w:hint="eastAsia" w:ascii="宋体" w:hAnsi="宋体"/>
                      <w:color w:val="000000"/>
                      <w:lang w:val="en-US" w:eastAsia="zh-CN"/>
                    </w:rPr>
                    <w:t>100%全涤</w:t>
                  </w:r>
                </w:p>
              </w:tc>
              <w:tc>
                <w:tcPr>
                  <w:tcW w:w="886" w:type="pct"/>
                  <w:noWrap w:val="0"/>
                  <w:vAlign w:val="center"/>
                </w:tcPr>
                <w:p w14:paraId="4933A547">
                  <w:pPr>
                    <w:keepLines w:val="0"/>
                    <w:pageBreakBefore w:val="0"/>
                    <w:topLinePunct w:val="0"/>
                    <w:bidi w:val="0"/>
                    <w:spacing w:line="240" w:lineRule="auto"/>
                    <w:jc w:val="center"/>
                    <w:rPr>
                      <w:rFonts w:hint="eastAsia" w:ascii="宋体" w:hAnsi="宋体"/>
                      <w:color w:val="000000"/>
                      <w:sz w:val="18"/>
                      <w:szCs w:val="18"/>
                    </w:rPr>
                  </w:pPr>
                  <w:r>
                    <w:rPr>
                      <w:color w:val="000000"/>
                      <w:sz w:val="18"/>
                      <w:szCs w:val="18"/>
                    </w:rPr>
                    <w:t>—</w:t>
                  </w:r>
                </w:p>
              </w:tc>
              <w:tc>
                <w:tcPr>
                  <w:tcW w:w="1053" w:type="pct"/>
                  <w:tcBorders>
                    <w:right w:val="single" w:color="auto" w:sz="12" w:space="0"/>
                  </w:tcBorders>
                  <w:noWrap w:val="0"/>
                  <w:vAlign w:val="center"/>
                </w:tcPr>
                <w:p w14:paraId="302688F5">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棉褥胎包布</w:t>
                  </w:r>
                </w:p>
              </w:tc>
            </w:tr>
            <w:tr w14:paraId="6FF0A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left w:val="single" w:color="auto" w:sz="12" w:space="0"/>
                  </w:tcBorders>
                  <w:noWrap w:val="0"/>
                  <w:vAlign w:val="center"/>
                </w:tcPr>
                <w:p w14:paraId="089BE7B4">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涤纶缝纫线</w:t>
                  </w:r>
                </w:p>
              </w:tc>
              <w:tc>
                <w:tcPr>
                  <w:tcW w:w="1450" w:type="pct"/>
                  <w:noWrap w:val="0"/>
                  <w:vAlign w:val="center"/>
                </w:tcPr>
                <w:p w14:paraId="31BFB14D">
                  <w:pPr>
                    <w:pStyle w:val="36"/>
                    <w:keepLines w:val="0"/>
                    <w:pageBreakBefore w:val="0"/>
                    <w:topLinePunct w:val="0"/>
                    <w:bidi w:val="0"/>
                    <w:snapToGrid/>
                    <w:spacing w:line="240" w:lineRule="auto"/>
                    <w:ind w:firstLine="34" w:firstLineChars="19"/>
                    <w:jc w:val="center"/>
                    <w:rPr>
                      <w:rFonts w:hint="eastAsia" w:ascii="宋体" w:hAnsi="宋体"/>
                      <w:color w:val="000000"/>
                      <w:lang w:val="en-US" w:eastAsia="zh-CN"/>
                    </w:rPr>
                  </w:pPr>
                  <w:r>
                    <w:rPr>
                      <w:rFonts w:ascii="宋体" w:hAnsi="宋体"/>
                      <w:color w:val="000000"/>
                      <w:lang w:val="en-US" w:eastAsia="zh-CN"/>
                    </w:rPr>
                    <w:t>11.8</w:t>
                  </w:r>
                  <w:r>
                    <w:rPr>
                      <w:rFonts w:hint="eastAsia" w:ascii="宋体" w:hAnsi="宋体"/>
                      <w:color w:val="000000"/>
                      <w:lang w:val="en-US" w:eastAsia="zh-CN"/>
                    </w:rPr>
                    <w:t xml:space="preserve"> tex×3</w:t>
                  </w:r>
                </w:p>
              </w:tc>
              <w:tc>
                <w:tcPr>
                  <w:tcW w:w="886" w:type="pct"/>
                  <w:noWrap w:val="0"/>
                  <w:vAlign w:val="center"/>
                </w:tcPr>
                <w:p w14:paraId="51AE391A">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GB/T 6836-2007</w:t>
                  </w:r>
                </w:p>
              </w:tc>
              <w:tc>
                <w:tcPr>
                  <w:tcW w:w="1053" w:type="pct"/>
                  <w:tcBorders>
                    <w:right w:val="single" w:color="auto" w:sz="12" w:space="0"/>
                  </w:tcBorders>
                  <w:noWrap w:val="0"/>
                  <w:vAlign w:val="center"/>
                </w:tcPr>
                <w:p w14:paraId="0FB4206E">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缝纫、绗缝</w:t>
                  </w:r>
                </w:p>
              </w:tc>
            </w:tr>
            <w:tr w14:paraId="555DE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left w:val="single" w:color="auto" w:sz="12" w:space="0"/>
                  </w:tcBorders>
                  <w:noWrap w:val="0"/>
                  <w:vAlign w:val="center"/>
                </w:tcPr>
                <w:p w14:paraId="41DEAB87">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尼龙拉链</w:t>
                  </w:r>
                </w:p>
              </w:tc>
              <w:tc>
                <w:tcPr>
                  <w:tcW w:w="1450" w:type="pct"/>
                  <w:noWrap w:val="0"/>
                  <w:vAlign w:val="center"/>
                </w:tcPr>
                <w:p w14:paraId="186DEB9A">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3号单闭尾</w:t>
                  </w:r>
                </w:p>
              </w:tc>
              <w:tc>
                <w:tcPr>
                  <w:tcW w:w="886" w:type="pct"/>
                  <w:noWrap w:val="0"/>
                  <w:vAlign w:val="center"/>
                </w:tcPr>
                <w:p w14:paraId="149A4139">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QB/T 2173-2001</w:t>
                  </w:r>
                </w:p>
              </w:tc>
              <w:tc>
                <w:tcPr>
                  <w:tcW w:w="1053" w:type="pct"/>
                  <w:tcBorders>
                    <w:right w:val="single" w:color="auto" w:sz="12" w:space="0"/>
                  </w:tcBorders>
                  <w:noWrap w:val="0"/>
                  <w:vAlign w:val="center"/>
                </w:tcPr>
                <w:p w14:paraId="44550FFD">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褥套封口</w:t>
                  </w:r>
                </w:p>
              </w:tc>
            </w:tr>
            <w:tr w14:paraId="6A1A0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left w:val="single" w:color="auto" w:sz="12" w:space="0"/>
                  </w:tcBorders>
                  <w:noWrap w:val="0"/>
                  <w:vAlign w:val="center"/>
                </w:tcPr>
                <w:p w14:paraId="57E753CA">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牛皮纸</w:t>
                  </w:r>
                </w:p>
              </w:tc>
              <w:tc>
                <w:tcPr>
                  <w:tcW w:w="1450" w:type="pct"/>
                  <w:noWrap w:val="0"/>
                  <w:vAlign w:val="center"/>
                </w:tcPr>
                <w:p w14:paraId="72C6CE08">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≥70</w:t>
                  </w:r>
                  <w:r>
                    <w:rPr>
                      <w:rFonts w:hint="eastAsia" w:ascii="宋体" w:hAnsi="宋体"/>
                      <w:color w:val="000000"/>
                      <w:sz w:val="18"/>
                      <w:szCs w:val="18"/>
                      <w:lang w:val="en-US" w:eastAsia="zh-CN"/>
                    </w:rPr>
                    <w:t xml:space="preserve"> </w:t>
                  </w:r>
                  <w:r>
                    <w:rPr>
                      <w:rFonts w:hint="eastAsia" w:ascii="宋体" w:hAnsi="宋体"/>
                      <w:color w:val="000000"/>
                      <w:sz w:val="18"/>
                      <w:szCs w:val="18"/>
                    </w:rPr>
                    <w:t>g/m</w:t>
                  </w:r>
                  <w:r>
                    <w:rPr>
                      <w:rFonts w:hint="eastAsia" w:ascii="宋体" w:hAnsi="宋体"/>
                      <w:color w:val="000000"/>
                      <w:sz w:val="18"/>
                      <w:szCs w:val="18"/>
                      <w:vertAlign w:val="superscript"/>
                    </w:rPr>
                    <w:t>2</w:t>
                  </w:r>
                </w:p>
              </w:tc>
              <w:tc>
                <w:tcPr>
                  <w:tcW w:w="886" w:type="pct"/>
                  <w:noWrap w:val="0"/>
                  <w:vAlign w:val="center"/>
                </w:tcPr>
                <w:p w14:paraId="7F280100">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GB/T 22865-2008</w:t>
                  </w:r>
                </w:p>
              </w:tc>
              <w:tc>
                <w:tcPr>
                  <w:tcW w:w="1053" w:type="pct"/>
                  <w:tcBorders>
                    <w:right w:val="single" w:color="auto" w:sz="12" w:space="0"/>
                  </w:tcBorders>
                  <w:noWrap w:val="0"/>
                  <w:vAlign w:val="center"/>
                </w:tcPr>
                <w:p w14:paraId="1AF6A4E3">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内包装</w:t>
                  </w:r>
                </w:p>
              </w:tc>
            </w:tr>
            <w:tr w14:paraId="6503F4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left w:val="single" w:color="auto" w:sz="12" w:space="0"/>
                  </w:tcBorders>
                  <w:noWrap w:val="0"/>
                  <w:vAlign w:val="center"/>
                </w:tcPr>
                <w:p w14:paraId="635CEFD5">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包装检验单</w:t>
                  </w:r>
                </w:p>
              </w:tc>
              <w:tc>
                <w:tcPr>
                  <w:tcW w:w="1450" w:type="pct"/>
                  <w:noWrap w:val="0"/>
                  <w:vAlign w:val="center"/>
                </w:tcPr>
                <w:p w14:paraId="68CD45C6">
                  <w:pPr>
                    <w:keepLines w:val="0"/>
                    <w:pageBreakBefore w:val="0"/>
                    <w:topLinePunct w:val="0"/>
                    <w:bidi w:val="0"/>
                    <w:spacing w:line="240" w:lineRule="auto"/>
                    <w:jc w:val="center"/>
                    <w:rPr>
                      <w:rFonts w:hint="eastAsia" w:ascii="宋体" w:hAnsi="宋体"/>
                      <w:color w:val="000000"/>
                      <w:sz w:val="18"/>
                      <w:szCs w:val="18"/>
                    </w:rPr>
                  </w:pPr>
                  <w:r>
                    <w:rPr>
                      <w:color w:val="000000"/>
                      <w:sz w:val="18"/>
                      <w:szCs w:val="18"/>
                    </w:rPr>
                    <w:t>—</w:t>
                  </w:r>
                </w:p>
              </w:tc>
              <w:tc>
                <w:tcPr>
                  <w:tcW w:w="886" w:type="pct"/>
                  <w:noWrap w:val="0"/>
                  <w:vAlign w:val="center"/>
                </w:tcPr>
                <w:p w14:paraId="2E265F6B">
                  <w:pPr>
                    <w:keepLines w:val="0"/>
                    <w:pageBreakBefore w:val="0"/>
                    <w:topLinePunct w:val="0"/>
                    <w:bidi w:val="0"/>
                    <w:spacing w:line="240" w:lineRule="auto"/>
                    <w:ind w:left="-96" w:leftChars="-46" w:right="-107" w:rightChars="-51" w:hanging="1" w:hangingChars="1"/>
                    <w:jc w:val="center"/>
                    <w:rPr>
                      <w:rFonts w:hint="eastAsia" w:ascii="宋体" w:hAnsi="宋体"/>
                      <w:color w:val="000000"/>
                      <w:sz w:val="18"/>
                      <w:szCs w:val="18"/>
                    </w:rPr>
                  </w:pPr>
                  <w:r>
                    <w:rPr>
                      <w:color w:val="000000"/>
                      <w:sz w:val="18"/>
                      <w:szCs w:val="18"/>
                    </w:rPr>
                    <w:t>—</w:t>
                  </w:r>
                </w:p>
              </w:tc>
              <w:tc>
                <w:tcPr>
                  <w:tcW w:w="1053" w:type="pct"/>
                  <w:tcBorders>
                    <w:right w:val="single" w:color="auto" w:sz="12" w:space="0"/>
                  </w:tcBorders>
                  <w:noWrap w:val="0"/>
                  <w:vAlign w:val="center"/>
                </w:tcPr>
                <w:p w14:paraId="66D4C63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color w:val="000000"/>
                      <w:sz w:val="18"/>
                      <w:szCs w:val="18"/>
                    </w:rPr>
                  </w:pPr>
                  <w:r>
                    <w:rPr>
                      <w:rFonts w:hint="eastAsia" w:ascii="宋体" w:hAnsi="宋体" w:eastAsia="宋体"/>
                      <w:color w:val="000000"/>
                      <w:sz w:val="18"/>
                      <w:szCs w:val="18"/>
                    </w:rPr>
                    <w:t>内包装</w:t>
                  </w:r>
                </w:p>
              </w:tc>
            </w:tr>
            <w:tr w14:paraId="376A5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left w:val="single" w:color="auto" w:sz="12" w:space="0"/>
                  </w:tcBorders>
                  <w:noWrap w:val="0"/>
                  <w:vAlign w:val="center"/>
                </w:tcPr>
                <w:p w14:paraId="776F8493">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聚丙烯编织布</w:t>
                  </w:r>
                </w:p>
              </w:tc>
              <w:tc>
                <w:tcPr>
                  <w:tcW w:w="1450" w:type="pct"/>
                  <w:noWrap w:val="0"/>
                  <w:vAlign w:val="center"/>
                </w:tcPr>
                <w:p w14:paraId="6AAC002B">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单面复膜型</w:t>
                  </w:r>
                </w:p>
              </w:tc>
              <w:tc>
                <w:tcPr>
                  <w:tcW w:w="886" w:type="pct"/>
                  <w:noWrap w:val="0"/>
                  <w:vAlign w:val="center"/>
                </w:tcPr>
                <w:p w14:paraId="4561DB91">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附录D</w:t>
                  </w:r>
                </w:p>
              </w:tc>
              <w:tc>
                <w:tcPr>
                  <w:tcW w:w="1053" w:type="pct"/>
                  <w:tcBorders>
                    <w:right w:val="single" w:color="auto" w:sz="12" w:space="0"/>
                  </w:tcBorders>
                  <w:noWrap w:val="0"/>
                  <w:vAlign w:val="center"/>
                </w:tcPr>
                <w:p w14:paraId="2482AB88">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外包装</w:t>
                  </w:r>
                </w:p>
              </w:tc>
            </w:tr>
            <w:tr w14:paraId="62010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left w:val="single" w:color="auto" w:sz="12" w:space="0"/>
                  </w:tcBorders>
                  <w:noWrap w:val="0"/>
                  <w:vAlign w:val="center"/>
                </w:tcPr>
                <w:p w14:paraId="7591024E">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缝包绳</w:t>
                  </w:r>
                </w:p>
              </w:tc>
              <w:tc>
                <w:tcPr>
                  <w:tcW w:w="1450" w:type="pct"/>
                  <w:noWrap w:val="0"/>
                  <w:vAlign w:val="center"/>
                </w:tcPr>
                <w:p w14:paraId="51858A9A">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φ0.2</w:t>
                  </w:r>
                  <w:r>
                    <w:rPr>
                      <w:rFonts w:hint="eastAsia" w:ascii="宋体" w:hAnsi="宋体"/>
                      <w:color w:val="000000"/>
                      <w:sz w:val="18"/>
                      <w:szCs w:val="18"/>
                      <w:lang w:val="en-US" w:eastAsia="zh-CN"/>
                    </w:rPr>
                    <w:t xml:space="preserve"> </w:t>
                  </w:r>
                  <w:r>
                    <w:rPr>
                      <w:rFonts w:hint="eastAsia" w:ascii="宋体" w:hAnsi="宋体"/>
                      <w:color w:val="000000"/>
                      <w:sz w:val="18"/>
                      <w:szCs w:val="18"/>
                    </w:rPr>
                    <w:t>cm 二股</w:t>
                  </w:r>
                </w:p>
              </w:tc>
              <w:tc>
                <w:tcPr>
                  <w:tcW w:w="886" w:type="pct"/>
                  <w:noWrap w:val="0"/>
                  <w:vAlign w:val="center"/>
                </w:tcPr>
                <w:p w14:paraId="2C5EE7AA">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断裂强力≥200</w:t>
                  </w:r>
                  <w:r>
                    <w:rPr>
                      <w:rFonts w:hint="eastAsia" w:ascii="宋体" w:hAnsi="宋体"/>
                      <w:color w:val="000000"/>
                      <w:sz w:val="18"/>
                      <w:szCs w:val="18"/>
                      <w:lang w:val="en-US" w:eastAsia="zh-CN"/>
                    </w:rPr>
                    <w:t xml:space="preserve"> </w:t>
                  </w:r>
                  <w:r>
                    <w:rPr>
                      <w:rFonts w:hint="eastAsia" w:ascii="宋体" w:hAnsi="宋体"/>
                      <w:color w:val="000000"/>
                      <w:sz w:val="18"/>
                      <w:szCs w:val="18"/>
                    </w:rPr>
                    <w:t>N</w:t>
                  </w:r>
                </w:p>
              </w:tc>
              <w:tc>
                <w:tcPr>
                  <w:tcW w:w="1053" w:type="pct"/>
                  <w:tcBorders>
                    <w:right w:val="single" w:color="auto" w:sz="12" w:space="0"/>
                  </w:tcBorders>
                  <w:noWrap w:val="0"/>
                  <w:vAlign w:val="center"/>
                </w:tcPr>
                <w:p w14:paraId="00966085">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缝包</w:t>
                  </w:r>
                </w:p>
              </w:tc>
            </w:tr>
            <w:tr w14:paraId="64EC7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08" w:type="pct"/>
                  <w:tcBorders>
                    <w:left w:val="single" w:color="auto" w:sz="12" w:space="0"/>
                  </w:tcBorders>
                  <w:noWrap w:val="0"/>
                  <w:vAlign w:val="center"/>
                </w:tcPr>
                <w:p w14:paraId="38B16AF8">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捆包麻绳</w:t>
                  </w:r>
                </w:p>
              </w:tc>
              <w:tc>
                <w:tcPr>
                  <w:tcW w:w="1450" w:type="pct"/>
                  <w:noWrap w:val="0"/>
                  <w:vAlign w:val="center"/>
                </w:tcPr>
                <w:p w14:paraId="33A9DA6F">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φ0.7</w:t>
                  </w:r>
                  <w:r>
                    <w:rPr>
                      <w:rFonts w:hint="eastAsia" w:ascii="宋体" w:hAnsi="宋体"/>
                      <w:color w:val="000000"/>
                      <w:sz w:val="18"/>
                      <w:szCs w:val="18"/>
                      <w:lang w:val="en-US" w:eastAsia="zh-CN"/>
                    </w:rPr>
                    <w:t xml:space="preserve"> </w:t>
                  </w:r>
                  <w:r>
                    <w:rPr>
                      <w:rFonts w:hint="eastAsia" w:ascii="宋体" w:hAnsi="宋体"/>
                      <w:color w:val="000000"/>
                      <w:sz w:val="18"/>
                      <w:szCs w:val="18"/>
                    </w:rPr>
                    <w:t>cm 三股</w:t>
                  </w:r>
                </w:p>
              </w:tc>
              <w:tc>
                <w:tcPr>
                  <w:tcW w:w="886" w:type="pct"/>
                  <w:noWrap w:val="0"/>
                  <w:vAlign w:val="center"/>
                </w:tcPr>
                <w:p w14:paraId="673E3A54">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断裂强力≥1100</w:t>
                  </w:r>
                  <w:r>
                    <w:rPr>
                      <w:rFonts w:hint="eastAsia" w:ascii="宋体" w:hAnsi="宋体"/>
                      <w:color w:val="000000"/>
                      <w:sz w:val="18"/>
                      <w:szCs w:val="18"/>
                      <w:lang w:val="en-US" w:eastAsia="zh-CN"/>
                    </w:rPr>
                    <w:t xml:space="preserve"> </w:t>
                  </w:r>
                  <w:r>
                    <w:rPr>
                      <w:rFonts w:hint="eastAsia" w:ascii="宋体" w:hAnsi="宋体"/>
                      <w:color w:val="000000"/>
                      <w:sz w:val="18"/>
                      <w:szCs w:val="18"/>
                    </w:rPr>
                    <w:t>N</w:t>
                  </w:r>
                </w:p>
              </w:tc>
              <w:tc>
                <w:tcPr>
                  <w:tcW w:w="1053" w:type="pct"/>
                  <w:tcBorders>
                    <w:right w:val="single" w:color="auto" w:sz="12" w:space="0"/>
                  </w:tcBorders>
                  <w:noWrap w:val="0"/>
                  <w:vAlign w:val="center"/>
                </w:tcPr>
                <w:p w14:paraId="6F546381">
                  <w:pPr>
                    <w:keepLines w:val="0"/>
                    <w:pageBreakBefore w:val="0"/>
                    <w:topLinePunct w:val="0"/>
                    <w:bidi w:val="0"/>
                    <w:spacing w:line="240" w:lineRule="auto"/>
                    <w:jc w:val="center"/>
                    <w:rPr>
                      <w:rFonts w:hint="eastAsia" w:ascii="宋体" w:hAnsi="宋体"/>
                      <w:color w:val="000000"/>
                      <w:sz w:val="18"/>
                      <w:szCs w:val="18"/>
                    </w:rPr>
                  </w:pPr>
                  <w:r>
                    <w:rPr>
                      <w:rFonts w:hint="eastAsia" w:ascii="宋体" w:hAnsi="宋体"/>
                      <w:color w:val="000000"/>
                      <w:sz w:val="18"/>
                      <w:szCs w:val="18"/>
                    </w:rPr>
                    <w:t>捆包</w:t>
                  </w:r>
                </w:p>
              </w:tc>
            </w:tr>
            <w:tr w14:paraId="47342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left w:val="single" w:color="auto" w:sz="12" w:space="0"/>
                    <w:bottom w:val="single" w:color="auto" w:sz="12" w:space="0"/>
                    <w:right w:val="single" w:color="auto" w:sz="12" w:space="0"/>
                  </w:tcBorders>
                  <w:noWrap w:val="0"/>
                  <w:vAlign w:val="center"/>
                </w:tcPr>
                <w:p w14:paraId="09AE3569">
                  <w:pPr>
                    <w:keepLines w:val="0"/>
                    <w:pageBreakBefore w:val="0"/>
                    <w:topLinePunct w:val="0"/>
                    <w:bidi w:val="0"/>
                    <w:spacing w:line="240" w:lineRule="auto"/>
                    <w:ind w:firstLine="90" w:firstLineChars="50"/>
                    <w:rPr>
                      <w:rFonts w:hint="eastAsia" w:ascii="宋体" w:hAnsi="宋体"/>
                      <w:color w:val="000000"/>
                      <w:sz w:val="18"/>
                      <w:szCs w:val="18"/>
                    </w:rPr>
                  </w:pPr>
                  <w:r>
                    <w:rPr>
                      <w:rFonts w:hint="eastAsia" w:ascii="宋体" w:hAnsi="宋体"/>
                      <w:color w:val="auto"/>
                      <w:sz w:val="18"/>
                      <w:szCs w:val="18"/>
                    </w:rPr>
                    <w:t>注：标样是由采购方发放或由生产企业报送经采购方批准的标准实物样品。</w:t>
                  </w:r>
                </w:p>
              </w:tc>
            </w:tr>
          </w:tbl>
          <w:p w14:paraId="577F2541">
            <w:pPr>
              <w:pStyle w:val="434"/>
              <w:keepNext w:val="0"/>
              <w:keepLines w:val="0"/>
              <w:pageBreakBefore w:val="0"/>
              <w:numPr>
                <w:ilvl w:val="2"/>
                <w:numId w:val="0"/>
              </w:numPr>
              <w:kinsoku/>
              <w:wordWrap/>
              <w:overflowPunct/>
              <w:topLinePunct w:val="0"/>
              <w:autoSpaceDE/>
              <w:autoSpaceDN/>
              <w:bidi w:val="0"/>
              <w:adjustRightInd/>
              <w:snapToGrid/>
              <w:spacing w:line="240" w:lineRule="auto"/>
              <w:ind w:left="420" w:leftChars="200" w:firstLine="0" w:firstLineChars="0"/>
              <w:textAlignment w:val="auto"/>
            </w:pPr>
            <w:bookmarkStart w:id="464" w:name="_Toc90391613"/>
            <w:bookmarkStart w:id="465" w:name="_Toc27960"/>
            <w:bookmarkStart w:id="466" w:name="_Toc24082"/>
            <w:r>
              <w:rPr>
                <w:rFonts w:hint="eastAsia"/>
                <w:lang w:val="en-US" w:eastAsia="zh-CN"/>
              </w:rPr>
              <w:t>3.4</w:t>
            </w:r>
            <w:r>
              <w:rPr>
                <w:rFonts w:hint="eastAsia"/>
              </w:rPr>
              <w:t>颜色</w:t>
            </w:r>
            <w:bookmarkEnd w:id="464"/>
            <w:bookmarkEnd w:id="465"/>
            <w:bookmarkEnd w:id="466"/>
          </w:p>
          <w:p w14:paraId="184A8BDA">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eastAsia="宋体"/>
              </w:rPr>
            </w:pPr>
            <w:bookmarkStart w:id="467" w:name="_Toc465758033"/>
            <w:r>
              <w:rPr>
                <w:rFonts w:hint="eastAsia" w:ascii="方正黑体_GBK" w:hAnsi="方正黑体_GBK" w:eastAsia="方正黑体_GBK" w:cs="方正黑体_GBK"/>
                <w:kern w:val="24"/>
                <w:sz w:val="21"/>
                <w:szCs w:val="21"/>
                <w:lang w:val="en-US" w:eastAsia="zh-CN" w:bidi="ar-SA"/>
              </w:rPr>
              <w:t xml:space="preserve">3.4.1 </w:t>
            </w:r>
            <w:r>
              <w:rPr>
                <w:rFonts w:hint="eastAsia" w:ascii="宋体" w:hAnsi="宋体" w:cs="Arial"/>
                <w:lang w:val="en-US" w:eastAsia="zh-CN"/>
              </w:rPr>
              <w:t xml:space="preserve"> </w:t>
            </w:r>
            <w:r>
              <w:rPr>
                <w:rFonts w:hint="eastAsia" w:ascii="宋体" w:hAnsi="宋体" w:eastAsia="宋体" w:cs="Arial"/>
              </w:rPr>
              <w:t>面料表面颜色与标样对比，色差应不低于4级，色差评定级别应符合GB/T 250</w:t>
            </w:r>
            <w:r>
              <w:rPr>
                <w:rFonts w:ascii="宋体" w:hAnsi="宋体" w:eastAsia="宋体" w:cs="Arial"/>
              </w:rPr>
              <w:t>-</w:t>
            </w:r>
            <w:r>
              <w:rPr>
                <w:rFonts w:hint="eastAsia" w:ascii="宋体" w:hAnsi="宋体" w:eastAsia="宋体" w:cs="Arial"/>
              </w:rPr>
              <w:t>2008的规定。</w:t>
            </w:r>
            <w:bookmarkEnd w:id="467"/>
          </w:p>
          <w:p w14:paraId="5AEC0763">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sz w:val="21"/>
                <w:lang w:val="en-US" w:eastAsia="zh-CN" w:bidi="ar-SA"/>
              </w:rPr>
              <w:t xml:space="preserve">3.4.2 </w:t>
            </w:r>
            <w:r>
              <w:rPr>
                <w:rFonts w:hint="eastAsia" w:ascii="宋体" w:hAnsi="宋体" w:cs="Arial"/>
                <w:lang w:val="en-US" w:eastAsia="zh-CN"/>
              </w:rPr>
              <w:t xml:space="preserve"> </w:t>
            </w:r>
            <w:r>
              <w:rPr>
                <w:rFonts w:hint="eastAsia" w:ascii="宋体" w:hAnsi="宋体" w:eastAsia="宋体" w:cs="Arial"/>
              </w:rPr>
              <w:t>缝纫线颜色：顺面料色，与标样对比，色差应不低于</w:t>
            </w:r>
            <w:r>
              <w:rPr>
                <w:rFonts w:ascii="宋体" w:hAnsi="宋体" w:eastAsia="宋体" w:cs="Arial"/>
              </w:rPr>
              <w:t>3</w:t>
            </w:r>
            <w:r>
              <w:rPr>
                <w:rFonts w:hint="default" w:ascii="宋体" w:hAnsi="宋体" w:cs="Arial"/>
                <w:lang w:val="en"/>
              </w:rPr>
              <w:t>-</w:t>
            </w:r>
            <w:r>
              <w:rPr>
                <w:rFonts w:ascii="宋体" w:hAnsi="宋体" w:eastAsia="宋体" w:cs="Arial"/>
              </w:rPr>
              <w:t>4</w:t>
            </w:r>
            <w:r>
              <w:rPr>
                <w:rFonts w:hint="eastAsia" w:ascii="宋体" w:hAnsi="宋体" w:eastAsia="宋体" w:cs="Arial"/>
              </w:rPr>
              <w:t>级，色差评定级别应符合</w:t>
            </w:r>
            <w:r>
              <w:rPr>
                <w:rFonts w:ascii="宋体" w:hAnsi="宋体" w:eastAsia="宋体" w:cs="Arial"/>
              </w:rPr>
              <w:t>GB/T 250-2008</w:t>
            </w:r>
            <w:r>
              <w:rPr>
                <w:rFonts w:hint="eastAsia" w:ascii="宋体" w:hAnsi="宋体" w:eastAsia="宋体" w:cs="Arial"/>
              </w:rPr>
              <w:t>规定。</w:t>
            </w:r>
          </w:p>
          <w:p w14:paraId="4CC4CA4D">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sz w:val="21"/>
                <w:lang w:val="en-US" w:eastAsia="zh-CN" w:bidi="ar-SA"/>
              </w:rPr>
              <w:t xml:space="preserve">3.4.3 </w:t>
            </w:r>
            <w:r>
              <w:rPr>
                <w:rFonts w:hint="eastAsia" w:ascii="宋体" w:hAnsi="宋体" w:cs="Arial"/>
                <w:lang w:val="en-US" w:eastAsia="zh-CN"/>
              </w:rPr>
              <w:t xml:space="preserve"> </w:t>
            </w:r>
            <w:r>
              <w:rPr>
                <w:rFonts w:hint="eastAsia" w:ascii="宋体" w:hAnsi="宋体" w:eastAsia="宋体" w:cs="Arial"/>
              </w:rPr>
              <w:t>拉链颜色：顺面料色，与标样对比，色差应不低于3</w:t>
            </w:r>
            <w:r>
              <w:rPr>
                <w:rFonts w:hint="default" w:ascii="宋体" w:hAnsi="宋体" w:cs="Arial"/>
                <w:lang w:val="en"/>
              </w:rPr>
              <w:t>-</w:t>
            </w:r>
            <w:r>
              <w:rPr>
                <w:rFonts w:ascii="宋体" w:hAnsi="宋体" w:eastAsia="宋体" w:cs="Arial"/>
              </w:rPr>
              <w:t>4</w:t>
            </w:r>
            <w:r>
              <w:rPr>
                <w:rFonts w:hint="eastAsia" w:ascii="宋体" w:hAnsi="宋体" w:eastAsia="宋体" w:cs="Arial"/>
              </w:rPr>
              <w:t>级，色差评定级别应符合</w:t>
            </w:r>
            <w:r>
              <w:rPr>
                <w:rFonts w:ascii="宋体" w:hAnsi="宋体" w:eastAsia="宋体" w:cs="Arial"/>
              </w:rPr>
              <w:t>GB/T 250-2008</w:t>
            </w:r>
            <w:r>
              <w:rPr>
                <w:rFonts w:hint="eastAsia" w:ascii="宋体" w:hAnsi="宋体" w:eastAsia="宋体" w:cs="Arial"/>
              </w:rPr>
              <w:t>规定。</w:t>
            </w:r>
          </w:p>
          <w:p w14:paraId="43354D70">
            <w:pPr>
              <w:pStyle w:val="434"/>
              <w:keepNext w:val="0"/>
              <w:keepLines w:val="0"/>
              <w:pageBreakBefore w:val="0"/>
              <w:numPr>
                <w:ilvl w:val="2"/>
                <w:numId w:val="0"/>
              </w:numPr>
              <w:kinsoku/>
              <w:wordWrap/>
              <w:overflowPunct/>
              <w:topLinePunct w:val="0"/>
              <w:autoSpaceDE/>
              <w:autoSpaceDN/>
              <w:bidi w:val="0"/>
              <w:adjustRightInd/>
              <w:snapToGrid/>
              <w:spacing w:line="240" w:lineRule="auto"/>
              <w:ind w:left="420" w:leftChars="200" w:firstLine="0" w:firstLineChars="0"/>
              <w:textAlignment w:val="auto"/>
              <w:rPr>
                <w:rFonts w:hint="eastAsia"/>
              </w:rPr>
            </w:pPr>
            <w:bookmarkStart w:id="468" w:name="_Toc90391614"/>
            <w:bookmarkStart w:id="469" w:name="_Toc27197"/>
            <w:bookmarkStart w:id="470" w:name="_Toc11962"/>
            <w:r>
              <w:rPr>
                <w:rFonts w:hint="eastAsia"/>
                <w:lang w:val="en-US" w:eastAsia="zh-CN"/>
              </w:rPr>
              <w:t>3.5</w:t>
            </w:r>
            <w:r>
              <w:rPr>
                <w:rFonts w:hint="eastAsia"/>
              </w:rPr>
              <w:t>下料</w:t>
            </w:r>
            <w:bookmarkEnd w:id="468"/>
            <w:bookmarkEnd w:id="469"/>
            <w:bookmarkEnd w:id="470"/>
          </w:p>
          <w:p w14:paraId="75D0E99C">
            <w:pPr>
              <w:keepNext w:val="0"/>
              <w:keepLines w:val="0"/>
              <w:pageBreakBefore w:val="0"/>
              <w:widowControl w:val="0"/>
              <w:kinsoku/>
              <w:wordWrap/>
              <w:overflowPunct/>
              <w:topLinePunct w:val="0"/>
              <w:autoSpaceDE/>
              <w:autoSpaceDN/>
              <w:bidi w:val="0"/>
              <w:adjustRightInd/>
              <w:snapToGrid/>
              <w:spacing w:line="240" w:lineRule="auto"/>
              <w:ind w:left="420" w:leftChars="200" w:right="0" w:firstLine="0" w:firstLineChars="0"/>
              <w:textAlignment w:val="auto"/>
              <w:rPr>
                <w:rFonts w:hint="eastAsia" w:ascii="宋体" w:hAnsi="宋体" w:eastAsia="宋体" w:cs="Arial"/>
                <w:szCs w:val="21"/>
                <w:lang w:eastAsia="zh-CN"/>
              </w:rPr>
            </w:pPr>
            <w:r>
              <w:rPr>
                <w:rFonts w:hint="eastAsia" w:ascii="宋体" w:hAnsi="宋体" w:cs="Arial"/>
                <w:szCs w:val="21"/>
              </w:rPr>
              <w:t>裁片纱向及拼接按表3规定</w:t>
            </w:r>
            <w:r>
              <w:rPr>
                <w:rFonts w:hint="eastAsia" w:ascii="宋体" w:hAnsi="宋体" w:cs="Arial"/>
                <w:szCs w:val="21"/>
                <w:lang w:eastAsia="zh-CN"/>
              </w:rPr>
              <w:t>。</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262"/>
              <w:gridCol w:w="1166"/>
              <w:gridCol w:w="1071"/>
              <w:gridCol w:w="1917"/>
            </w:tblGrid>
            <w:tr w14:paraId="19CC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blHeader/>
              </w:trPr>
              <w:tc>
                <w:tcPr>
                  <w:tcW w:w="5000" w:type="pct"/>
                  <w:gridSpan w:val="5"/>
                  <w:tcBorders>
                    <w:top w:val="nil"/>
                    <w:left w:val="nil"/>
                    <w:right w:val="nil"/>
                  </w:tcBorders>
                  <w:noWrap w:val="0"/>
                  <w:vAlign w:val="center"/>
                </w:tcPr>
                <w:p w14:paraId="0D17404B">
                  <w:pPr>
                    <w:keepLines w:val="0"/>
                    <w:pageBreakBefore w:val="0"/>
                    <w:topLinePunct w:val="0"/>
                    <w:bidi w:val="0"/>
                    <w:spacing w:line="240" w:lineRule="auto"/>
                    <w:jc w:val="center"/>
                    <w:rPr>
                      <w:rFonts w:hint="eastAsia" w:ascii="宋体" w:hAnsi="宋体" w:eastAsia="黑体"/>
                      <w:sz w:val="18"/>
                      <w:szCs w:val="18"/>
                      <w:lang w:val="en-US" w:eastAsia="zh-CN"/>
                    </w:rPr>
                  </w:pPr>
                  <w:r>
                    <w:rPr>
                      <w:rFonts w:hint="eastAsia" w:ascii="黑体" w:hAnsi="黑体" w:eastAsia="黑体"/>
                      <w:color w:val="000000"/>
                    </w:rPr>
                    <w:t>表3 裁片纱向及拼接</w:t>
                  </w:r>
                </w:p>
              </w:tc>
            </w:tr>
            <w:tr w14:paraId="2F54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blHeader/>
              </w:trPr>
              <w:tc>
                <w:tcPr>
                  <w:tcW w:w="871" w:type="pct"/>
                  <w:vMerge w:val="restart"/>
                  <w:tcBorders>
                    <w:top w:val="single" w:color="auto" w:sz="12" w:space="0"/>
                    <w:left w:val="single" w:color="auto" w:sz="12" w:space="0"/>
                    <w:right w:val="single" w:color="auto" w:sz="4" w:space="0"/>
                  </w:tcBorders>
                  <w:noWrap w:val="0"/>
                  <w:vAlign w:val="center"/>
                </w:tcPr>
                <w:p w14:paraId="7E0E397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裁片名称</w:t>
                  </w:r>
                </w:p>
              </w:tc>
              <w:tc>
                <w:tcPr>
                  <w:tcW w:w="963" w:type="pct"/>
                  <w:vMerge w:val="restart"/>
                  <w:tcBorders>
                    <w:top w:val="single" w:color="auto" w:sz="12" w:space="0"/>
                    <w:left w:val="single" w:color="auto" w:sz="4" w:space="0"/>
                    <w:right w:val="single" w:color="auto" w:sz="4" w:space="0"/>
                  </w:tcBorders>
                  <w:noWrap w:val="0"/>
                  <w:vAlign w:val="center"/>
                </w:tcPr>
                <w:p w14:paraId="1595AF5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下料方向</w:t>
                  </w:r>
                </w:p>
              </w:tc>
              <w:tc>
                <w:tcPr>
                  <w:tcW w:w="1705" w:type="pct"/>
                  <w:gridSpan w:val="2"/>
                  <w:tcBorders>
                    <w:top w:val="single" w:color="auto" w:sz="12" w:space="0"/>
                    <w:left w:val="single" w:color="auto" w:sz="4" w:space="0"/>
                    <w:right w:val="single" w:color="auto" w:sz="4" w:space="0"/>
                  </w:tcBorders>
                  <w:noWrap w:val="0"/>
                  <w:vAlign w:val="center"/>
                </w:tcPr>
                <w:p w14:paraId="0705E96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拼接道数</w:t>
                  </w:r>
                </w:p>
              </w:tc>
              <w:tc>
                <w:tcPr>
                  <w:tcW w:w="1461" w:type="pct"/>
                  <w:vMerge w:val="restart"/>
                  <w:tcBorders>
                    <w:top w:val="single" w:color="auto" w:sz="12" w:space="0"/>
                    <w:left w:val="single" w:color="auto" w:sz="4" w:space="0"/>
                    <w:bottom w:val="single" w:color="auto" w:sz="18" w:space="0"/>
                    <w:right w:val="single" w:color="auto" w:sz="12" w:space="0"/>
                  </w:tcBorders>
                  <w:noWrap w:val="0"/>
                  <w:vAlign w:val="center"/>
                </w:tcPr>
                <w:p w14:paraId="23AF59F3">
                  <w:pPr>
                    <w:keepLines w:val="0"/>
                    <w:pageBreakBefore w:val="0"/>
                    <w:topLinePunct w:val="0"/>
                    <w:bidi w:val="0"/>
                    <w:spacing w:line="240" w:lineRule="auto"/>
                    <w:jc w:val="center"/>
                    <w:rPr>
                      <w:rFonts w:hint="eastAsia" w:ascii="宋体" w:hAnsi="宋体"/>
                      <w:sz w:val="18"/>
                      <w:szCs w:val="18"/>
                    </w:rPr>
                  </w:pPr>
                  <w:r>
                    <w:rPr>
                      <w:rFonts w:hint="eastAsia" w:ascii="宋体" w:hAnsi="宋体" w:eastAsia="宋体"/>
                      <w:sz w:val="18"/>
                      <w:szCs w:val="18"/>
                    </w:rPr>
                    <w:t>要求</w:t>
                  </w:r>
                </w:p>
              </w:tc>
            </w:tr>
            <w:tr w14:paraId="55D0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71" w:type="pct"/>
                  <w:vMerge w:val="continue"/>
                  <w:tcBorders>
                    <w:left w:val="single" w:color="auto" w:sz="12" w:space="0"/>
                    <w:bottom w:val="single" w:color="auto" w:sz="12" w:space="0"/>
                    <w:right w:val="single" w:color="auto" w:sz="4" w:space="0"/>
                  </w:tcBorders>
                  <w:noWrap w:val="0"/>
                  <w:vAlign w:val="top"/>
                </w:tcPr>
                <w:p w14:paraId="4B8B5E62">
                  <w:pPr>
                    <w:keepLines w:val="0"/>
                    <w:pageBreakBefore w:val="0"/>
                    <w:topLinePunct w:val="0"/>
                    <w:bidi w:val="0"/>
                    <w:spacing w:line="240" w:lineRule="auto"/>
                    <w:jc w:val="center"/>
                    <w:rPr>
                      <w:rFonts w:hint="eastAsia" w:ascii="宋体" w:hAnsi="宋体"/>
                      <w:sz w:val="18"/>
                      <w:szCs w:val="18"/>
                    </w:rPr>
                  </w:pPr>
                </w:p>
              </w:tc>
              <w:tc>
                <w:tcPr>
                  <w:tcW w:w="963" w:type="pct"/>
                  <w:vMerge w:val="continue"/>
                  <w:tcBorders>
                    <w:left w:val="single" w:color="auto" w:sz="4" w:space="0"/>
                    <w:bottom w:val="single" w:color="auto" w:sz="12" w:space="0"/>
                    <w:right w:val="single" w:color="auto" w:sz="4" w:space="0"/>
                  </w:tcBorders>
                  <w:noWrap w:val="0"/>
                  <w:vAlign w:val="top"/>
                </w:tcPr>
                <w:p w14:paraId="57320286">
                  <w:pPr>
                    <w:keepLines w:val="0"/>
                    <w:pageBreakBefore w:val="0"/>
                    <w:topLinePunct w:val="0"/>
                    <w:bidi w:val="0"/>
                    <w:spacing w:line="240" w:lineRule="auto"/>
                    <w:jc w:val="center"/>
                    <w:rPr>
                      <w:rFonts w:hint="eastAsia" w:ascii="宋体" w:hAnsi="宋体"/>
                      <w:sz w:val="18"/>
                      <w:szCs w:val="18"/>
                    </w:rPr>
                  </w:pPr>
                </w:p>
              </w:tc>
              <w:tc>
                <w:tcPr>
                  <w:tcW w:w="889" w:type="pct"/>
                  <w:tcBorders>
                    <w:top w:val="single" w:color="auto" w:sz="4" w:space="0"/>
                    <w:left w:val="single" w:color="auto" w:sz="4" w:space="0"/>
                    <w:bottom w:val="single" w:color="auto" w:sz="12" w:space="0"/>
                    <w:right w:val="single" w:color="auto" w:sz="4" w:space="0"/>
                  </w:tcBorders>
                  <w:noWrap w:val="0"/>
                  <w:vAlign w:val="center"/>
                </w:tcPr>
                <w:p w14:paraId="42D7EB2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经向</w:t>
                  </w:r>
                </w:p>
              </w:tc>
              <w:tc>
                <w:tcPr>
                  <w:tcW w:w="816" w:type="pct"/>
                  <w:tcBorders>
                    <w:top w:val="single" w:color="auto" w:sz="4" w:space="0"/>
                    <w:left w:val="single" w:color="auto" w:sz="4" w:space="0"/>
                    <w:bottom w:val="single" w:color="auto" w:sz="12" w:space="0"/>
                    <w:right w:val="single" w:color="auto" w:sz="4" w:space="0"/>
                  </w:tcBorders>
                  <w:noWrap w:val="0"/>
                  <w:vAlign w:val="center"/>
                </w:tcPr>
                <w:p w14:paraId="2470629E">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纬向</w:t>
                  </w:r>
                </w:p>
              </w:tc>
              <w:tc>
                <w:tcPr>
                  <w:tcW w:w="1461" w:type="pct"/>
                  <w:vMerge w:val="continue"/>
                  <w:tcBorders>
                    <w:top w:val="single" w:color="auto" w:sz="18" w:space="0"/>
                    <w:left w:val="single" w:color="auto" w:sz="4" w:space="0"/>
                    <w:right w:val="single" w:color="auto" w:sz="12" w:space="0"/>
                  </w:tcBorders>
                  <w:noWrap w:val="0"/>
                  <w:vAlign w:val="top"/>
                </w:tcPr>
                <w:p w14:paraId="0B1E57A4">
                  <w:pPr>
                    <w:keepLines w:val="0"/>
                    <w:pageBreakBefore w:val="0"/>
                    <w:topLinePunct w:val="0"/>
                    <w:bidi w:val="0"/>
                    <w:spacing w:line="240" w:lineRule="auto"/>
                    <w:jc w:val="center"/>
                    <w:rPr>
                      <w:rFonts w:hint="eastAsia" w:ascii="宋体" w:hAnsi="宋体"/>
                      <w:sz w:val="18"/>
                      <w:szCs w:val="18"/>
                    </w:rPr>
                  </w:pPr>
                </w:p>
              </w:tc>
            </w:tr>
            <w:tr w14:paraId="75AA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pct"/>
                  <w:tcBorders>
                    <w:top w:val="single" w:color="auto" w:sz="12" w:space="0"/>
                    <w:left w:val="single" w:color="auto" w:sz="12" w:space="0"/>
                  </w:tcBorders>
                  <w:noWrap w:val="0"/>
                  <w:vAlign w:val="top"/>
                </w:tcPr>
                <w:p w14:paraId="407FA4B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褥套面</w:t>
                  </w:r>
                </w:p>
              </w:tc>
              <w:tc>
                <w:tcPr>
                  <w:tcW w:w="963" w:type="pct"/>
                  <w:tcBorders>
                    <w:top w:val="single" w:color="auto" w:sz="12" w:space="0"/>
                  </w:tcBorders>
                  <w:noWrap w:val="0"/>
                  <w:vAlign w:val="top"/>
                </w:tcPr>
                <w:p w14:paraId="2A13ECC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经</w:t>
                  </w:r>
                </w:p>
              </w:tc>
              <w:tc>
                <w:tcPr>
                  <w:tcW w:w="889" w:type="pct"/>
                  <w:tcBorders>
                    <w:top w:val="single" w:color="auto" w:sz="12" w:space="0"/>
                  </w:tcBorders>
                  <w:noWrap w:val="0"/>
                  <w:vAlign w:val="top"/>
                </w:tcPr>
                <w:p w14:paraId="7F1A5180">
                  <w:pPr>
                    <w:keepLines w:val="0"/>
                    <w:pageBreakBefore w:val="0"/>
                    <w:topLinePunct w:val="0"/>
                    <w:bidi w:val="0"/>
                    <w:spacing w:line="240" w:lineRule="auto"/>
                    <w:jc w:val="center"/>
                    <w:rPr>
                      <w:rFonts w:hint="eastAsia" w:ascii="宋体" w:hAnsi="宋体"/>
                      <w:sz w:val="18"/>
                      <w:szCs w:val="18"/>
                    </w:rPr>
                  </w:pPr>
                  <w:r>
                    <w:rPr>
                      <w:sz w:val="18"/>
                      <w:szCs w:val="18"/>
                    </w:rPr>
                    <w:t>—</w:t>
                  </w:r>
                </w:p>
              </w:tc>
              <w:tc>
                <w:tcPr>
                  <w:tcW w:w="816" w:type="pct"/>
                  <w:tcBorders>
                    <w:top w:val="single" w:color="auto" w:sz="12" w:space="0"/>
                  </w:tcBorders>
                  <w:noWrap w:val="0"/>
                  <w:vAlign w:val="top"/>
                </w:tcPr>
                <w:p w14:paraId="0B4F63A2">
                  <w:pPr>
                    <w:keepLines w:val="0"/>
                    <w:pageBreakBefore w:val="0"/>
                    <w:topLinePunct w:val="0"/>
                    <w:bidi w:val="0"/>
                    <w:spacing w:line="240" w:lineRule="auto"/>
                    <w:jc w:val="center"/>
                    <w:rPr>
                      <w:rFonts w:hint="eastAsia" w:ascii="宋体" w:hAnsi="宋体"/>
                      <w:sz w:val="18"/>
                      <w:szCs w:val="18"/>
                    </w:rPr>
                  </w:pPr>
                  <w:r>
                    <w:rPr>
                      <w:sz w:val="18"/>
                      <w:szCs w:val="18"/>
                    </w:rPr>
                    <w:t>—</w:t>
                  </w:r>
                </w:p>
              </w:tc>
              <w:tc>
                <w:tcPr>
                  <w:tcW w:w="1461" w:type="pct"/>
                  <w:tcBorders>
                    <w:right w:val="single" w:color="auto" w:sz="12" w:space="0"/>
                  </w:tcBorders>
                  <w:noWrap w:val="0"/>
                  <w:vAlign w:val="top"/>
                </w:tcPr>
                <w:p w14:paraId="21C339CB">
                  <w:pPr>
                    <w:keepLines w:val="0"/>
                    <w:pageBreakBefore w:val="0"/>
                    <w:topLinePunct w:val="0"/>
                    <w:bidi w:val="0"/>
                    <w:spacing w:line="240" w:lineRule="auto"/>
                    <w:jc w:val="center"/>
                    <w:rPr>
                      <w:rFonts w:hint="eastAsia" w:ascii="宋体" w:hAnsi="宋体"/>
                      <w:sz w:val="18"/>
                      <w:szCs w:val="18"/>
                    </w:rPr>
                  </w:pPr>
                  <w:r>
                    <w:rPr>
                      <w:sz w:val="18"/>
                      <w:szCs w:val="18"/>
                    </w:rPr>
                    <w:t>—</w:t>
                  </w:r>
                </w:p>
              </w:tc>
            </w:tr>
            <w:tr w14:paraId="3342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71" w:type="pct"/>
                  <w:tcBorders>
                    <w:left w:val="single" w:color="auto" w:sz="12" w:space="0"/>
                  </w:tcBorders>
                  <w:noWrap w:val="0"/>
                  <w:vAlign w:val="center"/>
                </w:tcPr>
                <w:p w14:paraId="7F534A3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褥套里</w:t>
                  </w:r>
                </w:p>
              </w:tc>
              <w:tc>
                <w:tcPr>
                  <w:tcW w:w="963" w:type="pct"/>
                  <w:noWrap w:val="0"/>
                  <w:vAlign w:val="center"/>
                </w:tcPr>
                <w:p w14:paraId="002F39E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经</w:t>
                  </w:r>
                </w:p>
              </w:tc>
              <w:tc>
                <w:tcPr>
                  <w:tcW w:w="889" w:type="pct"/>
                  <w:noWrap w:val="0"/>
                  <w:vAlign w:val="center"/>
                </w:tcPr>
                <w:p w14:paraId="548DC885">
                  <w:pPr>
                    <w:keepLines w:val="0"/>
                    <w:pageBreakBefore w:val="0"/>
                    <w:topLinePunct w:val="0"/>
                    <w:bidi w:val="0"/>
                    <w:spacing w:line="240" w:lineRule="auto"/>
                    <w:jc w:val="center"/>
                    <w:rPr>
                      <w:rFonts w:hint="eastAsia" w:ascii="宋体" w:hAnsi="宋体"/>
                      <w:sz w:val="18"/>
                      <w:szCs w:val="18"/>
                    </w:rPr>
                  </w:pPr>
                  <w:r>
                    <w:rPr>
                      <w:sz w:val="18"/>
                      <w:szCs w:val="18"/>
                    </w:rPr>
                    <w:t>—</w:t>
                  </w:r>
                </w:p>
              </w:tc>
              <w:tc>
                <w:tcPr>
                  <w:tcW w:w="816" w:type="pct"/>
                  <w:noWrap w:val="0"/>
                  <w:vAlign w:val="center"/>
                </w:tcPr>
                <w:p w14:paraId="51B2D096">
                  <w:pPr>
                    <w:keepLines w:val="0"/>
                    <w:pageBreakBefore w:val="0"/>
                    <w:topLinePunct w:val="0"/>
                    <w:bidi w:val="0"/>
                    <w:spacing w:line="240" w:lineRule="auto"/>
                    <w:jc w:val="center"/>
                    <w:rPr>
                      <w:rFonts w:hint="eastAsia" w:ascii="宋体" w:hAnsi="宋体"/>
                      <w:sz w:val="18"/>
                      <w:szCs w:val="18"/>
                    </w:rPr>
                  </w:pPr>
                  <w:r>
                    <w:rPr>
                      <w:sz w:val="18"/>
                      <w:szCs w:val="18"/>
                    </w:rPr>
                    <w:t>—</w:t>
                  </w:r>
                </w:p>
              </w:tc>
              <w:tc>
                <w:tcPr>
                  <w:tcW w:w="1461" w:type="pct"/>
                  <w:tcBorders>
                    <w:right w:val="single" w:color="auto" w:sz="12" w:space="0"/>
                  </w:tcBorders>
                  <w:noWrap w:val="0"/>
                  <w:vAlign w:val="center"/>
                </w:tcPr>
                <w:p w14:paraId="60D15509">
                  <w:pPr>
                    <w:keepLines w:val="0"/>
                    <w:pageBreakBefore w:val="0"/>
                    <w:topLinePunct w:val="0"/>
                    <w:bidi w:val="0"/>
                    <w:spacing w:line="240" w:lineRule="auto"/>
                    <w:jc w:val="center"/>
                    <w:rPr>
                      <w:rFonts w:hint="eastAsia" w:ascii="宋体" w:hAnsi="宋体"/>
                      <w:sz w:val="18"/>
                      <w:szCs w:val="18"/>
                    </w:rPr>
                  </w:pPr>
                </w:p>
              </w:tc>
            </w:tr>
            <w:tr w14:paraId="7131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left w:val="single" w:color="auto" w:sz="12" w:space="0"/>
                    <w:bottom w:val="single" w:color="auto" w:sz="12" w:space="0"/>
                    <w:right w:val="single" w:color="auto" w:sz="12" w:space="0"/>
                  </w:tcBorders>
                  <w:noWrap w:val="0"/>
                  <w:vAlign w:val="center"/>
                </w:tcPr>
                <w:p w14:paraId="2CF86835">
                  <w:pPr>
                    <w:keepLines w:val="0"/>
                    <w:pageBreakBefore w:val="0"/>
                    <w:topLinePunct w:val="0"/>
                    <w:bidi w:val="0"/>
                    <w:spacing w:line="240" w:lineRule="auto"/>
                    <w:rPr>
                      <w:rFonts w:hint="eastAsia" w:ascii="宋体" w:hAnsi="宋体"/>
                      <w:sz w:val="18"/>
                      <w:szCs w:val="18"/>
                    </w:rPr>
                  </w:pPr>
                  <w:r>
                    <w:rPr>
                      <w:rFonts w:hint="eastAsia" w:ascii="宋体" w:hAnsi="宋体"/>
                      <w:sz w:val="18"/>
                      <w:szCs w:val="18"/>
                    </w:rPr>
                    <w:t>注：可面、里连裁；面里按标准尺寸各加放5cm备放量</w:t>
                  </w:r>
                </w:p>
              </w:tc>
            </w:tr>
          </w:tbl>
          <w:p w14:paraId="63011B38">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黑体" w:hAnsi="Times New Roman" w:eastAsia="黑体" w:cs="Times New Roman"/>
                <w:sz w:val="21"/>
                <w:lang w:val="en-US" w:eastAsia="zh-CN" w:bidi="ar-SA"/>
              </w:rPr>
            </w:pPr>
            <w:bookmarkStart w:id="471" w:name="_Toc90391615"/>
            <w:bookmarkStart w:id="472" w:name="_Toc472513333"/>
            <w:bookmarkStart w:id="473" w:name="_Toc464313149"/>
            <w:bookmarkStart w:id="474" w:name="_Toc9098"/>
            <w:bookmarkStart w:id="475" w:name="_Toc465873911"/>
            <w:bookmarkStart w:id="476" w:name="_Toc23538"/>
            <w:bookmarkStart w:id="477" w:name="_Toc475691052"/>
            <w:bookmarkStart w:id="478" w:name="_Toc464462788"/>
            <w:bookmarkStart w:id="479" w:name="_Toc465871392"/>
            <w:bookmarkStart w:id="480" w:name="_Toc475375087"/>
          </w:p>
          <w:p w14:paraId="3A56908F">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sz w:val="21"/>
                <w:lang w:val="en-US" w:eastAsia="zh-CN" w:bidi="ar-SA"/>
              </w:rPr>
              <w:t>3.6絮料</w:t>
            </w:r>
            <w:bookmarkEnd w:id="471"/>
          </w:p>
          <w:p w14:paraId="04EB9DDD">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sz w:val="21"/>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3385820</wp:posOffset>
                      </wp:positionH>
                      <wp:positionV relativeFrom="paragraph">
                        <wp:posOffset>280670</wp:posOffset>
                      </wp:positionV>
                      <wp:extent cx="304800" cy="209550"/>
                      <wp:effectExtent l="0" t="0" r="0" b="0"/>
                      <wp:wrapNone/>
                      <wp:docPr id="310" name="矩形 310"/>
                      <wp:cNvGraphicFramePr/>
                      <a:graphic xmlns:a="http://schemas.openxmlformats.org/drawingml/2006/main">
                        <a:graphicData uri="http://schemas.microsoft.com/office/word/2010/wordprocessingShape">
                          <wps:wsp>
                            <wps:cNvSpPr/>
                            <wps:spPr>
                              <a:xfrm>
                                <a:off x="0" y="0"/>
                                <a:ext cx="304800" cy="209550"/>
                              </a:xfrm>
                              <a:prstGeom prst="rect">
                                <a:avLst/>
                              </a:prstGeom>
                              <a:solidFill>
                                <a:srgbClr val="FFFFFF"/>
                              </a:solidFill>
                              <a:ln>
                                <a:noFill/>
                              </a:ln>
                              <a:effectLst/>
                            </wps:spPr>
                            <wps:bodyPr vert="horz" anchor="t" anchorCtr="0" upright="1"/>
                          </wps:wsp>
                        </a:graphicData>
                      </a:graphic>
                    </wp:anchor>
                  </w:drawing>
                </mc:Choice>
                <mc:Fallback>
                  <w:pict>
                    <v:rect id="_x0000_s1026" o:spid="_x0000_s1026" o:spt="1" style="position:absolute;left:0pt;margin-left:266.6pt;margin-top:22.1pt;height:16.5pt;width:24pt;z-index:251677696;mso-width-relative:page;mso-height-relative:page;" fillcolor="#FFFFFF" filled="t" stroked="f" coordsize="21600,21600" o:gfxdata="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6fmENcAAAAJAQAADwAAAAAAAAABACAAAAAiAAAAZHJz&#10;L2Rvd25yZXYueG1sUEsBAhQAFAAAAAgAh07iQF6ZCy7MAQAAlQMAAA4AAAAAAAAAAQAgAAAAJgEA&#10;AGRycy9lMm9Eb2MueG1sUEsFBgAAAAAGAAYAWQEAAGQFAAAAAA==&#10;">
                      <v:fill on="t" focussize="0,0"/>
                      <v:stroke on="f"/>
                      <v:imagedata o:title=""/>
                      <o:lock v:ext="edit" aspectratio="f"/>
                    </v:rect>
                  </w:pict>
                </mc:Fallback>
              </mc:AlternateContent>
            </w:r>
            <w:r>
              <w:rPr>
                <w:rFonts w:hint="eastAsia" w:ascii="黑体" w:hAnsi="Times New Roman" w:eastAsia="黑体" w:cs="Times New Roman"/>
                <w:sz w:val="21"/>
                <w:lang w:val="en-US" w:eastAsia="zh-CN" w:bidi="ar-SA"/>
              </w:rPr>
              <w:t>3.6.1</w:t>
            </w:r>
            <w:r>
              <w:rPr>
                <w:rFonts w:hint="eastAsia" w:ascii="宋体" w:hAnsi="宋体" w:eastAsia="宋体" w:cs="Arial"/>
                <w:lang w:val="en-US" w:eastAsia="zh-CN"/>
              </w:rPr>
              <w:t xml:space="preserve">  </w:t>
            </w:r>
            <w:r>
              <w:rPr>
                <w:rFonts w:hint="eastAsia" w:ascii="宋体" w:hAnsi="宋体" w:eastAsia="宋体" w:cs="Arial"/>
              </w:rPr>
              <w:t>褥胎絮料可根据要求自行选用热熔涤纶絮片、热熔棉涤絮片或棉纤维。</w:t>
            </w:r>
          </w:p>
          <w:p w14:paraId="2222B08D">
            <w:pPr>
              <w:pStyle w:val="269"/>
              <w:rPr>
                <w:rFonts w:hint="eastAsia"/>
              </w:rPr>
            </w:pPr>
          </w:p>
          <w:p w14:paraId="4BDC76D8">
            <w:pPr>
              <w:pStyle w:val="2"/>
              <w:ind w:firstLine="420" w:firstLineChars="200"/>
              <w:rPr>
                <w:rFonts w:hint="eastAsia"/>
              </w:rPr>
            </w:pPr>
            <w:r>
              <w:rPr>
                <w:rFonts w:hint="eastAsia" w:ascii="黑体" w:hAnsi="Times New Roman" w:eastAsia="黑体" w:cs="Times New Roman"/>
                <w:sz w:val="21"/>
                <w:lang w:val="en-US" w:eastAsia="zh-CN" w:bidi="ar-SA"/>
              </w:rPr>
              <w:t xml:space="preserve">3.6.2 </w:t>
            </w:r>
            <w:r>
              <w:rPr>
                <w:rFonts w:hint="eastAsia" w:ascii="宋体" w:hAnsi="宋体" w:eastAsia="宋体" w:cs="Arial"/>
                <w:lang w:val="en-US" w:eastAsia="zh-CN"/>
              </w:rPr>
              <w:t xml:space="preserve"> </w:t>
            </w:r>
            <w:r>
              <w:rPr>
                <w:rFonts w:hint="eastAsia" w:ascii="宋体" w:hAnsi="宋体" w:eastAsia="宋体" w:cs="Arial"/>
              </w:rPr>
              <w:t>褥胎重量按表4规定。</w:t>
            </w:r>
          </w:p>
          <w:tbl>
            <w:tblPr>
              <w:tblStyle w:val="58"/>
              <w:tblW w:w="6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1504"/>
              <w:gridCol w:w="1199"/>
              <w:gridCol w:w="1367"/>
            </w:tblGrid>
            <w:tr w14:paraId="6583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blHeader/>
              </w:trPr>
              <w:tc>
                <w:tcPr>
                  <w:tcW w:w="6420" w:type="dxa"/>
                  <w:gridSpan w:val="4"/>
                  <w:tcBorders>
                    <w:top w:val="nil"/>
                    <w:left w:val="nil"/>
                    <w:bottom w:val="single" w:color="auto" w:sz="12" w:space="0"/>
                    <w:right w:val="nil"/>
                  </w:tcBorders>
                  <w:noWrap w:val="0"/>
                  <w:vAlign w:val="center"/>
                </w:tcPr>
                <w:p w14:paraId="0CE51401">
                  <w:pPr>
                    <w:keepLines w:val="0"/>
                    <w:pageBreakBefore w:val="0"/>
                    <w:wordWrap w:val="0"/>
                    <w:topLinePunct w:val="0"/>
                    <w:bidi w:val="0"/>
                    <w:spacing w:line="240" w:lineRule="auto"/>
                    <w:jc w:val="right"/>
                    <w:rPr>
                      <w:rFonts w:hint="eastAsia" w:ascii="宋体" w:hAnsi="宋体"/>
                      <w:color w:val="FF0000"/>
                      <w:sz w:val="18"/>
                      <w:szCs w:val="18"/>
                    </w:rPr>
                  </w:pPr>
                  <w:r>
                    <w:rPr>
                      <w:rFonts w:hint="eastAsia" w:ascii="黑体" w:hAnsi="黑体" w:eastAsia="黑体"/>
                      <w:color w:val="000000"/>
                    </w:rPr>
                    <w:t>表4褥胎重量</w:t>
                  </w:r>
                  <w:r>
                    <w:rPr>
                      <w:rFonts w:hint="eastAsia" w:ascii="宋体" w:hAnsi="宋体"/>
                      <w:color w:val="000000"/>
                    </w:rPr>
                    <w:t>（续）</w:t>
                  </w:r>
                  <w:r>
                    <w:rPr>
                      <w:rFonts w:hint="eastAsia" w:ascii="宋体"/>
                      <w:color w:val="000000"/>
                    </w:rPr>
                    <w:t xml:space="preserve">               </w:t>
                  </w:r>
                  <w:r>
                    <w:rPr>
                      <w:rFonts w:hint="eastAsia" w:ascii="宋体"/>
                      <w:color w:val="000000"/>
                      <w:sz w:val="18"/>
                      <w:szCs w:val="18"/>
                    </w:rPr>
                    <w:t xml:space="preserve"> 单位：克</w:t>
                  </w:r>
                </w:p>
              </w:tc>
            </w:tr>
            <w:tr w14:paraId="2BA6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Header/>
              </w:trPr>
              <w:tc>
                <w:tcPr>
                  <w:tcW w:w="3854" w:type="dxa"/>
                  <w:gridSpan w:val="2"/>
                  <w:tcBorders>
                    <w:top w:val="single" w:color="auto" w:sz="12" w:space="0"/>
                    <w:left w:val="single" w:color="auto" w:sz="12" w:space="0"/>
                    <w:bottom w:val="single" w:color="auto" w:sz="12" w:space="0"/>
                    <w:right w:val="single" w:color="auto" w:sz="4" w:space="0"/>
                  </w:tcBorders>
                  <w:noWrap w:val="0"/>
                  <w:vAlign w:val="center"/>
                </w:tcPr>
                <w:p w14:paraId="10B42C5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絮料</w:t>
                  </w:r>
                </w:p>
              </w:tc>
              <w:tc>
                <w:tcPr>
                  <w:tcW w:w="1199" w:type="dxa"/>
                  <w:tcBorders>
                    <w:top w:val="single" w:color="auto" w:sz="12" w:space="0"/>
                    <w:left w:val="single" w:color="auto" w:sz="4" w:space="0"/>
                    <w:bottom w:val="single" w:color="auto" w:sz="12" w:space="0"/>
                    <w:right w:val="single" w:color="auto" w:sz="4" w:space="0"/>
                  </w:tcBorders>
                  <w:noWrap w:val="0"/>
                  <w:vAlign w:val="center"/>
                </w:tcPr>
                <w:p w14:paraId="370E0811">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被胎总重量</w:t>
                  </w:r>
                </w:p>
              </w:tc>
              <w:tc>
                <w:tcPr>
                  <w:tcW w:w="1367" w:type="dxa"/>
                  <w:tcBorders>
                    <w:top w:val="single" w:color="auto" w:sz="12" w:space="0"/>
                    <w:left w:val="single" w:color="auto" w:sz="4" w:space="0"/>
                    <w:bottom w:val="single" w:color="auto" w:sz="12" w:space="0"/>
                    <w:right w:val="single" w:color="auto" w:sz="12" w:space="0"/>
                  </w:tcBorders>
                  <w:noWrap w:val="0"/>
                  <w:vAlign w:val="center"/>
                </w:tcPr>
                <w:p w14:paraId="079F7CF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允许偏差±</w:t>
                  </w:r>
                </w:p>
              </w:tc>
            </w:tr>
            <w:tr w14:paraId="2555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50" w:type="dxa"/>
                  <w:tcBorders>
                    <w:left w:val="single" w:color="auto" w:sz="12" w:space="0"/>
                    <w:bottom w:val="single" w:color="auto" w:sz="12" w:space="0"/>
                  </w:tcBorders>
                  <w:noWrap w:val="0"/>
                  <w:vAlign w:val="top"/>
                </w:tcPr>
                <w:p w14:paraId="5E86A864">
                  <w:pPr>
                    <w:keepLines w:val="0"/>
                    <w:pageBreakBefore w:val="0"/>
                    <w:topLinePunct w:val="0"/>
                    <w:bidi w:val="0"/>
                    <w:spacing w:line="240" w:lineRule="auto"/>
                    <w:jc w:val="center"/>
                    <w:rPr>
                      <w:rFonts w:hint="eastAsia" w:ascii="宋体" w:hAnsi="宋体"/>
                      <w:color w:val="FF0000"/>
                      <w:sz w:val="18"/>
                      <w:szCs w:val="18"/>
                    </w:rPr>
                  </w:pPr>
                  <w:r>
                    <w:rPr>
                      <w:rFonts w:hint="eastAsia" w:ascii="宋体" w:hAnsi="宋体"/>
                      <w:sz w:val="18"/>
                      <w:szCs w:val="18"/>
                      <w:highlight w:val="none"/>
                    </w:rPr>
                    <w:t>棉纤维</w:t>
                  </w:r>
                </w:p>
              </w:tc>
              <w:tc>
                <w:tcPr>
                  <w:tcW w:w="1504" w:type="dxa"/>
                  <w:tcBorders>
                    <w:bottom w:val="single" w:color="auto" w:sz="12" w:space="0"/>
                  </w:tcBorders>
                  <w:noWrap w:val="0"/>
                  <w:vAlign w:val="center"/>
                </w:tcPr>
                <w:p w14:paraId="1433D0C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寒区</w:t>
                  </w:r>
                </w:p>
              </w:tc>
              <w:tc>
                <w:tcPr>
                  <w:tcW w:w="1199" w:type="dxa"/>
                  <w:tcBorders>
                    <w:bottom w:val="single" w:color="auto" w:sz="12" w:space="0"/>
                  </w:tcBorders>
                  <w:noWrap w:val="0"/>
                  <w:vAlign w:val="center"/>
                </w:tcPr>
                <w:p w14:paraId="253BB18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2000</w:t>
                  </w:r>
                </w:p>
              </w:tc>
              <w:tc>
                <w:tcPr>
                  <w:tcW w:w="1367" w:type="dxa"/>
                  <w:tcBorders>
                    <w:bottom w:val="single" w:color="auto" w:sz="12" w:space="0"/>
                    <w:right w:val="single" w:color="auto" w:sz="12" w:space="0"/>
                  </w:tcBorders>
                  <w:noWrap w:val="0"/>
                  <w:vAlign w:val="center"/>
                </w:tcPr>
                <w:p w14:paraId="2BE022D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75</w:t>
                  </w:r>
                </w:p>
              </w:tc>
            </w:tr>
          </w:tbl>
          <w:p w14:paraId="6EB0F151">
            <w:pPr>
              <w:pStyle w:val="282"/>
              <w:keepLines w:val="0"/>
              <w:pageBreakBefore w:val="0"/>
              <w:numPr>
                <w:ilvl w:val="3"/>
                <w:numId w:val="0"/>
              </w:numPr>
              <w:topLinePunct w:val="0"/>
              <w:bidi w:val="0"/>
              <w:spacing w:before="156" w:after="156" w:line="240" w:lineRule="auto"/>
              <w:ind w:left="420" w:leftChars="200" w:firstLine="0" w:firstLineChars="0"/>
              <w:rPr>
                <w:rFonts w:hint="eastAsia" w:ascii="宋体" w:eastAsia="宋体"/>
              </w:rPr>
            </w:pPr>
            <w:r>
              <w:rPr>
                <w:rFonts w:hint="eastAsia" w:ascii="黑体" w:hAnsi="Times New Roman" w:eastAsia="黑体" w:cs="Times New Roman"/>
                <w:sz w:val="21"/>
                <w:lang w:val="en-US" w:eastAsia="zh-CN" w:bidi="ar-SA"/>
              </w:rPr>
              <w:t xml:space="preserve">3.6.3 </w:t>
            </w:r>
            <w:r>
              <w:rPr>
                <w:rFonts w:hint="eastAsia" w:ascii="宋体" w:hAnsi="宋体" w:cs="Arial"/>
                <w:lang w:val="en-US" w:eastAsia="zh-CN"/>
              </w:rPr>
              <w:t xml:space="preserve"> </w:t>
            </w:r>
            <w:r>
              <w:rPr>
                <w:rFonts w:hint="eastAsia" w:ascii="宋体" w:hAnsi="宋体" w:eastAsia="宋体" w:cs="Arial"/>
              </w:rPr>
              <w:t>褥胎外观平展均匀、手感柔软蓬松、不得有杂物、板结、深色油污。</w:t>
            </w:r>
          </w:p>
          <w:p w14:paraId="6E81D670">
            <w:pPr>
              <w:pStyle w:val="434"/>
              <w:keepLines w:val="0"/>
              <w:pageBreakBefore w:val="0"/>
              <w:numPr>
                <w:ilvl w:val="2"/>
                <w:numId w:val="0"/>
              </w:numPr>
              <w:topLinePunct w:val="0"/>
              <w:bidi w:val="0"/>
              <w:spacing w:line="240" w:lineRule="auto"/>
              <w:ind w:left="420" w:leftChars="200" w:firstLine="0" w:firstLineChars="0"/>
              <w:rPr>
                <w:rFonts w:hint="eastAsia" w:ascii="Arial" w:hAnsi="Arial" w:cs="Arial"/>
              </w:rPr>
            </w:pPr>
            <w:bookmarkStart w:id="481" w:name="_Toc17120"/>
            <w:bookmarkStart w:id="482" w:name="_Toc1880"/>
            <w:bookmarkStart w:id="483" w:name="_Toc90391616"/>
            <w:r>
              <w:rPr>
                <w:rFonts w:hint="eastAsia" w:ascii="黑体" w:hAnsi="Times New Roman" w:eastAsia="黑体" w:cs="Times New Roman"/>
                <w:sz w:val="21"/>
                <w:lang w:val="en-US" w:eastAsia="zh-CN" w:bidi="ar-SA"/>
              </w:rPr>
              <w:t>3.7</w:t>
            </w:r>
            <w:r>
              <w:rPr>
                <w:rFonts w:ascii="Arial" w:hAnsi="Arial" w:cs="Arial"/>
              </w:rPr>
              <w:t>缝</w:t>
            </w:r>
            <w:bookmarkEnd w:id="472"/>
            <w:bookmarkEnd w:id="473"/>
            <w:bookmarkEnd w:id="474"/>
            <w:bookmarkEnd w:id="475"/>
            <w:bookmarkEnd w:id="476"/>
            <w:bookmarkEnd w:id="477"/>
            <w:bookmarkEnd w:id="478"/>
            <w:bookmarkEnd w:id="479"/>
            <w:bookmarkEnd w:id="480"/>
            <w:r>
              <w:rPr>
                <w:rFonts w:ascii="Arial" w:hAnsi="Arial" w:cs="Arial"/>
              </w:rPr>
              <w:t>纫</w:t>
            </w:r>
            <w:bookmarkEnd w:id="481"/>
            <w:bookmarkEnd w:id="482"/>
            <w:bookmarkEnd w:id="483"/>
          </w:p>
          <w:p w14:paraId="032D3C25">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color w:val="FF0000"/>
              </w:rPr>
            </w:pPr>
            <w:bookmarkStart w:id="484" w:name="_Toc32657933"/>
            <w:r>
              <w:rPr>
                <w:rFonts w:hint="eastAsia" w:ascii="黑体" w:hAnsi="Times New Roman" w:eastAsia="黑体" w:cs="Times New Roman"/>
                <w:sz w:val="21"/>
                <w:lang w:val="en-US" w:eastAsia="zh-CN" w:bidi="ar-SA"/>
              </w:rPr>
              <w:t xml:space="preserve">3.7.1 </w:t>
            </w:r>
            <w:r>
              <w:rPr>
                <w:rFonts w:hint="eastAsia" w:ascii="宋体" w:hAnsi="宋体" w:cs="Arial"/>
                <w:lang w:val="en-US" w:eastAsia="zh-CN"/>
              </w:rPr>
              <w:t xml:space="preserve"> </w:t>
            </w:r>
            <w:r>
              <w:rPr>
                <w:rFonts w:hint="eastAsia" w:ascii="宋体" w:hAnsi="宋体" w:eastAsia="宋体" w:cs="Arial"/>
              </w:rPr>
              <w:t>缝纫针距：棉褥面里结合及拼缝11针</w:t>
            </w:r>
            <w:r>
              <w:rPr>
                <w:rFonts w:ascii="宋体" w:hAnsi="宋体" w:eastAsia="宋体" w:cs="Arial"/>
              </w:rPr>
              <w:t>/</w:t>
            </w:r>
            <w:r>
              <w:rPr>
                <w:rFonts w:hint="eastAsia" w:ascii="宋体" w:hAnsi="宋体" w:eastAsia="宋体" w:cs="Arial"/>
              </w:rPr>
              <w:t>3</w:t>
            </w:r>
            <w:r>
              <w:rPr>
                <w:rFonts w:hint="eastAsia" w:ascii="宋体" w:hAnsi="宋体" w:cs="Arial"/>
                <w:lang w:val="en-US" w:eastAsia="zh-CN"/>
              </w:rPr>
              <w:t xml:space="preserve"> </w:t>
            </w:r>
            <w:r>
              <w:rPr>
                <w:rFonts w:hint="eastAsia" w:ascii="宋体" w:hAnsi="宋体" w:eastAsia="宋体" w:cs="Arial"/>
              </w:rPr>
              <w:t>cm</w:t>
            </w:r>
            <w:r>
              <w:rPr>
                <w:rFonts w:hint="default" w:ascii="宋体" w:hAnsi="宋体" w:cs="Arial"/>
                <w:lang w:val="en"/>
              </w:rPr>
              <w:t>-</w:t>
            </w:r>
            <w:r>
              <w:rPr>
                <w:rFonts w:hint="eastAsia" w:ascii="宋体" w:hAnsi="宋体" w:eastAsia="宋体" w:cs="Arial"/>
              </w:rPr>
              <w:t>13针</w:t>
            </w:r>
            <w:r>
              <w:rPr>
                <w:rFonts w:ascii="宋体" w:hAnsi="宋体" w:eastAsia="宋体" w:cs="Arial"/>
              </w:rPr>
              <w:t>/</w:t>
            </w:r>
            <w:r>
              <w:rPr>
                <w:rFonts w:hint="eastAsia" w:ascii="宋体" w:hAnsi="宋体" w:eastAsia="宋体" w:cs="Arial"/>
              </w:rPr>
              <w:t>3</w:t>
            </w:r>
            <w:r>
              <w:rPr>
                <w:rFonts w:hint="eastAsia" w:ascii="宋体" w:hAnsi="宋体" w:cs="Arial"/>
                <w:lang w:val="en-US" w:eastAsia="zh-CN"/>
              </w:rPr>
              <w:t xml:space="preserve"> </w:t>
            </w:r>
            <w:r>
              <w:rPr>
                <w:rFonts w:hint="eastAsia" w:ascii="宋体" w:hAnsi="宋体" w:eastAsia="宋体" w:cs="Arial"/>
              </w:rPr>
              <w:t>cm；明线 12针</w:t>
            </w:r>
            <w:r>
              <w:rPr>
                <w:rFonts w:ascii="宋体" w:hAnsi="宋体" w:eastAsia="宋体" w:cs="Arial"/>
              </w:rPr>
              <w:t>/</w:t>
            </w:r>
            <w:r>
              <w:rPr>
                <w:rFonts w:hint="eastAsia" w:ascii="宋体" w:hAnsi="宋体" w:eastAsia="宋体" w:cs="Arial"/>
              </w:rPr>
              <w:t>3</w:t>
            </w:r>
            <w:r>
              <w:rPr>
                <w:rFonts w:hint="eastAsia" w:ascii="宋体" w:hAnsi="宋体" w:cs="Arial"/>
                <w:lang w:val="en-US" w:eastAsia="zh-CN"/>
              </w:rPr>
              <w:t xml:space="preserve"> </w:t>
            </w:r>
            <w:r>
              <w:rPr>
                <w:rFonts w:hint="eastAsia" w:ascii="宋体" w:hAnsi="宋体" w:eastAsia="宋体" w:cs="Arial"/>
              </w:rPr>
              <w:t>cm～14针</w:t>
            </w:r>
            <w:r>
              <w:rPr>
                <w:rFonts w:ascii="宋体" w:hAnsi="宋体" w:eastAsia="宋体" w:cs="Arial"/>
              </w:rPr>
              <w:t>/</w:t>
            </w:r>
            <w:r>
              <w:rPr>
                <w:rFonts w:hint="eastAsia" w:ascii="宋体" w:hAnsi="宋体" w:eastAsia="宋体" w:cs="Arial"/>
              </w:rPr>
              <w:t>3</w:t>
            </w:r>
            <w:r>
              <w:rPr>
                <w:rFonts w:hint="eastAsia" w:ascii="宋体" w:hAnsi="宋体" w:cs="Arial"/>
                <w:lang w:val="en-US" w:eastAsia="zh-CN"/>
              </w:rPr>
              <w:t xml:space="preserve"> </w:t>
            </w:r>
            <w:r>
              <w:rPr>
                <w:rFonts w:hint="eastAsia" w:ascii="宋体" w:hAnsi="宋体" w:eastAsia="宋体" w:cs="Arial"/>
              </w:rPr>
              <w:t>cm，</w:t>
            </w:r>
            <w:r>
              <w:rPr>
                <w:rFonts w:hint="eastAsia" w:ascii="宋体" w:hAnsi="宋体" w:eastAsia="宋体" w:cs="Arial"/>
                <w:color w:val="000000"/>
              </w:rPr>
              <w:t>棉纤维胎绗缝，每胎</w:t>
            </w:r>
            <w:r>
              <w:rPr>
                <w:rFonts w:ascii="宋体" w:hAnsi="宋体" w:eastAsia="宋体" w:cs="Arial"/>
                <w:color w:val="000000"/>
              </w:rPr>
              <w:t>绗</w:t>
            </w:r>
            <w:r>
              <w:rPr>
                <w:rFonts w:hint="eastAsia" w:ascii="宋体" w:hAnsi="宋体" w:eastAsia="宋体" w:cs="Arial"/>
                <w:color w:val="000000"/>
              </w:rPr>
              <w:t>2</w:t>
            </w:r>
            <w:r>
              <w:rPr>
                <w:rFonts w:ascii="宋体" w:hAnsi="宋体" w:eastAsia="宋体" w:cs="Arial"/>
                <w:color w:val="000000"/>
              </w:rPr>
              <w:t>行</w:t>
            </w:r>
            <w:r>
              <w:rPr>
                <w:rFonts w:hint="eastAsia" w:ascii="宋体" w:hAnsi="宋体" w:eastAsia="宋体" w:cs="Arial"/>
                <w:color w:val="000000"/>
              </w:rPr>
              <w:t>，</w:t>
            </w:r>
            <w:r>
              <w:rPr>
                <w:rFonts w:ascii="宋体" w:hAnsi="宋体" w:eastAsia="宋体" w:cs="Arial"/>
                <w:color w:val="000000"/>
              </w:rPr>
              <w:t>中间间距</w:t>
            </w:r>
            <w:r>
              <w:rPr>
                <w:rFonts w:hint="eastAsia" w:ascii="宋体" w:hAnsi="宋体" w:eastAsia="宋体" w:cs="Arial"/>
                <w:color w:val="000000"/>
              </w:rPr>
              <w:t>38</w:t>
            </w:r>
            <w:r>
              <w:rPr>
                <w:rFonts w:hint="eastAsia" w:ascii="宋体" w:hAnsi="宋体" w:cs="Arial"/>
                <w:color w:val="000000"/>
                <w:lang w:val="en-US" w:eastAsia="zh-CN"/>
              </w:rPr>
              <w:t xml:space="preserve"> </w:t>
            </w:r>
            <w:r>
              <w:rPr>
                <w:rFonts w:hint="eastAsia" w:ascii="宋体" w:hAnsi="宋体" w:eastAsia="宋体" w:cs="Arial"/>
                <w:color w:val="000000"/>
              </w:rPr>
              <w:t>cm,两边宽窄一致。</w:t>
            </w:r>
          </w:p>
          <w:p w14:paraId="2A435524">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sz w:val="21"/>
                <w:lang w:val="en-US" w:eastAsia="zh-CN" w:bidi="ar-SA"/>
              </w:rPr>
              <w:t xml:space="preserve">3.7.2 </w:t>
            </w:r>
            <w:r>
              <w:rPr>
                <w:rFonts w:hint="eastAsia" w:ascii="宋体" w:hAnsi="宋体" w:cs="Arial"/>
                <w:lang w:val="en-US" w:eastAsia="zh-CN"/>
              </w:rPr>
              <w:t xml:space="preserve"> </w:t>
            </w:r>
            <w:r>
              <w:rPr>
                <w:rFonts w:hint="eastAsia" w:ascii="宋体" w:hAnsi="宋体" w:eastAsia="宋体" w:cs="Arial"/>
              </w:rPr>
              <w:t>工艺要求：缝纫线路顺直，定位准确，距边宽窄一致，结合牢固，松紧适度，不得跳线。</w:t>
            </w:r>
          </w:p>
          <w:bookmarkEnd w:id="484"/>
          <w:p w14:paraId="10F088E8">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lang w:eastAsia="zh-CN"/>
              </w:rPr>
            </w:pPr>
            <w:r>
              <w:rPr>
                <w:rFonts w:hint="eastAsia" w:ascii="黑体" w:hAnsi="Times New Roman" w:eastAsia="黑体" w:cs="Times New Roman"/>
                <w:sz w:val="21"/>
                <w:lang w:val="en-US" w:eastAsia="zh-CN" w:bidi="ar-SA"/>
              </w:rPr>
              <w:t xml:space="preserve">3.7.3 </w:t>
            </w:r>
            <w:r>
              <w:rPr>
                <w:rFonts w:hint="eastAsia" w:ascii="宋体" w:hAnsi="宋体" w:cs="Arial"/>
                <w:lang w:val="en-US" w:eastAsia="zh-CN"/>
              </w:rPr>
              <w:t xml:space="preserve"> </w:t>
            </w:r>
            <w:r>
              <w:rPr>
                <w:rFonts w:hint="eastAsia" w:ascii="宋体" w:hAnsi="宋体" w:eastAsia="宋体" w:cs="Arial"/>
              </w:rPr>
              <w:t>缝制工艺按表5规定</w:t>
            </w:r>
            <w:r>
              <w:rPr>
                <w:rFonts w:hint="eastAsia" w:ascii="宋体" w:hAnsi="宋体" w:cs="Arial"/>
                <w:lang w:eastAsia="zh-CN"/>
              </w:rPr>
              <w:t>。</w:t>
            </w:r>
          </w:p>
          <w:tbl>
            <w:tblPr>
              <w:tblStyle w:val="58"/>
              <w:tblW w:w="4999" w:type="pct"/>
              <w:tblInd w:w="0" w:type="dxa"/>
              <w:tblLayout w:type="fixed"/>
              <w:tblCellMar>
                <w:top w:w="0" w:type="dxa"/>
                <w:left w:w="108" w:type="dxa"/>
                <w:bottom w:w="0" w:type="dxa"/>
                <w:right w:w="108" w:type="dxa"/>
              </w:tblCellMar>
            </w:tblPr>
            <w:tblGrid>
              <w:gridCol w:w="570"/>
              <w:gridCol w:w="963"/>
              <w:gridCol w:w="778"/>
              <w:gridCol w:w="1306"/>
              <w:gridCol w:w="863"/>
              <w:gridCol w:w="2086"/>
            </w:tblGrid>
            <w:tr w14:paraId="215F7185">
              <w:tblPrEx>
                <w:tblCellMar>
                  <w:top w:w="0" w:type="dxa"/>
                  <w:left w:w="108" w:type="dxa"/>
                  <w:bottom w:w="0" w:type="dxa"/>
                  <w:right w:w="108" w:type="dxa"/>
                </w:tblCellMar>
              </w:tblPrEx>
              <w:trPr>
                <w:tblHeader/>
              </w:trPr>
              <w:tc>
                <w:tcPr>
                  <w:tcW w:w="5000" w:type="pct"/>
                  <w:gridSpan w:val="6"/>
                  <w:noWrap w:val="0"/>
                  <w:vAlign w:val="center"/>
                </w:tcPr>
                <w:p w14:paraId="5D1F12D4">
                  <w:pPr>
                    <w:keepLines w:val="0"/>
                    <w:pageBreakBefore w:val="0"/>
                    <w:wordWrap w:val="0"/>
                    <w:topLinePunct w:val="0"/>
                    <w:bidi w:val="0"/>
                    <w:spacing w:line="240" w:lineRule="auto"/>
                    <w:jc w:val="right"/>
                    <w:rPr>
                      <w:rFonts w:ascii="宋体" w:hAnsi="宋体"/>
                      <w:sz w:val="18"/>
                      <w:szCs w:val="18"/>
                    </w:rPr>
                  </w:pPr>
                  <w:r>
                    <w:rPr>
                      <w:rFonts w:hint="eastAsia" w:ascii="黑体" w:hAnsi="黑体" w:eastAsia="黑体"/>
                    </w:rPr>
                    <w:t xml:space="preserve">表5  缝制工艺要求 </w:t>
                  </w:r>
                  <w:r>
                    <w:rPr>
                      <w:rFonts w:hint="eastAsia" w:ascii="黑体" w:hAnsi="黑体" w:eastAsia="黑体"/>
                      <w:lang w:val="en-US" w:eastAsia="zh-CN"/>
                    </w:rPr>
                    <w:t xml:space="preserve"> </w:t>
                  </w:r>
                  <w:r>
                    <w:rPr>
                      <w:rFonts w:hint="eastAsia" w:ascii="黑体" w:hAnsi="黑体" w:eastAsia="黑体"/>
                    </w:rPr>
                    <w:t xml:space="preserve">              </w:t>
                  </w:r>
                  <w:r>
                    <w:rPr>
                      <w:rFonts w:hint="eastAsia" w:hAnsi="宋体"/>
                      <w:sz w:val="18"/>
                      <w:szCs w:val="18"/>
                    </w:rPr>
                    <w:t xml:space="preserve"> 单位：厘米</w:t>
                  </w:r>
                </w:p>
              </w:tc>
            </w:tr>
            <w:tr w14:paraId="1D34A464">
              <w:tblPrEx>
                <w:tblCellMar>
                  <w:top w:w="0" w:type="dxa"/>
                  <w:left w:w="108" w:type="dxa"/>
                  <w:bottom w:w="0" w:type="dxa"/>
                  <w:right w:w="108" w:type="dxa"/>
                </w:tblCellMar>
              </w:tblPrEx>
              <w:trPr>
                <w:tblHeader/>
              </w:trPr>
              <w:tc>
                <w:tcPr>
                  <w:tcW w:w="434" w:type="pct"/>
                  <w:tcBorders>
                    <w:top w:val="single" w:color="auto" w:sz="12" w:space="0"/>
                    <w:left w:val="single" w:color="auto" w:sz="12" w:space="0"/>
                    <w:bottom w:val="single" w:color="auto" w:sz="6" w:space="0"/>
                    <w:right w:val="single" w:color="auto" w:sz="4" w:space="0"/>
                  </w:tcBorders>
                  <w:noWrap w:val="0"/>
                  <w:vAlign w:val="center"/>
                </w:tcPr>
                <w:p w14:paraId="52F13748">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部位</w:t>
                  </w:r>
                </w:p>
              </w:tc>
              <w:tc>
                <w:tcPr>
                  <w:tcW w:w="733" w:type="pct"/>
                  <w:tcBorders>
                    <w:top w:val="single" w:color="auto" w:sz="12" w:space="0"/>
                    <w:left w:val="single" w:color="auto" w:sz="4" w:space="0"/>
                    <w:bottom w:val="single" w:color="auto" w:sz="4" w:space="0"/>
                    <w:right w:val="single" w:color="auto" w:sz="4" w:space="0"/>
                  </w:tcBorders>
                  <w:noWrap w:val="0"/>
                  <w:vAlign w:val="center"/>
                </w:tcPr>
                <w:p w14:paraId="290FCF02">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工序名称</w:t>
                  </w:r>
                </w:p>
              </w:tc>
              <w:tc>
                <w:tcPr>
                  <w:tcW w:w="592" w:type="pct"/>
                  <w:tcBorders>
                    <w:top w:val="single" w:color="auto" w:sz="12" w:space="0"/>
                    <w:left w:val="single" w:color="auto" w:sz="4" w:space="0"/>
                    <w:bottom w:val="single" w:color="auto" w:sz="4" w:space="0"/>
                    <w:right w:val="single" w:color="auto" w:sz="4" w:space="0"/>
                  </w:tcBorders>
                  <w:noWrap w:val="0"/>
                  <w:vAlign w:val="center"/>
                </w:tcPr>
                <w:p w14:paraId="62BC1D11">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缝</w:t>
                  </w:r>
                  <w:r>
                    <w:rPr>
                      <w:rFonts w:ascii="宋体" w:hAnsi="宋体"/>
                      <w:sz w:val="18"/>
                      <w:szCs w:val="18"/>
                    </w:rPr>
                    <w:t xml:space="preserve"> </w:t>
                  </w:r>
                  <w:r>
                    <w:rPr>
                      <w:rFonts w:hint="eastAsia" w:ascii="宋体" w:hAnsi="宋体"/>
                      <w:sz w:val="18"/>
                      <w:szCs w:val="18"/>
                    </w:rPr>
                    <w:t>头</w:t>
                  </w:r>
                </w:p>
              </w:tc>
              <w:tc>
                <w:tcPr>
                  <w:tcW w:w="994" w:type="pct"/>
                  <w:tcBorders>
                    <w:top w:val="single" w:color="auto" w:sz="12" w:space="0"/>
                    <w:left w:val="single" w:color="auto" w:sz="4" w:space="0"/>
                    <w:bottom w:val="single" w:color="auto" w:sz="4" w:space="0"/>
                    <w:right w:val="single" w:color="auto" w:sz="4" w:space="0"/>
                  </w:tcBorders>
                  <w:noWrap w:val="0"/>
                  <w:vAlign w:val="center"/>
                </w:tcPr>
                <w:p w14:paraId="5D8456F5">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缝制形式</w:t>
                  </w:r>
                </w:p>
                <w:p w14:paraId="16EC67BE">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及缝线道数</w:t>
                  </w:r>
                </w:p>
              </w:tc>
              <w:tc>
                <w:tcPr>
                  <w:tcW w:w="656" w:type="pct"/>
                  <w:tcBorders>
                    <w:top w:val="single" w:color="auto" w:sz="12" w:space="0"/>
                    <w:left w:val="single" w:color="auto" w:sz="4" w:space="0"/>
                    <w:bottom w:val="single" w:color="auto" w:sz="4" w:space="0"/>
                    <w:right w:val="single" w:color="auto" w:sz="4" w:space="0"/>
                  </w:tcBorders>
                  <w:noWrap w:val="0"/>
                  <w:vAlign w:val="center"/>
                </w:tcPr>
                <w:p w14:paraId="2FB18881">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明线距边</w:t>
                  </w:r>
                </w:p>
              </w:tc>
              <w:tc>
                <w:tcPr>
                  <w:tcW w:w="1588" w:type="pct"/>
                  <w:tcBorders>
                    <w:top w:val="single" w:color="auto" w:sz="12" w:space="0"/>
                    <w:left w:val="single" w:color="auto" w:sz="4" w:space="0"/>
                    <w:bottom w:val="single" w:color="auto" w:sz="12" w:space="0"/>
                    <w:right w:val="single" w:color="auto" w:sz="12" w:space="0"/>
                  </w:tcBorders>
                  <w:noWrap w:val="0"/>
                  <w:vAlign w:val="center"/>
                </w:tcPr>
                <w:p w14:paraId="2286A04F">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要</w:t>
                  </w:r>
                  <w:r>
                    <w:rPr>
                      <w:rFonts w:ascii="宋体" w:hAnsi="宋体"/>
                      <w:sz w:val="18"/>
                      <w:szCs w:val="18"/>
                    </w:rPr>
                    <w:t xml:space="preserve">    </w:t>
                  </w:r>
                  <w:r>
                    <w:rPr>
                      <w:rFonts w:hint="eastAsia" w:ascii="宋体" w:hAnsi="宋体"/>
                      <w:sz w:val="18"/>
                      <w:szCs w:val="18"/>
                    </w:rPr>
                    <w:t>求</w:t>
                  </w:r>
                </w:p>
              </w:tc>
            </w:tr>
            <w:tr w14:paraId="2E0FFBF9">
              <w:tblPrEx>
                <w:tblCellMar>
                  <w:top w:w="0" w:type="dxa"/>
                  <w:left w:w="108" w:type="dxa"/>
                  <w:bottom w:w="0" w:type="dxa"/>
                  <w:right w:w="108" w:type="dxa"/>
                </w:tblCellMar>
              </w:tblPrEx>
              <w:tc>
                <w:tcPr>
                  <w:tcW w:w="434" w:type="pct"/>
                  <w:vMerge w:val="restart"/>
                  <w:tcBorders>
                    <w:top w:val="single" w:color="auto" w:sz="12" w:space="0"/>
                    <w:left w:val="single" w:color="auto" w:sz="12" w:space="0"/>
                    <w:right w:val="single" w:color="auto" w:sz="4" w:space="0"/>
                  </w:tcBorders>
                  <w:noWrap w:val="0"/>
                  <w:vAlign w:val="center"/>
                </w:tcPr>
                <w:p w14:paraId="7388B117">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褥套</w:t>
                  </w:r>
                </w:p>
              </w:tc>
              <w:tc>
                <w:tcPr>
                  <w:tcW w:w="733" w:type="pct"/>
                  <w:tcBorders>
                    <w:top w:val="single" w:color="auto" w:sz="12" w:space="0"/>
                    <w:left w:val="single" w:color="auto" w:sz="4" w:space="0"/>
                    <w:bottom w:val="single" w:color="auto" w:sz="4" w:space="0"/>
                    <w:right w:val="single" w:color="auto" w:sz="4" w:space="0"/>
                  </w:tcBorders>
                  <w:noWrap w:val="0"/>
                  <w:vAlign w:val="center"/>
                </w:tcPr>
                <w:p w14:paraId="58514EA4">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勾、合褥套</w:t>
                  </w:r>
                </w:p>
              </w:tc>
              <w:tc>
                <w:tcPr>
                  <w:tcW w:w="592" w:type="pct"/>
                  <w:tcBorders>
                    <w:top w:val="single" w:color="auto" w:sz="12" w:space="0"/>
                    <w:left w:val="single" w:color="auto" w:sz="4" w:space="0"/>
                    <w:bottom w:val="single" w:color="auto" w:sz="4" w:space="0"/>
                    <w:right w:val="single" w:color="auto" w:sz="4" w:space="0"/>
                  </w:tcBorders>
                  <w:noWrap w:val="0"/>
                  <w:vAlign w:val="center"/>
                </w:tcPr>
                <w:p w14:paraId="45A21693">
                  <w:pPr>
                    <w:keepLines w:val="0"/>
                    <w:pageBreakBefore w:val="0"/>
                    <w:topLinePunct w:val="0"/>
                    <w:bidi w:val="0"/>
                    <w:spacing w:line="240" w:lineRule="auto"/>
                    <w:jc w:val="center"/>
                    <w:rPr>
                      <w:rFonts w:ascii="宋体" w:hAnsi="宋体"/>
                      <w:sz w:val="18"/>
                      <w:szCs w:val="18"/>
                    </w:rPr>
                  </w:pPr>
                  <w:r>
                    <w:rPr>
                      <w:rFonts w:ascii="宋体" w:hAnsi="宋体"/>
                      <w:sz w:val="18"/>
                      <w:szCs w:val="18"/>
                    </w:rPr>
                    <w:t>0.8</w:t>
                  </w:r>
                </w:p>
              </w:tc>
              <w:tc>
                <w:tcPr>
                  <w:tcW w:w="994" w:type="pct"/>
                  <w:tcBorders>
                    <w:top w:val="single" w:color="auto" w:sz="12" w:space="0"/>
                    <w:left w:val="single" w:color="auto" w:sz="4" w:space="0"/>
                    <w:bottom w:val="single" w:color="auto" w:sz="4" w:space="0"/>
                    <w:right w:val="single" w:color="auto" w:sz="4" w:space="0"/>
                  </w:tcBorders>
                  <w:noWrap w:val="0"/>
                  <w:vAlign w:val="center"/>
                </w:tcPr>
                <w:p w14:paraId="040475BD">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暗线一道</w:t>
                  </w:r>
                </w:p>
              </w:tc>
              <w:tc>
                <w:tcPr>
                  <w:tcW w:w="656" w:type="pct"/>
                  <w:tcBorders>
                    <w:top w:val="single" w:color="auto" w:sz="12" w:space="0"/>
                    <w:left w:val="single" w:color="auto" w:sz="4" w:space="0"/>
                    <w:bottom w:val="single" w:color="auto" w:sz="4" w:space="0"/>
                    <w:right w:val="single" w:color="auto" w:sz="4" w:space="0"/>
                  </w:tcBorders>
                  <w:noWrap w:val="0"/>
                  <w:vAlign w:val="center"/>
                </w:tcPr>
                <w:p w14:paraId="073A12A1">
                  <w:pPr>
                    <w:keepLines w:val="0"/>
                    <w:pageBreakBefore w:val="0"/>
                    <w:topLinePunct w:val="0"/>
                    <w:bidi w:val="0"/>
                    <w:spacing w:line="240" w:lineRule="auto"/>
                    <w:jc w:val="center"/>
                    <w:rPr>
                      <w:rFonts w:ascii="宋体" w:hAnsi="宋体"/>
                      <w:sz w:val="18"/>
                      <w:szCs w:val="18"/>
                    </w:rPr>
                  </w:pPr>
                  <w:r>
                    <w:rPr>
                      <w:sz w:val="18"/>
                      <w:szCs w:val="18"/>
                    </w:rPr>
                    <w:t>—</w:t>
                  </w:r>
                </w:p>
              </w:tc>
              <w:tc>
                <w:tcPr>
                  <w:tcW w:w="1588" w:type="pct"/>
                  <w:tcBorders>
                    <w:top w:val="single" w:color="auto" w:sz="12" w:space="0"/>
                    <w:left w:val="single" w:color="auto" w:sz="4" w:space="0"/>
                    <w:bottom w:val="single" w:color="auto" w:sz="4" w:space="0"/>
                    <w:right w:val="single" w:color="auto" w:sz="12" w:space="0"/>
                  </w:tcBorders>
                  <w:noWrap w:val="0"/>
                  <w:vAlign w:val="center"/>
                </w:tcPr>
                <w:p w14:paraId="1FD55279">
                  <w:pPr>
                    <w:keepLines w:val="0"/>
                    <w:pageBreakBefore w:val="0"/>
                    <w:topLinePunct w:val="0"/>
                    <w:bidi w:val="0"/>
                    <w:spacing w:line="240" w:lineRule="auto"/>
                    <w:rPr>
                      <w:rFonts w:ascii="宋体" w:hAnsi="宋体"/>
                      <w:sz w:val="18"/>
                      <w:szCs w:val="18"/>
                    </w:rPr>
                  </w:pPr>
                  <w:r>
                    <w:rPr>
                      <w:rFonts w:hint="eastAsia" w:ascii="宋体" w:hAnsi="宋体"/>
                      <w:sz w:val="18"/>
                      <w:szCs w:val="18"/>
                    </w:rPr>
                    <w:t>勾合三边，褥宽一端留口</w:t>
                  </w:r>
                </w:p>
              </w:tc>
            </w:tr>
            <w:tr w14:paraId="5166736F">
              <w:tblPrEx>
                <w:tblCellMar>
                  <w:top w:w="0" w:type="dxa"/>
                  <w:left w:w="108" w:type="dxa"/>
                  <w:bottom w:w="0" w:type="dxa"/>
                  <w:right w:w="108" w:type="dxa"/>
                </w:tblCellMar>
              </w:tblPrEx>
              <w:tc>
                <w:tcPr>
                  <w:tcW w:w="434" w:type="pct"/>
                  <w:vMerge w:val="continue"/>
                  <w:tcBorders>
                    <w:left w:val="single" w:color="auto" w:sz="12" w:space="0"/>
                    <w:right w:val="single" w:color="auto" w:sz="4" w:space="0"/>
                  </w:tcBorders>
                  <w:noWrap w:val="0"/>
                  <w:vAlign w:val="center"/>
                </w:tcPr>
                <w:p w14:paraId="03AA3C86">
                  <w:pPr>
                    <w:keepLines w:val="0"/>
                    <w:pageBreakBefore w:val="0"/>
                    <w:topLinePunct w:val="0"/>
                    <w:bidi w:val="0"/>
                    <w:spacing w:line="240" w:lineRule="auto"/>
                    <w:jc w:val="center"/>
                    <w:rPr>
                      <w:rFonts w:ascii="宋体" w:hAnsi="宋体"/>
                      <w:sz w:val="18"/>
                      <w:szCs w:val="18"/>
                    </w:rPr>
                  </w:pPr>
                </w:p>
              </w:tc>
              <w:tc>
                <w:tcPr>
                  <w:tcW w:w="733" w:type="pct"/>
                  <w:tcBorders>
                    <w:top w:val="single" w:color="auto" w:sz="4" w:space="0"/>
                    <w:left w:val="single" w:color="auto" w:sz="4" w:space="0"/>
                    <w:bottom w:val="single" w:color="auto" w:sz="4" w:space="0"/>
                    <w:right w:val="single" w:color="auto" w:sz="4" w:space="0"/>
                  </w:tcBorders>
                  <w:noWrap w:val="0"/>
                  <w:vAlign w:val="center"/>
                </w:tcPr>
                <w:p w14:paraId="1645CBE5">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绱拉链</w:t>
                  </w:r>
                </w:p>
              </w:tc>
              <w:tc>
                <w:tcPr>
                  <w:tcW w:w="592" w:type="pct"/>
                  <w:tcBorders>
                    <w:top w:val="single" w:color="auto" w:sz="4" w:space="0"/>
                    <w:left w:val="single" w:color="auto" w:sz="4" w:space="0"/>
                    <w:bottom w:val="single" w:color="auto" w:sz="4" w:space="0"/>
                    <w:right w:val="single" w:color="auto" w:sz="4" w:space="0"/>
                  </w:tcBorders>
                  <w:noWrap w:val="0"/>
                  <w:vAlign w:val="center"/>
                </w:tcPr>
                <w:p w14:paraId="32FF17DD">
                  <w:pPr>
                    <w:keepLines w:val="0"/>
                    <w:pageBreakBefore w:val="0"/>
                    <w:topLinePunct w:val="0"/>
                    <w:bidi w:val="0"/>
                    <w:spacing w:line="240" w:lineRule="auto"/>
                    <w:jc w:val="center"/>
                    <w:rPr>
                      <w:rFonts w:ascii="宋体" w:hAnsi="宋体"/>
                      <w:sz w:val="18"/>
                      <w:szCs w:val="18"/>
                    </w:rPr>
                  </w:pPr>
                  <w:r>
                    <w:rPr>
                      <w:rFonts w:ascii="宋体" w:hAnsi="宋体"/>
                      <w:sz w:val="18"/>
                      <w:szCs w:val="18"/>
                    </w:rPr>
                    <w:t>0.8</w:t>
                  </w:r>
                </w:p>
              </w:tc>
              <w:tc>
                <w:tcPr>
                  <w:tcW w:w="994" w:type="pct"/>
                  <w:tcBorders>
                    <w:top w:val="single" w:color="auto" w:sz="4" w:space="0"/>
                    <w:left w:val="single" w:color="auto" w:sz="4" w:space="0"/>
                    <w:bottom w:val="single" w:color="auto" w:sz="4" w:space="0"/>
                    <w:right w:val="single" w:color="auto" w:sz="4" w:space="0"/>
                  </w:tcBorders>
                  <w:noWrap w:val="0"/>
                  <w:vAlign w:val="center"/>
                </w:tcPr>
                <w:p w14:paraId="784C8DFA">
                  <w:pPr>
                    <w:keepLines w:val="0"/>
                    <w:pageBreakBefore w:val="0"/>
                    <w:topLinePunct w:val="0"/>
                    <w:bidi w:val="0"/>
                    <w:spacing w:line="240" w:lineRule="auto"/>
                    <w:jc w:val="center"/>
                    <w:rPr>
                      <w:rFonts w:ascii="宋体" w:hAnsi="宋体"/>
                      <w:sz w:val="18"/>
                      <w:szCs w:val="18"/>
                    </w:rPr>
                  </w:pPr>
                  <w:r>
                    <w:rPr>
                      <w:rFonts w:hint="eastAsia" w:ascii="宋体" w:hAnsi="宋体"/>
                      <w:sz w:val="18"/>
                      <w:szCs w:val="18"/>
                    </w:rPr>
                    <w:t>明线一道</w:t>
                  </w:r>
                </w:p>
              </w:tc>
              <w:tc>
                <w:tcPr>
                  <w:tcW w:w="656" w:type="pct"/>
                  <w:tcBorders>
                    <w:top w:val="single" w:color="auto" w:sz="4" w:space="0"/>
                    <w:left w:val="single" w:color="auto" w:sz="4" w:space="0"/>
                    <w:bottom w:val="single" w:color="auto" w:sz="4" w:space="0"/>
                    <w:right w:val="single" w:color="auto" w:sz="4" w:space="0"/>
                  </w:tcBorders>
                  <w:noWrap w:val="0"/>
                  <w:vAlign w:val="center"/>
                </w:tcPr>
                <w:p w14:paraId="2C3D0C14">
                  <w:pPr>
                    <w:keepLines w:val="0"/>
                    <w:pageBreakBefore w:val="0"/>
                    <w:topLinePunct w:val="0"/>
                    <w:bidi w:val="0"/>
                    <w:spacing w:line="240" w:lineRule="auto"/>
                    <w:jc w:val="center"/>
                    <w:rPr>
                      <w:rFonts w:ascii="宋体" w:hAnsi="宋体"/>
                      <w:sz w:val="18"/>
                      <w:szCs w:val="18"/>
                    </w:rPr>
                  </w:pPr>
                  <w:r>
                    <w:rPr>
                      <w:rFonts w:ascii="宋体" w:hAnsi="宋体"/>
                      <w:sz w:val="18"/>
                      <w:szCs w:val="18"/>
                    </w:rPr>
                    <w:t>0.6</w:t>
                  </w:r>
                </w:p>
              </w:tc>
              <w:tc>
                <w:tcPr>
                  <w:tcW w:w="1588" w:type="pct"/>
                  <w:tcBorders>
                    <w:top w:val="single" w:color="auto" w:sz="4" w:space="0"/>
                    <w:left w:val="single" w:color="auto" w:sz="4" w:space="0"/>
                    <w:bottom w:val="single" w:color="auto" w:sz="4" w:space="0"/>
                    <w:right w:val="single" w:color="auto" w:sz="12" w:space="0"/>
                  </w:tcBorders>
                  <w:noWrap w:val="0"/>
                  <w:vAlign w:val="center"/>
                </w:tcPr>
                <w:p w14:paraId="3C1C3879">
                  <w:pPr>
                    <w:keepLines w:val="0"/>
                    <w:pageBreakBefore w:val="0"/>
                    <w:topLinePunct w:val="0"/>
                    <w:bidi w:val="0"/>
                    <w:spacing w:line="240" w:lineRule="auto"/>
                    <w:rPr>
                      <w:rFonts w:ascii="宋体" w:hAnsi="宋体"/>
                      <w:sz w:val="18"/>
                      <w:szCs w:val="18"/>
                    </w:rPr>
                  </w:pPr>
                  <w:r>
                    <w:rPr>
                      <w:rFonts w:hint="eastAsia" w:ascii="宋体" w:hAnsi="宋体"/>
                      <w:sz w:val="18"/>
                      <w:szCs w:val="18"/>
                    </w:rPr>
                    <w:t>居中，两端回针三</w:t>
                  </w:r>
                  <w:r>
                    <w:rPr>
                      <w:rFonts w:hint="default" w:ascii="宋体" w:hAnsi="宋体"/>
                      <w:sz w:val="18"/>
                      <w:szCs w:val="18"/>
                      <w:lang w:val="en"/>
                    </w:rPr>
                    <w:t>-</w:t>
                  </w:r>
                  <w:r>
                    <w:rPr>
                      <w:rFonts w:hint="eastAsia" w:ascii="宋体" w:hAnsi="宋体"/>
                      <w:sz w:val="18"/>
                      <w:szCs w:val="18"/>
                    </w:rPr>
                    <w:t>五道</w:t>
                  </w:r>
                </w:p>
              </w:tc>
            </w:tr>
            <w:tr w14:paraId="55468474">
              <w:tblPrEx>
                <w:tblCellMar>
                  <w:top w:w="0" w:type="dxa"/>
                  <w:left w:w="108" w:type="dxa"/>
                  <w:bottom w:w="0" w:type="dxa"/>
                  <w:right w:w="108" w:type="dxa"/>
                </w:tblCellMar>
              </w:tblPrEx>
              <w:tc>
                <w:tcPr>
                  <w:tcW w:w="434" w:type="pct"/>
                  <w:tcBorders>
                    <w:top w:val="single" w:color="auto" w:sz="4" w:space="0"/>
                    <w:left w:val="single" w:color="auto" w:sz="12" w:space="0"/>
                    <w:bottom w:val="single" w:color="auto" w:sz="12" w:space="0"/>
                    <w:right w:val="single" w:color="auto" w:sz="4" w:space="0"/>
                  </w:tcBorders>
                  <w:noWrap w:val="0"/>
                  <w:vAlign w:val="center"/>
                </w:tcPr>
                <w:p w14:paraId="6D730E0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拼接</w:t>
                  </w:r>
                </w:p>
              </w:tc>
              <w:tc>
                <w:tcPr>
                  <w:tcW w:w="733" w:type="pct"/>
                  <w:tcBorders>
                    <w:top w:val="single" w:color="auto" w:sz="4" w:space="0"/>
                    <w:left w:val="single" w:color="auto" w:sz="4" w:space="0"/>
                    <w:bottom w:val="single" w:color="auto" w:sz="12" w:space="0"/>
                    <w:right w:val="single" w:color="auto" w:sz="4" w:space="0"/>
                  </w:tcBorders>
                  <w:noWrap w:val="0"/>
                  <w:vAlign w:val="center"/>
                </w:tcPr>
                <w:p w14:paraId="6A664BD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褥套</w:t>
                  </w:r>
                </w:p>
              </w:tc>
              <w:tc>
                <w:tcPr>
                  <w:tcW w:w="592" w:type="pct"/>
                  <w:tcBorders>
                    <w:top w:val="single" w:color="auto" w:sz="4" w:space="0"/>
                    <w:left w:val="single" w:color="auto" w:sz="4" w:space="0"/>
                    <w:bottom w:val="single" w:color="auto" w:sz="12" w:space="0"/>
                    <w:right w:val="single" w:color="auto" w:sz="4" w:space="0"/>
                  </w:tcBorders>
                  <w:noWrap w:val="0"/>
                  <w:vAlign w:val="center"/>
                </w:tcPr>
                <w:p w14:paraId="244F1C5B">
                  <w:pPr>
                    <w:keepLines w:val="0"/>
                    <w:pageBreakBefore w:val="0"/>
                    <w:topLinePunct w:val="0"/>
                    <w:bidi w:val="0"/>
                    <w:spacing w:line="240" w:lineRule="auto"/>
                    <w:jc w:val="center"/>
                    <w:rPr>
                      <w:rFonts w:ascii="宋体" w:hAnsi="宋体"/>
                      <w:sz w:val="18"/>
                      <w:szCs w:val="18"/>
                    </w:rPr>
                  </w:pPr>
                  <w:r>
                    <w:rPr>
                      <w:rFonts w:ascii="宋体" w:hAnsi="宋体"/>
                      <w:sz w:val="18"/>
                      <w:szCs w:val="18"/>
                    </w:rPr>
                    <w:t>0.8</w:t>
                  </w:r>
                </w:p>
              </w:tc>
              <w:tc>
                <w:tcPr>
                  <w:tcW w:w="994" w:type="pct"/>
                  <w:tcBorders>
                    <w:top w:val="single" w:color="auto" w:sz="4" w:space="0"/>
                    <w:left w:val="single" w:color="auto" w:sz="4" w:space="0"/>
                    <w:bottom w:val="single" w:color="auto" w:sz="12" w:space="0"/>
                    <w:right w:val="single" w:color="auto" w:sz="4" w:space="0"/>
                  </w:tcBorders>
                  <w:noWrap w:val="0"/>
                  <w:vAlign w:val="center"/>
                </w:tcPr>
                <w:p w14:paraId="0751AB6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暗线两道</w:t>
                  </w:r>
                </w:p>
              </w:tc>
              <w:tc>
                <w:tcPr>
                  <w:tcW w:w="656" w:type="pct"/>
                  <w:tcBorders>
                    <w:top w:val="single" w:color="auto" w:sz="4" w:space="0"/>
                    <w:left w:val="single" w:color="auto" w:sz="4" w:space="0"/>
                    <w:bottom w:val="single" w:color="auto" w:sz="12" w:space="0"/>
                    <w:right w:val="single" w:color="auto" w:sz="4" w:space="0"/>
                  </w:tcBorders>
                  <w:noWrap w:val="0"/>
                  <w:vAlign w:val="center"/>
                </w:tcPr>
                <w:p w14:paraId="363F45D5">
                  <w:pPr>
                    <w:keepLines w:val="0"/>
                    <w:pageBreakBefore w:val="0"/>
                    <w:topLinePunct w:val="0"/>
                    <w:bidi w:val="0"/>
                    <w:spacing w:line="240" w:lineRule="auto"/>
                    <w:jc w:val="center"/>
                    <w:rPr>
                      <w:rFonts w:ascii="宋体" w:hAnsi="宋体"/>
                      <w:sz w:val="18"/>
                      <w:szCs w:val="18"/>
                    </w:rPr>
                  </w:pPr>
                  <w:r>
                    <w:rPr>
                      <w:sz w:val="18"/>
                      <w:szCs w:val="18"/>
                    </w:rPr>
                    <w:t>—</w:t>
                  </w:r>
                </w:p>
              </w:tc>
              <w:tc>
                <w:tcPr>
                  <w:tcW w:w="1588" w:type="pct"/>
                  <w:tcBorders>
                    <w:top w:val="single" w:color="auto" w:sz="4" w:space="0"/>
                    <w:left w:val="single" w:color="auto" w:sz="4" w:space="0"/>
                    <w:bottom w:val="single" w:color="auto" w:sz="12" w:space="0"/>
                    <w:right w:val="single" w:color="auto" w:sz="12" w:space="0"/>
                  </w:tcBorders>
                  <w:noWrap w:val="0"/>
                  <w:vAlign w:val="center"/>
                </w:tcPr>
                <w:p w14:paraId="303884CF">
                  <w:pPr>
                    <w:keepLines w:val="0"/>
                    <w:pageBreakBefore w:val="0"/>
                    <w:topLinePunct w:val="0"/>
                    <w:bidi w:val="0"/>
                    <w:spacing w:line="240" w:lineRule="auto"/>
                    <w:rPr>
                      <w:rFonts w:hint="eastAsia" w:ascii="宋体" w:hAnsi="宋体"/>
                      <w:sz w:val="18"/>
                      <w:szCs w:val="18"/>
                    </w:rPr>
                  </w:pPr>
                  <w:r>
                    <w:rPr>
                      <w:rFonts w:hint="eastAsia" w:ascii="宋体" w:hAnsi="宋体"/>
                      <w:sz w:val="18"/>
                      <w:szCs w:val="18"/>
                    </w:rPr>
                    <w:t>倒缝</w:t>
                  </w:r>
                </w:p>
              </w:tc>
            </w:tr>
          </w:tbl>
          <w:p w14:paraId="240F0E05">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Arial" w:hAnsi="Arial" w:cs="Arial"/>
              </w:rPr>
            </w:pPr>
            <w:bookmarkStart w:id="485" w:name="_Toc21267"/>
            <w:bookmarkStart w:id="486" w:name="_Toc90391617"/>
            <w:bookmarkStart w:id="487" w:name="_Toc2732"/>
            <w:r>
              <w:rPr>
                <w:rFonts w:hint="eastAsia" w:ascii="黑体" w:hAnsi="Times New Roman" w:eastAsia="黑体" w:cs="Times New Roman"/>
                <w:sz w:val="21"/>
                <w:lang w:val="en-US" w:eastAsia="zh-CN" w:bidi="ar-SA"/>
              </w:rPr>
              <w:t>3.8</w:t>
            </w:r>
            <w:r>
              <w:rPr>
                <w:rFonts w:ascii="Arial" w:hAnsi="Arial" w:cs="Arial"/>
              </w:rPr>
              <w:t>外观质量</w:t>
            </w:r>
            <w:bookmarkEnd w:id="485"/>
            <w:bookmarkEnd w:id="486"/>
            <w:bookmarkEnd w:id="487"/>
          </w:p>
          <w:p w14:paraId="69DAB912">
            <w:pPr>
              <w:pStyle w:val="269"/>
              <w:keepNext w:val="0"/>
              <w:keepLines w:val="0"/>
              <w:pageBreakBefore w:val="0"/>
              <w:tabs>
                <w:tab w:val="center" w:pos="4201"/>
                <w:tab w:val="right" w:leader="dot" w:pos="9298"/>
              </w:tabs>
              <w:kinsoku/>
              <w:wordWrap/>
              <w:overflowPunct/>
              <w:topLinePunct w:val="0"/>
              <w:bidi w:val="0"/>
              <w:adjustRightInd/>
              <w:snapToGrid/>
              <w:spacing w:line="240" w:lineRule="auto"/>
              <w:ind w:left="420" w:leftChars="200" w:firstLine="0" w:firstLineChars="0"/>
              <w:textAlignment w:val="auto"/>
              <w:rPr>
                <w:rFonts w:hint="eastAsia" w:hAnsi="宋体"/>
                <w:bCs/>
                <w:color w:val="000000"/>
              </w:rPr>
            </w:pPr>
            <w:r>
              <w:rPr>
                <w:rFonts w:hint="eastAsia" w:hAnsi="宋体"/>
                <w:bCs/>
                <w:color w:val="000000"/>
              </w:rPr>
              <w:t>产品整洁美观，面、胎吻合，四边平直，四角方正，缝纫线路顺直，缝合牢固。不得有开线、断线、出套等缺陷。</w:t>
            </w:r>
          </w:p>
          <w:p w14:paraId="3747CB97">
            <w:pPr>
              <w:pStyle w:val="536"/>
              <w:keepNext w:val="0"/>
              <w:keepLines w:val="0"/>
              <w:pageBreakBefore w:val="0"/>
              <w:numPr>
                <w:ilvl w:val="1"/>
                <w:numId w:val="0"/>
              </w:numPr>
              <w:kinsoku/>
              <w:wordWrap/>
              <w:overflowPunct/>
              <w:topLinePunct w:val="0"/>
              <w:bidi w:val="0"/>
              <w:adjustRightInd/>
              <w:snapToGrid/>
              <w:spacing w:before="0" w:beforeLines="0" w:after="0" w:afterLines="0" w:line="240" w:lineRule="auto"/>
              <w:ind w:left="0" w:leftChars="0" w:firstLine="0" w:firstLineChars="0"/>
              <w:textAlignment w:val="auto"/>
              <w:rPr>
                <w:rFonts w:hint="eastAsia" w:ascii="Arial" w:hAnsi="Arial" w:cs="Arial"/>
              </w:rPr>
            </w:pPr>
            <w:bookmarkStart w:id="488" w:name="_Toc30864"/>
            <w:bookmarkStart w:id="489" w:name="_Toc21081"/>
            <w:bookmarkStart w:id="490" w:name="_Toc90391618"/>
            <w:r>
              <w:rPr>
                <w:rFonts w:hint="eastAsia" w:ascii="Arial" w:hAnsi="Arial" w:cs="Arial"/>
                <w:lang w:val="en-US" w:eastAsia="zh-CN"/>
              </w:rPr>
              <w:t>4</w:t>
            </w:r>
            <w:r>
              <w:rPr>
                <w:rFonts w:hint="eastAsia" w:ascii="Arial" w:hAnsi="Arial" w:cs="Arial"/>
              </w:rPr>
              <w:t>试验方法</w:t>
            </w:r>
            <w:bookmarkEnd w:id="488"/>
            <w:bookmarkEnd w:id="489"/>
            <w:bookmarkEnd w:id="490"/>
          </w:p>
          <w:p w14:paraId="13FC9B62">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Arial" w:hAnsi="Arial" w:cs="Arial"/>
              </w:rPr>
            </w:pPr>
            <w:bookmarkStart w:id="491" w:name="_Toc23234"/>
            <w:bookmarkStart w:id="492" w:name="_Toc22667"/>
            <w:bookmarkStart w:id="493" w:name="_Toc90391619"/>
            <w:r>
              <w:rPr>
                <w:rFonts w:hint="eastAsia" w:ascii="黑体" w:hAnsi="Times New Roman" w:eastAsia="黑体" w:cs="Times New Roman"/>
                <w:sz w:val="21"/>
                <w:lang w:val="en-US" w:eastAsia="zh-CN" w:bidi="ar-SA"/>
              </w:rPr>
              <w:t>4.1</w:t>
            </w:r>
            <w:r>
              <w:rPr>
                <w:rFonts w:hint="eastAsia" w:ascii="Arial" w:hAnsi="Arial" w:cs="Arial"/>
              </w:rPr>
              <w:t>外观检验</w:t>
            </w:r>
            <w:bookmarkEnd w:id="491"/>
            <w:bookmarkEnd w:id="492"/>
            <w:bookmarkEnd w:id="493"/>
          </w:p>
          <w:p w14:paraId="0DC6917C">
            <w:pPr>
              <w:pStyle w:val="269"/>
              <w:keepNext w:val="0"/>
              <w:keepLines w:val="0"/>
              <w:pageBreakBefore w:val="0"/>
              <w:tabs>
                <w:tab w:val="center" w:pos="4201"/>
                <w:tab w:val="right" w:leader="dot" w:pos="9298"/>
              </w:tabs>
              <w:kinsoku/>
              <w:wordWrap/>
              <w:overflowPunct/>
              <w:topLinePunct w:val="0"/>
              <w:bidi w:val="0"/>
              <w:adjustRightInd/>
              <w:snapToGrid/>
              <w:spacing w:line="240" w:lineRule="auto"/>
              <w:ind w:left="420" w:leftChars="200" w:firstLine="0" w:firstLineChars="0"/>
              <w:textAlignment w:val="auto"/>
              <w:rPr>
                <w:rFonts w:hint="eastAsia" w:hAnsi="宋体"/>
                <w:bCs/>
                <w:color w:val="000000"/>
              </w:rPr>
            </w:pPr>
            <w:r>
              <w:rPr>
                <w:rFonts w:hint="eastAsia" w:hAnsi="宋体"/>
                <w:bCs/>
                <w:color w:val="000000"/>
              </w:rPr>
              <w:t>产品的样式按3.1的规定目视和手感进行检验。</w:t>
            </w:r>
          </w:p>
          <w:p w14:paraId="5A20A595">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Arial" w:hAnsi="Arial" w:cs="Arial"/>
              </w:rPr>
            </w:pPr>
            <w:bookmarkStart w:id="494" w:name="_Toc3893"/>
            <w:bookmarkStart w:id="495" w:name="_Toc26085"/>
            <w:bookmarkStart w:id="496" w:name="_Toc90391620"/>
            <w:r>
              <w:rPr>
                <w:rFonts w:hint="eastAsia" w:ascii="黑体" w:hAnsi="Times New Roman" w:eastAsia="黑体" w:cs="Times New Roman"/>
                <w:sz w:val="21"/>
                <w:lang w:val="en-US" w:eastAsia="zh-CN" w:bidi="ar-SA"/>
              </w:rPr>
              <w:t>4.2</w:t>
            </w:r>
            <w:r>
              <w:rPr>
                <w:rFonts w:hint="eastAsia" w:ascii="Arial" w:hAnsi="Arial" w:cs="Arial"/>
              </w:rPr>
              <w:t>成品尺寸检验</w:t>
            </w:r>
            <w:bookmarkEnd w:id="494"/>
            <w:bookmarkEnd w:id="495"/>
            <w:bookmarkEnd w:id="496"/>
          </w:p>
          <w:p w14:paraId="4BD190AA">
            <w:pPr>
              <w:pStyle w:val="269"/>
              <w:keepNext w:val="0"/>
              <w:keepLines w:val="0"/>
              <w:pageBreakBefore w:val="0"/>
              <w:tabs>
                <w:tab w:val="center" w:pos="4201"/>
                <w:tab w:val="right" w:leader="dot" w:pos="9298"/>
              </w:tabs>
              <w:kinsoku/>
              <w:wordWrap/>
              <w:overflowPunct/>
              <w:topLinePunct w:val="0"/>
              <w:bidi w:val="0"/>
              <w:adjustRightInd/>
              <w:snapToGrid/>
              <w:spacing w:line="240" w:lineRule="auto"/>
              <w:ind w:left="420" w:leftChars="200" w:firstLine="0" w:firstLineChars="0"/>
              <w:textAlignment w:val="auto"/>
              <w:rPr>
                <w:rFonts w:hint="eastAsia" w:hAnsi="宋体"/>
                <w:bCs/>
                <w:color w:val="000000"/>
              </w:rPr>
            </w:pPr>
            <w:bookmarkStart w:id="497" w:name="_Toc32657938"/>
            <w:bookmarkStart w:id="498" w:name="_Toc34205822"/>
            <w:r>
              <w:rPr>
                <w:rFonts w:hint="eastAsia" w:hAnsi="宋体"/>
                <w:bCs/>
                <w:color w:val="000000"/>
              </w:rPr>
              <w:t>各部位的成品尺寸按3.2的规定，用精度为1.0</w:t>
            </w:r>
            <w:r>
              <w:rPr>
                <w:rFonts w:hint="eastAsia" w:hAnsi="宋体"/>
                <w:bCs/>
                <w:color w:val="000000"/>
                <w:lang w:val="en-US" w:eastAsia="zh-CN"/>
              </w:rPr>
              <w:t xml:space="preserve"> </w:t>
            </w:r>
            <w:r>
              <w:rPr>
                <w:rFonts w:hint="eastAsia" w:hAnsi="宋体"/>
                <w:bCs/>
                <w:color w:val="000000"/>
              </w:rPr>
              <w:t>mm的卷尺进行检验。</w:t>
            </w:r>
            <w:bookmarkEnd w:id="497"/>
            <w:bookmarkEnd w:id="498"/>
          </w:p>
          <w:p w14:paraId="69F9A73F">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Arial" w:hAnsi="Arial" w:cs="Arial"/>
              </w:rPr>
            </w:pPr>
            <w:bookmarkStart w:id="499" w:name="_Toc20371"/>
            <w:bookmarkStart w:id="500" w:name="_Toc20308"/>
            <w:bookmarkStart w:id="501" w:name="_Toc90391621"/>
            <w:r>
              <w:rPr>
                <w:rFonts w:hint="eastAsia" w:ascii="黑体" w:hAnsi="Times New Roman" w:eastAsia="黑体" w:cs="Times New Roman"/>
                <w:sz w:val="21"/>
                <w:lang w:val="en-US" w:eastAsia="zh-CN" w:bidi="ar-SA"/>
              </w:rPr>
              <w:t>4.3</w:t>
            </w:r>
            <w:r>
              <w:rPr>
                <w:rFonts w:hint="eastAsia" w:ascii="Arial" w:hAnsi="Arial" w:cs="Arial"/>
              </w:rPr>
              <w:t>颜色检验</w:t>
            </w:r>
            <w:bookmarkEnd w:id="499"/>
            <w:bookmarkEnd w:id="500"/>
            <w:bookmarkEnd w:id="501"/>
          </w:p>
          <w:p w14:paraId="5FB5715C">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color w:val="auto"/>
                <w:sz w:val="21"/>
                <w:lang w:val="en-US" w:eastAsia="zh-CN" w:bidi="ar-SA"/>
              </w:rPr>
              <w:t xml:space="preserve">4.3.1 </w:t>
            </w:r>
            <w:r>
              <w:rPr>
                <w:rFonts w:ascii="宋体" w:hAnsi="宋体" w:eastAsia="宋体" w:cs="Arial"/>
              </w:rPr>
              <w:t>主</w:t>
            </w:r>
            <w:r>
              <w:rPr>
                <w:rFonts w:hint="eastAsia" w:ascii="宋体" w:hAnsi="宋体" w:eastAsia="宋体" w:cs="Arial"/>
              </w:rPr>
              <w:t>、</w:t>
            </w:r>
            <w:r>
              <w:rPr>
                <w:rFonts w:ascii="宋体" w:hAnsi="宋体" w:eastAsia="宋体" w:cs="Arial"/>
              </w:rPr>
              <w:t>辅</w:t>
            </w:r>
            <w:r>
              <w:rPr>
                <w:rFonts w:hint="eastAsia" w:ascii="宋体" w:hAnsi="宋体" w:eastAsia="宋体" w:cs="Arial"/>
              </w:rPr>
              <w:t>材料的颜色与样式，按3.4的规定进行对照检验。</w:t>
            </w:r>
          </w:p>
          <w:p w14:paraId="602611B3">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ascii="Arial" w:hAnsi="Arial" w:cs="Arial"/>
              </w:rPr>
            </w:pPr>
            <w:bookmarkStart w:id="502" w:name="_Toc26840"/>
            <w:bookmarkStart w:id="503" w:name="_Toc90391622"/>
            <w:bookmarkStart w:id="504" w:name="_Toc19120"/>
            <w:r>
              <w:rPr>
                <w:rFonts w:hint="eastAsia" w:ascii="黑体" w:hAnsi="Times New Roman" w:eastAsia="黑体" w:cs="Times New Roman"/>
                <w:sz w:val="21"/>
                <w:lang w:val="en-US" w:eastAsia="zh-CN" w:bidi="ar-SA"/>
              </w:rPr>
              <w:t>4.4</w:t>
            </w:r>
            <w:r>
              <w:rPr>
                <w:rFonts w:hint="eastAsia" w:ascii="Arial" w:hAnsi="Arial" w:cs="Arial"/>
              </w:rPr>
              <w:t>材质检验</w:t>
            </w:r>
            <w:bookmarkEnd w:id="502"/>
            <w:bookmarkEnd w:id="503"/>
            <w:bookmarkEnd w:id="504"/>
          </w:p>
          <w:p w14:paraId="2973F154">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firstLine="420" w:firstLineChars="200"/>
              <w:textAlignment w:val="auto"/>
              <w:rPr>
                <w:rFonts w:hint="eastAsia" w:ascii="宋体" w:hAnsi="宋体" w:eastAsia="宋体" w:cs="Arial"/>
              </w:rPr>
            </w:pPr>
            <w:r>
              <w:rPr>
                <w:rFonts w:hint="eastAsia" w:ascii="黑体" w:hAnsi="Times New Roman" w:eastAsia="黑体" w:cs="Times New Roman"/>
                <w:sz w:val="21"/>
                <w:lang w:val="en-US" w:eastAsia="zh-CN" w:bidi="ar-SA"/>
              </w:rPr>
              <w:t xml:space="preserve">4.4.1 </w:t>
            </w:r>
            <w:r>
              <w:rPr>
                <w:rFonts w:hint="eastAsia" w:ascii="宋体" w:hAnsi="宋体" w:eastAsia="宋体" w:cs="Arial"/>
              </w:rPr>
              <w:t>纯棉平布的试验方法按附录A规定。。</w:t>
            </w:r>
          </w:p>
          <w:p w14:paraId="473432B9">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sz w:val="21"/>
                <w:lang w:val="en-US" w:eastAsia="zh-CN" w:bidi="ar-SA"/>
              </w:rPr>
              <w:t>4.4.</w:t>
            </w:r>
            <w:r>
              <w:rPr>
                <w:rFonts w:hint="eastAsia" w:hAnsi="Times New Roman" w:eastAsia="黑体" w:cs="Times New Roman"/>
                <w:sz w:val="21"/>
                <w:lang w:val="en-US" w:eastAsia="zh-CN" w:bidi="ar-SA"/>
              </w:rPr>
              <w:t>2</w:t>
            </w:r>
            <w:r>
              <w:rPr>
                <w:rFonts w:hint="eastAsia" w:ascii="黑体" w:hAnsi="Times New Roman" w:eastAsia="黑体" w:cs="Times New Roman"/>
                <w:sz w:val="21"/>
                <w:lang w:val="en-US" w:eastAsia="zh-CN" w:bidi="ar-SA"/>
              </w:rPr>
              <w:t xml:space="preserve"> </w:t>
            </w:r>
            <w:r>
              <w:rPr>
                <w:rFonts w:hint="eastAsia" w:ascii="宋体" w:hAnsi="宋体" w:eastAsia="宋体" w:cs="Arial"/>
              </w:rPr>
              <w:t>棉花的试验方法按GB 1103-2007的规定。</w:t>
            </w:r>
          </w:p>
          <w:p w14:paraId="4E2E2E35">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ascii="宋体" w:hAnsi="宋体" w:eastAsia="宋体" w:cs="Arial"/>
              </w:rPr>
            </w:pPr>
            <w:r>
              <w:rPr>
                <w:rFonts w:hint="eastAsia" w:ascii="黑体" w:hAnsi="Times New Roman" w:eastAsia="黑体" w:cs="Times New Roman"/>
                <w:sz w:val="21"/>
                <w:lang w:val="en-US" w:eastAsia="zh-CN" w:bidi="ar-SA"/>
              </w:rPr>
              <w:t>4.4.</w:t>
            </w:r>
            <w:r>
              <w:rPr>
                <w:rFonts w:hint="eastAsia" w:hAnsi="Times New Roman" w:eastAsia="黑体" w:cs="Times New Roman"/>
                <w:sz w:val="21"/>
                <w:lang w:val="en-US" w:eastAsia="zh-CN" w:bidi="ar-SA"/>
              </w:rPr>
              <w:t>3</w:t>
            </w:r>
            <w:r>
              <w:rPr>
                <w:rFonts w:hint="eastAsia" w:ascii="黑体" w:hAnsi="Times New Roman" w:eastAsia="黑体" w:cs="Times New Roman"/>
                <w:sz w:val="21"/>
                <w:lang w:val="en-US" w:eastAsia="zh-CN" w:bidi="ar-SA"/>
              </w:rPr>
              <w:t xml:space="preserve"> </w:t>
            </w:r>
            <w:r>
              <w:rPr>
                <w:rFonts w:hint="eastAsia" w:ascii="宋体" w:hAnsi="宋体" w:eastAsia="宋体" w:cs="Arial"/>
              </w:rPr>
              <w:t>涤纶缝纫线的试验方法按GB/T 6836-2007的规定。</w:t>
            </w:r>
          </w:p>
          <w:p w14:paraId="2D46D598">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rPr>
            </w:pPr>
            <w:r>
              <w:rPr>
                <w:rFonts w:hint="eastAsia" w:ascii="黑体" w:hAnsi="Times New Roman" w:eastAsia="黑体" w:cs="Times New Roman"/>
                <w:sz w:val="21"/>
                <w:lang w:val="en-US" w:eastAsia="zh-CN" w:bidi="ar-SA"/>
              </w:rPr>
              <w:t>4.4.</w:t>
            </w:r>
            <w:r>
              <w:rPr>
                <w:rFonts w:hint="eastAsia" w:hAnsi="Times New Roman" w:eastAsia="黑体" w:cs="Times New Roman"/>
                <w:sz w:val="21"/>
                <w:lang w:val="en-US" w:eastAsia="zh-CN" w:bidi="ar-SA"/>
              </w:rPr>
              <w:t>4</w:t>
            </w:r>
            <w:r>
              <w:rPr>
                <w:rFonts w:hint="eastAsia" w:ascii="黑体" w:hAnsi="Times New Roman" w:eastAsia="黑体" w:cs="Times New Roman"/>
                <w:sz w:val="21"/>
                <w:lang w:val="en-US" w:eastAsia="zh-CN" w:bidi="ar-SA"/>
              </w:rPr>
              <w:t xml:space="preserve"> </w:t>
            </w:r>
            <w:r>
              <w:rPr>
                <w:rFonts w:hint="eastAsia" w:ascii="宋体" w:hAnsi="宋体" w:eastAsia="宋体" w:cs="Arial"/>
              </w:rPr>
              <w:t>尼龙拉链的检验按QB/T 2173-2001的规定。</w:t>
            </w:r>
          </w:p>
          <w:p w14:paraId="477FC52F">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sz w:val="21"/>
                <w:lang w:val="en-US" w:eastAsia="zh-CN" w:bidi="ar-SA"/>
              </w:rPr>
              <w:t>4.4.</w:t>
            </w:r>
            <w:r>
              <w:rPr>
                <w:rFonts w:hint="eastAsia" w:hAnsi="Times New Roman" w:eastAsia="黑体" w:cs="Times New Roman"/>
                <w:sz w:val="21"/>
                <w:lang w:val="en-US" w:eastAsia="zh-CN" w:bidi="ar-SA"/>
              </w:rPr>
              <w:t>5</w:t>
            </w:r>
            <w:r>
              <w:rPr>
                <w:rFonts w:hint="eastAsia" w:ascii="黑体" w:hAnsi="Times New Roman" w:eastAsia="黑体" w:cs="Times New Roman"/>
                <w:sz w:val="21"/>
                <w:lang w:val="en-US" w:eastAsia="zh-CN" w:bidi="ar-SA"/>
              </w:rPr>
              <w:t xml:space="preserve"> </w:t>
            </w:r>
            <w:r>
              <w:rPr>
                <w:rFonts w:hint="eastAsia" w:ascii="宋体" w:hAnsi="宋体" w:eastAsia="宋体" w:cs="Arial"/>
              </w:rPr>
              <w:t>牛皮纸的检验按GB/T 22865-2008的规定。</w:t>
            </w:r>
          </w:p>
          <w:p w14:paraId="3580A7D4">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sz w:val="21"/>
                <w:lang w:val="en-US" w:eastAsia="zh-CN" w:bidi="ar-SA"/>
              </w:rPr>
              <w:t>4.4.</w:t>
            </w:r>
            <w:r>
              <w:rPr>
                <w:rFonts w:hint="eastAsia" w:hAnsi="Times New Roman" w:eastAsia="黑体" w:cs="Times New Roman"/>
                <w:sz w:val="21"/>
                <w:lang w:val="en-US" w:eastAsia="zh-CN" w:bidi="ar-SA"/>
              </w:rPr>
              <w:t>6</w:t>
            </w:r>
            <w:r>
              <w:rPr>
                <w:rFonts w:hint="eastAsia" w:ascii="黑体" w:hAnsi="Times New Roman" w:eastAsia="黑体" w:cs="Times New Roman"/>
                <w:sz w:val="21"/>
                <w:lang w:val="en-US" w:eastAsia="zh-CN" w:bidi="ar-SA"/>
              </w:rPr>
              <w:t xml:space="preserve"> </w:t>
            </w:r>
            <w:r>
              <w:rPr>
                <w:rFonts w:hint="eastAsia" w:ascii="宋体" w:hAnsi="宋体" w:eastAsia="宋体" w:cs="Arial"/>
              </w:rPr>
              <w:t>聚丙烯编织布的试验方法按附录D的规定。</w:t>
            </w:r>
          </w:p>
          <w:p w14:paraId="46723370">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宋体" w:hAnsi="宋体" w:eastAsia="宋体" w:cs="Arial"/>
              </w:rPr>
            </w:pPr>
            <w:r>
              <w:rPr>
                <w:rFonts w:hint="eastAsia" w:ascii="黑体" w:hAnsi="Times New Roman" w:eastAsia="黑体" w:cs="Times New Roman"/>
                <w:sz w:val="21"/>
                <w:lang w:val="en-US" w:eastAsia="zh-CN" w:bidi="ar-SA"/>
              </w:rPr>
              <w:t>4.4.</w:t>
            </w:r>
            <w:r>
              <w:rPr>
                <w:rFonts w:hint="eastAsia" w:hAnsi="Times New Roman" w:eastAsia="黑体" w:cs="Times New Roman"/>
                <w:sz w:val="21"/>
                <w:lang w:val="en-US" w:eastAsia="zh-CN" w:bidi="ar-SA"/>
              </w:rPr>
              <w:t>7</w:t>
            </w:r>
            <w:r>
              <w:rPr>
                <w:rFonts w:hint="eastAsia" w:ascii="黑体" w:hAnsi="Times New Roman" w:eastAsia="黑体" w:cs="Times New Roman"/>
                <w:sz w:val="21"/>
                <w:lang w:val="en-US" w:eastAsia="zh-CN" w:bidi="ar-SA"/>
              </w:rPr>
              <w:t xml:space="preserve"> </w:t>
            </w:r>
            <w:r>
              <w:rPr>
                <w:rFonts w:hint="eastAsia" w:ascii="宋体" w:hAnsi="宋体" w:eastAsia="宋体" w:cs="Arial"/>
              </w:rPr>
              <w:t>缝包绳和捆包麻绳断裂强力的检验按FZ 65002-1995的规定。</w:t>
            </w:r>
          </w:p>
          <w:p w14:paraId="10DE45C5">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Arial" w:hAnsi="Arial" w:cs="Arial"/>
              </w:rPr>
            </w:pPr>
            <w:bookmarkStart w:id="505" w:name="_Toc26901"/>
            <w:bookmarkStart w:id="506" w:name="_Toc90391623"/>
            <w:bookmarkStart w:id="507" w:name="_Toc14236"/>
            <w:r>
              <w:rPr>
                <w:rFonts w:hint="eastAsia" w:ascii="黑体" w:hAnsi="Times New Roman" w:eastAsia="黑体" w:cs="Times New Roman"/>
                <w:sz w:val="21"/>
                <w:lang w:val="en-US" w:eastAsia="zh-CN" w:bidi="ar-SA"/>
              </w:rPr>
              <w:t>4.5</w:t>
            </w:r>
            <w:r>
              <w:rPr>
                <w:rFonts w:ascii="Arial" w:hAnsi="Arial" w:cs="Arial"/>
              </w:rPr>
              <w:t>缝制检验</w:t>
            </w:r>
            <w:bookmarkEnd w:id="505"/>
            <w:bookmarkEnd w:id="506"/>
            <w:bookmarkEnd w:id="507"/>
          </w:p>
          <w:p w14:paraId="35D330C3">
            <w:pPr>
              <w:pStyle w:val="269"/>
              <w:keepNext w:val="0"/>
              <w:keepLines w:val="0"/>
              <w:pageBreakBefore w:val="0"/>
              <w:tabs>
                <w:tab w:val="center" w:pos="4201"/>
                <w:tab w:val="right" w:leader="dot" w:pos="9298"/>
              </w:tabs>
              <w:kinsoku/>
              <w:wordWrap/>
              <w:overflowPunct/>
              <w:topLinePunct w:val="0"/>
              <w:bidi w:val="0"/>
              <w:adjustRightInd/>
              <w:snapToGrid/>
              <w:spacing w:line="240" w:lineRule="auto"/>
              <w:ind w:left="420" w:leftChars="200" w:firstLine="0" w:firstLineChars="0"/>
              <w:textAlignment w:val="auto"/>
              <w:rPr>
                <w:rFonts w:hint="eastAsia" w:hAnsi="宋体"/>
                <w:bCs/>
                <w:color w:val="000000"/>
              </w:rPr>
            </w:pPr>
            <w:bookmarkStart w:id="508" w:name="_Toc32657942"/>
            <w:bookmarkStart w:id="509" w:name="_Toc34205826"/>
            <w:r>
              <w:rPr>
                <w:rFonts w:hint="eastAsia" w:hAnsi="宋体"/>
                <w:bCs/>
                <w:color w:val="000000"/>
              </w:rPr>
              <w:t>缝制质量检验按3.7、3.8目视和手感进行检验。</w:t>
            </w:r>
            <w:bookmarkEnd w:id="508"/>
            <w:bookmarkEnd w:id="509"/>
          </w:p>
          <w:p w14:paraId="75C7E9D8">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Arial" w:hAnsi="Arial" w:cs="Arial"/>
              </w:rPr>
            </w:pPr>
            <w:bookmarkStart w:id="510" w:name="_Toc16004"/>
            <w:bookmarkStart w:id="511" w:name="_Toc90391624"/>
            <w:bookmarkStart w:id="512" w:name="_Toc30247"/>
            <w:r>
              <w:rPr>
                <w:rFonts w:hint="eastAsia" w:ascii="黑体" w:hAnsi="Times New Roman" w:eastAsia="黑体" w:cs="Times New Roman"/>
                <w:sz w:val="21"/>
                <w:lang w:val="en-US" w:eastAsia="zh-CN" w:bidi="ar-SA"/>
              </w:rPr>
              <w:t>4.6</w:t>
            </w:r>
            <w:r>
              <w:rPr>
                <w:rFonts w:hint="eastAsia" w:ascii="Arial" w:hAnsi="Arial" w:cs="Arial"/>
              </w:rPr>
              <w:t>标志与包装检验</w:t>
            </w:r>
            <w:bookmarkEnd w:id="510"/>
            <w:bookmarkEnd w:id="511"/>
            <w:bookmarkEnd w:id="512"/>
          </w:p>
          <w:p w14:paraId="49BFA21E">
            <w:pPr>
              <w:pStyle w:val="269"/>
              <w:keepNext w:val="0"/>
              <w:keepLines w:val="0"/>
              <w:pageBreakBefore w:val="0"/>
              <w:tabs>
                <w:tab w:val="center" w:pos="4201"/>
                <w:tab w:val="right" w:leader="dot" w:pos="9298"/>
              </w:tabs>
              <w:kinsoku/>
              <w:wordWrap/>
              <w:overflowPunct/>
              <w:topLinePunct w:val="0"/>
              <w:bidi w:val="0"/>
              <w:adjustRightInd/>
              <w:snapToGrid/>
              <w:spacing w:line="240" w:lineRule="auto"/>
              <w:ind w:left="420" w:leftChars="200" w:firstLine="0" w:firstLineChars="0"/>
              <w:textAlignment w:val="auto"/>
              <w:rPr>
                <w:rFonts w:hint="eastAsia" w:hAnsi="宋体"/>
                <w:bCs/>
                <w:color w:val="000000"/>
              </w:rPr>
            </w:pPr>
            <w:r>
              <w:rPr>
                <w:rFonts w:hint="eastAsia" w:hAnsi="宋体"/>
                <w:bCs/>
                <w:color w:val="000000"/>
              </w:rPr>
              <w:t>标志与包装质量的检验按6.1、6.2的规定</w:t>
            </w:r>
          </w:p>
          <w:p w14:paraId="56972D81">
            <w:pPr>
              <w:pStyle w:val="536"/>
              <w:keepNext w:val="0"/>
              <w:keepLines w:val="0"/>
              <w:pageBreakBefore w:val="0"/>
              <w:numPr>
                <w:ilvl w:val="1"/>
                <w:numId w:val="0"/>
              </w:numPr>
              <w:kinsoku/>
              <w:wordWrap/>
              <w:overflowPunct/>
              <w:topLinePunct w:val="0"/>
              <w:bidi w:val="0"/>
              <w:adjustRightInd/>
              <w:snapToGrid/>
              <w:spacing w:before="0" w:beforeLines="0" w:after="0" w:afterLines="0" w:line="240" w:lineRule="auto"/>
              <w:ind w:left="0" w:leftChars="0" w:firstLine="0" w:firstLineChars="0"/>
              <w:textAlignment w:val="auto"/>
              <w:rPr>
                <w:rFonts w:hint="eastAsia" w:ascii="Arial" w:hAnsi="Arial" w:cs="Arial"/>
              </w:rPr>
            </w:pPr>
            <w:bookmarkStart w:id="513" w:name="_Toc2337"/>
            <w:bookmarkStart w:id="514" w:name="_Toc18274"/>
            <w:bookmarkStart w:id="515" w:name="_Toc90391625"/>
            <w:r>
              <w:rPr>
                <w:rFonts w:hint="eastAsia" w:ascii="黑体" w:hAnsi="Times New Roman" w:eastAsia="黑体" w:cs="Times New Roman"/>
                <w:sz w:val="21"/>
                <w:lang w:val="en-US" w:eastAsia="zh-CN" w:bidi="ar-SA"/>
              </w:rPr>
              <w:t>5</w:t>
            </w:r>
            <w:r>
              <w:rPr>
                <w:rFonts w:hint="eastAsia" w:ascii="Arial" w:hAnsi="Arial" w:cs="Arial"/>
              </w:rPr>
              <w:t>检验规则</w:t>
            </w:r>
            <w:bookmarkEnd w:id="513"/>
            <w:bookmarkEnd w:id="514"/>
            <w:bookmarkEnd w:id="515"/>
          </w:p>
          <w:p w14:paraId="537B61B1">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Arial" w:hAnsi="Arial" w:cs="Arial"/>
              </w:rPr>
            </w:pPr>
            <w:bookmarkStart w:id="516" w:name="_Toc11900"/>
            <w:bookmarkStart w:id="517" w:name="_Toc2258"/>
            <w:bookmarkStart w:id="518" w:name="_Toc90391626"/>
            <w:r>
              <w:rPr>
                <w:rFonts w:hint="eastAsia" w:ascii="黑体" w:hAnsi="Times New Roman" w:eastAsia="黑体" w:cs="Times New Roman"/>
                <w:sz w:val="21"/>
                <w:lang w:val="en-US" w:eastAsia="zh-CN" w:bidi="ar-SA"/>
              </w:rPr>
              <w:t>5.1检</w:t>
            </w:r>
            <w:r>
              <w:rPr>
                <w:rFonts w:hint="eastAsia" w:ascii="Arial" w:hAnsi="Arial" w:cs="Arial"/>
              </w:rPr>
              <w:t>验分类</w:t>
            </w:r>
            <w:bookmarkEnd w:id="516"/>
            <w:bookmarkEnd w:id="517"/>
            <w:bookmarkEnd w:id="518"/>
          </w:p>
          <w:p w14:paraId="1B96A79F">
            <w:pPr>
              <w:pStyle w:val="269"/>
              <w:keepNext w:val="0"/>
              <w:keepLines w:val="0"/>
              <w:pageBreakBefore w:val="0"/>
              <w:tabs>
                <w:tab w:val="center" w:pos="4201"/>
                <w:tab w:val="right" w:leader="dot" w:pos="9298"/>
              </w:tabs>
              <w:kinsoku/>
              <w:wordWrap/>
              <w:overflowPunct/>
              <w:topLinePunct w:val="0"/>
              <w:bidi w:val="0"/>
              <w:adjustRightInd/>
              <w:snapToGrid/>
              <w:spacing w:line="240" w:lineRule="auto"/>
              <w:ind w:left="420" w:leftChars="200" w:firstLine="0" w:firstLineChars="0"/>
              <w:textAlignment w:val="auto"/>
              <w:rPr>
                <w:rFonts w:hint="eastAsia" w:hAnsi="宋体"/>
              </w:rPr>
            </w:pPr>
            <w:r>
              <w:rPr>
                <w:rFonts w:hint="eastAsia" w:hAnsi="宋体"/>
              </w:rPr>
              <w:t>本部分规定的检验分类如下：</w:t>
            </w:r>
          </w:p>
          <w:p w14:paraId="70C62FA7">
            <w:pPr>
              <w:keepNext w:val="0"/>
              <w:keepLines w:val="0"/>
              <w:pageBreakBefore w:val="0"/>
              <w:numPr>
                <w:ilvl w:val="0"/>
                <w:numId w:val="24"/>
              </w:numPr>
              <w:kinsoku/>
              <w:wordWrap/>
              <w:overflowPunct/>
              <w:topLinePunct w:val="0"/>
              <w:bidi w:val="0"/>
              <w:adjustRightInd/>
              <w:snapToGrid/>
              <w:spacing w:line="240" w:lineRule="auto"/>
              <w:ind w:left="420" w:leftChars="200" w:firstLine="0" w:firstLineChars="0"/>
              <w:textAlignment w:val="auto"/>
              <w:rPr>
                <w:rFonts w:hint="eastAsia" w:ascii="宋体" w:hAnsi="宋体"/>
              </w:rPr>
            </w:pPr>
            <w:r>
              <w:rPr>
                <w:rFonts w:hint="eastAsia" w:ascii="宋体" w:hAnsi="宋体"/>
              </w:rPr>
              <w:t>首件检验（见5.2）；</w:t>
            </w:r>
          </w:p>
          <w:p w14:paraId="3C5DA872">
            <w:pPr>
              <w:keepNext w:val="0"/>
              <w:keepLines w:val="0"/>
              <w:pageBreakBefore w:val="0"/>
              <w:numPr>
                <w:ilvl w:val="0"/>
                <w:numId w:val="24"/>
              </w:numPr>
              <w:kinsoku/>
              <w:wordWrap/>
              <w:overflowPunct/>
              <w:topLinePunct w:val="0"/>
              <w:bidi w:val="0"/>
              <w:adjustRightInd/>
              <w:snapToGrid/>
              <w:spacing w:line="240" w:lineRule="auto"/>
              <w:ind w:left="420" w:leftChars="200" w:firstLine="0" w:firstLineChars="0"/>
              <w:textAlignment w:val="auto"/>
              <w:rPr>
                <w:rFonts w:hint="eastAsia" w:ascii="宋体" w:hAnsi="宋体"/>
              </w:rPr>
            </w:pPr>
            <w:r>
              <w:rPr>
                <w:rFonts w:hint="eastAsia" w:ascii="宋体" w:hAnsi="宋体"/>
              </w:rPr>
              <w:t>质量一致性检验（见5.3）；</w:t>
            </w:r>
          </w:p>
          <w:p w14:paraId="7DC27827">
            <w:pPr>
              <w:keepNext w:val="0"/>
              <w:keepLines w:val="0"/>
              <w:pageBreakBefore w:val="0"/>
              <w:numPr>
                <w:ilvl w:val="0"/>
                <w:numId w:val="24"/>
              </w:numPr>
              <w:kinsoku/>
              <w:wordWrap/>
              <w:overflowPunct/>
              <w:topLinePunct w:val="0"/>
              <w:bidi w:val="0"/>
              <w:adjustRightInd/>
              <w:snapToGrid/>
              <w:spacing w:line="240" w:lineRule="auto"/>
              <w:ind w:left="420" w:leftChars="200" w:firstLine="0" w:firstLineChars="0"/>
              <w:textAlignment w:val="auto"/>
              <w:rPr>
                <w:rFonts w:hint="eastAsia" w:ascii="宋体" w:hAnsi="宋体"/>
              </w:rPr>
            </w:pPr>
            <w:r>
              <w:rPr>
                <w:rFonts w:hint="eastAsia" w:ascii="宋体" w:hAnsi="宋体"/>
              </w:rPr>
              <w:t>验收检验（见5.4）。</w:t>
            </w:r>
          </w:p>
          <w:p w14:paraId="26E4A06F">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黑体" w:hAnsi="Times New Roman" w:eastAsia="黑体" w:cs="Times New Roman"/>
                <w:sz w:val="21"/>
                <w:lang w:val="en-US" w:eastAsia="zh-CN" w:bidi="ar-SA"/>
              </w:rPr>
            </w:pPr>
            <w:bookmarkStart w:id="519" w:name="_Toc9409"/>
            <w:bookmarkStart w:id="520" w:name="_Toc90391627"/>
          </w:p>
          <w:p w14:paraId="1AB12A64">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Arial" w:hAnsi="Arial" w:cs="Arial"/>
              </w:rPr>
            </w:pPr>
            <w:bookmarkStart w:id="521" w:name="_Toc27217"/>
            <w:r>
              <w:rPr>
                <w:rFonts w:hint="eastAsia" w:ascii="黑体" w:hAnsi="Times New Roman" w:eastAsia="黑体" w:cs="Times New Roman"/>
                <w:sz w:val="21"/>
                <w:lang w:val="en-US" w:eastAsia="zh-CN" w:bidi="ar-SA"/>
              </w:rPr>
              <w:t>5.2</w:t>
            </w:r>
            <w:r>
              <w:rPr>
                <w:rFonts w:hint="eastAsia" w:ascii="Arial" w:hAnsi="Arial" w:cs="Arial"/>
              </w:rPr>
              <w:t>首件检验</w:t>
            </w:r>
            <w:bookmarkEnd w:id="519"/>
            <w:bookmarkEnd w:id="520"/>
            <w:bookmarkEnd w:id="521"/>
          </w:p>
          <w:p w14:paraId="5A174196">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黑体" w:hAnsi="Times New Roman" w:eastAsia="黑体" w:cs="Times New Roman"/>
                <w:sz w:val="21"/>
                <w:lang w:val="en-US" w:eastAsia="zh-CN" w:bidi="ar-SA"/>
              </w:rPr>
              <w:t xml:space="preserve">5.2.1 </w:t>
            </w:r>
            <w:r>
              <w:rPr>
                <w:rFonts w:hint="eastAsia" w:ascii="方正黑体_GBK" w:hAnsi="方正黑体_GBK" w:eastAsia="方正黑体_GBK" w:cs="方正黑体_GBK"/>
              </w:rPr>
              <w:t>检验要求</w:t>
            </w:r>
          </w:p>
          <w:p w14:paraId="7CFE7797">
            <w:pPr>
              <w:keepNext w:val="0"/>
              <w:keepLines w:val="0"/>
              <w:pageBreakBefore w:val="0"/>
              <w:widowControl w:val="0"/>
              <w:kinsoku/>
              <w:wordWrap/>
              <w:overflowPunct/>
              <w:topLinePunct w:val="0"/>
              <w:autoSpaceDE/>
              <w:autoSpaceDN/>
              <w:bidi w:val="0"/>
              <w:adjustRightInd/>
              <w:snapToGrid/>
              <w:spacing w:line="240" w:lineRule="auto"/>
              <w:ind w:left="420" w:leftChars="200" w:firstLine="420" w:firstLineChars="200"/>
              <w:textAlignment w:val="auto"/>
              <w:rPr>
                <w:rFonts w:hint="eastAsia"/>
                <w:color w:val="auto"/>
              </w:rPr>
            </w:pPr>
            <w:r>
              <w:rPr>
                <w:rFonts w:hint="eastAsia"/>
                <w:color w:val="auto"/>
              </w:rPr>
              <w:t>首件报样检验是在承制单位批量投产之前，由订购方或订购方指定的检验机构，对其生产的首件产品进行检验以及确认承制单位能否生产出符合本部分要求的产品。报样产品符合本部分的规定后才能进行批量生产。</w:t>
            </w:r>
          </w:p>
          <w:p w14:paraId="03822B04">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5.2.2</w:t>
            </w:r>
            <w:r>
              <w:rPr>
                <w:rFonts w:hint="eastAsia" w:ascii="方正黑体_GBK" w:hAnsi="方正黑体_GBK" w:eastAsia="方正黑体_GBK" w:cs="方正黑体_GBK"/>
              </w:rPr>
              <w:t>检验项目</w:t>
            </w:r>
          </w:p>
          <w:p w14:paraId="48BE2EDD">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hAnsi="宋体"/>
                <w:bCs/>
                <w:color w:val="FF0000"/>
              </w:rPr>
            </w:pPr>
            <w:r>
              <w:rPr>
                <w:rFonts w:hint="eastAsia" w:hAnsi="宋体"/>
                <w:bCs/>
                <w:color w:val="auto"/>
              </w:rPr>
              <w:t>检验项目应符合表5的规定。</w:t>
            </w:r>
          </w:p>
          <w:p w14:paraId="5B97AC56">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5.2.3</w:t>
            </w:r>
            <w:r>
              <w:rPr>
                <w:rFonts w:hint="eastAsia" w:ascii="方正黑体_GBK" w:hAnsi="方正黑体_GBK" w:eastAsia="方正黑体_GBK" w:cs="方正黑体_GBK"/>
              </w:rPr>
              <w:t>检验数量</w:t>
            </w:r>
          </w:p>
          <w:p w14:paraId="52E41EFD">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rPr>
            </w:pPr>
            <w:r>
              <w:rPr>
                <w:rFonts w:hint="eastAsia"/>
              </w:rPr>
              <w:t>首件报样检验数量为一床。主、辅材料的理化性能检验按相关规定执行。</w:t>
            </w:r>
          </w:p>
          <w:p w14:paraId="20606AD1">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5.2.4</w:t>
            </w:r>
            <w:r>
              <w:rPr>
                <w:rFonts w:hint="eastAsia" w:ascii="方正黑体_GBK" w:hAnsi="方正黑体_GBK" w:eastAsia="方正黑体_GBK" w:cs="方正黑体_GBK"/>
              </w:rPr>
              <w:t>合格判定</w:t>
            </w:r>
          </w:p>
          <w:p w14:paraId="143D124B">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rPr>
            </w:pPr>
            <w:r>
              <w:rPr>
                <w:rFonts w:hint="eastAsia"/>
              </w:rPr>
              <w:t>首件报样检验全部符合表6合格品判定条件，判为合格品。首件报样检验不合格，允许修改后第二次报样，若仍不合格，判首件报样检验不合格。首件报样送检中理化性能不合格，可第二次报样复检，若仍为不合格项，判首件报样不合格。</w:t>
            </w:r>
          </w:p>
          <w:p w14:paraId="03E6D894">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lang w:val="en-US" w:eastAsia="zh-CN"/>
              </w:rPr>
            </w:pPr>
            <w:bookmarkStart w:id="522" w:name="_Toc27946"/>
            <w:bookmarkStart w:id="523" w:name="_Toc90391628"/>
          </w:p>
          <w:p w14:paraId="5CCF44E0">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bookmarkStart w:id="524" w:name="_Toc17617"/>
            <w:r>
              <w:rPr>
                <w:rFonts w:hint="eastAsia" w:ascii="方正黑体_GBK" w:hAnsi="方正黑体_GBK" w:eastAsia="方正黑体_GBK" w:cs="方正黑体_GBK"/>
                <w:lang w:val="en-US" w:eastAsia="zh-CN"/>
              </w:rPr>
              <w:t>5.3</w:t>
            </w:r>
            <w:r>
              <w:rPr>
                <w:rFonts w:hint="eastAsia" w:ascii="方正黑体_GBK" w:hAnsi="方正黑体_GBK" w:eastAsia="方正黑体_GBK" w:cs="方正黑体_GBK"/>
              </w:rPr>
              <w:t>质量一致性检验</w:t>
            </w:r>
            <w:bookmarkEnd w:id="522"/>
            <w:bookmarkEnd w:id="523"/>
            <w:bookmarkEnd w:id="524"/>
          </w:p>
          <w:p w14:paraId="37788ED0">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5.3.1 </w:t>
            </w:r>
            <w:r>
              <w:rPr>
                <w:rFonts w:hint="eastAsia" w:ascii="方正黑体_GBK" w:hAnsi="方正黑体_GBK" w:eastAsia="方正黑体_GBK" w:cs="方正黑体_GBK"/>
              </w:rPr>
              <w:t>检验要求</w:t>
            </w:r>
          </w:p>
          <w:p w14:paraId="55D16A24">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rPr>
            </w:pPr>
            <w:r>
              <w:rPr>
                <w:rFonts w:hint="eastAsia"/>
              </w:rPr>
              <w:t>承制单位在生产过程中应对半成品、成品逐床检验。原材料理化性能应进行周期性检验。订购方或订购方指定的检验机构，可依据每批次生产周期，在产品生产过程中，按本部分的规定，对承制单位的生产条件、在制品和成品质量进行检验。</w:t>
            </w:r>
          </w:p>
          <w:p w14:paraId="184C54C7">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5.3.2 </w:t>
            </w:r>
            <w:r>
              <w:rPr>
                <w:rFonts w:hint="eastAsia" w:ascii="方正黑体_GBK" w:hAnsi="方正黑体_GBK" w:eastAsia="方正黑体_GBK" w:cs="方正黑体_GBK"/>
              </w:rPr>
              <w:t>检验要求</w:t>
            </w:r>
          </w:p>
          <w:p w14:paraId="33BF5FDB">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rPr>
            </w:pPr>
            <w:r>
              <w:rPr>
                <w:rFonts w:hint="eastAsia"/>
              </w:rPr>
              <w:t>检验项目应符合表6的规定。</w:t>
            </w:r>
          </w:p>
          <w:p w14:paraId="741CF2A6">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5.3.3 </w:t>
            </w:r>
            <w:r>
              <w:rPr>
                <w:rFonts w:hint="eastAsia" w:ascii="方正黑体_GBK" w:hAnsi="方正黑体_GBK" w:eastAsia="方正黑体_GBK" w:cs="方正黑体_GBK"/>
              </w:rPr>
              <w:t>合格判定</w:t>
            </w:r>
          </w:p>
          <w:p w14:paraId="5D40B097">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rPr>
            </w:pPr>
            <w:r>
              <w:rPr>
                <w:rFonts w:hint="eastAsia"/>
              </w:rPr>
              <w:t>产品全部符合表6合格品判定条件，判定该件产品为合格品。产品因有缺陷返修后经检验合格，判该件产品为合格品。</w:t>
            </w:r>
          </w:p>
          <w:p w14:paraId="3527A58C">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lang w:val="en-US" w:eastAsia="zh-CN"/>
              </w:rPr>
            </w:pPr>
            <w:bookmarkStart w:id="525" w:name="_Toc90391629"/>
            <w:bookmarkStart w:id="526" w:name="_Toc18551"/>
          </w:p>
          <w:p w14:paraId="38FDD272">
            <w:pPr>
              <w:pStyle w:val="434"/>
              <w:keepNext w:val="0"/>
              <w:keepLines w:val="0"/>
              <w:pageBreakBefore w:val="0"/>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bookmarkStart w:id="527" w:name="_Toc5703"/>
            <w:r>
              <w:rPr>
                <w:rFonts w:hint="eastAsia" w:ascii="方正黑体_GBK" w:hAnsi="方正黑体_GBK" w:eastAsia="方正黑体_GBK" w:cs="方正黑体_GBK"/>
                <w:lang w:val="en-US" w:eastAsia="zh-CN"/>
              </w:rPr>
              <w:t>5.4</w:t>
            </w:r>
            <w:r>
              <w:rPr>
                <w:rFonts w:hint="eastAsia" w:ascii="方正黑体_GBK" w:hAnsi="方正黑体_GBK" w:eastAsia="方正黑体_GBK" w:cs="方正黑体_GBK"/>
              </w:rPr>
              <w:t>验收检验</w:t>
            </w:r>
            <w:bookmarkEnd w:id="525"/>
            <w:bookmarkEnd w:id="526"/>
            <w:bookmarkEnd w:id="527"/>
          </w:p>
          <w:p w14:paraId="66F65DE8">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5.4.1 </w:t>
            </w:r>
            <w:r>
              <w:rPr>
                <w:rFonts w:hint="eastAsia" w:ascii="方正黑体_GBK" w:hAnsi="方正黑体_GBK" w:eastAsia="方正黑体_GBK" w:cs="方正黑体_GBK"/>
              </w:rPr>
              <w:t>检验要求</w:t>
            </w:r>
          </w:p>
          <w:p w14:paraId="57A81703">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rPr>
            </w:pPr>
            <w:r>
              <w:rPr>
                <w:rFonts w:hint="eastAsia"/>
              </w:rPr>
              <w:t>承制单位在产品出厂前，应按批次，相对集中的向订购方或订购方指定的检验机构报检。订购方或订购方指定的检验机构根据需要可对产品进行破坏性检验。</w:t>
            </w:r>
          </w:p>
          <w:p w14:paraId="391D98AC">
            <w:pPr>
              <w:pStyle w:val="282"/>
              <w:keepNext w:val="0"/>
              <w:keepLines w:val="0"/>
              <w:pageBreakBefore w:val="0"/>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5.4.2 </w:t>
            </w:r>
            <w:r>
              <w:rPr>
                <w:rFonts w:hint="eastAsia" w:ascii="方正黑体_GBK" w:hAnsi="方正黑体_GBK" w:eastAsia="方正黑体_GBK" w:cs="方正黑体_GBK"/>
              </w:rPr>
              <w:t>检验项目</w:t>
            </w:r>
          </w:p>
          <w:p w14:paraId="49675B9A">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rPr>
            </w:pPr>
            <w:r>
              <w:rPr>
                <w:rFonts w:hint="eastAsia"/>
              </w:rPr>
              <w:t>检验项目应符合表6的规定。</w:t>
            </w:r>
          </w:p>
          <w:p w14:paraId="46101BEF">
            <w:pPr>
              <w:rPr>
                <w:rFonts w:hint="eastAsia"/>
              </w:rPr>
            </w:pPr>
          </w:p>
          <w:tbl>
            <w:tblPr>
              <w:tblStyle w:val="58"/>
              <w:tblW w:w="6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
              <w:gridCol w:w="1147"/>
              <w:gridCol w:w="1266"/>
              <w:gridCol w:w="1358"/>
              <w:gridCol w:w="817"/>
              <w:gridCol w:w="778"/>
              <w:gridCol w:w="677"/>
            </w:tblGrid>
            <w:tr w14:paraId="3932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trPr>
              <w:tc>
                <w:tcPr>
                  <w:tcW w:w="6400" w:type="dxa"/>
                  <w:gridSpan w:val="7"/>
                  <w:tcBorders>
                    <w:top w:val="nil"/>
                    <w:left w:val="nil"/>
                    <w:bottom w:val="single" w:color="auto" w:sz="12" w:space="0"/>
                    <w:right w:val="nil"/>
                  </w:tcBorders>
                  <w:noWrap w:val="0"/>
                  <w:vAlign w:val="center"/>
                </w:tcPr>
                <w:p w14:paraId="096AAADC">
                  <w:pPr>
                    <w:keepLines w:val="0"/>
                    <w:pageBreakBefore w:val="0"/>
                    <w:topLinePunct w:val="0"/>
                    <w:bidi w:val="0"/>
                    <w:spacing w:line="240" w:lineRule="auto"/>
                    <w:jc w:val="center"/>
                    <w:rPr>
                      <w:rFonts w:hint="eastAsia" w:ascii="宋体" w:hAnsi="宋体"/>
                      <w:sz w:val="18"/>
                      <w:szCs w:val="18"/>
                    </w:rPr>
                  </w:pPr>
                  <w:r>
                    <w:rPr>
                      <w:rFonts w:hint="eastAsia" w:ascii="黑体" w:hAnsi="黑体" w:eastAsia="黑体"/>
                    </w:rPr>
                    <w:t>表6 检验项目、要求和检验方法</w:t>
                  </w:r>
                </w:p>
              </w:tc>
            </w:tr>
            <w:tr w14:paraId="527E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blHeader/>
              </w:trPr>
              <w:tc>
                <w:tcPr>
                  <w:tcW w:w="357" w:type="dxa"/>
                  <w:tcBorders>
                    <w:top w:val="single" w:color="auto" w:sz="12" w:space="0"/>
                    <w:left w:val="single" w:color="auto" w:sz="12" w:space="0"/>
                    <w:bottom w:val="single" w:color="auto" w:sz="12" w:space="0"/>
                    <w:right w:val="single" w:color="auto" w:sz="4" w:space="0"/>
                  </w:tcBorders>
                  <w:noWrap w:val="0"/>
                  <w:vAlign w:val="center"/>
                </w:tcPr>
                <w:p w14:paraId="749E379E">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序号</w:t>
                  </w:r>
                </w:p>
              </w:tc>
              <w:tc>
                <w:tcPr>
                  <w:tcW w:w="1147" w:type="dxa"/>
                  <w:tcBorders>
                    <w:top w:val="single" w:color="auto" w:sz="12" w:space="0"/>
                    <w:left w:val="single" w:color="auto" w:sz="4" w:space="0"/>
                    <w:bottom w:val="nil"/>
                    <w:right w:val="single" w:color="auto" w:sz="4" w:space="0"/>
                  </w:tcBorders>
                  <w:noWrap w:val="0"/>
                  <w:vAlign w:val="center"/>
                </w:tcPr>
                <w:p w14:paraId="3F8458B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检验项目</w:t>
                  </w:r>
                </w:p>
              </w:tc>
              <w:tc>
                <w:tcPr>
                  <w:tcW w:w="1266" w:type="dxa"/>
                  <w:tcBorders>
                    <w:top w:val="single" w:color="auto" w:sz="12" w:space="0"/>
                    <w:left w:val="single" w:color="auto" w:sz="4" w:space="0"/>
                    <w:bottom w:val="single" w:color="auto" w:sz="12" w:space="0"/>
                    <w:right w:val="single" w:color="auto" w:sz="4" w:space="0"/>
                  </w:tcBorders>
                  <w:noWrap w:val="0"/>
                  <w:vAlign w:val="center"/>
                </w:tcPr>
                <w:p w14:paraId="39E65AF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检验方法</w:t>
                  </w:r>
                </w:p>
              </w:tc>
              <w:tc>
                <w:tcPr>
                  <w:tcW w:w="1358" w:type="dxa"/>
                  <w:tcBorders>
                    <w:top w:val="single" w:color="auto" w:sz="12" w:space="0"/>
                    <w:left w:val="single" w:color="auto" w:sz="4" w:space="0"/>
                    <w:bottom w:val="single" w:color="auto" w:sz="12" w:space="0"/>
                    <w:right w:val="single" w:color="auto" w:sz="4" w:space="0"/>
                  </w:tcBorders>
                  <w:noWrap w:val="0"/>
                  <w:vAlign w:val="center"/>
                </w:tcPr>
                <w:p w14:paraId="427B6FF1">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要求</w:t>
                  </w:r>
                </w:p>
              </w:tc>
              <w:tc>
                <w:tcPr>
                  <w:tcW w:w="817" w:type="dxa"/>
                  <w:tcBorders>
                    <w:top w:val="single" w:color="auto" w:sz="12" w:space="0"/>
                    <w:left w:val="single" w:color="auto" w:sz="4" w:space="0"/>
                    <w:bottom w:val="single" w:color="auto" w:sz="12" w:space="0"/>
                    <w:right w:val="single" w:color="auto" w:sz="4" w:space="0"/>
                  </w:tcBorders>
                  <w:noWrap w:val="0"/>
                  <w:vAlign w:val="center"/>
                </w:tcPr>
                <w:p w14:paraId="4A94882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首件检验</w:t>
                  </w:r>
                </w:p>
              </w:tc>
              <w:tc>
                <w:tcPr>
                  <w:tcW w:w="778" w:type="dxa"/>
                  <w:tcBorders>
                    <w:top w:val="single" w:color="auto" w:sz="12" w:space="0"/>
                    <w:left w:val="single" w:color="auto" w:sz="4" w:space="0"/>
                    <w:bottom w:val="single" w:color="auto" w:sz="12" w:space="0"/>
                    <w:right w:val="single" w:color="auto" w:sz="4" w:space="0"/>
                  </w:tcBorders>
                  <w:noWrap w:val="0"/>
                  <w:vAlign w:val="center"/>
                </w:tcPr>
                <w:p w14:paraId="7C34EA4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质量一致性检验</w:t>
                  </w:r>
                </w:p>
              </w:tc>
              <w:tc>
                <w:tcPr>
                  <w:tcW w:w="677" w:type="dxa"/>
                  <w:tcBorders>
                    <w:top w:val="single" w:color="auto" w:sz="12" w:space="0"/>
                    <w:left w:val="single" w:color="auto" w:sz="4" w:space="0"/>
                    <w:bottom w:val="single" w:color="auto" w:sz="12" w:space="0"/>
                    <w:right w:val="single" w:color="auto" w:sz="12" w:space="0"/>
                  </w:tcBorders>
                  <w:noWrap w:val="0"/>
                  <w:vAlign w:val="center"/>
                </w:tcPr>
                <w:p w14:paraId="041CCED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验收检验</w:t>
                  </w:r>
                </w:p>
              </w:tc>
            </w:tr>
            <w:tr w14:paraId="3E9C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7" w:type="dxa"/>
                  <w:tcBorders>
                    <w:top w:val="single" w:color="auto" w:sz="12" w:space="0"/>
                    <w:left w:val="single" w:color="auto" w:sz="12" w:space="0"/>
                  </w:tcBorders>
                  <w:noWrap w:val="0"/>
                  <w:vAlign w:val="center"/>
                </w:tcPr>
                <w:p w14:paraId="30242A2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w:t>
                  </w:r>
                </w:p>
              </w:tc>
              <w:tc>
                <w:tcPr>
                  <w:tcW w:w="1147" w:type="dxa"/>
                  <w:tcBorders>
                    <w:top w:val="single" w:color="auto" w:sz="12" w:space="0"/>
                  </w:tcBorders>
                  <w:noWrap w:val="0"/>
                  <w:vAlign w:val="center"/>
                </w:tcPr>
                <w:p w14:paraId="42F418D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样式</w:t>
                  </w:r>
                </w:p>
              </w:tc>
              <w:tc>
                <w:tcPr>
                  <w:tcW w:w="1266" w:type="dxa"/>
                  <w:tcBorders>
                    <w:top w:val="single" w:color="auto" w:sz="12" w:space="0"/>
                  </w:tcBorders>
                  <w:noWrap w:val="0"/>
                  <w:vAlign w:val="center"/>
                </w:tcPr>
                <w:p w14:paraId="387EB0E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按4.1的规定</w:t>
                  </w:r>
                </w:p>
              </w:tc>
              <w:tc>
                <w:tcPr>
                  <w:tcW w:w="1358" w:type="dxa"/>
                  <w:tcBorders>
                    <w:top w:val="single" w:color="auto" w:sz="12" w:space="0"/>
                  </w:tcBorders>
                  <w:noWrap w:val="0"/>
                  <w:vAlign w:val="center"/>
                </w:tcPr>
                <w:p w14:paraId="3A242A5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符合3.1的规定</w:t>
                  </w:r>
                </w:p>
              </w:tc>
              <w:tc>
                <w:tcPr>
                  <w:tcW w:w="817" w:type="dxa"/>
                  <w:tcBorders>
                    <w:top w:val="single" w:color="auto" w:sz="12" w:space="0"/>
                  </w:tcBorders>
                  <w:noWrap w:val="0"/>
                  <w:vAlign w:val="center"/>
                </w:tcPr>
                <w:p w14:paraId="58810C6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778" w:type="dxa"/>
                  <w:tcBorders>
                    <w:top w:val="single" w:color="auto" w:sz="12" w:space="0"/>
                  </w:tcBorders>
                  <w:noWrap w:val="0"/>
                  <w:vAlign w:val="center"/>
                </w:tcPr>
                <w:p w14:paraId="3A276F4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677" w:type="dxa"/>
                  <w:tcBorders>
                    <w:top w:val="single" w:color="auto" w:sz="12" w:space="0"/>
                    <w:right w:val="single" w:color="auto" w:sz="12" w:space="0"/>
                  </w:tcBorders>
                  <w:noWrap w:val="0"/>
                  <w:vAlign w:val="center"/>
                </w:tcPr>
                <w:p w14:paraId="3603B90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2F64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57" w:type="dxa"/>
                  <w:tcBorders>
                    <w:left w:val="single" w:color="auto" w:sz="12" w:space="0"/>
                  </w:tcBorders>
                  <w:noWrap w:val="0"/>
                  <w:vAlign w:val="center"/>
                </w:tcPr>
                <w:p w14:paraId="202D30C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2</w:t>
                  </w:r>
                </w:p>
              </w:tc>
              <w:tc>
                <w:tcPr>
                  <w:tcW w:w="1147" w:type="dxa"/>
                  <w:noWrap w:val="0"/>
                  <w:vAlign w:val="center"/>
                </w:tcPr>
                <w:p w14:paraId="6AD0216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成品主要尺寸</w:t>
                  </w:r>
                </w:p>
              </w:tc>
              <w:tc>
                <w:tcPr>
                  <w:tcW w:w="1266" w:type="dxa"/>
                  <w:noWrap w:val="0"/>
                  <w:vAlign w:val="center"/>
                </w:tcPr>
                <w:p w14:paraId="4B1DE35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按4.2的规定</w:t>
                  </w:r>
                </w:p>
              </w:tc>
              <w:tc>
                <w:tcPr>
                  <w:tcW w:w="1358" w:type="dxa"/>
                  <w:noWrap w:val="0"/>
                  <w:vAlign w:val="center"/>
                </w:tcPr>
                <w:p w14:paraId="1E1187C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符合3.2的规定</w:t>
                  </w:r>
                </w:p>
              </w:tc>
              <w:tc>
                <w:tcPr>
                  <w:tcW w:w="817" w:type="dxa"/>
                  <w:noWrap w:val="0"/>
                  <w:vAlign w:val="center"/>
                </w:tcPr>
                <w:p w14:paraId="25B7766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778" w:type="dxa"/>
                  <w:noWrap w:val="0"/>
                  <w:vAlign w:val="center"/>
                </w:tcPr>
                <w:p w14:paraId="2D9247E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677" w:type="dxa"/>
                  <w:tcBorders>
                    <w:right w:val="single" w:color="auto" w:sz="12" w:space="0"/>
                  </w:tcBorders>
                  <w:noWrap w:val="0"/>
                  <w:vAlign w:val="center"/>
                </w:tcPr>
                <w:p w14:paraId="101614F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08AF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57" w:type="dxa"/>
                  <w:tcBorders>
                    <w:left w:val="single" w:color="auto" w:sz="12" w:space="0"/>
                  </w:tcBorders>
                  <w:noWrap w:val="0"/>
                  <w:vAlign w:val="center"/>
                </w:tcPr>
                <w:p w14:paraId="603F89B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3</w:t>
                  </w:r>
                </w:p>
              </w:tc>
              <w:tc>
                <w:tcPr>
                  <w:tcW w:w="1147" w:type="dxa"/>
                  <w:noWrap w:val="0"/>
                  <w:vAlign w:val="center"/>
                </w:tcPr>
                <w:p w14:paraId="1080CD4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颜色</w:t>
                  </w:r>
                </w:p>
              </w:tc>
              <w:tc>
                <w:tcPr>
                  <w:tcW w:w="1266" w:type="dxa"/>
                  <w:noWrap w:val="0"/>
                  <w:vAlign w:val="center"/>
                </w:tcPr>
                <w:p w14:paraId="07F71E7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按4.3的规定</w:t>
                  </w:r>
                </w:p>
              </w:tc>
              <w:tc>
                <w:tcPr>
                  <w:tcW w:w="1358" w:type="dxa"/>
                  <w:noWrap w:val="0"/>
                  <w:vAlign w:val="center"/>
                </w:tcPr>
                <w:p w14:paraId="1EF9DBA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符合3.4的规定</w:t>
                  </w:r>
                </w:p>
              </w:tc>
              <w:tc>
                <w:tcPr>
                  <w:tcW w:w="817" w:type="dxa"/>
                  <w:noWrap w:val="0"/>
                  <w:vAlign w:val="center"/>
                </w:tcPr>
                <w:p w14:paraId="698D5211">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778" w:type="dxa"/>
                  <w:noWrap w:val="0"/>
                  <w:vAlign w:val="center"/>
                </w:tcPr>
                <w:p w14:paraId="0A50A02E">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677" w:type="dxa"/>
                  <w:tcBorders>
                    <w:right w:val="single" w:color="auto" w:sz="12" w:space="0"/>
                  </w:tcBorders>
                  <w:noWrap w:val="0"/>
                  <w:vAlign w:val="center"/>
                </w:tcPr>
                <w:p w14:paraId="7E355D8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7778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57" w:type="dxa"/>
                  <w:tcBorders>
                    <w:left w:val="single" w:color="auto" w:sz="12" w:space="0"/>
                  </w:tcBorders>
                  <w:noWrap w:val="0"/>
                  <w:vAlign w:val="center"/>
                </w:tcPr>
                <w:p w14:paraId="7596767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4</w:t>
                  </w:r>
                </w:p>
              </w:tc>
              <w:tc>
                <w:tcPr>
                  <w:tcW w:w="1147" w:type="dxa"/>
                  <w:noWrap w:val="0"/>
                  <w:vAlign w:val="center"/>
                </w:tcPr>
                <w:p w14:paraId="54A186A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材质</w:t>
                  </w:r>
                </w:p>
              </w:tc>
              <w:tc>
                <w:tcPr>
                  <w:tcW w:w="1266" w:type="dxa"/>
                  <w:noWrap w:val="0"/>
                  <w:vAlign w:val="center"/>
                </w:tcPr>
                <w:p w14:paraId="448C68A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按4.4的规定</w:t>
                  </w:r>
                </w:p>
              </w:tc>
              <w:tc>
                <w:tcPr>
                  <w:tcW w:w="1358" w:type="dxa"/>
                  <w:noWrap w:val="0"/>
                  <w:vAlign w:val="center"/>
                </w:tcPr>
                <w:p w14:paraId="4E1F0091">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符合3.3的规定</w:t>
                  </w:r>
                </w:p>
              </w:tc>
              <w:tc>
                <w:tcPr>
                  <w:tcW w:w="817" w:type="dxa"/>
                  <w:noWrap w:val="0"/>
                  <w:vAlign w:val="center"/>
                </w:tcPr>
                <w:p w14:paraId="591D711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778" w:type="dxa"/>
                  <w:noWrap w:val="0"/>
                  <w:vAlign w:val="center"/>
                </w:tcPr>
                <w:p w14:paraId="7B1208B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677" w:type="dxa"/>
                  <w:tcBorders>
                    <w:right w:val="single" w:color="auto" w:sz="12" w:space="0"/>
                  </w:tcBorders>
                  <w:noWrap w:val="0"/>
                  <w:vAlign w:val="center"/>
                </w:tcPr>
                <w:p w14:paraId="23D4287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793F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57" w:type="dxa"/>
                  <w:tcBorders>
                    <w:left w:val="single" w:color="auto" w:sz="12" w:space="0"/>
                  </w:tcBorders>
                  <w:noWrap w:val="0"/>
                  <w:vAlign w:val="center"/>
                </w:tcPr>
                <w:p w14:paraId="0F7DB31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5</w:t>
                  </w:r>
                </w:p>
              </w:tc>
              <w:tc>
                <w:tcPr>
                  <w:tcW w:w="1147" w:type="dxa"/>
                  <w:noWrap w:val="0"/>
                  <w:vAlign w:val="center"/>
                </w:tcPr>
                <w:p w14:paraId="7FDAB1E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缝制质量</w:t>
                  </w:r>
                </w:p>
              </w:tc>
              <w:tc>
                <w:tcPr>
                  <w:tcW w:w="1266" w:type="dxa"/>
                  <w:noWrap w:val="0"/>
                  <w:vAlign w:val="center"/>
                </w:tcPr>
                <w:p w14:paraId="22F11FB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按4.5的规定</w:t>
                  </w:r>
                </w:p>
              </w:tc>
              <w:tc>
                <w:tcPr>
                  <w:tcW w:w="1358" w:type="dxa"/>
                  <w:noWrap w:val="0"/>
                  <w:vAlign w:val="center"/>
                </w:tcPr>
                <w:p w14:paraId="3837751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符合3.7、3.8的规定</w:t>
                  </w:r>
                </w:p>
              </w:tc>
              <w:tc>
                <w:tcPr>
                  <w:tcW w:w="817" w:type="dxa"/>
                  <w:noWrap w:val="0"/>
                  <w:vAlign w:val="center"/>
                </w:tcPr>
                <w:p w14:paraId="4C05473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778" w:type="dxa"/>
                  <w:noWrap w:val="0"/>
                  <w:vAlign w:val="center"/>
                </w:tcPr>
                <w:p w14:paraId="745580B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677" w:type="dxa"/>
                  <w:tcBorders>
                    <w:right w:val="single" w:color="auto" w:sz="12" w:space="0"/>
                  </w:tcBorders>
                  <w:noWrap w:val="0"/>
                  <w:vAlign w:val="center"/>
                </w:tcPr>
                <w:p w14:paraId="65E1596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50EA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57" w:type="dxa"/>
                  <w:tcBorders>
                    <w:left w:val="single" w:color="auto" w:sz="12" w:space="0"/>
                  </w:tcBorders>
                  <w:noWrap w:val="0"/>
                  <w:vAlign w:val="center"/>
                </w:tcPr>
                <w:p w14:paraId="4DD12FB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6</w:t>
                  </w:r>
                </w:p>
              </w:tc>
              <w:tc>
                <w:tcPr>
                  <w:tcW w:w="1147" w:type="dxa"/>
                  <w:noWrap w:val="0"/>
                  <w:vAlign w:val="center"/>
                </w:tcPr>
                <w:p w14:paraId="2F0C570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外观质量</w:t>
                  </w:r>
                </w:p>
              </w:tc>
              <w:tc>
                <w:tcPr>
                  <w:tcW w:w="1266" w:type="dxa"/>
                  <w:noWrap w:val="0"/>
                  <w:vAlign w:val="center"/>
                </w:tcPr>
                <w:p w14:paraId="7A20251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按4.1、4.5的规定</w:t>
                  </w:r>
                </w:p>
              </w:tc>
              <w:tc>
                <w:tcPr>
                  <w:tcW w:w="1358" w:type="dxa"/>
                  <w:noWrap w:val="0"/>
                  <w:vAlign w:val="center"/>
                </w:tcPr>
                <w:p w14:paraId="78896A9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符合3.5、3.8的规定</w:t>
                  </w:r>
                </w:p>
              </w:tc>
              <w:tc>
                <w:tcPr>
                  <w:tcW w:w="817" w:type="dxa"/>
                  <w:noWrap w:val="0"/>
                  <w:vAlign w:val="center"/>
                </w:tcPr>
                <w:p w14:paraId="6200E9C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778" w:type="dxa"/>
                  <w:noWrap w:val="0"/>
                  <w:vAlign w:val="center"/>
                </w:tcPr>
                <w:p w14:paraId="4EC043F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677" w:type="dxa"/>
                  <w:tcBorders>
                    <w:right w:val="single" w:color="auto" w:sz="12" w:space="0"/>
                  </w:tcBorders>
                  <w:noWrap w:val="0"/>
                  <w:vAlign w:val="center"/>
                </w:tcPr>
                <w:p w14:paraId="3E6B1B4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4F32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57" w:type="dxa"/>
                  <w:tcBorders>
                    <w:left w:val="single" w:color="auto" w:sz="12" w:space="0"/>
                  </w:tcBorders>
                  <w:noWrap w:val="0"/>
                  <w:vAlign w:val="center"/>
                </w:tcPr>
                <w:p w14:paraId="37F8CFE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7</w:t>
                  </w:r>
                </w:p>
              </w:tc>
              <w:tc>
                <w:tcPr>
                  <w:tcW w:w="1147" w:type="dxa"/>
                  <w:noWrap w:val="0"/>
                  <w:vAlign w:val="center"/>
                </w:tcPr>
                <w:p w14:paraId="6D1D6A4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标志</w:t>
                  </w:r>
                </w:p>
              </w:tc>
              <w:tc>
                <w:tcPr>
                  <w:tcW w:w="1266" w:type="dxa"/>
                  <w:noWrap w:val="0"/>
                  <w:vAlign w:val="center"/>
                </w:tcPr>
                <w:p w14:paraId="11C11C2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按4.6的规定</w:t>
                  </w:r>
                </w:p>
              </w:tc>
              <w:tc>
                <w:tcPr>
                  <w:tcW w:w="1358" w:type="dxa"/>
                  <w:noWrap w:val="0"/>
                  <w:vAlign w:val="center"/>
                </w:tcPr>
                <w:p w14:paraId="148368E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符合6.1的规定</w:t>
                  </w:r>
                </w:p>
              </w:tc>
              <w:tc>
                <w:tcPr>
                  <w:tcW w:w="817" w:type="dxa"/>
                  <w:noWrap w:val="0"/>
                  <w:vAlign w:val="center"/>
                </w:tcPr>
                <w:p w14:paraId="6419A06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778" w:type="dxa"/>
                  <w:noWrap w:val="0"/>
                  <w:vAlign w:val="center"/>
                </w:tcPr>
                <w:p w14:paraId="253C24F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677" w:type="dxa"/>
                  <w:tcBorders>
                    <w:right w:val="single" w:color="auto" w:sz="12" w:space="0"/>
                  </w:tcBorders>
                  <w:noWrap w:val="0"/>
                  <w:vAlign w:val="center"/>
                </w:tcPr>
                <w:p w14:paraId="2360C2A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2E20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57" w:type="dxa"/>
                  <w:tcBorders>
                    <w:left w:val="single" w:color="auto" w:sz="12" w:space="0"/>
                  </w:tcBorders>
                  <w:noWrap w:val="0"/>
                  <w:vAlign w:val="center"/>
                </w:tcPr>
                <w:p w14:paraId="6C9A321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8</w:t>
                  </w:r>
                </w:p>
              </w:tc>
              <w:tc>
                <w:tcPr>
                  <w:tcW w:w="1147" w:type="dxa"/>
                  <w:noWrap w:val="0"/>
                  <w:vAlign w:val="center"/>
                </w:tcPr>
                <w:p w14:paraId="2DE1467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包装材料</w:t>
                  </w:r>
                </w:p>
              </w:tc>
              <w:tc>
                <w:tcPr>
                  <w:tcW w:w="1266" w:type="dxa"/>
                  <w:noWrap w:val="0"/>
                  <w:vAlign w:val="center"/>
                </w:tcPr>
                <w:p w14:paraId="26F58FB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按附录C的规定</w:t>
                  </w:r>
                </w:p>
              </w:tc>
              <w:tc>
                <w:tcPr>
                  <w:tcW w:w="1358" w:type="dxa"/>
                  <w:noWrap w:val="0"/>
                  <w:vAlign w:val="center"/>
                </w:tcPr>
                <w:p w14:paraId="21666E4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符合6.2.1的规定</w:t>
                  </w:r>
                </w:p>
              </w:tc>
              <w:tc>
                <w:tcPr>
                  <w:tcW w:w="817" w:type="dxa"/>
                  <w:noWrap w:val="0"/>
                  <w:vAlign w:val="center"/>
                </w:tcPr>
                <w:p w14:paraId="67B6335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778" w:type="dxa"/>
                  <w:noWrap w:val="0"/>
                  <w:vAlign w:val="center"/>
                </w:tcPr>
                <w:p w14:paraId="401E4BE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677" w:type="dxa"/>
                  <w:tcBorders>
                    <w:right w:val="single" w:color="auto" w:sz="12" w:space="0"/>
                  </w:tcBorders>
                  <w:noWrap w:val="0"/>
                  <w:vAlign w:val="center"/>
                </w:tcPr>
                <w:p w14:paraId="10067E3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261A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57" w:type="dxa"/>
                  <w:tcBorders>
                    <w:left w:val="single" w:color="auto" w:sz="12" w:space="0"/>
                  </w:tcBorders>
                  <w:noWrap w:val="0"/>
                  <w:vAlign w:val="center"/>
                </w:tcPr>
                <w:p w14:paraId="74A436AE">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9</w:t>
                  </w:r>
                </w:p>
              </w:tc>
              <w:tc>
                <w:tcPr>
                  <w:tcW w:w="1147" w:type="dxa"/>
                  <w:noWrap w:val="0"/>
                  <w:vAlign w:val="center"/>
                </w:tcPr>
                <w:p w14:paraId="3BD7A5A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捆包麻绳</w:t>
                  </w:r>
                </w:p>
              </w:tc>
              <w:tc>
                <w:tcPr>
                  <w:tcW w:w="1266" w:type="dxa"/>
                  <w:noWrap w:val="0"/>
                  <w:vAlign w:val="center"/>
                </w:tcPr>
                <w:p w14:paraId="1F9A339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按4.4的规定</w:t>
                  </w:r>
                </w:p>
              </w:tc>
              <w:tc>
                <w:tcPr>
                  <w:tcW w:w="1358" w:type="dxa"/>
                  <w:noWrap w:val="0"/>
                  <w:vAlign w:val="center"/>
                </w:tcPr>
                <w:p w14:paraId="3737D4A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符合6.2.2的规定</w:t>
                  </w:r>
                </w:p>
              </w:tc>
              <w:tc>
                <w:tcPr>
                  <w:tcW w:w="817" w:type="dxa"/>
                  <w:noWrap w:val="0"/>
                  <w:vAlign w:val="center"/>
                </w:tcPr>
                <w:p w14:paraId="5995A96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778" w:type="dxa"/>
                  <w:noWrap w:val="0"/>
                  <w:vAlign w:val="center"/>
                </w:tcPr>
                <w:p w14:paraId="30E70A4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677" w:type="dxa"/>
                  <w:tcBorders>
                    <w:right w:val="single" w:color="auto" w:sz="12" w:space="0"/>
                  </w:tcBorders>
                  <w:noWrap w:val="0"/>
                  <w:vAlign w:val="center"/>
                </w:tcPr>
                <w:p w14:paraId="13AF818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3179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00" w:type="dxa"/>
                  <w:gridSpan w:val="7"/>
                  <w:tcBorders>
                    <w:left w:val="single" w:color="auto" w:sz="12" w:space="0"/>
                    <w:bottom w:val="single" w:color="auto" w:sz="12" w:space="0"/>
                    <w:right w:val="single" w:color="auto" w:sz="12" w:space="0"/>
                  </w:tcBorders>
                  <w:noWrap w:val="0"/>
                  <w:vAlign w:val="top"/>
                </w:tcPr>
                <w:p w14:paraId="615FD19C">
                  <w:pPr>
                    <w:keepLines w:val="0"/>
                    <w:pageBreakBefore w:val="0"/>
                    <w:topLinePunct w:val="0"/>
                    <w:bidi w:val="0"/>
                    <w:spacing w:line="240" w:lineRule="auto"/>
                    <w:rPr>
                      <w:rFonts w:hint="eastAsia" w:ascii="宋体" w:hAnsi="宋体"/>
                      <w:sz w:val="18"/>
                      <w:szCs w:val="18"/>
                    </w:rPr>
                  </w:pPr>
                  <w:r>
                    <w:rPr>
                      <w:rFonts w:hint="eastAsia" w:ascii="宋体" w:hAnsi="宋体"/>
                      <w:sz w:val="18"/>
                      <w:szCs w:val="18"/>
                    </w:rPr>
                    <w:t>注：●必检项目；○选检项目。</w:t>
                  </w:r>
                </w:p>
              </w:tc>
            </w:tr>
          </w:tbl>
          <w:p w14:paraId="2B945BA7">
            <w:pPr>
              <w:pStyle w:val="282"/>
              <w:keepNext w:val="0"/>
              <w:keepLines w:val="0"/>
              <w:pageBreakBefore w:val="0"/>
              <w:widowControl/>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5.4.3  </w:t>
            </w:r>
            <w:r>
              <w:rPr>
                <w:rFonts w:hint="eastAsia" w:ascii="方正黑体_GBK" w:hAnsi="方正黑体_GBK" w:eastAsia="方正黑体_GBK" w:cs="方正黑体_GBK"/>
              </w:rPr>
              <w:t>抽样方法与数量</w:t>
            </w:r>
          </w:p>
          <w:p w14:paraId="442952BA">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rPr>
            </w:pPr>
            <w:r>
              <w:rPr>
                <w:rFonts w:hint="eastAsia"/>
              </w:rPr>
              <w:t>抽样方法为随机抽样，抽样数量为5‰。主、辅材料的理化性能检验按相关规定执行。</w:t>
            </w:r>
          </w:p>
          <w:p w14:paraId="33BC343F">
            <w:pPr>
              <w:pStyle w:val="282"/>
              <w:keepNext w:val="0"/>
              <w:keepLines w:val="0"/>
              <w:pageBreakBefore w:val="0"/>
              <w:widowControl/>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5.4.4  </w:t>
            </w:r>
            <w:r>
              <w:rPr>
                <w:rFonts w:hint="eastAsia" w:ascii="方正黑体_GBK" w:hAnsi="方正黑体_GBK" w:eastAsia="方正黑体_GBK" w:cs="方正黑体_GBK"/>
              </w:rPr>
              <w:t>合格判定</w:t>
            </w:r>
          </w:p>
          <w:p w14:paraId="136E2048">
            <w:pPr>
              <w:pStyle w:val="269"/>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420" w:leftChars="200" w:firstLine="420" w:firstLineChars="200"/>
              <w:textAlignment w:val="auto"/>
              <w:rPr>
                <w:rFonts w:hint="eastAsia"/>
              </w:rPr>
            </w:pPr>
            <w:r>
              <w:rPr>
                <w:rFonts w:hint="eastAsia"/>
              </w:rPr>
              <mc:AlternateContent>
                <mc:Choice Requires="wps">
                  <w:drawing>
                    <wp:anchor distT="0" distB="0" distL="114300" distR="114300" simplePos="0" relativeHeight="251678720" behindDoc="0" locked="0" layoutInCell="1" allowOverlap="1">
                      <wp:simplePos x="0" y="0"/>
                      <wp:positionH relativeFrom="column">
                        <wp:posOffset>3357245</wp:posOffset>
                      </wp:positionH>
                      <wp:positionV relativeFrom="paragraph">
                        <wp:posOffset>90170</wp:posOffset>
                      </wp:positionV>
                      <wp:extent cx="342900" cy="276225"/>
                      <wp:effectExtent l="0" t="0" r="0" b="9525"/>
                      <wp:wrapNone/>
                      <wp:docPr id="266" name="矩形 266"/>
                      <wp:cNvGraphicFramePr/>
                      <a:graphic xmlns:a="http://schemas.openxmlformats.org/drawingml/2006/main">
                        <a:graphicData uri="http://schemas.microsoft.com/office/word/2010/wordprocessingShape">
                          <wps:wsp>
                            <wps:cNvSpPr/>
                            <wps:spPr>
                              <a:xfrm>
                                <a:off x="0" y="0"/>
                                <a:ext cx="342900" cy="276225"/>
                              </a:xfrm>
                              <a:prstGeom prst="rect">
                                <a:avLst/>
                              </a:prstGeom>
                              <a:solidFill>
                                <a:srgbClr val="FFFFFF"/>
                              </a:solidFill>
                              <a:ln>
                                <a:noFill/>
                              </a:ln>
                              <a:effectLst/>
                            </wps:spPr>
                            <wps:bodyPr vert="horz" anchor="t" anchorCtr="0" upright="1"/>
                          </wps:wsp>
                        </a:graphicData>
                      </a:graphic>
                    </wp:anchor>
                  </w:drawing>
                </mc:Choice>
                <mc:Fallback>
                  <w:pict>
                    <v:rect id="_x0000_s1026" o:spid="_x0000_s1026" o:spt="1" style="position:absolute;left:0pt;margin-left:264.35pt;margin-top:7.1pt;height:21.75pt;width:27pt;z-index:251678720;mso-width-relative:page;mso-height-relative:page;" fillcolor="#FFFFFF" filled="t" stroked="f" coordsize="21600,21600" o:gfxdata="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THvz9cAAAAJAQAADwAAAAAAAAABACAAAAAiAAAAZHJzL2Rv&#10;d25yZXYueG1sUEsBAhQAFAAAAAgAh07iQLshM9LJAQAAlQMAAA4AAAAAAAAAAQAgAAAAJgEAAGRy&#10;cy9lMm9Eb2MueG1sUEsFBgAAAAAGAAYAWQEAAGEFAAAAAA==&#10;">
                      <v:fill on="t" focussize="0,0"/>
                      <v:stroke on="f"/>
                      <v:imagedata o:title=""/>
                      <o:lock v:ext="edit" aspectratio="f"/>
                    </v:rect>
                  </w:pict>
                </mc:Fallback>
              </mc:AlternateContent>
            </w:r>
            <w:r>
              <w:rPr>
                <w:rFonts w:hint="eastAsia"/>
              </w:rPr>
              <w:t>单件产品缺陷判定按表7规定。</w:t>
            </w:r>
          </w:p>
          <w:tbl>
            <w:tblPr>
              <w:tblStyle w:val="58"/>
              <w:tblW w:w="6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950"/>
              <w:gridCol w:w="2216"/>
              <w:gridCol w:w="1707"/>
              <w:gridCol w:w="1393"/>
            </w:tblGrid>
            <w:tr w14:paraId="4BE6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tblHeader/>
                <w:jc w:val="center"/>
              </w:trPr>
              <w:tc>
                <w:tcPr>
                  <w:tcW w:w="6680" w:type="dxa"/>
                  <w:gridSpan w:val="5"/>
                  <w:tcBorders>
                    <w:top w:val="nil"/>
                    <w:left w:val="nil"/>
                    <w:bottom w:val="single" w:color="auto" w:sz="12" w:space="0"/>
                    <w:right w:val="nil"/>
                  </w:tcBorders>
                  <w:noWrap w:val="0"/>
                  <w:vAlign w:val="top"/>
                </w:tcPr>
                <w:p w14:paraId="76F1E0A1">
                  <w:pPr>
                    <w:keepLines w:val="0"/>
                    <w:pageBreakBefore w:val="0"/>
                    <w:topLinePunct w:val="0"/>
                    <w:bidi w:val="0"/>
                    <w:spacing w:line="240" w:lineRule="auto"/>
                    <w:jc w:val="center"/>
                    <w:rPr>
                      <w:rFonts w:hint="eastAsia" w:ascii="宋体" w:hAnsi="宋体"/>
                      <w:sz w:val="18"/>
                      <w:szCs w:val="18"/>
                    </w:rPr>
                  </w:pPr>
                  <w:r>
                    <w:rPr>
                      <w:rFonts w:hint="eastAsia" w:ascii="黑体" w:hAnsi="黑体" w:eastAsia="黑体"/>
                    </w:rPr>
                    <w:t>表7 缺陷判定细则</w:t>
                  </w:r>
                </w:p>
              </w:tc>
            </w:tr>
            <w:tr w14:paraId="0EC9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414" w:type="dxa"/>
                  <w:tcBorders>
                    <w:top w:val="single" w:color="auto" w:sz="12" w:space="0"/>
                    <w:left w:val="single" w:color="auto" w:sz="12" w:space="0"/>
                    <w:bottom w:val="single" w:color="auto" w:sz="12" w:space="0"/>
                    <w:right w:val="single" w:color="auto" w:sz="4" w:space="0"/>
                  </w:tcBorders>
                  <w:noWrap w:val="0"/>
                  <w:vAlign w:val="top"/>
                </w:tcPr>
                <w:p w14:paraId="68B5E3B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序号</w:t>
                  </w:r>
                </w:p>
              </w:tc>
              <w:tc>
                <w:tcPr>
                  <w:tcW w:w="950" w:type="dxa"/>
                  <w:tcBorders>
                    <w:top w:val="single" w:color="auto" w:sz="12" w:space="0"/>
                    <w:left w:val="single" w:color="auto" w:sz="4" w:space="0"/>
                    <w:bottom w:val="single" w:color="auto" w:sz="12" w:space="0"/>
                    <w:right w:val="single" w:color="auto" w:sz="4" w:space="0"/>
                  </w:tcBorders>
                  <w:noWrap w:val="0"/>
                  <w:vAlign w:val="center"/>
                </w:tcPr>
                <w:p w14:paraId="2C054C4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项目</w:t>
                  </w:r>
                </w:p>
              </w:tc>
              <w:tc>
                <w:tcPr>
                  <w:tcW w:w="2216" w:type="dxa"/>
                  <w:tcBorders>
                    <w:top w:val="single" w:color="auto" w:sz="12" w:space="0"/>
                    <w:left w:val="single" w:color="auto" w:sz="4" w:space="0"/>
                    <w:bottom w:val="single" w:color="auto" w:sz="12" w:space="0"/>
                    <w:right w:val="single" w:color="auto" w:sz="4" w:space="0"/>
                  </w:tcBorders>
                  <w:noWrap w:val="0"/>
                  <w:vAlign w:val="center"/>
                </w:tcPr>
                <w:p w14:paraId="2AB61E1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轻缺陷</w:t>
                  </w:r>
                </w:p>
              </w:tc>
              <w:tc>
                <w:tcPr>
                  <w:tcW w:w="1707" w:type="dxa"/>
                  <w:tcBorders>
                    <w:top w:val="single" w:color="auto" w:sz="12" w:space="0"/>
                    <w:left w:val="single" w:color="auto" w:sz="4" w:space="0"/>
                    <w:bottom w:val="single" w:color="auto" w:sz="12" w:space="0"/>
                    <w:right w:val="single" w:color="auto" w:sz="4" w:space="0"/>
                  </w:tcBorders>
                  <w:noWrap w:val="0"/>
                  <w:vAlign w:val="center"/>
                </w:tcPr>
                <w:p w14:paraId="5387453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重缺陷</w:t>
                  </w:r>
                </w:p>
              </w:tc>
              <w:tc>
                <w:tcPr>
                  <w:tcW w:w="1393" w:type="dxa"/>
                  <w:tcBorders>
                    <w:top w:val="single" w:color="auto" w:sz="12" w:space="0"/>
                    <w:left w:val="single" w:color="auto" w:sz="4" w:space="0"/>
                    <w:bottom w:val="single" w:color="auto" w:sz="12" w:space="0"/>
                    <w:right w:val="single" w:color="auto" w:sz="12" w:space="0"/>
                  </w:tcBorders>
                  <w:noWrap w:val="0"/>
                  <w:vAlign w:val="center"/>
                </w:tcPr>
                <w:p w14:paraId="3AC951E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严重缺陷</w:t>
                  </w:r>
                </w:p>
              </w:tc>
            </w:tr>
            <w:tr w14:paraId="7615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14" w:type="dxa"/>
                  <w:tcBorders>
                    <w:top w:val="single" w:color="auto" w:sz="12" w:space="0"/>
                    <w:left w:val="single" w:color="auto" w:sz="12" w:space="0"/>
                  </w:tcBorders>
                  <w:noWrap w:val="0"/>
                  <w:vAlign w:val="center"/>
                </w:tcPr>
                <w:p w14:paraId="0DAB4F0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w:t>
                  </w:r>
                </w:p>
              </w:tc>
              <w:tc>
                <w:tcPr>
                  <w:tcW w:w="950" w:type="dxa"/>
                  <w:tcBorders>
                    <w:top w:val="single" w:color="auto" w:sz="12" w:space="0"/>
                  </w:tcBorders>
                  <w:noWrap w:val="0"/>
                  <w:vAlign w:val="center"/>
                </w:tcPr>
                <w:p w14:paraId="30969EF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成品尺寸</w:t>
                  </w:r>
                </w:p>
              </w:tc>
              <w:tc>
                <w:tcPr>
                  <w:tcW w:w="2216" w:type="dxa"/>
                  <w:tcBorders>
                    <w:top w:val="single" w:color="auto" w:sz="12" w:space="0"/>
                  </w:tcBorders>
                  <w:noWrap w:val="0"/>
                  <w:vAlign w:val="center"/>
                </w:tcPr>
                <w:p w14:paraId="514280C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主要部位：超过允许偏差</w:t>
                  </w:r>
                </w:p>
                <w:p w14:paraId="1D40290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非主要部位：超过允许偏差≥1倍</w:t>
                  </w:r>
                </w:p>
              </w:tc>
              <w:tc>
                <w:tcPr>
                  <w:tcW w:w="1707" w:type="dxa"/>
                  <w:tcBorders>
                    <w:top w:val="single" w:color="auto" w:sz="12" w:space="0"/>
                  </w:tcBorders>
                  <w:noWrap w:val="0"/>
                  <w:vAlign w:val="center"/>
                </w:tcPr>
                <w:p w14:paraId="6942DA2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表面部位：超过允许偏差1倍</w:t>
                  </w:r>
                </w:p>
                <w:p w14:paraId="610FD10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非表面部位：超过允许偏差2倍</w:t>
                  </w:r>
                </w:p>
              </w:tc>
              <w:tc>
                <w:tcPr>
                  <w:tcW w:w="1393" w:type="dxa"/>
                  <w:tcBorders>
                    <w:top w:val="single" w:color="auto" w:sz="12" w:space="0"/>
                    <w:right w:val="single" w:color="auto" w:sz="12" w:space="0"/>
                  </w:tcBorders>
                  <w:noWrap w:val="0"/>
                  <w:vAlign w:val="center"/>
                </w:tcPr>
                <w:p w14:paraId="055163E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超过重缺陷</w:t>
                  </w:r>
                </w:p>
              </w:tc>
            </w:tr>
            <w:tr w14:paraId="338B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14" w:type="dxa"/>
                  <w:tcBorders>
                    <w:left w:val="single" w:color="auto" w:sz="12" w:space="0"/>
                  </w:tcBorders>
                  <w:noWrap w:val="0"/>
                  <w:vAlign w:val="center"/>
                </w:tcPr>
                <w:p w14:paraId="015F44B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2</w:t>
                  </w:r>
                </w:p>
              </w:tc>
              <w:tc>
                <w:tcPr>
                  <w:tcW w:w="950" w:type="dxa"/>
                  <w:noWrap w:val="0"/>
                  <w:vAlign w:val="center"/>
                </w:tcPr>
                <w:p w14:paraId="0BB017A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色差</w:t>
                  </w:r>
                </w:p>
              </w:tc>
              <w:tc>
                <w:tcPr>
                  <w:tcW w:w="2216" w:type="dxa"/>
                  <w:noWrap w:val="0"/>
                  <w:vAlign w:val="center"/>
                </w:tcPr>
                <w:p w14:paraId="27E6C38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超过标准规定范围</w:t>
                  </w:r>
                </w:p>
              </w:tc>
              <w:tc>
                <w:tcPr>
                  <w:tcW w:w="1707" w:type="dxa"/>
                  <w:noWrap w:val="0"/>
                  <w:vAlign w:val="center"/>
                </w:tcPr>
                <w:p w14:paraId="77C767F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超过标准规定范围限1级</w:t>
                  </w:r>
                </w:p>
              </w:tc>
              <w:tc>
                <w:tcPr>
                  <w:tcW w:w="1393" w:type="dxa"/>
                  <w:tcBorders>
                    <w:right w:val="single" w:color="auto" w:sz="12" w:space="0"/>
                  </w:tcBorders>
                  <w:noWrap w:val="0"/>
                  <w:vAlign w:val="center"/>
                </w:tcPr>
                <w:p w14:paraId="0A2CEE8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6103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414" w:type="dxa"/>
                  <w:tcBorders>
                    <w:left w:val="single" w:color="auto" w:sz="12" w:space="0"/>
                  </w:tcBorders>
                  <w:noWrap w:val="0"/>
                  <w:vAlign w:val="center"/>
                </w:tcPr>
                <w:p w14:paraId="14858AA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3</w:t>
                  </w:r>
                </w:p>
              </w:tc>
              <w:tc>
                <w:tcPr>
                  <w:tcW w:w="950" w:type="dxa"/>
                  <w:noWrap w:val="0"/>
                  <w:vAlign w:val="center"/>
                </w:tcPr>
                <w:p w14:paraId="34472801">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开、断线</w:t>
                  </w:r>
                </w:p>
              </w:tc>
              <w:tc>
                <w:tcPr>
                  <w:tcW w:w="2216" w:type="dxa"/>
                  <w:noWrap w:val="0"/>
                  <w:vAlign w:val="center"/>
                </w:tcPr>
                <w:p w14:paraId="5C3CEE5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褥面每处限2针，每床限2处。绗棉每床限3处每处限3.0</w:t>
                  </w:r>
                  <w:r>
                    <w:rPr>
                      <w:rFonts w:hint="eastAsia" w:ascii="宋体" w:hAnsi="宋体"/>
                      <w:sz w:val="18"/>
                      <w:szCs w:val="18"/>
                      <w:lang w:val="en-US" w:eastAsia="zh-CN"/>
                    </w:rPr>
                    <w:t xml:space="preserve"> </w:t>
                  </w:r>
                  <w:r>
                    <w:rPr>
                      <w:rFonts w:hint="eastAsia" w:ascii="宋体" w:hAnsi="宋体"/>
                      <w:sz w:val="18"/>
                      <w:szCs w:val="18"/>
                    </w:rPr>
                    <w:t>cm</w:t>
                  </w:r>
                </w:p>
              </w:tc>
              <w:tc>
                <w:tcPr>
                  <w:tcW w:w="1707" w:type="dxa"/>
                  <w:vMerge w:val="restart"/>
                  <w:noWrap w:val="0"/>
                  <w:vAlign w:val="center"/>
                </w:tcPr>
                <w:p w14:paraId="4CE733A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超出轻缺陷范围</w:t>
                  </w:r>
                </w:p>
              </w:tc>
              <w:tc>
                <w:tcPr>
                  <w:tcW w:w="1393" w:type="dxa"/>
                  <w:vMerge w:val="restart"/>
                  <w:tcBorders>
                    <w:right w:val="single" w:color="auto" w:sz="12" w:space="0"/>
                  </w:tcBorders>
                  <w:noWrap w:val="0"/>
                  <w:vAlign w:val="center"/>
                </w:tcPr>
                <w:p w14:paraId="71D2DADE">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2BD8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14" w:type="dxa"/>
                  <w:tcBorders>
                    <w:left w:val="single" w:color="auto" w:sz="12" w:space="0"/>
                  </w:tcBorders>
                  <w:noWrap w:val="0"/>
                  <w:vAlign w:val="center"/>
                </w:tcPr>
                <w:p w14:paraId="3900DA8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4</w:t>
                  </w:r>
                </w:p>
              </w:tc>
              <w:tc>
                <w:tcPr>
                  <w:tcW w:w="950" w:type="dxa"/>
                  <w:noWrap w:val="0"/>
                  <w:vAlign w:val="top"/>
                </w:tcPr>
                <w:p w14:paraId="1D499CE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针距</w:t>
                  </w:r>
                </w:p>
              </w:tc>
              <w:tc>
                <w:tcPr>
                  <w:tcW w:w="2216" w:type="dxa"/>
                  <w:noWrap w:val="0"/>
                  <w:vAlign w:val="center"/>
                </w:tcPr>
                <w:p w14:paraId="1F0316C1">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超过标准规定限3针</w:t>
                  </w:r>
                </w:p>
              </w:tc>
              <w:tc>
                <w:tcPr>
                  <w:tcW w:w="1707" w:type="dxa"/>
                  <w:vMerge w:val="continue"/>
                  <w:noWrap w:val="0"/>
                  <w:vAlign w:val="center"/>
                </w:tcPr>
                <w:p w14:paraId="16467947">
                  <w:pPr>
                    <w:keepLines w:val="0"/>
                    <w:pageBreakBefore w:val="0"/>
                    <w:topLinePunct w:val="0"/>
                    <w:bidi w:val="0"/>
                    <w:spacing w:line="240" w:lineRule="auto"/>
                    <w:jc w:val="center"/>
                    <w:rPr>
                      <w:rFonts w:hint="eastAsia" w:ascii="宋体" w:hAnsi="宋体"/>
                      <w:sz w:val="18"/>
                      <w:szCs w:val="18"/>
                    </w:rPr>
                  </w:pPr>
                </w:p>
              </w:tc>
              <w:tc>
                <w:tcPr>
                  <w:tcW w:w="1393" w:type="dxa"/>
                  <w:vMerge w:val="continue"/>
                  <w:tcBorders>
                    <w:right w:val="single" w:color="auto" w:sz="12" w:space="0"/>
                  </w:tcBorders>
                  <w:noWrap w:val="0"/>
                  <w:vAlign w:val="center"/>
                </w:tcPr>
                <w:p w14:paraId="2DC89850">
                  <w:pPr>
                    <w:keepLines w:val="0"/>
                    <w:pageBreakBefore w:val="0"/>
                    <w:topLinePunct w:val="0"/>
                    <w:bidi w:val="0"/>
                    <w:spacing w:line="240" w:lineRule="auto"/>
                    <w:jc w:val="center"/>
                    <w:rPr>
                      <w:rFonts w:hint="eastAsia" w:ascii="宋体" w:hAnsi="宋体"/>
                      <w:sz w:val="18"/>
                      <w:szCs w:val="18"/>
                    </w:rPr>
                  </w:pPr>
                </w:p>
              </w:tc>
            </w:tr>
            <w:tr w14:paraId="7CE6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14" w:type="dxa"/>
                  <w:tcBorders>
                    <w:left w:val="single" w:color="auto" w:sz="12" w:space="0"/>
                  </w:tcBorders>
                  <w:noWrap w:val="0"/>
                  <w:vAlign w:val="center"/>
                </w:tcPr>
                <w:p w14:paraId="2053B9B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5</w:t>
                  </w:r>
                </w:p>
              </w:tc>
              <w:tc>
                <w:tcPr>
                  <w:tcW w:w="950" w:type="dxa"/>
                  <w:noWrap w:val="0"/>
                  <w:vAlign w:val="center"/>
                </w:tcPr>
                <w:p w14:paraId="5857504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絮片</w:t>
                  </w:r>
                </w:p>
              </w:tc>
              <w:tc>
                <w:tcPr>
                  <w:tcW w:w="2216" w:type="dxa"/>
                  <w:noWrap w:val="0"/>
                  <w:vAlign w:val="center"/>
                </w:tcPr>
                <w:p w14:paraId="548D81A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总重超出允许偏差限1倍</w:t>
                  </w:r>
                </w:p>
              </w:tc>
              <w:tc>
                <w:tcPr>
                  <w:tcW w:w="1707" w:type="dxa"/>
                  <w:noWrap w:val="0"/>
                  <w:vAlign w:val="center"/>
                </w:tcPr>
                <w:p w14:paraId="3A3C828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总重超出允许偏差1.5倍</w:t>
                  </w:r>
                </w:p>
              </w:tc>
              <w:tc>
                <w:tcPr>
                  <w:tcW w:w="1393" w:type="dxa"/>
                  <w:tcBorders>
                    <w:right w:val="single" w:color="auto" w:sz="12" w:space="0"/>
                  </w:tcBorders>
                  <w:noWrap w:val="0"/>
                  <w:vAlign w:val="center"/>
                </w:tcPr>
                <w:p w14:paraId="2BBA1FA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超过重缺陷</w:t>
                  </w:r>
                </w:p>
              </w:tc>
            </w:tr>
            <w:tr w14:paraId="0868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14" w:type="dxa"/>
                  <w:tcBorders>
                    <w:left w:val="single" w:color="auto" w:sz="12" w:space="0"/>
                  </w:tcBorders>
                  <w:noWrap w:val="0"/>
                  <w:vAlign w:val="center"/>
                </w:tcPr>
                <w:p w14:paraId="0F7E92C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6</w:t>
                  </w:r>
                </w:p>
              </w:tc>
              <w:tc>
                <w:tcPr>
                  <w:tcW w:w="950" w:type="dxa"/>
                  <w:noWrap w:val="0"/>
                  <w:vAlign w:val="center"/>
                </w:tcPr>
                <w:p w14:paraId="0A537F9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线头</w:t>
                  </w:r>
                </w:p>
              </w:tc>
              <w:tc>
                <w:tcPr>
                  <w:tcW w:w="2216" w:type="dxa"/>
                  <w:noWrap w:val="0"/>
                  <w:vAlign w:val="center"/>
                </w:tcPr>
                <w:p w14:paraId="53C90BC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表面1.0</w:t>
                  </w:r>
                  <w:r>
                    <w:rPr>
                      <w:rFonts w:hint="eastAsia" w:ascii="宋体" w:hAnsi="宋体"/>
                      <w:sz w:val="18"/>
                      <w:szCs w:val="18"/>
                      <w:lang w:val="en-US" w:eastAsia="zh-CN"/>
                    </w:rPr>
                    <w:t xml:space="preserve"> </w:t>
                  </w:r>
                  <w:r>
                    <w:rPr>
                      <w:rFonts w:hint="eastAsia" w:ascii="宋体" w:hAnsi="宋体"/>
                      <w:sz w:val="18"/>
                      <w:szCs w:val="18"/>
                    </w:rPr>
                    <w:t>cm以上线头限3根</w:t>
                  </w:r>
                </w:p>
              </w:tc>
              <w:tc>
                <w:tcPr>
                  <w:tcW w:w="1707" w:type="dxa"/>
                  <w:noWrap w:val="0"/>
                  <w:vAlign w:val="center"/>
                </w:tcPr>
                <w:p w14:paraId="798CCD3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c>
                <w:tcPr>
                  <w:tcW w:w="1393" w:type="dxa"/>
                  <w:tcBorders>
                    <w:right w:val="single" w:color="auto" w:sz="12" w:space="0"/>
                  </w:tcBorders>
                  <w:noWrap w:val="0"/>
                  <w:vAlign w:val="center"/>
                </w:tcPr>
                <w:p w14:paraId="4BA092A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w:t>
                  </w:r>
                </w:p>
              </w:tc>
            </w:tr>
            <w:tr w14:paraId="4AA7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14" w:type="dxa"/>
                  <w:tcBorders>
                    <w:left w:val="single" w:color="auto" w:sz="12" w:space="0"/>
                  </w:tcBorders>
                  <w:noWrap w:val="0"/>
                  <w:vAlign w:val="center"/>
                </w:tcPr>
                <w:p w14:paraId="717E2D4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7</w:t>
                  </w:r>
                </w:p>
              </w:tc>
              <w:tc>
                <w:tcPr>
                  <w:tcW w:w="950" w:type="dxa"/>
                  <w:noWrap w:val="0"/>
                  <w:vAlign w:val="center"/>
                </w:tcPr>
                <w:p w14:paraId="7EF3BC0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污渍</w:t>
                  </w:r>
                </w:p>
              </w:tc>
              <w:tc>
                <w:tcPr>
                  <w:tcW w:w="2216" w:type="dxa"/>
                  <w:noWrap w:val="0"/>
                  <w:vAlign w:val="center"/>
                </w:tcPr>
                <w:p w14:paraId="01CC9BF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表面1.0</w:t>
                  </w:r>
                  <w:r>
                    <w:rPr>
                      <w:rFonts w:hint="eastAsia" w:ascii="宋体" w:hAnsi="宋体"/>
                      <w:sz w:val="18"/>
                      <w:szCs w:val="18"/>
                      <w:lang w:val="en-US" w:eastAsia="zh-CN"/>
                    </w:rPr>
                    <w:t xml:space="preserve"> </w:t>
                  </w:r>
                  <w:r>
                    <w:rPr>
                      <w:rFonts w:hint="eastAsia" w:ascii="宋体" w:hAnsi="宋体"/>
                      <w:sz w:val="18"/>
                      <w:szCs w:val="18"/>
                    </w:rPr>
                    <w:t>cm</w:t>
                  </w:r>
                  <w:r>
                    <w:rPr>
                      <w:rFonts w:hint="eastAsia" w:ascii="宋体" w:hAnsi="宋体"/>
                      <w:sz w:val="18"/>
                      <w:szCs w:val="18"/>
                      <w:vertAlign w:val="superscript"/>
                    </w:rPr>
                    <w:t>2</w:t>
                  </w:r>
                  <w:r>
                    <w:rPr>
                      <w:rFonts w:hint="eastAsia" w:ascii="宋体" w:hAnsi="宋体"/>
                      <w:sz w:val="18"/>
                      <w:szCs w:val="18"/>
                    </w:rPr>
                    <w:t>两处，其他部位加倍</w:t>
                  </w:r>
                </w:p>
              </w:tc>
              <w:tc>
                <w:tcPr>
                  <w:tcW w:w="1707" w:type="dxa"/>
                  <w:noWrap w:val="0"/>
                  <w:vAlign w:val="center"/>
                </w:tcPr>
                <w:p w14:paraId="2882F57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超出轻缺陷范围</w:t>
                  </w:r>
                </w:p>
              </w:tc>
              <w:tc>
                <w:tcPr>
                  <w:tcW w:w="1393" w:type="dxa"/>
                  <w:tcBorders>
                    <w:right w:val="single" w:color="auto" w:sz="12" w:space="0"/>
                  </w:tcBorders>
                  <w:noWrap w:val="0"/>
                  <w:vAlign w:val="center"/>
                </w:tcPr>
                <w:p w14:paraId="73E2666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表面有破洞</w:t>
                  </w:r>
                </w:p>
              </w:tc>
            </w:tr>
            <w:tr w14:paraId="5F8E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680" w:type="dxa"/>
                  <w:gridSpan w:val="5"/>
                  <w:tcBorders>
                    <w:left w:val="single" w:color="auto" w:sz="12" w:space="0"/>
                    <w:bottom w:val="single" w:color="auto" w:sz="12" w:space="0"/>
                    <w:right w:val="single" w:color="auto" w:sz="12" w:space="0"/>
                  </w:tcBorders>
                  <w:noWrap w:val="0"/>
                  <w:vAlign w:val="top"/>
                </w:tcPr>
                <w:p w14:paraId="42F2F4DA">
                  <w:pPr>
                    <w:keepLines w:val="0"/>
                    <w:pageBreakBefore w:val="0"/>
                    <w:topLinePunct w:val="0"/>
                    <w:bidi w:val="0"/>
                    <w:spacing w:line="240" w:lineRule="auto"/>
                    <w:rPr>
                      <w:rFonts w:hint="eastAsia" w:ascii="宋体" w:hAnsi="宋体"/>
                      <w:sz w:val="18"/>
                      <w:szCs w:val="18"/>
                    </w:rPr>
                  </w:pPr>
                  <w:r>
                    <w:rPr>
                      <w:rFonts w:hint="eastAsia" w:ascii="宋体" w:hAnsi="宋体"/>
                      <w:sz w:val="18"/>
                      <w:szCs w:val="18"/>
                    </w:rPr>
                    <w:t>注：材质质量判定按附录A、B的规定执行，超过允许偏差即为不合格品</w:t>
                  </w:r>
                </w:p>
              </w:tc>
            </w:tr>
          </w:tbl>
          <w:p w14:paraId="38106F9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auto"/>
                <w:kern w:val="21"/>
                <w:sz w:val="21"/>
                <w:szCs w:val="21"/>
              </w:rPr>
            </w:pPr>
            <w:bookmarkStart w:id="528" w:name="_Toc90391630"/>
            <w:r>
              <w:rPr>
                <w:rFonts w:hint="eastAsia" w:ascii="方正黑体_GBK" w:hAnsi="方正黑体_GBK" w:eastAsia="方正黑体_GBK" w:cs="方正黑体_GBK"/>
                <w:kern w:val="0"/>
                <w:sz w:val="21"/>
                <w:szCs w:val="20"/>
                <w:lang w:val="en-US" w:eastAsia="zh-CN" w:bidi="ar-SA"/>
              </w:rPr>
              <w:t xml:space="preserve">5.4.5 </w:t>
            </w:r>
            <w:r>
              <w:rPr>
                <w:rFonts w:hint="eastAsia" w:ascii="宋体" w:hAnsi="宋体" w:eastAsia="宋体" w:cs="宋体"/>
                <w:color w:val="auto"/>
                <w:kern w:val="24"/>
                <w:sz w:val="21"/>
                <w:szCs w:val="21"/>
              </w:rPr>
              <w:t xml:space="preserve"> 单件样品外观质量评定</w:t>
            </w:r>
          </w:p>
          <w:p w14:paraId="703CAE67">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按5.4.</w:t>
            </w:r>
            <w:r>
              <w:rPr>
                <w:rFonts w:hint="eastAsia" w:ascii="宋体" w:hAnsi="宋体" w:eastAsia="宋体" w:cs="宋体"/>
                <w:color w:val="auto"/>
                <w:kern w:val="21"/>
                <w:sz w:val="21"/>
                <w:szCs w:val="21"/>
                <w:lang w:val="en-US" w:eastAsia="zh-CN"/>
              </w:rPr>
              <w:t>4</w:t>
            </w:r>
            <w:r>
              <w:rPr>
                <w:rFonts w:hint="eastAsia" w:ascii="宋体" w:hAnsi="宋体" w:eastAsia="宋体" w:cs="宋体"/>
                <w:color w:val="auto"/>
                <w:kern w:val="21"/>
                <w:sz w:val="21"/>
                <w:szCs w:val="21"/>
              </w:rPr>
              <w:t>对单件样本进行外观质量评定，如缺陷数符合以下要求则判该件产品外观质量合格，否则为不合格：</w:t>
            </w:r>
          </w:p>
          <w:p w14:paraId="2491A702">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严重缺陷=0，重缺陷=0，轻缺陷≤10，或</w:t>
            </w:r>
          </w:p>
          <w:p w14:paraId="0A0692D3">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firstLineChars="200"/>
              <w:textAlignment w:val="auto"/>
              <w:rPr>
                <w:rFonts w:hint="eastAsia" w:ascii="宋体" w:hAnsi="宋体" w:eastAsia="宋体" w:cs="宋体"/>
                <w:color w:val="auto"/>
                <w:kern w:val="21"/>
                <w:sz w:val="21"/>
                <w:szCs w:val="21"/>
              </w:rPr>
            </w:pPr>
            <w:r>
              <w:rPr>
                <w:rFonts w:hint="eastAsia" w:ascii="宋体" w:hAnsi="宋体" w:eastAsia="宋体" w:cs="宋体"/>
                <w:color w:val="auto"/>
                <w:kern w:val="21"/>
                <w:sz w:val="21"/>
                <w:szCs w:val="21"/>
              </w:rPr>
              <w:t>严重缺陷=0，重缺陷=1，轻缺陷≤6</w:t>
            </w:r>
          </w:p>
          <w:p w14:paraId="588F5FE9">
            <w:pPr>
              <w:keepNext w:val="0"/>
              <w:keepLines w:val="0"/>
              <w:pageBreakBefore w:val="0"/>
              <w:widowControl/>
              <w:kinsoku/>
              <w:wordWrap/>
              <w:overflowPunct/>
              <w:topLinePunct w:val="0"/>
              <w:autoSpaceDE/>
              <w:autoSpaceDN/>
              <w:bidi w:val="0"/>
              <w:spacing w:line="240" w:lineRule="auto"/>
              <w:ind w:left="420" w:leftChars="200" w:firstLine="0" w:firstLineChars="0"/>
              <w:jc w:val="left"/>
              <w:textAlignment w:val="auto"/>
              <w:outlineLvl w:val="6"/>
              <w:rPr>
                <w:rFonts w:hint="eastAsia" w:ascii="宋体" w:hAnsi="宋体" w:eastAsia="宋体" w:cs="宋体"/>
                <w:color w:val="auto"/>
                <w:kern w:val="24"/>
                <w:sz w:val="21"/>
                <w:szCs w:val="21"/>
              </w:rPr>
            </w:pPr>
            <w:r>
              <w:rPr>
                <w:rFonts w:hint="eastAsia" w:ascii="方正黑体_GBK" w:hAnsi="方正黑体_GBK" w:eastAsia="方正黑体_GBK" w:cs="方正黑体_GBK"/>
                <w:kern w:val="0"/>
                <w:sz w:val="21"/>
                <w:szCs w:val="20"/>
                <w:lang w:val="en-US" w:eastAsia="zh-CN" w:bidi="ar-SA"/>
              </w:rPr>
              <w:t xml:space="preserve">5.4.6  </w:t>
            </w:r>
            <w:r>
              <w:rPr>
                <w:rFonts w:hint="eastAsia" w:ascii="宋体" w:hAnsi="宋体" w:eastAsia="宋体" w:cs="宋体"/>
                <w:color w:val="auto"/>
                <w:kern w:val="24"/>
                <w:sz w:val="21"/>
                <w:szCs w:val="21"/>
              </w:rPr>
              <w:t>批量外观评定</w:t>
            </w:r>
          </w:p>
          <w:p w14:paraId="306072AB">
            <w:pPr>
              <w:pStyle w:val="434"/>
              <w:keepLines w:val="0"/>
              <w:pageBreakBefore w:val="0"/>
              <w:numPr>
                <w:ilvl w:val="2"/>
                <w:numId w:val="0"/>
              </w:numPr>
              <w:topLinePunct w:val="0"/>
              <w:bidi w:val="0"/>
              <w:spacing w:line="240" w:lineRule="auto"/>
              <w:ind w:left="420" w:leftChars="200" w:firstLine="0" w:firstLineChars="0"/>
              <w:rPr>
                <w:rFonts w:hint="eastAsia" w:ascii="Arial" w:hAnsi="Arial" w:cs="Arial"/>
                <w:color w:val="auto"/>
              </w:rPr>
            </w:pPr>
            <w:bookmarkStart w:id="529" w:name="_Toc13924"/>
            <w:bookmarkStart w:id="530" w:name="_Toc9529"/>
            <w:r>
              <w:rPr>
                <w:rFonts w:hint="eastAsia" w:ascii="宋体" w:hAnsi="宋体" w:eastAsia="宋体" w:cs="宋体"/>
                <w:color w:val="auto"/>
                <w:kern w:val="21"/>
                <w:sz w:val="21"/>
                <w:szCs w:val="21"/>
              </w:rPr>
              <w:t>按5.</w:t>
            </w:r>
            <w:r>
              <w:rPr>
                <w:rFonts w:hint="eastAsia" w:ascii="宋体" w:hAnsi="宋体" w:eastAsia="宋体" w:cs="宋体"/>
                <w:color w:val="auto"/>
                <w:kern w:val="21"/>
                <w:sz w:val="21"/>
                <w:szCs w:val="21"/>
                <w:lang w:val="en-US" w:eastAsia="zh-CN"/>
              </w:rPr>
              <w:t>4</w:t>
            </w:r>
            <w:r>
              <w:rPr>
                <w:rFonts w:hint="eastAsia" w:ascii="宋体" w:hAnsi="宋体" w:eastAsia="宋体" w:cs="宋体"/>
                <w:color w:val="auto"/>
                <w:kern w:val="21"/>
                <w:sz w:val="21"/>
                <w:szCs w:val="21"/>
              </w:rPr>
              <w:t>.3 抽取的每个样品按5.4.4进行单件评定，如果不合格样本数不超过10%，则该批产品外观质量合格，否则该批产品外观质量不合格。</w:t>
            </w:r>
            <w:bookmarkEnd w:id="528"/>
            <w:bookmarkEnd w:id="529"/>
            <w:bookmarkEnd w:id="530"/>
          </w:p>
          <w:p w14:paraId="73FC42DF">
            <w:pPr>
              <w:pStyle w:val="536"/>
              <w:keepLines w:val="0"/>
              <w:pageBreakBefore w:val="0"/>
              <w:numPr>
                <w:ilvl w:val="1"/>
                <w:numId w:val="0"/>
              </w:numPr>
              <w:topLinePunct w:val="0"/>
              <w:bidi w:val="0"/>
              <w:spacing w:line="240" w:lineRule="auto"/>
              <w:ind w:firstLine="420" w:firstLineChars="200"/>
              <w:rPr>
                <w:rFonts w:hint="eastAsia" w:ascii="Arial" w:hAnsi="Arial" w:cs="Arial"/>
                <w:color w:val="auto"/>
              </w:rPr>
            </w:pPr>
            <w:bookmarkStart w:id="531" w:name="_Toc90391631"/>
            <w:bookmarkStart w:id="532" w:name="_Toc21707"/>
            <w:bookmarkStart w:id="533" w:name="_Toc15317"/>
            <w:r>
              <w:rPr>
                <w:rFonts w:hint="eastAsia" w:ascii="Arial" w:hAnsi="Arial" w:cs="Arial"/>
                <w:color w:val="auto"/>
                <w:lang w:val="en-US" w:eastAsia="zh-CN"/>
              </w:rPr>
              <w:t>6</w:t>
            </w:r>
            <w:r>
              <w:rPr>
                <w:rFonts w:hint="eastAsia" w:ascii="Arial" w:hAnsi="Arial" w:cs="Arial"/>
                <w:color w:val="auto"/>
              </w:rPr>
              <w:t>标志、包装、运输与贮存</w:t>
            </w:r>
            <w:bookmarkEnd w:id="531"/>
            <w:bookmarkEnd w:id="532"/>
            <w:bookmarkEnd w:id="533"/>
          </w:p>
          <w:p w14:paraId="41C5F3C2">
            <w:pPr>
              <w:pStyle w:val="434"/>
              <w:keepNext w:val="0"/>
              <w:keepLines w:val="0"/>
              <w:pageBreakBefore w:val="0"/>
              <w:widowControl/>
              <w:numPr>
                <w:ilvl w:val="2"/>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ascii="Arial" w:hAnsi="Arial" w:cs="Arial"/>
              </w:rPr>
            </w:pPr>
            <w:bookmarkStart w:id="534" w:name="_Toc1370"/>
            <w:bookmarkStart w:id="535" w:name="_Toc90391632"/>
            <w:bookmarkStart w:id="536" w:name="_Toc18942"/>
            <w:r>
              <w:rPr>
                <w:rFonts w:hint="eastAsia" w:ascii="方正黑体_GBK" w:hAnsi="方正黑体_GBK" w:eastAsia="方正黑体_GBK" w:cs="方正黑体_GBK"/>
                <w:kern w:val="0"/>
                <w:sz w:val="21"/>
                <w:szCs w:val="20"/>
                <w:lang w:val="en-US" w:eastAsia="zh-CN" w:bidi="ar-SA"/>
              </w:rPr>
              <w:t>6.1</w:t>
            </w:r>
            <w:r>
              <w:rPr>
                <w:rFonts w:hint="eastAsia" w:ascii="Arial" w:hAnsi="Arial" w:cs="Arial"/>
              </w:rPr>
              <w:t>标志</w:t>
            </w:r>
            <w:bookmarkEnd w:id="534"/>
            <w:bookmarkEnd w:id="535"/>
            <w:bookmarkEnd w:id="536"/>
          </w:p>
          <w:p w14:paraId="10AE4BB4">
            <w:pPr>
              <w:pStyle w:val="282"/>
              <w:keepNext w:val="0"/>
              <w:keepLines w:val="0"/>
              <w:pageBreakBefore w:val="0"/>
              <w:widowControl/>
              <w:numPr>
                <w:ilvl w:val="3"/>
                <w:numId w:val="0"/>
              </w:numPr>
              <w:kinsoku/>
              <w:wordWrap/>
              <w:overflowPunct/>
              <w:topLinePunct w:val="0"/>
              <w:bidi w:val="0"/>
              <w:adjustRightInd/>
              <w:snapToGrid/>
              <w:spacing w:before="0" w:beforeLines="0" w:after="0" w:afterLines="0" w:line="240" w:lineRule="auto"/>
              <w:ind w:left="420" w:leftChars="200" w:firstLine="0" w:firstLineChars="0"/>
              <w:textAlignment w:val="auto"/>
              <w:rPr>
                <w:rFonts w:hint="eastAsia" w:hAnsi="黑体" w:cs="Arial"/>
              </w:rPr>
            </w:pPr>
            <w:r>
              <w:rPr>
                <w:rFonts w:hint="eastAsia" w:cs="Arial"/>
                <w:lang w:val="en-US" w:eastAsia="zh-CN"/>
              </w:rPr>
              <w:t xml:space="preserve">6.1.1  </w:t>
            </w:r>
            <w:r>
              <w:rPr>
                <w:rFonts w:hint="eastAsia" w:hAnsi="黑体" w:cs="Arial"/>
              </w:rPr>
              <w:t>产品标志</w:t>
            </w:r>
          </w:p>
          <w:p w14:paraId="44BBFB79">
            <w:pPr>
              <w:pStyle w:val="269"/>
              <w:keepNext w:val="0"/>
              <w:keepLines w:val="0"/>
              <w:pageBreakBefore w:val="0"/>
              <w:widowControl/>
              <w:tabs>
                <w:tab w:val="center" w:pos="4201"/>
                <w:tab w:val="right" w:leader="dot" w:pos="9298"/>
              </w:tabs>
              <w:kinsoku/>
              <w:wordWrap/>
              <w:overflowPunct/>
              <w:topLinePunct w:val="0"/>
              <w:bidi w:val="0"/>
              <w:adjustRightInd/>
              <w:snapToGrid/>
              <w:spacing w:line="240" w:lineRule="auto"/>
              <w:ind w:left="420" w:leftChars="200" w:firstLine="0" w:firstLineChars="0"/>
              <w:textAlignment w:val="auto"/>
              <w:rPr>
                <w:rFonts w:hint="eastAsia"/>
              </w:rPr>
            </w:pPr>
            <w:r>
              <w:rPr>
                <w:rFonts w:hint="eastAsia"/>
              </w:rPr>
              <w:t>产品标志印刷在尺寸6</w:t>
            </w:r>
            <w:r>
              <w:rPr>
                <w:rFonts w:hint="eastAsia"/>
                <w:lang w:val="en-US" w:eastAsia="zh-CN"/>
              </w:rPr>
              <w:t xml:space="preserve"> </w:t>
            </w:r>
            <w:r>
              <w:rPr>
                <w:rFonts w:hint="eastAsia"/>
              </w:rPr>
              <w:t>cm×4</w:t>
            </w:r>
            <w:r>
              <w:rPr>
                <w:rFonts w:hint="eastAsia"/>
                <w:lang w:val="en-US" w:eastAsia="zh-CN"/>
              </w:rPr>
              <w:t xml:space="preserve"> </w:t>
            </w:r>
            <w:r>
              <w:rPr>
                <w:rFonts w:hint="eastAsia"/>
              </w:rPr>
              <w:t>cm的白色涤纶水洗布上，夹缝在棉褥封口一端侧边，距端边5.0</w:t>
            </w:r>
            <w:r>
              <w:rPr>
                <w:rFonts w:hint="eastAsia"/>
                <w:lang w:val="en-US" w:eastAsia="zh-CN"/>
              </w:rPr>
              <w:t xml:space="preserve"> </w:t>
            </w:r>
            <w:r>
              <w:rPr>
                <w:rFonts w:hint="eastAsia"/>
              </w:rPr>
              <w:t>cm。标志布样式见图3</w:t>
            </w:r>
            <w:r>
              <w:rPr>
                <w:rFonts w:hint="eastAsia"/>
                <w:lang w:eastAsia="zh-CN"/>
              </w:rPr>
              <w:t>，</w:t>
            </w:r>
            <w:r>
              <w:rPr>
                <w:rFonts w:hint="eastAsia"/>
              </w:rPr>
              <w:t>标志布印字应清晰、整洁。</w:t>
            </w:r>
          </w:p>
          <w:p w14:paraId="2B671A15">
            <w:pPr>
              <w:pStyle w:val="269"/>
              <w:keepLines w:val="0"/>
              <w:pageBreakBefore w:val="0"/>
              <w:tabs>
                <w:tab w:val="center" w:pos="4201"/>
                <w:tab w:val="right" w:leader="dot" w:pos="9298"/>
              </w:tabs>
              <w:topLinePunct w:val="0"/>
              <w:bidi w:val="0"/>
              <w:spacing w:line="240" w:lineRule="auto"/>
              <w:ind w:left="0" w:leftChars="0" w:firstLine="0" w:firstLineChars="0"/>
              <w:rPr>
                <w:rFonts w:hint="eastAsia"/>
              </w:rPr>
            </w:pPr>
          </w:p>
          <w:p w14:paraId="168C90C7">
            <w:pPr>
              <w:pStyle w:val="269"/>
              <w:keepLines w:val="0"/>
              <w:pageBreakBefore w:val="0"/>
              <w:tabs>
                <w:tab w:val="center" w:pos="4201"/>
                <w:tab w:val="right" w:leader="dot" w:pos="9298"/>
              </w:tabs>
              <w:topLinePunct w:val="0"/>
              <w:bidi w:val="0"/>
              <w:spacing w:line="240" w:lineRule="auto"/>
              <w:jc w:val="center"/>
              <w:rPr>
                <w:rFonts w:hint="eastAsia" w:ascii="黑体" w:hAnsi="黑体" w:eastAsia="黑体" w:cs="黑体"/>
                <w:lang w:val="en-US" w:eastAsia="zh-CN"/>
              </w:rPr>
            </w:pPr>
          </w:p>
          <w:p w14:paraId="5B6BA9CD">
            <w:pPr>
              <w:pStyle w:val="269"/>
              <w:keepLines w:val="0"/>
              <w:pageBreakBefore w:val="0"/>
              <w:tabs>
                <w:tab w:val="center" w:pos="4201"/>
                <w:tab w:val="right" w:leader="dot" w:pos="9298"/>
              </w:tabs>
              <w:topLinePunct w:val="0"/>
              <w:bidi w:val="0"/>
              <w:spacing w:line="240" w:lineRule="auto"/>
              <w:jc w:val="center"/>
              <w:rPr>
                <w:rFonts w:hint="eastAsia" w:ascii="黑体" w:hAnsi="黑体" w:eastAsia="黑体" w:cs="黑体"/>
                <w:lang w:val="en-US" w:eastAsia="zh-CN"/>
              </w:rPr>
            </w:pPr>
          </w:p>
          <w:p w14:paraId="1E3E4436">
            <w:pPr>
              <w:pStyle w:val="269"/>
              <w:keepLines w:val="0"/>
              <w:pageBreakBefore w:val="0"/>
              <w:tabs>
                <w:tab w:val="center" w:pos="4201"/>
                <w:tab w:val="right" w:leader="dot" w:pos="9298"/>
              </w:tabs>
              <w:topLinePunct w:val="0"/>
              <w:bidi w:val="0"/>
              <w:spacing w:line="240" w:lineRule="auto"/>
              <w:jc w:val="center"/>
              <w:rPr>
                <w:rFonts w:hint="eastAsia" w:ascii="黑体" w:hAnsi="黑体" w:eastAsia="黑体" w:cs="黑体"/>
                <w:lang w:val="en-US" w:eastAsia="zh-CN"/>
              </w:rPr>
            </w:pPr>
          </w:p>
          <w:p w14:paraId="078C2A99">
            <w:pPr>
              <w:pStyle w:val="269"/>
              <w:keepLines w:val="0"/>
              <w:pageBreakBefore w:val="0"/>
              <w:tabs>
                <w:tab w:val="center" w:pos="4201"/>
                <w:tab w:val="right" w:leader="dot" w:pos="9298"/>
              </w:tabs>
              <w:topLinePunct w:val="0"/>
              <w:bidi w:val="0"/>
              <w:spacing w:line="240" w:lineRule="auto"/>
              <w:jc w:val="center"/>
              <w:rPr>
                <w:rFonts w:hint="eastAsia" w:ascii="黑体" w:hAnsi="黑体" w:eastAsia="黑体" w:cs="黑体"/>
                <w:lang w:val="en-US" w:eastAsia="zh-CN"/>
              </w:rPr>
            </w:pPr>
            <w:r>
              <w:rPr>
                <w:rFonts w:hint="eastAsia" w:ascii="黑体" w:hAnsi="黑体" w:eastAsia="黑体" w:cs="黑体"/>
                <w:lang w:val="en-US" w:eastAsia="zh-CN"/>
              </w:rPr>
              <w:t>救灾专用   棉褥</w:t>
            </w:r>
          </w:p>
          <w:p w14:paraId="4D7D9979">
            <w:pPr>
              <w:pStyle w:val="269"/>
              <w:keepLines w:val="0"/>
              <w:pageBreakBefore w:val="0"/>
              <w:tabs>
                <w:tab w:val="center" w:pos="4201"/>
                <w:tab w:val="right" w:leader="dot" w:pos="9298"/>
              </w:tabs>
              <w:topLinePunct w:val="0"/>
              <w:bidi w:val="0"/>
              <w:spacing w:line="240" w:lineRule="auto"/>
              <w:jc w:val="center"/>
              <w:rPr>
                <w:rFonts w:hint="eastAsia"/>
                <w:color w:val="auto"/>
                <w:lang w:val="en-US" w:eastAsia="zh-CN"/>
              </w:rPr>
            </w:pPr>
            <w:r>
              <w:rPr>
                <w:rFonts w:hint="eastAsia"/>
                <w:color w:val="auto"/>
                <w:lang w:val="en-US" w:eastAsia="zh-CN"/>
              </w:rPr>
              <w:t>数量：  重量：</w:t>
            </w:r>
          </w:p>
          <w:p w14:paraId="1C7E8FCD">
            <w:pPr>
              <w:jc w:val="center"/>
              <w:rPr>
                <w:rFonts w:hint="default"/>
                <w:color w:val="auto"/>
                <w:lang w:val="en-US" w:eastAsia="zh-CN"/>
              </w:rPr>
            </w:pPr>
            <w:r>
              <w:rPr>
                <w:rFonts w:hint="eastAsia"/>
                <w:color w:val="auto"/>
                <w:lang w:val="en-US" w:eastAsia="zh-CN"/>
              </w:rPr>
              <w:t>生产批号：</w:t>
            </w:r>
          </w:p>
          <w:p w14:paraId="45233B18">
            <w:pPr>
              <w:pStyle w:val="269"/>
              <w:keepLines w:val="0"/>
              <w:pageBreakBefore w:val="0"/>
              <w:tabs>
                <w:tab w:val="center" w:pos="4201"/>
                <w:tab w:val="right" w:leader="dot" w:pos="9298"/>
              </w:tabs>
              <w:topLinePunct w:val="0"/>
              <w:bidi w:val="0"/>
              <w:spacing w:line="240" w:lineRule="auto"/>
              <w:jc w:val="center"/>
              <w:rPr>
                <w:rFonts w:hint="eastAsia"/>
                <w:lang w:val="en-US" w:eastAsia="zh-CN"/>
              </w:rPr>
            </w:pPr>
            <w:r>
              <w:rPr>
                <w:rFonts w:hint="eastAsia"/>
                <w:lang w:val="en-US" w:eastAsia="zh-CN"/>
              </w:rPr>
              <w:t>适用范围：寒区</w:t>
            </w:r>
          </w:p>
          <w:p w14:paraId="24498468">
            <w:pPr>
              <w:pStyle w:val="269"/>
              <w:keepLines w:val="0"/>
              <w:pageBreakBefore w:val="0"/>
              <w:tabs>
                <w:tab w:val="center" w:pos="4201"/>
                <w:tab w:val="right" w:leader="dot" w:pos="9298"/>
              </w:tabs>
              <w:topLinePunct w:val="0"/>
              <w:bidi w:val="0"/>
              <w:spacing w:line="240" w:lineRule="auto"/>
              <w:jc w:val="center"/>
              <w:rPr>
                <w:rFonts w:hint="eastAsia"/>
                <w:lang w:val="en-US" w:eastAsia="zh-CN"/>
              </w:rPr>
            </w:pPr>
            <w:r>
              <w:rPr>
                <w:rFonts w:hint="eastAsia"/>
                <w:lang w:val="en-US" w:eastAsia="zh-CN"/>
              </w:rPr>
              <w:t>生产日期：****年**月</w:t>
            </w:r>
          </w:p>
          <w:p w14:paraId="16103D3E">
            <w:pPr>
              <w:pStyle w:val="269"/>
              <w:keepLines w:val="0"/>
              <w:pageBreakBefore w:val="0"/>
              <w:tabs>
                <w:tab w:val="center" w:pos="4201"/>
                <w:tab w:val="right" w:leader="dot" w:pos="9298"/>
              </w:tabs>
              <w:topLinePunct w:val="0"/>
              <w:bidi w:val="0"/>
              <w:spacing w:line="240" w:lineRule="auto"/>
              <w:jc w:val="center"/>
              <w:rPr>
                <w:rFonts w:hint="eastAsia"/>
                <w:lang w:val="en-US" w:eastAsia="zh-CN"/>
              </w:rPr>
            </w:pPr>
            <w:r>
              <w:rPr>
                <w:rFonts w:hint="eastAsia"/>
                <w:lang w:val="en-US" w:eastAsia="zh-CN"/>
              </w:rPr>
              <w:t>调拨单位：松原市应急管理局</w:t>
            </w:r>
          </w:p>
          <w:p w14:paraId="28102C87">
            <w:pPr>
              <w:pStyle w:val="269"/>
              <w:keepLines w:val="0"/>
              <w:pageBreakBefore w:val="0"/>
              <w:tabs>
                <w:tab w:val="center" w:pos="4201"/>
                <w:tab w:val="right" w:leader="dot" w:pos="9298"/>
              </w:tabs>
              <w:topLinePunct w:val="0"/>
              <w:bidi w:val="0"/>
              <w:spacing w:line="240" w:lineRule="auto"/>
              <w:jc w:val="center"/>
              <w:rPr>
                <w:rFonts w:hint="eastAsia"/>
                <w:lang w:val="en-US" w:eastAsia="zh-CN"/>
              </w:rPr>
            </w:pPr>
            <w:r>
              <w:rPr>
                <w:rFonts w:hint="eastAsia"/>
                <w:lang w:val="en-US" w:eastAsia="zh-CN"/>
              </w:rPr>
              <w:t>采购及监制单位：松原市粮食和物资储备局</w:t>
            </w:r>
          </w:p>
          <w:p w14:paraId="1C8A9A17">
            <w:pPr>
              <w:pStyle w:val="269"/>
              <w:keepLines w:val="0"/>
              <w:pageBreakBefore w:val="0"/>
              <w:tabs>
                <w:tab w:val="center" w:pos="4201"/>
                <w:tab w:val="right" w:leader="dot" w:pos="9298"/>
              </w:tabs>
              <w:topLinePunct w:val="0"/>
              <w:bidi w:val="0"/>
              <w:spacing w:line="240" w:lineRule="auto"/>
              <w:jc w:val="center"/>
              <w:rPr>
                <w:rFonts w:hint="default"/>
                <w:lang w:val="en-US" w:eastAsia="zh-CN"/>
              </w:rPr>
            </w:pPr>
            <w:r>
              <w:rPr>
                <w:rFonts w:hint="eastAsia"/>
                <w:lang w:val="en-US" w:eastAsia="zh-CN"/>
              </w:rPr>
              <w:t>承制单位：*****************</w:t>
            </w:r>
          </w:p>
          <w:p w14:paraId="0CA58416">
            <w:pPr>
              <w:pStyle w:val="537"/>
              <w:keepLines w:val="0"/>
              <w:pageBreakBefore w:val="0"/>
              <w:numPr>
                <w:ilvl w:val="0"/>
                <w:numId w:val="0"/>
              </w:numPr>
              <w:tabs>
                <w:tab w:val="left" w:pos="360"/>
              </w:tabs>
              <w:topLinePunct w:val="0"/>
              <w:bidi w:val="0"/>
              <w:spacing w:before="0" w:beforeLines="0" w:after="0" w:afterLines="0" w:line="240" w:lineRule="auto"/>
              <w:ind w:left="2740" w:leftChars="0" w:firstLine="210" w:firstLineChars="100"/>
              <w:jc w:val="both"/>
              <w:rPr>
                <w:rFonts w:hint="eastAsia" w:ascii="Arial" w:hAnsi="Arial" w:cs="Arial"/>
              </w:rPr>
            </w:pPr>
            <w:r>
              <w:rPr>
                <w:rFonts w:hint="eastAsia" w:ascii="Arial" w:hAnsi="Arial" w:cs="Arial"/>
                <w:lang w:eastAsia="zh-CN"/>
              </w:rPr>
              <w:t>图</w:t>
            </w:r>
            <w:r>
              <w:rPr>
                <w:rFonts w:hint="eastAsia" w:ascii="Arial" w:hAnsi="Arial" w:cs="Arial"/>
                <w:lang w:val="en-US" w:eastAsia="zh-CN"/>
              </w:rPr>
              <w:t xml:space="preserve">3  </w:t>
            </w:r>
            <w:r>
              <w:rPr>
                <w:rFonts w:hint="eastAsia" w:ascii="Arial" w:hAnsi="Arial" w:cs="Arial"/>
              </w:rPr>
              <w:t>产品标志布</w:t>
            </w:r>
          </w:p>
          <w:p w14:paraId="5F6E0388">
            <w:pPr>
              <w:pStyle w:val="282"/>
              <w:keepLines w:val="0"/>
              <w:pageBreakBefore w:val="0"/>
              <w:numPr>
                <w:ilvl w:val="3"/>
                <w:numId w:val="0"/>
              </w:numPr>
              <w:topLinePunct w:val="0"/>
              <w:bidi w:val="0"/>
              <w:spacing w:before="156" w:after="156" w:line="240" w:lineRule="auto"/>
              <w:ind w:left="420" w:leftChars="200" w:firstLine="0" w:firstLineChars="0"/>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6.1.2</w:t>
            </w:r>
            <w:r>
              <w:rPr>
                <w:rFonts w:hint="eastAsia" w:ascii="方正黑体_GBK" w:hAnsi="方正黑体_GBK" w:eastAsia="方正黑体_GBK" w:cs="方正黑体_GBK"/>
              </w:rPr>
              <w:t>包装标志</w:t>
            </w:r>
          </w:p>
          <w:p w14:paraId="3D05BF30">
            <w:pPr>
              <w:pStyle w:val="269"/>
              <w:keepLines w:val="0"/>
              <w:pageBreakBefore w:val="0"/>
              <w:numPr>
                <w:ilvl w:val="0"/>
                <w:numId w:val="0"/>
              </w:numPr>
              <w:tabs>
                <w:tab w:val="center" w:pos="4201"/>
                <w:tab w:val="right" w:leader="dot" w:pos="9298"/>
              </w:tabs>
              <w:topLinePunct w:val="0"/>
              <w:bidi w:val="0"/>
              <w:spacing w:line="240" w:lineRule="auto"/>
              <w:ind w:left="420" w:leftChars="200" w:firstLine="0" w:firstLineChars="0"/>
              <w:rPr>
                <w:rFonts w:hint="eastAsia" w:hAnsi="宋体" w:cs="Arial"/>
                <w:color w:val="auto"/>
                <w:szCs w:val="21"/>
                <w:lang w:val="en-US" w:eastAsia="zh-CN"/>
              </w:rPr>
            </w:pPr>
            <w:r>
              <w:rPr>
                <w:rFonts w:hint="eastAsia" w:ascii="方正黑体_GBK" w:hAnsi="方正黑体_GBK" w:eastAsia="方正黑体_GBK" w:cs="方正黑体_GBK"/>
                <w:sz w:val="21"/>
                <w:lang w:val="en-US" w:eastAsia="zh-CN" w:bidi="ar-SA"/>
              </w:rPr>
              <w:t xml:space="preserve">6.1.2.1 </w:t>
            </w:r>
            <w:r>
              <w:rPr>
                <w:rFonts w:hint="eastAsia" w:hAnsi="宋体" w:cs="Arial"/>
                <w:szCs w:val="21"/>
                <w:lang w:val="en-US" w:eastAsia="zh-CN"/>
              </w:rPr>
              <w:t>外包装上、下两面需标注产品名称、数量、重量、生产日期、承制单位名称、生产批号和监制单位名称。其产品名称、承制单位名称及监制单位名称为黑体字，其余为宋体字；字体大小适宜、布局合理，标注示例见</w:t>
            </w:r>
            <w:r>
              <w:rPr>
                <w:rFonts w:hint="eastAsia" w:hAnsi="宋体" w:cs="Arial"/>
                <w:color w:val="auto"/>
                <w:szCs w:val="21"/>
                <w:lang w:val="en-US" w:eastAsia="zh-CN"/>
              </w:rPr>
              <w:t>图3。</w:t>
            </w:r>
          </w:p>
          <w:p w14:paraId="0667A636">
            <w:pPr>
              <w:pStyle w:val="269"/>
              <w:keepLines w:val="0"/>
              <w:pageBreakBefore w:val="0"/>
              <w:numPr>
                <w:ilvl w:val="0"/>
                <w:numId w:val="0"/>
              </w:numPr>
              <w:tabs>
                <w:tab w:val="center" w:pos="4201"/>
                <w:tab w:val="right" w:leader="dot" w:pos="9298"/>
              </w:tabs>
              <w:topLinePunct w:val="0"/>
              <w:bidi w:val="0"/>
              <w:spacing w:line="240" w:lineRule="auto"/>
              <w:ind w:left="420" w:leftChars="200" w:firstLine="0" w:firstLineChars="0"/>
              <w:rPr>
                <w:rFonts w:hint="default" w:hAnsi="宋体" w:cs="Arial"/>
                <w:szCs w:val="21"/>
                <w:lang w:val="en-US" w:eastAsia="zh-CN"/>
              </w:rPr>
            </w:pPr>
            <w:r>
              <w:rPr>
                <w:rFonts w:hint="eastAsia" w:ascii="方正黑体_GBK" w:hAnsi="方正黑体_GBK" w:eastAsia="方正黑体_GBK" w:cs="方正黑体_GBK"/>
                <w:sz w:val="21"/>
                <w:lang w:val="en-US" w:eastAsia="zh-CN" w:bidi="ar-SA"/>
              </w:rPr>
              <w:t xml:space="preserve">6.1.2.2 </w:t>
            </w:r>
            <w:r>
              <w:rPr>
                <w:rFonts w:hint="eastAsia" w:hAnsi="宋体" w:cs="Arial"/>
                <w:szCs w:val="21"/>
                <w:lang w:val="en-US" w:eastAsia="zh-CN"/>
              </w:rPr>
              <w:t>外包装侧面需标注“救灾专用”、“注意防潮”字样及产品标志；字体为黑体字，字体大小适宜、布局合理，</w:t>
            </w:r>
            <w:r>
              <w:rPr>
                <w:rFonts w:hint="eastAsia" w:hAnsi="宋体" w:cs="Arial"/>
                <w:color w:val="auto"/>
                <w:szCs w:val="21"/>
                <w:lang w:val="en-US" w:eastAsia="zh-CN"/>
              </w:rPr>
              <w:t>产品标志示例见图3，</w:t>
            </w:r>
            <w:r>
              <w:rPr>
                <w:rFonts w:hint="eastAsia" w:hAnsi="宋体" w:cs="Arial"/>
                <w:szCs w:val="21"/>
                <w:lang w:val="en-US" w:eastAsia="zh-CN"/>
              </w:rPr>
              <w:t>“救灾专用”、“注意防潮”示例见图4</w:t>
            </w:r>
          </w:p>
          <w:p w14:paraId="5718E472">
            <w:pPr>
              <w:pStyle w:val="269"/>
              <w:keepLines w:val="0"/>
              <w:pageBreakBefore w:val="0"/>
              <w:tabs>
                <w:tab w:val="center" w:pos="4201"/>
                <w:tab w:val="right" w:leader="dot" w:pos="9298"/>
              </w:tabs>
              <w:topLinePunct w:val="0"/>
              <w:bidi w:val="0"/>
              <w:spacing w:line="240" w:lineRule="auto"/>
              <w:jc w:val="center"/>
              <w:rPr>
                <w:rFonts w:hint="eastAsia"/>
              </w:rPr>
            </w:pPr>
            <w:r>
              <w:drawing>
                <wp:inline distT="0" distB="0" distL="114300" distR="114300">
                  <wp:extent cx="1931670" cy="1524000"/>
                  <wp:effectExtent l="0" t="0" r="11430" b="0"/>
                  <wp:docPr id="34" name="图片 5" descr="C:\Users\lenovo\Desktop\0b323072c804fdae1c31ff7605b5b06.png0b323072c804fdae1c31ff7605b5b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descr="C:\Users\lenovo\Desktop\0b323072c804fdae1c31ff7605b5b06.png0b323072c804fdae1c31ff7605b5b06"/>
                          <pic:cNvPicPr>
                            <a:picLocks noChangeAspect="1"/>
                          </pic:cNvPicPr>
                        </pic:nvPicPr>
                        <pic:blipFill>
                          <a:blip r:embed="rId18"/>
                          <a:stretch>
                            <a:fillRect/>
                          </a:stretch>
                        </pic:blipFill>
                        <pic:spPr>
                          <a:xfrm>
                            <a:off x="0" y="0"/>
                            <a:ext cx="1931670" cy="1524000"/>
                          </a:xfrm>
                          <a:prstGeom prst="rect">
                            <a:avLst/>
                          </a:prstGeom>
                          <a:noFill/>
                          <a:ln>
                            <a:noFill/>
                          </a:ln>
                        </pic:spPr>
                      </pic:pic>
                    </a:graphicData>
                  </a:graphic>
                </wp:inline>
              </w:drawing>
            </w:r>
          </w:p>
          <w:p w14:paraId="72F41B35">
            <w:pPr>
              <w:pStyle w:val="537"/>
              <w:keepLines w:val="0"/>
              <w:pageBreakBefore w:val="0"/>
              <w:numPr>
                <w:ilvl w:val="0"/>
                <w:numId w:val="0"/>
              </w:numPr>
              <w:tabs>
                <w:tab w:val="left" w:pos="360"/>
              </w:tabs>
              <w:topLinePunct w:val="0"/>
              <w:bidi w:val="0"/>
              <w:spacing w:before="0" w:beforeLines="0" w:after="0" w:afterLines="0" w:line="240" w:lineRule="auto"/>
              <w:jc w:val="center"/>
              <w:rPr>
                <w:rFonts w:hint="eastAsia" w:ascii="Arial" w:hAnsi="Arial" w:cs="Arial"/>
              </w:rPr>
            </w:pPr>
            <w:r>
              <w:rPr>
                <w:rFonts w:hint="eastAsia" w:ascii="Arial" w:hAnsi="Arial" w:cs="Arial"/>
                <w:lang w:eastAsia="zh-CN"/>
              </w:rPr>
              <w:t>图</w:t>
            </w:r>
            <w:r>
              <w:rPr>
                <w:rFonts w:hint="eastAsia" w:ascii="Arial" w:hAnsi="Arial" w:cs="Arial"/>
                <w:lang w:val="en-US" w:eastAsia="zh-CN"/>
              </w:rPr>
              <w:t>4</w:t>
            </w:r>
            <w:r>
              <w:rPr>
                <w:rFonts w:hint="eastAsia" w:ascii="Arial" w:hAnsi="Arial" w:cs="Arial"/>
              </w:rPr>
              <w:t xml:space="preserve"> 外包装标志</w:t>
            </w:r>
          </w:p>
          <w:p w14:paraId="26C5C9B2">
            <w:pPr>
              <w:pStyle w:val="434"/>
              <w:keepNext w:val="0"/>
              <w:keepLines w:val="0"/>
              <w:pageBreakBefore w:val="0"/>
              <w:widowControl/>
              <w:numPr>
                <w:ilvl w:val="2"/>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Arial" w:hAnsi="Arial" w:cs="Arial"/>
              </w:rPr>
            </w:pPr>
            <w:bookmarkStart w:id="537" w:name="_Toc14767"/>
            <w:bookmarkStart w:id="538" w:name="_Toc90391633"/>
            <w:bookmarkStart w:id="539" w:name="_Toc7775"/>
            <w:r>
              <w:rPr>
                <w:rFonts w:hint="eastAsia" w:ascii="方正黑体_GBK" w:hAnsi="方正黑体_GBK" w:eastAsia="方正黑体_GBK" w:cs="方正黑体_GBK"/>
                <w:sz w:val="21"/>
                <w:lang w:val="en-US" w:eastAsia="zh-CN" w:bidi="ar-SA"/>
              </w:rPr>
              <w:t>6.2</w:t>
            </w:r>
            <w:r>
              <w:rPr>
                <w:rFonts w:hint="eastAsia" w:ascii="Arial" w:hAnsi="Arial" w:cs="Arial"/>
              </w:rPr>
              <w:t>包装</w:t>
            </w:r>
            <w:bookmarkEnd w:id="537"/>
            <w:bookmarkEnd w:id="538"/>
            <w:bookmarkEnd w:id="539"/>
          </w:p>
          <w:p w14:paraId="5E2F4FDF">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color w:val="FF0000"/>
              </w:rPr>
            </w:pPr>
            <w:r>
              <w:rPr>
                <w:rFonts w:hint="eastAsia" w:ascii="方正黑体_GBK" w:hAnsi="方正黑体_GBK" w:eastAsia="方正黑体_GBK" w:cs="方正黑体_GBK"/>
                <w:sz w:val="21"/>
                <w:lang w:val="en-US" w:eastAsia="zh-CN" w:bidi="ar-SA"/>
              </w:rPr>
              <w:t>6.2.1</w:t>
            </w:r>
            <w:r>
              <w:rPr>
                <w:rFonts w:hint="eastAsia" w:ascii="宋体" w:hAnsi="宋体" w:eastAsia="宋体" w:cs="Arial"/>
              </w:rPr>
              <w:t>外层包装材料用聚丙烯编织布，内衬牛皮纸，牛皮纸质量应符合 GB/T 22865-2008的规定。</w:t>
            </w:r>
            <w:r>
              <w:rPr>
                <w:rFonts w:hint="eastAsia" w:ascii="宋体" w:hAnsi="宋体" w:eastAsia="宋体" w:cs="Arial"/>
                <w:color w:val="auto"/>
              </w:rPr>
              <w:t>聚丙烯编织布技术要求见附录</w:t>
            </w:r>
            <w:r>
              <w:rPr>
                <w:rFonts w:hint="eastAsia" w:ascii="宋体" w:hAnsi="宋体" w:cs="Arial"/>
                <w:color w:val="auto"/>
                <w:lang w:val="en-US" w:eastAsia="zh-CN"/>
              </w:rPr>
              <w:t>D</w:t>
            </w:r>
            <w:r>
              <w:rPr>
                <w:rFonts w:hint="eastAsia" w:ascii="宋体" w:hAnsi="宋体" w:eastAsia="宋体" w:cs="Arial"/>
                <w:color w:val="auto"/>
              </w:rPr>
              <w:t>。</w:t>
            </w:r>
          </w:p>
          <w:p w14:paraId="3885A806">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rPr>
            </w:pPr>
            <w:r>
              <w:rPr>
                <w:rFonts w:hint="eastAsia" w:ascii="方正黑体_GBK" w:hAnsi="方正黑体_GBK" w:eastAsia="方正黑体_GBK" w:cs="方正黑体_GBK"/>
                <w:sz w:val="21"/>
                <w:lang w:val="en-US" w:eastAsia="zh-CN" w:bidi="ar-SA"/>
              </w:rPr>
              <w:t>6.2.2</w:t>
            </w:r>
            <w:r>
              <w:rPr>
                <w:rFonts w:hint="eastAsia" w:ascii="宋体" w:hAnsi="宋体" w:eastAsia="宋体" w:cs="Arial"/>
              </w:rPr>
              <w:t>编织布结合处用φ0.2</w:t>
            </w:r>
            <w:r>
              <w:rPr>
                <w:rFonts w:hint="eastAsia" w:ascii="宋体" w:hAnsi="宋体" w:cs="Arial"/>
                <w:lang w:val="en-US" w:eastAsia="zh-CN"/>
              </w:rPr>
              <w:t xml:space="preserve"> </w:t>
            </w:r>
            <w:r>
              <w:rPr>
                <w:rFonts w:hint="eastAsia" w:ascii="宋体" w:hAnsi="宋体" w:eastAsia="宋体" w:cs="Arial"/>
              </w:rPr>
              <w:t>cm绳缝合牢固，用φ0.7</w:t>
            </w:r>
            <w:r>
              <w:rPr>
                <w:rFonts w:hint="eastAsia" w:ascii="宋体" w:hAnsi="宋体" w:cs="Arial"/>
                <w:lang w:val="en-US" w:eastAsia="zh-CN"/>
              </w:rPr>
              <w:t xml:space="preserve"> </w:t>
            </w:r>
            <w:r>
              <w:rPr>
                <w:rFonts w:hint="eastAsia" w:ascii="宋体" w:hAnsi="宋体" w:eastAsia="宋体" w:cs="Arial"/>
              </w:rPr>
              <w:t>cm麻绳捆扎成“卅”型横竖均为双道。麻绳技术要求见表2。</w:t>
            </w:r>
          </w:p>
          <w:p w14:paraId="5A0D7C9C">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rPr>
            </w:pPr>
            <w:r>
              <w:rPr>
                <w:rFonts w:hint="eastAsia" w:ascii="方正黑体_GBK" w:hAnsi="方正黑体_GBK" w:eastAsia="方正黑体_GBK" w:cs="方正黑体_GBK"/>
                <w:sz w:val="21"/>
                <w:lang w:val="en-US" w:eastAsia="zh-CN" w:bidi="ar-SA"/>
              </w:rPr>
              <w:t>6.2.3</w:t>
            </w:r>
            <w:r>
              <w:rPr>
                <w:rFonts w:hint="eastAsia" w:ascii="宋体" w:hAnsi="宋体" w:eastAsia="宋体" w:cs="Arial"/>
              </w:rPr>
              <w:t>每包10床。包装尺寸为75</w:t>
            </w:r>
            <w:r>
              <w:rPr>
                <w:rFonts w:hint="eastAsia" w:ascii="宋体" w:hAnsi="宋体" w:cs="Arial"/>
                <w:lang w:val="en-US" w:eastAsia="zh-CN"/>
              </w:rPr>
              <w:t xml:space="preserve"> </w:t>
            </w:r>
            <w:r>
              <w:rPr>
                <w:rFonts w:hint="eastAsia" w:ascii="宋体" w:hAnsi="宋体" w:eastAsia="宋体" w:cs="Arial"/>
              </w:rPr>
              <w:t>cm×55</w:t>
            </w:r>
            <w:r>
              <w:rPr>
                <w:rFonts w:hint="eastAsia" w:ascii="宋体" w:hAnsi="宋体" w:cs="Arial"/>
                <w:lang w:val="en-US" w:eastAsia="zh-CN"/>
              </w:rPr>
              <w:t xml:space="preserve"> </w:t>
            </w:r>
            <w:r>
              <w:rPr>
                <w:rFonts w:hint="eastAsia" w:ascii="宋体" w:hAnsi="宋体" w:eastAsia="宋体" w:cs="Arial"/>
              </w:rPr>
              <w:t>cm×45</w:t>
            </w:r>
            <w:r>
              <w:rPr>
                <w:rFonts w:hint="eastAsia" w:ascii="宋体" w:hAnsi="宋体" w:cs="Arial"/>
                <w:lang w:val="en-US" w:eastAsia="zh-CN"/>
              </w:rPr>
              <w:t xml:space="preserve"> </w:t>
            </w:r>
            <w:r>
              <w:rPr>
                <w:rFonts w:hint="eastAsia" w:ascii="宋体" w:hAnsi="宋体" w:eastAsia="宋体" w:cs="Arial"/>
              </w:rPr>
              <w:t>cm（长×宽×高）或按合同规定执行。</w:t>
            </w:r>
          </w:p>
          <w:p w14:paraId="5AD06537">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lang w:eastAsia="zh-CN"/>
              </w:rPr>
            </w:pPr>
            <w:r>
              <w:rPr>
                <w:rFonts w:hint="eastAsia" w:ascii="方正黑体_GBK" w:hAnsi="方正黑体_GBK" w:eastAsia="方正黑体_GBK" w:cs="方正黑体_GBK"/>
                <w:sz w:val="21"/>
                <w:lang w:val="en-US" w:eastAsia="zh-CN" w:bidi="ar-SA"/>
              </w:rPr>
              <w:t>6.2.4</w:t>
            </w:r>
            <w:r>
              <w:rPr>
                <w:rFonts w:hint="eastAsia" w:ascii="宋体" w:hAnsi="宋体" w:eastAsia="宋体" w:cs="Arial"/>
              </w:rPr>
              <w:t>每包内需放检验单，样式见图5。其中“检验单”、“产品名称”、“数量”、“生产日期”、“检验人员”、“承制单位名称”标题为黑体字，其他为宋体字。检验单尺寸为B5纸的1/4，字体大小适宜</w:t>
            </w:r>
            <w:r>
              <w:rPr>
                <w:rFonts w:hint="eastAsia" w:ascii="宋体" w:hAnsi="宋体" w:cs="Arial"/>
                <w:lang w:eastAsia="zh-CN"/>
              </w:rPr>
              <w:t>。</w:t>
            </w:r>
          </w:p>
          <w:p w14:paraId="0623688D">
            <w:pPr>
              <w:pStyle w:val="269"/>
              <w:keepLines w:val="0"/>
              <w:pageBreakBefore w:val="0"/>
              <w:tabs>
                <w:tab w:val="center" w:pos="3780"/>
                <w:tab w:val="right" w:leader="dot" w:pos="9298"/>
              </w:tabs>
              <w:topLinePunct w:val="0"/>
              <w:bidi w:val="0"/>
              <w:spacing w:line="240" w:lineRule="auto"/>
              <w:jc w:val="center"/>
              <w:rPr>
                <w:rFonts w:hint="eastAsia"/>
              </w:rPr>
            </w:pPr>
            <w:r>
              <w:drawing>
                <wp:inline distT="0" distB="0" distL="114300" distR="114300">
                  <wp:extent cx="2276475" cy="1332865"/>
                  <wp:effectExtent l="0" t="0" r="9525" b="635"/>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19"/>
                          <a:stretch>
                            <a:fillRect/>
                          </a:stretch>
                        </pic:blipFill>
                        <pic:spPr>
                          <a:xfrm>
                            <a:off x="0" y="0"/>
                            <a:ext cx="2276475" cy="1332865"/>
                          </a:xfrm>
                          <a:prstGeom prst="rect">
                            <a:avLst/>
                          </a:prstGeom>
                          <a:noFill/>
                          <a:ln>
                            <a:noFill/>
                          </a:ln>
                        </pic:spPr>
                      </pic:pic>
                    </a:graphicData>
                  </a:graphic>
                </wp:inline>
              </w:drawing>
            </w:r>
          </w:p>
          <w:p w14:paraId="3DC38D71">
            <w:pPr>
              <w:pStyle w:val="537"/>
              <w:keepNext w:val="0"/>
              <w:keepLines w:val="0"/>
              <w:pageBreakBefore w:val="0"/>
              <w:widowControl/>
              <w:numPr>
                <w:ilvl w:val="0"/>
                <w:numId w:val="0"/>
              </w:numPr>
              <w:tabs>
                <w:tab w:val="left" w:pos="360"/>
              </w:tabs>
              <w:kinsoku/>
              <w:wordWrap/>
              <w:overflowPunct/>
              <w:topLinePunct w:val="0"/>
              <w:autoSpaceDE/>
              <w:autoSpaceDN/>
              <w:bidi w:val="0"/>
              <w:adjustRightInd/>
              <w:snapToGrid/>
              <w:spacing w:before="0" w:beforeLines="0" w:after="0" w:afterLines="0" w:line="240" w:lineRule="auto"/>
              <w:ind w:left="0" w:leftChars="0" w:firstLine="0" w:firstLineChars="0"/>
              <w:jc w:val="center"/>
              <w:textAlignment w:val="auto"/>
              <w:rPr>
                <w:rFonts w:hint="eastAsia" w:ascii="Arial" w:hAnsi="Arial" w:cs="Arial"/>
              </w:rPr>
            </w:pPr>
            <w:r>
              <w:rPr>
                <w:rFonts w:hint="eastAsia" w:ascii="Arial" w:hAnsi="Arial" w:cs="Arial"/>
                <w:lang w:eastAsia="zh-CN"/>
              </w:rPr>
              <w:t>图</w:t>
            </w:r>
            <w:r>
              <w:rPr>
                <w:rFonts w:hint="eastAsia" w:ascii="Arial" w:hAnsi="Arial" w:cs="Arial"/>
                <w:lang w:val="en-US" w:eastAsia="zh-CN"/>
              </w:rPr>
              <w:t>5</w:t>
            </w:r>
            <w:r>
              <w:rPr>
                <w:rFonts w:hint="eastAsia" w:ascii="Arial" w:hAnsi="Arial" w:cs="Arial"/>
              </w:rPr>
              <w:t xml:space="preserve"> 检验单</w:t>
            </w:r>
          </w:p>
          <w:p w14:paraId="27158855">
            <w:pPr>
              <w:pStyle w:val="434"/>
              <w:keepNext w:val="0"/>
              <w:keepLines w:val="0"/>
              <w:pageBreakBefore w:val="0"/>
              <w:widowControl/>
              <w:numPr>
                <w:ilvl w:val="2"/>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Arial" w:hAnsi="Arial" w:cs="Arial"/>
              </w:rPr>
            </w:pPr>
            <w:bookmarkStart w:id="540" w:name="_Toc21951"/>
            <w:bookmarkStart w:id="541" w:name="_Toc90391634"/>
            <w:bookmarkStart w:id="542" w:name="_Toc32566"/>
            <w:r>
              <w:rPr>
                <w:rFonts w:hint="eastAsia" w:ascii="方正黑体_GBK" w:hAnsi="方正黑体_GBK" w:eastAsia="方正黑体_GBK" w:cs="方正黑体_GBK"/>
                <w:sz w:val="21"/>
                <w:lang w:val="en-US" w:eastAsia="zh-CN" w:bidi="ar-SA"/>
              </w:rPr>
              <w:t>6.3</w:t>
            </w:r>
            <w:r>
              <w:rPr>
                <w:rFonts w:hint="eastAsia" w:ascii="Arial" w:hAnsi="Arial" w:cs="Arial"/>
              </w:rPr>
              <w:t>运输与贮存</w:t>
            </w:r>
            <w:bookmarkEnd w:id="540"/>
            <w:bookmarkEnd w:id="541"/>
            <w:bookmarkEnd w:id="542"/>
          </w:p>
          <w:p w14:paraId="54ED6E64">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rPr>
            </w:pPr>
            <w:r>
              <w:rPr>
                <w:rFonts w:hint="eastAsia" w:ascii="方正黑体_GBK" w:hAnsi="方正黑体_GBK" w:eastAsia="方正黑体_GBK" w:cs="方正黑体_GBK"/>
                <w:sz w:val="21"/>
                <w:lang w:val="en-US" w:eastAsia="zh-CN" w:bidi="ar-SA"/>
              </w:rPr>
              <w:t>6.3.1</w:t>
            </w:r>
            <w:r>
              <w:rPr>
                <w:rFonts w:hint="eastAsia" w:ascii="宋体" w:hAnsi="宋体" w:eastAsia="宋体" w:cs="Arial"/>
              </w:rPr>
              <w:t>运输与贮存中严禁露天存放，应防止雨淋、日晒、油污、重压。运输根据合同要求执行。</w:t>
            </w:r>
          </w:p>
          <w:p w14:paraId="278F7DDF">
            <w:pPr>
              <w:pStyle w:val="282"/>
              <w:keepNext w:val="0"/>
              <w:keepLines w:val="0"/>
              <w:pageBreakBefore w:val="0"/>
              <w:widowControl/>
              <w:numPr>
                <w:ilvl w:val="3"/>
                <w:numId w:val="0"/>
              </w:numPr>
              <w:kinsoku/>
              <w:wordWrap/>
              <w:overflowPunct/>
              <w:topLinePunct w:val="0"/>
              <w:autoSpaceDE/>
              <w:autoSpaceDN/>
              <w:bidi w:val="0"/>
              <w:adjustRightInd/>
              <w:snapToGrid/>
              <w:spacing w:before="0" w:after="0" w:line="240" w:lineRule="auto"/>
              <w:ind w:left="420" w:leftChars="200" w:firstLine="0" w:firstLineChars="0"/>
              <w:textAlignment w:val="auto"/>
              <w:rPr>
                <w:rFonts w:hint="eastAsia" w:ascii="宋体" w:hAnsi="宋体" w:eastAsia="宋体" w:cs="Arial"/>
              </w:rPr>
            </w:pPr>
            <w:r>
              <w:rPr>
                <w:rFonts w:hint="eastAsia" w:ascii="方正黑体_GBK" w:hAnsi="方正黑体_GBK" w:eastAsia="方正黑体_GBK" w:cs="方正黑体_GBK"/>
                <w:sz w:val="21"/>
                <w:lang w:val="en-US" w:eastAsia="zh-CN" w:bidi="ar-SA"/>
              </w:rPr>
              <w:t>6.3.2</w:t>
            </w:r>
            <w:r>
              <w:rPr>
                <w:rFonts w:hint="eastAsia" w:ascii="宋体" w:hAnsi="宋体" w:eastAsia="宋体" w:cs="Arial"/>
              </w:rPr>
              <w:t>产品应贮存在通风干燥的库房内，相对湿度不得超过80％，并不得与化学药物同库混放。</w:t>
            </w:r>
          </w:p>
          <w:p w14:paraId="545F8D58">
            <w:pPr>
              <w:ind w:firstLine="420" w:firstLineChars="200"/>
              <w:rPr>
                <w:rFonts w:hint="eastAsia"/>
              </w:rPr>
            </w:pPr>
            <w:r>
              <w:rPr>
                <w:rFonts w:hint="eastAsia" w:ascii="方正黑体_GBK" w:hAnsi="方正黑体_GBK" w:eastAsia="方正黑体_GBK" w:cs="方正黑体_GBK"/>
                <w:sz w:val="21"/>
                <w:lang w:val="en-US" w:eastAsia="zh-CN" w:bidi="ar-SA"/>
              </w:rPr>
              <w:t>6.3.3</w:t>
            </w:r>
            <w:r>
              <w:rPr>
                <w:rFonts w:hint="eastAsia" w:ascii="宋体" w:hAnsi="宋体" w:eastAsia="宋体" w:cs="Arial"/>
              </w:rPr>
              <w:t>包装件应码放在货架上，货架距地面高度不得低于20</w:t>
            </w:r>
            <w:r>
              <w:rPr>
                <w:rFonts w:hint="eastAsia" w:ascii="宋体" w:hAnsi="宋体" w:cs="Arial"/>
                <w:lang w:val="en-US" w:eastAsia="zh-CN"/>
              </w:rPr>
              <w:t xml:space="preserve"> </w:t>
            </w:r>
            <w:r>
              <w:rPr>
                <w:rFonts w:hint="eastAsia" w:ascii="宋体" w:hAnsi="宋体" w:eastAsia="宋体" w:cs="Arial"/>
              </w:rPr>
              <w:t xml:space="preserve">cm。 </w:t>
            </w:r>
          </w:p>
          <w:p w14:paraId="4A51BC3D">
            <w:pPr>
              <w:pStyle w:val="459"/>
              <w:keepLines w:val="0"/>
              <w:pageBreakBefore w:val="0"/>
              <w:numPr>
                <w:ilvl w:val="0"/>
                <w:numId w:val="25"/>
              </w:numPr>
              <w:tabs>
                <w:tab w:val="left" w:pos="360"/>
              </w:tabs>
              <w:topLinePunct w:val="0"/>
              <w:bidi w:val="0"/>
              <w:spacing w:line="240" w:lineRule="auto"/>
              <w:rPr>
                <w:rFonts w:hint="eastAsia"/>
              </w:rPr>
            </w:pPr>
            <w:bookmarkStart w:id="543" w:name="_Toc24773"/>
            <w:bookmarkStart w:id="544" w:name="_Toc1921"/>
            <w:bookmarkStart w:id="545" w:name="_Toc514060249"/>
            <w:bookmarkStart w:id="546" w:name="_Toc511462070"/>
            <w:bookmarkStart w:id="547" w:name="_Toc511460178"/>
            <w:bookmarkStart w:id="548" w:name="_Toc514061502"/>
            <w:bookmarkStart w:id="549" w:name="_Toc90391635"/>
            <w:bookmarkStart w:id="550" w:name="_Toc511459709"/>
            <w:bookmarkStart w:id="551" w:name="_Toc511461823"/>
            <w:r>
              <w:rPr>
                <w:rFonts w:hint="eastAsia"/>
              </w:rPr>
              <w:t>（文件性附录）</w:t>
            </w:r>
            <w:bookmarkEnd w:id="543"/>
            <w:bookmarkEnd w:id="544"/>
          </w:p>
          <w:p w14:paraId="3F68CE03">
            <w:pPr>
              <w:pStyle w:val="459"/>
              <w:keepLines w:val="0"/>
              <w:pageBreakBefore w:val="0"/>
              <w:numPr>
                <w:ilvl w:val="0"/>
                <w:numId w:val="25"/>
              </w:numPr>
              <w:tabs>
                <w:tab w:val="left" w:pos="360"/>
              </w:tabs>
              <w:topLinePunct w:val="0"/>
              <w:bidi w:val="0"/>
              <w:spacing w:line="240" w:lineRule="auto"/>
              <w:rPr>
                <w:rFonts w:hint="eastAsia"/>
              </w:rPr>
            </w:pPr>
            <w:bookmarkStart w:id="552" w:name="_Toc8880"/>
            <w:bookmarkStart w:id="553" w:name="_Toc52"/>
            <w:r>
              <w:rPr>
                <w:rFonts w:hint="eastAsia"/>
              </w:rPr>
              <w:t>纯棉平布技术要求</w:t>
            </w:r>
            <w:bookmarkEnd w:id="545"/>
            <w:bookmarkEnd w:id="546"/>
            <w:bookmarkEnd w:id="547"/>
            <w:bookmarkEnd w:id="548"/>
            <w:bookmarkEnd w:id="549"/>
            <w:bookmarkEnd w:id="550"/>
            <w:bookmarkEnd w:id="551"/>
            <w:bookmarkEnd w:id="552"/>
            <w:bookmarkEnd w:id="553"/>
          </w:p>
          <w:p w14:paraId="1A805490">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554" w:name="_Toc34205839"/>
            <w:bookmarkStart w:id="555" w:name="_Toc9358"/>
            <w:bookmarkStart w:id="556" w:name="_Toc90391636"/>
            <w:bookmarkStart w:id="557" w:name="_Toc14561"/>
            <w:r>
              <w:rPr>
                <w:rFonts w:hint="eastAsia"/>
              </w:rPr>
              <w:t>纯棉平布质量指标</w:t>
            </w:r>
            <w:bookmarkEnd w:id="554"/>
            <w:bookmarkEnd w:id="555"/>
            <w:bookmarkEnd w:id="556"/>
            <w:bookmarkEnd w:id="557"/>
          </w:p>
          <w:p w14:paraId="0091CF5D">
            <w:pPr>
              <w:pStyle w:val="269"/>
              <w:keepLines w:val="0"/>
              <w:pageBreakBefore w:val="0"/>
              <w:tabs>
                <w:tab w:val="center" w:pos="4201"/>
                <w:tab w:val="right" w:leader="dot" w:pos="9298"/>
              </w:tabs>
              <w:topLinePunct w:val="0"/>
              <w:bidi w:val="0"/>
              <w:spacing w:line="240" w:lineRule="auto"/>
              <w:rPr>
                <w:rFonts w:hint="eastAsia" w:hAnsi="宋体"/>
              </w:rPr>
            </w:pPr>
            <w:r>
              <w:rPr>
                <w:rFonts w:hAnsi="宋体"/>
              </w:rPr>
              <w:t>纯棉平布的质量指标见表</w:t>
            </w:r>
            <w:r>
              <w:rPr>
                <w:rFonts w:hint="eastAsia" w:hAnsi="宋体"/>
              </w:rPr>
              <w:t>A.1。</w:t>
            </w:r>
          </w:p>
          <w:tbl>
            <w:tblPr>
              <w:tblStyle w:val="58"/>
              <w:tblW w:w="6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768"/>
              <w:gridCol w:w="1023"/>
              <w:gridCol w:w="1328"/>
              <w:gridCol w:w="1744"/>
            </w:tblGrid>
            <w:tr w14:paraId="59E5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60" w:type="dxa"/>
                  <w:gridSpan w:val="5"/>
                  <w:tcBorders>
                    <w:top w:val="nil"/>
                    <w:left w:val="nil"/>
                    <w:bottom w:val="single" w:color="auto" w:sz="12" w:space="0"/>
                    <w:right w:val="nil"/>
                  </w:tcBorders>
                  <w:noWrap w:val="0"/>
                  <w:vAlign w:val="top"/>
                </w:tcPr>
                <w:p w14:paraId="52ED5F97">
                  <w:pPr>
                    <w:keepLines w:val="0"/>
                    <w:pageBreakBefore w:val="0"/>
                    <w:topLinePunct w:val="0"/>
                    <w:bidi w:val="0"/>
                    <w:spacing w:line="240" w:lineRule="auto"/>
                    <w:jc w:val="center"/>
                    <w:rPr>
                      <w:rFonts w:hint="eastAsia" w:ascii="黑体" w:hAnsi="黑体" w:eastAsia="黑体"/>
                      <w:szCs w:val="21"/>
                    </w:rPr>
                  </w:pPr>
                  <w:r>
                    <w:rPr>
                      <w:rFonts w:hint="eastAsia" w:ascii="黑体" w:hAnsi="黑体" w:eastAsia="黑体"/>
                      <w:szCs w:val="21"/>
                    </w:rPr>
                    <w:t>表A.1  纯棉平布质量指标</w:t>
                  </w:r>
                </w:p>
              </w:tc>
            </w:tr>
            <w:tr w14:paraId="3293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7" w:type="dxa"/>
                  <w:tcBorders>
                    <w:top w:val="single" w:color="auto" w:sz="12" w:space="0"/>
                    <w:left w:val="single" w:color="auto" w:sz="12" w:space="0"/>
                    <w:bottom w:val="single" w:color="auto" w:sz="12" w:space="0"/>
                    <w:right w:val="single" w:color="auto" w:sz="4" w:space="0"/>
                  </w:tcBorders>
                  <w:noWrap w:val="0"/>
                  <w:vAlign w:val="top"/>
                </w:tcPr>
                <w:p w14:paraId="48F63E9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序号</w:t>
                  </w:r>
                </w:p>
              </w:tc>
              <w:tc>
                <w:tcPr>
                  <w:tcW w:w="2791" w:type="dxa"/>
                  <w:gridSpan w:val="2"/>
                  <w:tcBorders>
                    <w:top w:val="single" w:color="auto" w:sz="12" w:space="0"/>
                    <w:left w:val="single" w:color="auto" w:sz="4" w:space="0"/>
                    <w:bottom w:val="single" w:color="auto" w:sz="12" w:space="0"/>
                    <w:right w:val="single" w:color="auto" w:sz="4" w:space="0"/>
                  </w:tcBorders>
                  <w:noWrap w:val="0"/>
                  <w:vAlign w:val="top"/>
                </w:tcPr>
                <w:p w14:paraId="5B810371">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项目</w:t>
                  </w:r>
                </w:p>
              </w:tc>
              <w:tc>
                <w:tcPr>
                  <w:tcW w:w="1328" w:type="dxa"/>
                  <w:tcBorders>
                    <w:top w:val="single" w:color="auto" w:sz="12" w:space="0"/>
                    <w:left w:val="single" w:color="auto" w:sz="4" w:space="0"/>
                    <w:bottom w:val="single" w:color="auto" w:sz="12" w:space="0"/>
                    <w:right w:val="single" w:color="auto" w:sz="4" w:space="0"/>
                  </w:tcBorders>
                  <w:noWrap w:val="0"/>
                  <w:vAlign w:val="top"/>
                </w:tcPr>
                <w:p w14:paraId="12DB6A1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指标</w:t>
                  </w:r>
                </w:p>
              </w:tc>
              <w:tc>
                <w:tcPr>
                  <w:tcW w:w="1744" w:type="dxa"/>
                  <w:tcBorders>
                    <w:top w:val="single" w:color="auto" w:sz="12" w:space="0"/>
                    <w:left w:val="single" w:color="auto" w:sz="4" w:space="0"/>
                    <w:bottom w:val="single" w:color="auto" w:sz="12" w:space="0"/>
                    <w:right w:val="single" w:color="auto" w:sz="12" w:space="0"/>
                  </w:tcBorders>
                  <w:noWrap w:val="0"/>
                  <w:vAlign w:val="top"/>
                </w:tcPr>
                <w:p w14:paraId="682C1A3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试验方法</w:t>
                  </w:r>
                </w:p>
              </w:tc>
            </w:tr>
            <w:tr w14:paraId="366E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7" w:type="dxa"/>
                  <w:tcBorders>
                    <w:top w:val="single" w:color="auto" w:sz="12" w:space="0"/>
                    <w:left w:val="single" w:color="auto" w:sz="12" w:space="0"/>
                  </w:tcBorders>
                  <w:noWrap w:val="0"/>
                  <w:vAlign w:val="center"/>
                </w:tcPr>
                <w:p w14:paraId="58BEB87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w:t>
                  </w:r>
                </w:p>
              </w:tc>
              <w:tc>
                <w:tcPr>
                  <w:tcW w:w="2791" w:type="dxa"/>
                  <w:gridSpan w:val="2"/>
                  <w:tcBorders>
                    <w:top w:val="single" w:color="auto" w:sz="12" w:space="0"/>
                  </w:tcBorders>
                  <w:noWrap w:val="0"/>
                  <w:vAlign w:val="top"/>
                </w:tcPr>
                <w:p w14:paraId="5A88A61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幅宽/cm</w:t>
                  </w:r>
                </w:p>
              </w:tc>
              <w:tc>
                <w:tcPr>
                  <w:tcW w:w="1328" w:type="dxa"/>
                  <w:tcBorders>
                    <w:top w:val="single" w:color="auto" w:sz="12" w:space="0"/>
                  </w:tcBorders>
                  <w:noWrap w:val="0"/>
                  <w:vAlign w:val="top"/>
                </w:tcPr>
                <w:p w14:paraId="0464831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≥156</w:t>
                  </w:r>
                </w:p>
              </w:tc>
              <w:tc>
                <w:tcPr>
                  <w:tcW w:w="1744" w:type="dxa"/>
                  <w:tcBorders>
                    <w:top w:val="single" w:color="auto" w:sz="12" w:space="0"/>
                    <w:right w:val="single" w:color="auto" w:sz="12" w:space="0"/>
                  </w:tcBorders>
                  <w:noWrap w:val="0"/>
                  <w:vAlign w:val="top"/>
                </w:tcPr>
                <w:p w14:paraId="7257CB3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4666-2009</w:t>
                  </w:r>
                </w:p>
              </w:tc>
            </w:tr>
            <w:tr w14:paraId="4C8E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tcBorders>
                    <w:left w:val="single" w:color="auto" w:sz="12" w:space="0"/>
                  </w:tcBorders>
                  <w:noWrap w:val="0"/>
                  <w:vAlign w:val="center"/>
                </w:tcPr>
                <w:p w14:paraId="410B7C7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2</w:t>
                  </w:r>
                </w:p>
              </w:tc>
              <w:tc>
                <w:tcPr>
                  <w:tcW w:w="2791" w:type="dxa"/>
                  <w:gridSpan w:val="2"/>
                  <w:noWrap w:val="0"/>
                  <w:vAlign w:val="top"/>
                </w:tcPr>
                <w:p w14:paraId="0C573AF1">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纤维含量</w:t>
                  </w:r>
                </w:p>
              </w:tc>
              <w:tc>
                <w:tcPr>
                  <w:tcW w:w="1328" w:type="dxa"/>
                  <w:noWrap w:val="0"/>
                  <w:vAlign w:val="top"/>
                </w:tcPr>
                <w:p w14:paraId="5EB9F99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100%棉</w:t>
                  </w:r>
                </w:p>
              </w:tc>
              <w:tc>
                <w:tcPr>
                  <w:tcW w:w="1744" w:type="dxa"/>
                  <w:tcBorders>
                    <w:right w:val="single" w:color="auto" w:sz="12" w:space="0"/>
                  </w:tcBorders>
                  <w:noWrap w:val="0"/>
                  <w:vAlign w:val="top"/>
                </w:tcPr>
                <w:p w14:paraId="3E3F4D7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2910.11-2009</w:t>
                  </w:r>
                </w:p>
              </w:tc>
            </w:tr>
            <w:tr w14:paraId="2979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restart"/>
                  <w:tcBorders>
                    <w:left w:val="single" w:color="auto" w:sz="12" w:space="0"/>
                  </w:tcBorders>
                  <w:noWrap w:val="0"/>
                  <w:vAlign w:val="center"/>
                </w:tcPr>
                <w:p w14:paraId="464E2DC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3</w:t>
                  </w:r>
                </w:p>
              </w:tc>
              <w:tc>
                <w:tcPr>
                  <w:tcW w:w="1768" w:type="dxa"/>
                  <w:vMerge w:val="restart"/>
                  <w:noWrap w:val="0"/>
                  <w:vAlign w:val="center"/>
                </w:tcPr>
                <w:p w14:paraId="613F1C0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线密度</w:t>
                  </w:r>
                </w:p>
              </w:tc>
              <w:tc>
                <w:tcPr>
                  <w:tcW w:w="1023" w:type="dxa"/>
                  <w:noWrap w:val="0"/>
                  <w:vAlign w:val="top"/>
                </w:tcPr>
                <w:p w14:paraId="0735993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经</w:t>
                  </w:r>
                </w:p>
              </w:tc>
              <w:tc>
                <w:tcPr>
                  <w:tcW w:w="1328" w:type="dxa"/>
                  <w:noWrap w:val="0"/>
                  <w:vAlign w:val="top"/>
                </w:tcPr>
                <w:p w14:paraId="104B64FE">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18tex</w:t>
                  </w:r>
                </w:p>
              </w:tc>
              <w:tc>
                <w:tcPr>
                  <w:tcW w:w="1744" w:type="dxa"/>
                  <w:vMerge w:val="restart"/>
                  <w:tcBorders>
                    <w:right w:val="single" w:color="auto" w:sz="12" w:space="0"/>
                  </w:tcBorders>
                  <w:noWrap w:val="0"/>
                  <w:vAlign w:val="center"/>
                </w:tcPr>
                <w:p w14:paraId="51FFC1D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29256.5-2012</w:t>
                  </w:r>
                </w:p>
              </w:tc>
            </w:tr>
            <w:tr w14:paraId="60B4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continue"/>
                  <w:tcBorders>
                    <w:left w:val="single" w:color="auto" w:sz="12" w:space="0"/>
                  </w:tcBorders>
                  <w:noWrap w:val="0"/>
                  <w:vAlign w:val="center"/>
                </w:tcPr>
                <w:p w14:paraId="7EF6DA8D">
                  <w:pPr>
                    <w:keepLines w:val="0"/>
                    <w:pageBreakBefore w:val="0"/>
                    <w:topLinePunct w:val="0"/>
                    <w:bidi w:val="0"/>
                    <w:spacing w:line="240" w:lineRule="auto"/>
                    <w:jc w:val="center"/>
                    <w:rPr>
                      <w:rFonts w:hint="eastAsia" w:ascii="宋体" w:hAnsi="宋体"/>
                      <w:sz w:val="18"/>
                      <w:szCs w:val="18"/>
                    </w:rPr>
                  </w:pPr>
                </w:p>
              </w:tc>
              <w:tc>
                <w:tcPr>
                  <w:tcW w:w="1768" w:type="dxa"/>
                  <w:vMerge w:val="continue"/>
                  <w:noWrap w:val="0"/>
                  <w:vAlign w:val="top"/>
                </w:tcPr>
                <w:p w14:paraId="3AFF5E95">
                  <w:pPr>
                    <w:keepLines w:val="0"/>
                    <w:pageBreakBefore w:val="0"/>
                    <w:topLinePunct w:val="0"/>
                    <w:bidi w:val="0"/>
                    <w:spacing w:line="240" w:lineRule="auto"/>
                    <w:jc w:val="center"/>
                    <w:rPr>
                      <w:rFonts w:hint="eastAsia" w:ascii="宋体" w:hAnsi="宋体"/>
                      <w:sz w:val="18"/>
                      <w:szCs w:val="18"/>
                    </w:rPr>
                  </w:pPr>
                </w:p>
              </w:tc>
              <w:tc>
                <w:tcPr>
                  <w:tcW w:w="1023" w:type="dxa"/>
                  <w:noWrap w:val="0"/>
                  <w:vAlign w:val="top"/>
                </w:tcPr>
                <w:p w14:paraId="3D7476A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纬</w:t>
                  </w:r>
                </w:p>
              </w:tc>
              <w:tc>
                <w:tcPr>
                  <w:tcW w:w="1328" w:type="dxa"/>
                  <w:noWrap w:val="0"/>
                  <w:vAlign w:val="top"/>
                </w:tcPr>
                <w:p w14:paraId="2336A72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18tex</w:t>
                  </w:r>
                </w:p>
              </w:tc>
              <w:tc>
                <w:tcPr>
                  <w:tcW w:w="1744" w:type="dxa"/>
                  <w:vMerge w:val="continue"/>
                  <w:tcBorders>
                    <w:right w:val="single" w:color="auto" w:sz="12" w:space="0"/>
                  </w:tcBorders>
                  <w:noWrap w:val="0"/>
                  <w:vAlign w:val="top"/>
                </w:tcPr>
                <w:p w14:paraId="5F43BAB7">
                  <w:pPr>
                    <w:keepLines w:val="0"/>
                    <w:pageBreakBefore w:val="0"/>
                    <w:topLinePunct w:val="0"/>
                    <w:bidi w:val="0"/>
                    <w:spacing w:line="240" w:lineRule="auto"/>
                    <w:jc w:val="center"/>
                    <w:rPr>
                      <w:rFonts w:hint="eastAsia" w:ascii="宋体" w:hAnsi="宋体"/>
                      <w:sz w:val="18"/>
                      <w:szCs w:val="18"/>
                    </w:rPr>
                  </w:pPr>
                </w:p>
              </w:tc>
            </w:tr>
            <w:tr w14:paraId="0C08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restart"/>
                  <w:tcBorders>
                    <w:left w:val="single" w:color="auto" w:sz="12" w:space="0"/>
                  </w:tcBorders>
                  <w:noWrap w:val="0"/>
                  <w:vAlign w:val="center"/>
                </w:tcPr>
                <w:p w14:paraId="0BB9DBA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4</w:t>
                  </w:r>
                </w:p>
              </w:tc>
              <w:tc>
                <w:tcPr>
                  <w:tcW w:w="1768" w:type="dxa"/>
                  <w:vMerge w:val="restart"/>
                  <w:noWrap w:val="0"/>
                  <w:vAlign w:val="center"/>
                </w:tcPr>
                <w:p w14:paraId="78D2AC2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密度/（根/10</w:t>
                  </w:r>
                  <w:r>
                    <w:rPr>
                      <w:rFonts w:hint="eastAsia" w:ascii="宋体" w:hAnsi="宋体"/>
                      <w:sz w:val="18"/>
                      <w:szCs w:val="18"/>
                      <w:lang w:val="en-US" w:eastAsia="zh-CN"/>
                    </w:rPr>
                    <w:t xml:space="preserve"> </w:t>
                  </w:r>
                  <w:r>
                    <w:rPr>
                      <w:rFonts w:hint="eastAsia" w:ascii="宋体" w:hAnsi="宋体"/>
                      <w:sz w:val="18"/>
                      <w:szCs w:val="18"/>
                    </w:rPr>
                    <w:t>cm）</w:t>
                  </w:r>
                </w:p>
              </w:tc>
              <w:tc>
                <w:tcPr>
                  <w:tcW w:w="1023" w:type="dxa"/>
                  <w:noWrap w:val="0"/>
                  <w:vAlign w:val="top"/>
                </w:tcPr>
                <w:p w14:paraId="69BB434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经</w:t>
                  </w:r>
                </w:p>
              </w:tc>
              <w:tc>
                <w:tcPr>
                  <w:tcW w:w="1328" w:type="dxa"/>
                  <w:noWrap w:val="0"/>
                  <w:vAlign w:val="top"/>
                </w:tcPr>
                <w:p w14:paraId="03C57E9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≥480</w:t>
                  </w:r>
                </w:p>
              </w:tc>
              <w:tc>
                <w:tcPr>
                  <w:tcW w:w="1744" w:type="dxa"/>
                  <w:vMerge w:val="restart"/>
                  <w:tcBorders>
                    <w:right w:val="single" w:color="auto" w:sz="12" w:space="0"/>
                  </w:tcBorders>
                  <w:noWrap w:val="0"/>
                  <w:vAlign w:val="center"/>
                </w:tcPr>
                <w:p w14:paraId="7DB01EA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4668-1995</w:t>
                  </w:r>
                </w:p>
              </w:tc>
            </w:tr>
            <w:tr w14:paraId="634C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continue"/>
                  <w:tcBorders>
                    <w:left w:val="single" w:color="auto" w:sz="12" w:space="0"/>
                  </w:tcBorders>
                  <w:noWrap w:val="0"/>
                  <w:vAlign w:val="center"/>
                </w:tcPr>
                <w:p w14:paraId="01D89E3A">
                  <w:pPr>
                    <w:keepLines w:val="0"/>
                    <w:pageBreakBefore w:val="0"/>
                    <w:topLinePunct w:val="0"/>
                    <w:bidi w:val="0"/>
                    <w:spacing w:line="240" w:lineRule="auto"/>
                    <w:jc w:val="center"/>
                    <w:rPr>
                      <w:rFonts w:hint="eastAsia" w:ascii="宋体" w:hAnsi="宋体"/>
                      <w:sz w:val="18"/>
                      <w:szCs w:val="18"/>
                    </w:rPr>
                  </w:pPr>
                </w:p>
              </w:tc>
              <w:tc>
                <w:tcPr>
                  <w:tcW w:w="1768" w:type="dxa"/>
                  <w:vMerge w:val="continue"/>
                  <w:noWrap w:val="0"/>
                  <w:vAlign w:val="top"/>
                </w:tcPr>
                <w:p w14:paraId="1B9AAF15">
                  <w:pPr>
                    <w:keepLines w:val="0"/>
                    <w:pageBreakBefore w:val="0"/>
                    <w:topLinePunct w:val="0"/>
                    <w:bidi w:val="0"/>
                    <w:spacing w:line="240" w:lineRule="auto"/>
                    <w:jc w:val="center"/>
                    <w:rPr>
                      <w:rFonts w:hint="eastAsia" w:ascii="宋体" w:hAnsi="宋体"/>
                      <w:sz w:val="18"/>
                      <w:szCs w:val="18"/>
                    </w:rPr>
                  </w:pPr>
                </w:p>
              </w:tc>
              <w:tc>
                <w:tcPr>
                  <w:tcW w:w="1023" w:type="dxa"/>
                  <w:noWrap w:val="0"/>
                  <w:vAlign w:val="top"/>
                </w:tcPr>
                <w:p w14:paraId="671D4DC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纬</w:t>
                  </w:r>
                </w:p>
              </w:tc>
              <w:tc>
                <w:tcPr>
                  <w:tcW w:w="1328" w:type="dxa"/>
                  <w:noWrap w:val="0"/>
                  <w:vAlign w:val="top"/>
                </w:tcPr>
                <w:p w14:paraId="03CABC9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≥180</w:t>
                  </w:r>
                </w:p>
              </w:tc>
              <w:tc>
                <w:tcPr>
                  <w:tcW w:w="1744" w:type="dxa"/>
                  <w:vMerge w:val="continue"/>
                  <w:tcBorders>
                    <w:right w:val="single" w:color="auto" w:sz="12" w:space="0"/>
                  </w:tcBorders>
                  <w:noWrap w:val="0"/>
                  <w:vAlign w:val="top"/>
                </w:tcPr>
                <w:p w14:paraId="774FD50F">
                  <w:pPr>
                    <w:keepLines w:val="0"/>
                    <w:pageBreakBefore w:val="0"/>
                    <w:topLinePunct w:val="0"/>
                    <w:bidi w:val="0"/>
                    <w:spacing w:line="240" w:lineRule="auto"/>
                    <w:jc w:val="center"/>
                    <w:rPr>
                      <w:rFonts w:hint="eastAsia" w:ascii="宋体" w:hAnsi="宋体"/>
                      <w:sz w:val="18"/>
                      <w:szCs w:val="18"/>
                    </w:rPr>
                  </w:pPr>
                </w:p>
              </w:tc>
            </w:tr>
            <w:tr w14:paraId="49F2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restart"/>
                  <w:tcBorders>
                    <w:left w:val="single" w:color="auto" w:sz="12" w:space="0"/>
                  </w:tcBorders>
                  <w:noWrap w:val="0"/>
                  <w:vAlign w:val="center"/>
                </w:tcPr>
                <w:p w14:paraId="5FF66AB9">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5</w:t>
                  </w:r>
                </w:p>
              </w:tc>
              <w:tc>
                <w:tcPr>
                  <w:tcW w:w="1768" w:type="dxa"/>
                  <w:vMerge w:val="restart"/>
                  <w:noWrap w:val="0"/>
                  <w:vAlign w:val="center"/>
                </w:tcPr>
                <w:p w14:paraId="4F46465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断裂强力/N</w:t>
                  </w:r>
                </w:p>
              </w:tc>
              <w:tc>
                <w:tcPr>
                  <w:tcW w:w="1023" w:type="dxa"/>
                  <w:noWrap w:val="0"/>
                  <w:vAlign w:val="top"/>
                </w:tcPr>
                <w:p w14:paraId="286655A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经</w:t>
                  </w:r>
                </w:p>
              </w:tc>
              <w:tc>
                <w:tcPr>
                  <w:tcW w:w="1328" w:type="dxa"/>
                  <w:noWrap w:val="0"/>
                  <w:vAlign w:val="top"/>
                </w:tcPr>
                <w:p w14:paraId="1D8B729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≥400</w:t>
                  </w:r>
                </w:p>
              </w:tc>
              <w:tc>
                <w:tcPr>
                  <w:tcW w:w="1744" w:type="dxa"/>
                  <w:vMerge w:val="restart"/>
                  <w:tcBorders>
                    <w:right w:val="single" w:color="auto" w:sz="12" w:space="0"/>
                  </w:tcBorders>
                  <w:noWrap w:val="0"/>
                  <w:vAlign w:val="center"/>
                </w:tcPr>
                <w:p w14:paraId="518D2EA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3923.1-2003条样法</w:t>
                  </w:r>
                </w:p>
              </w:tc>
            </w:tr>
            <w:tr w14:paraId="4C64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continue"/>
                  <w:tcBorders>
                    <w:left w:val="single" w:color="auto" w:sz="12" w:space="0"/>
                  </w:tcBorders>
                  <w:noWrap w:val="0"/>
                  <w:vAlign w:val="center"/>
                </w:tcPr>
                <w:p w14:paraId="1227D3C5">
                  <w:pPr>
                    <w:keepLines w:val="0"/>
                    <w:pageBreakBefore w:val="0"/>
                    <w:topLinePunct w:val="0"/>
                    <w:bidi w:val="0"/>
                    <w:spacing w:line="240" w:lineRule="auto"/>
                    <w:jc w:val="center"/>
                    <w:rPr>
                      <w:rFonts w:hint="eastAsia" w:ascii="宋体" w:hAnsi="宋体"/>
                      <w:sz w:val="18"/>
                      <w:szCs w:val="18"/>
                    </w:rPr>
                  </w:pPr>
                </w:p>
              </w:tc>
              <w:tc>
                <w:tcPr>
                  <w:tcW w:w="1768" w:type="dxa"/>
                  <w:vMerge w:val="continue"/>
                  <w:noWrap w:val="0"/>
                  <w:vAlign w:val="center"/>
                </w:tcPr>
                <w:p w14:paraId="44102F4B">
                  <w:pPr>
                    <w:keepLines w:val="0"/>
                    <w:pageBreakBefore w:val="0"/>
                    <w:topLinePunct w:val="0"/>
                    <w:bidi w:val="0"/>
                    <w:spacing w:line="240" w:lineRule="auto"/>
                    <w:jc w:val="center"/>
                    <w:rPr>
                      <w:rFonts w:hint="eastAsia" w:ascii="宋体" w:hAnsi="宋体"/>
                      <w:sz w:val="18"/>
                      <w:szCs w:val="18"/>
                    </w:rPr>
                  </w:pPr>
                </w:p>
              </w:tc>
              <w:tc>
                <w:tcPr>
                  <w:tcW w:w="1023" w:type="dxa"/>
                  <w:noWrap w:val="0"/>
                  <w:vAlign w:val="top"/>
                </w:tcPr>
                <w:p w14:paraId="513665EE">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纬</w:t>
                  </w:r>
                </w:p>
              </w:tc>
              <w:tc>
                <w:tcPr>
                  <w:tcW w:w="1328" w:type="dxa"/>
                  <w:noWrap w:val="0"/>
                  <w:vAlign w:val="top"/>
                </w:tcPr>
                <w:p w14:paraId="33A9CC6A">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≥100</w:t>
                  </w:r>
                </w:p>
              </w:tc>
              <w:tc>
                <w:tcPr>
                  <w:tcW w:w="1744" w:type="dxa"/>
                  <w:vMerge w:val="continue"/>
                  <w:tcBorders>
                    <w:right w:val="single" w:color="auto" w:sz="12" w:space="0"/>
                  </w:tcBorders>
                  <w:noWrap w:val="0"/>
                  <w:vAlign w:val="top"/>
                </w:tcPr>
                <w:p w14:paraId="7E85A8F5">
                  <w:pPr>
                    <w:keepLines w:val="0"/>
                    <w:pageBreakBefore w:val="0"/>
                    <w:topLinePunct w:val="0"/>
                    <w:bidi w:val="0"/>
                    <w:spacing w:line="240" w:lineRule="auto"/>
                    <w:jc w:val="center"/>
                    <w:rPr>
                      <w:rFonts w:hint="eastAsia" w:ascii="宋体" w:hAnsi="宋体"/>
                      <w:sz w:val="18"/>
                      <w:szCs w:val="18"/>
                    </w:rPr>
                  </w:pPr>
                </w:p>
              </w:tc>
            </w:tr>
            <w:tr w14:paraId="5D47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97" w:type="dxa"/>
                  <w:vMerge w:val="restart"/>
                  <w:tcBorders>
                    <w:left w:val="single" w:color="auto" w:sz="12" w:space="0"/>
                  </w:tcBorders>
                  <w:noWrap w:val="0"/>
                  <w:vAlign w:val="center"/>
                </w:tcPr>
                <w:p w14:paraId="626F0D3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7</w:t>
                  </w:r>
                </w:p>
              </w:tc>
              <w:tc>
                <w:tcPr>
                  <w:tcW w:w="1768" w:type="dxa"/>
                  <w:vMerge w:val="restart"/>
                  <w:noWrap w:val="0"/>
                  <w:vAlign w:val="center"/>
                </w:tcPr>
                <w:p w14:paraId="3DCB37D7">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水洗尺寸变化率/%</w:t>
                  </w:r>
                </w:p>
              </w:tc>
              <w:tc>
                <w:tcPr>
                  <w:tcW w:w="1023" w:type="dxa"/>
                  <w:noWrap w:val="0"/>
                  <w:vAlign w:val="center"/>
                </w:tcPr>
                <w:p w14:paraId="1768705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经</w:t>
                  </w:r>
                </w:p>
              </w:tc>
              <w:tc>
                <w:tcPr>
                  <w:tcW w:w="1328" w:type="dxa"/>
                  <w:noWrap w:val="0"/>
                  <w:vAlign w:val="center"/>
                </w:tcPr>
                <w:p w14:paraId="6C23978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-5～+3</w:t>
                  </w:r>
                </w:p>
              </w:tc>
              <w:tc>
                <w:tcPr>
                  <w:tcW w:w="1744" w:type="dxa"/>
                  <w:vMerge w:val="restart"/>
                  <w:tcBorders>
                    <w:right w:val="single" w:color="auto" w:sz="12" w:space="0"/>
                  </w:tcBorders>
                  <w:noWrap w:val="0"/>
                  <w:vAlign w:val="center"/>
                </w:tcPr>
                <w:p w14:paraId="166310EF">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8628-2013，GB/T 8629-2007，GB/T 8630-2013洗涤温度40℃，悬挂晾干</w:t>
                  </w:r>
                </w:p>
              </w:tc>
            </w:tr>
            <w:tr w14:paraId="63AC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97" w:type="dxa"/>
                  <w:vMerge w:val="continue"/>
                  <w:tcBorders>
                    <w:left w:val="single" w:color="auto" w:sz="12" w:space="0"/>
                  </w:tcBorders>
                  <w:noWrap w:val="0"/>
                  <w:vAlign w:val="center"/>
                </w:tcPr>
                <w:p w14:paraId="7EBCA480">
                  <w:pPr>
                    <w:keepLines w:val="0"/>
                    <w:pageBreakBefore w:val="0"/>
                    <w:topLinePunct w:val="0"/>
                    <w:bidi w:val="0"/>
                    <w:spacing w:line="240" w:lineRule="auto"/>
                    <w:jc w:val="center"/>
                    <w:rPr>
                      <w:rFonts w:hint="eastAsia" w:ascii="宋体" w:hAnsi="宋体"/>
                      <w:sz w:val="18"/>
                      <w:szCs w:val="18"/>
                    </w:rPr>
                  </w:pPr>
                </w:p>
              </w:tc>
              <w:tc>
                <w:tcPr>
                  <w:tcW w:w="1768" w:type="dxa"/>
                  <w:vMerge w:val="continue"/>
                  <w:noWrap w:val="0"/>
                  <w:vAlign w:val="top"/>
                </w:tcPr>
                <w:p w14:paraId="7646E123">
                  <w:pPr>
                    <w:keepLines w:val="0"/>
                    <w:pageBreakBefore w:val="0"/>
                    <w:topLinePunct w:val="0"/>
                    <w:bidi w:val="0"/>
                    <w:spacing w:line="240" w:lineRule="auto"/>
                    <w:jc w:val="center"/>
                    <w:rPr>
                      <w:rFonts w:hint="eastAsia" w:ascii="宋体" w:hAnsi="宋体"/>
                      <w:sz w:val="18"/>
                      <w:szCs w:val="18"/>
                    </w:rPr>
                  </w:pPr>
                </w:p>
              </w:tc>
              <w:tc>
                <w:tcPr>
                  <w:tcW w:w="1023" w:type="dxa"/>
                  <w:noWrap w:val="0"/>
                  <w:vAlign w:val="center"/>
                </w:tcPr>
                <w:p w14:paraId="6F425C7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纬</w:t>
                  </w:r>
                </w:p>
              </w:tc>
              <w:tc>
                <w:tcPr>
                  <w:tcW w:w="1328" w:type="dxa"/>
                  <w:noWrap w:val="0"/>
                  <w:vAlign w:val="center"/>
                </w:tcPr>
                <w:p w14:paraId="122D1C1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-5～+3</w:t>
                  </w:r>
                </w:p>
              </w:tc>
              <w:tc>
                <w:tcPr>
                  <w:tcW w:w="1744" w:type="dxa"/>
                  <w:vMerge w:val="continue"/>
                  <w:tcBorders>
                    <w:right w:val="single" w:color="auto" w:sz="12" w:space="0"/>
                  </w:tcBorders>
                  <w:noWrap w:val="0"/>
                  <w:vAlign w:val="top"/>
                </w:tcPr>
                <w:p w14:paraId="3D031745">
                  <w:pPr>
                    <w:keepLines w:val="0"/>
                    <w:pageBreakBefore w:val="0"/>
                    <w:topLinePunct w:val="0"/>
                    <w:bidi w:val="0"/>
                    <w:spacing w:line="240" w:lineRule="auto"/>
                    <w:jc w:val="center"/>
                    <w:rPr>
                      <w:rFonts w:hint="eastAsia" w:ascii="宋体" w:hAnsi="宋体"/>
                      <w:sz w:val="18"/>
                      <w:szCs w:val="18"/>
                    </w:rPr>
                  </w:pPr>
                </w:p>
              </w:tc>
            </w:tr>
            <w:tr w14:paraId="52E47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restart"/>
                  <w:tcBorders>
                    <w:left w:val="single" w:color="auto" w:sz="12" w:space="0"/>
                  </w:tcBorders>
                  <w:noWrap w:val="0"/>
                  <w:vAlign w:val="center"/>
                </w:tcPr>
                <w:p w14:paraId="66CF258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8</w:t>
                  </w:r>
                </w:p>
              </w:tc>
              <w:tc>
                <w:tcPr>
                  <w:tcW w:w="1768" w:type="dxa"/>
                  <w:vMerge w:val="restart"/>
                  <w:noWrap w:val="0"/>
                  <w:vAlign w:val="center"/>
                </w:tcPr>
                <w:p w14:paraId="7AC6F58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耐洗色牢度/级</w:t>
                  </w:r>
                </w:p>
              </w:tc>
              <w:tc>
                <w:tcPr>
                  <w:tcW w:w="1023" w:type="dxa"/>
                  <w:noWrap w:val="0"/>
                  <w:vAlign w:val="top"/>
                </w:tcPr>
                <w:p w14:paraId="01AD80F4">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原色变样</w:t>
                  </w:r>
                </w:p>
              </w:tc>
              <w:tc>
                <w:tcPr>
                  <w:tcW w:w="1328" w:type="dxa"/>
                  <w:vMerge w:val="restart"/>
                  <w:noWrap w:val="0"/>
                  <w:vAlign w:val="center"/>
                </w:tcPr>
                <w:p w14:paraId="69918A0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≥3</w:t>
                  </w:r>
                </w:p>
              </w:tc>
              <w:tc>
                <w:tcPr>
                  <w:tcW w:w="1744" w:type="dxa"/>
                  <w:vMerge w:val="restart"/>
                  <w:tcBorders>
                    <w:right w:val="single" w:color="auto" w:sz="12" w:space="0"/>
                  </w:tcBorders>
                  <w:noWrap w:val="0"/>
                  <w:vAlign w:val="center"/>
                </w:tcPr>
                <w:p w14:paraId="1D8AB431">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3921-2008 40℃</w:t>
                  </w:r>
                </w:p>
              </w:tc>
            </w:tr>
            <w:tr w14:paraId="4CD3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continue"/>
                  <w:tcBorders>
                    <w:left w:val="single" w:color="auto" w:sz="12" w:space="0"/>
                  </w:tcBorders>
                  <w:noWrap w:val="0"/>
                  <w:vAlign w:val="center"/>
                </w:tcPr>
                <w:p w14:paraId="19CDF4DB">
                  <w:pPr>
                    <w:keepLines w:val="0"/>
                    <w:pageBreakBefore w:val="0"/>
                    <w:topLinePunct w:val="0"/>
                    <w:bidi w:val="0"/>
                    <w:spacing w:line="240" w:lineRule="auto"/>
                    <w:jc w:val="center"/>
                    <w:rPr>
                      <w:rFonts w:hint="eastAsia" w:ascii="宋体" w:hAnsi="宋体"/>
                      <w:sz w:val="18"/>
                      <w:szCs w:val="18"/>
                    </w:rPr>
                  </w:pPr>
                </w:p>
              </w:tc>
              <w:tc>
                <w:tcPr>
                  <w:tcW w:w="1768" w:type="dxa"/>
                  <w:vMerge w:val="continue"/>
                  <w:noWrap w:val="0"/>
                  <w:vAlign w:val="top"/>
                </w:tcPr>
                <w:p w14:paraId="0D87C308">
                  <w:pPr>
                    <w:keepLines w:val="0"/>
                    <w:pageBreakBefore w:val="0"/>
                    <w:topLinePunct w:val="0"/>
                    <w:bidi w:val="0"/>
                    <w:spacing w:line="240" w:lineRule="auto"/>
                    <w:jc w:val="center"/>
                    <w:rPr>
                      <w:rFonts w:hint="eastAsia" w:ascii="宋体" w:hAnsi="宋体"/>
                      <w:sz w:val="18"/>
                      <w:szCs w:val="18"/>
                    </w:rPr>
                  </w:pPr>
                </w:p>
              </w:tc>
              <w:tc>
                <w:tcPr>
                  <w:tcW w:w="1023" w:type="dxa"/>
                  <w:noWrap w:val="0"/>
                  <w:vAlign w:val="top"/>
                </w:tcPr>
                <w:p w14:paraId="1CFF1F2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白布沾色</w:t>
                  </w:r>
                </w:p>
              </w:tc>
              <w:tc>
                <w:tcPr>
                  <w:tcW w:w="1328" w:type="dxa"/>
                  <w:vMerge w:val="continue"/>
                  <w:noWrap w:val="0"/>
                  <w:vAlign w:val="top"/>
                </w:tcPr>
                <w:p w14:paraId="71826A96">
                  <w:pPr>
                    <w:keepLines w:val="0"/>
                    <w:pageBreakBefore w:val="0"/>
                    <w:topLinePunct w:val="0"/>
                    <w:bidi w:val="0"/>
                    <w:spacing w:line="240" w:lineRule="auto"/>
                    <w:jc w:val="center"/>
                    <w:rPr>
                      <w:rFonts w:hint="eastAsia" w:ascii="宋体" w:hAnsi="宋体"/>
                      <w:sz w:val="18"/>
                      <w:szCs w:val="18"/>
                    </w:rPr>
                  </w:pPr>
                </w:p>
              </w:tc>
              <w:tc>
                <w:tcPr>
                  <w:tcW w:w="1744" w:type="dxa"/>
                  <w:vMerge w:val="continue"/>
                  <w:tcBorders>
                    <w:right w:val="single" w:color="auto" w:sz="12" w:space="0"/>
                  </w:tcBorders>
                  <w:noWrap w:val="0"/>
                  <w:vAlign w:val="top"/>
                </w:tcPr>
                <w:p w14:paraId="48A56C00">
                  <w:pPr>
                    <w:keepLines w:val="0"/>
                    <w:pageBreakBefore w:val="0"/>
                    <w:topLinePunct w:val="0"/>
                    <w:bidi w:val="0"/>
                    <w:spacing w:line="240" w:lineRule="auto"/>
                    <w:jc w:val="center"/>
                    <w:rPr>
                      <w:rFonts w:hint="eastAsia" w:ascii="宋体" w:hAnsi="宋体"/>
                      <w:sz w:val="18"/>
                      <w:szCs w:val="18"/>
                    </w:rPr>
                  </w:pPr>
                </w:p>
              </w:tc>
            </w:tr>
            <w:tr w14:paraId="6596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restart"/>
                  <w:tcBorders>
                    <w:left w:val="single" w:color="auto" w:sz="12" w:space="0"/>
                  </w:tcBorders>
                  <w:noWrap w:val="0"/>
                  <w:vAlign w:val="center"/>
                </w:tcPr>
                <w:p w14:paraId="7F015BA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9</w:t>
                  </w:r>
                </w:p>
              </w:tc>
              <w:tc>
                <w:tcPr>
                  <w:tcW w:w="1768" w:type="dxa"/>
                  <w:vMerge w:val="restart"/>
                  <w:noWrap w:val="0"/>
                  <w:vAlign w:val="center"/>
                </w:tcPr>
                <w:p w14:paraId="2DF659F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耐摩擦色牢度/级</w:t>
                  </w:r>
                </w:p>
              </w:tc>
              <w:tc>
                <w:tcPr>
                  <w:tcW w:w="1023" w:type="dxa"/>
                  <w:noWrap w:val="0"/>
                  <w:vAlign w:val="top"/>
                </w:tcPr>
                <w:p w14:paraId="5FFD0C0E">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干摩</w:t>
                  </w:r>
                </w:p>
              </w:tc>
              <w:tc>
                <w:tcPr>
                  <w:tcW w:w="1328" w:type="dxa"/>
                  <w:vMerge w:val="restart"/>
                  <w:noWrap w:val="0"/>
                  <w:vAlign w:val="center"/>
                </w:tcPr>
                <w:p w14:paraId="278A2B8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≥3</w:t>
                  </w:r>
                </w:p>
              </w:tc>
              <w:tc>
                <w:tcPr>
                  <w:tcW w:w="1744" w:type="dxa"/>
                  <w:vMerge w:val="restart"/>
                  <w:tcBorders>
                    <w:right w:val="single" w:color="auto" w:sz="12" w:space="0"/>
                  </w:tcBorders>
                  <w:noWrap w:val="0"/>
                  <w:vAlign w:val="center"/>
                </w:tcPr>
                <w:p w14:paraId="1EE2BC58">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3920-2008</w:t>
                  </w:r>
                </w:p>
              </w:tc>
            </w:tr>
            <w:tr w14:paraId="495B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vMerge w:val="continue"/>
                  <w:tcBorders>
                    <w:left w:val="single" w:color="auto" w:sz="12" w:space="0"/>
                  </w:tcBorders>
                  <w:noWrap w:val="0"/>
                  <w:vAlign w:val="center"/>
                </w:tcPr>
                <w:p w14:paraId="61F3E4EF">
                  <w:pPr>
                    <w:keepLines w:val="0"/>
                    <w:pageBreakBefore w:val="0"/>
                    <w:topLinePunct w:val="0"/>
                    <w:bidi w:val="0"/>
                    <w:spacing w:line="240" w:lineRule="auto"/>
                    <w:jc w:val="center"/>
                    <w:rPr>
                      <w:rFonts w:hint="eastAsia" w:ascii="宋体" w:hAnsi="宋体"/>
                      <w:sz w:val="18"/>
                      <w:szCs w:val="18"/>
                    </w:rPr>
                  </w:pPr>
                </w:p>
              </w:tc>
              <w:tc>
                <w:tcPr>
                  <w:tcW w:w="1768" w:type="dxa"/>
                  <w:vMerge w:val="continue"/>
                  <w:noWrap w:val="0"/>
                  <w:vAlign w:val="top"/>
                </w:tcPr>
                <w:p w14:paraId="6F27211D">
                  <w:pPr>
                    <w:keepLines w:val="0"/>
                    <w:pageBreakBefore w:val="0"/>
                    <w:topLinePunct w:val="0"/>
                    <w:bidi w:val="0"/>
                    <w:spacing w:line="240" w:lineRule="auto"/>
                    <w:jc w:val="center"/>
                    <w:rPr>
                      <w:rFonts w:hint="eastAsia" w:ascii="宋体" w:hAnsi="宋体"/>
                      <w:sz w:val="18"/>
                      <w:szCs w:val="18"/>
                    </w:rPr>
                  </w:pPr>
                </w:p>
              </w:tc>
              <w:tc>
                <w:tcPr>
                  <w:tcW w:w="1023" w:type="dxa"/>
                  <w:noWrap w:val="0"/>
                  <w:vAlign w:val="top"/>
                </w:tcPr>
                <w:p w14:paraId="477F95D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湿摩</w:t>
                  </w:r>
                </w:p>
              </w:tc>
              <w:tc>
                <w:tcPr>
                  <w:tcW w:w="1328" w:type="dxa"/>
                  <w:vMerge w:val="continue"/>
                  <w:noWrap w:val="0"/>
                  <w:vAlign w:val="top"/>
                </w:tcPr>
                <w:p w14:paraId="3DE6314D">
                  <w:pPr>
                    <w:keepLines w:val="0"/>
                    <w:pageBreakBefore w:val="0"/>
                    <w:topLinePunct w:val="0"/>
                    <w:bidi w:val="0"/>
                    <w:spacing w:line="240" w:lineRule="auto"/>
                    <w:jc w:val="center"/>
                    <w:rPr>
                      <w:rFonts w:hint="eastAsia" w:ascii="宋体" w:hAnsi="宋体"/>
                      <w:sz w:val="18"/>
                      <w:szCs w:val="18"/>
                    </w:rPr>
                  </w:pPr>
                </w:p>
              </w:tc>
              <w:tc>
                <w:tcPr>
                  <w:tcW w:w="1744" w:type="dxa"/>
                  <w:vMerge w:val="continue"/>
                  <w:tcBorders>
                    <w:right w:val="single" w:color="auto" w:sz="12" w:space="0"/>
                  </w:tcBorders>
                  <w:noWrap w:val="0"/>
                  <w:vAlign w:val="top"/>
                </w:tcPr>
                <w:p w14:paraId="16927CB1">
                  <w:pPr>
                    <w:keepLines w:val="0"/>
                    <w:pageBreakBefore w:val="0"/>
                    <w:topLinePunct w:val="0"/>
                    <w:bidi w:val="0"/>
                    <w:spacing w:line="240" w:lineRule="auto"/>
                    <w:jc w:val="center"/>
                    <w:rPr>
                      <w:rFonts w:hint="eastAsia" w:ascii="宋体" w:hAnsi="宋体"/>
                      <w:sz w:val="18"/>
                      <w:szCs w:val="18"/>
                    </w:rPr>
                  </w:pPr>
                </w:p>
              </w:tc>
            </w:tr>
            <w:tr w14:paraId="43A5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tcBorders>
                    <w:left w:val="single" w:color="auto" w:sz="12" w:space="0"/>
                  </w:tcBorders>
                  <w:noWrap w:val="0"/>
                  <w:vAlign w:val="center"/>
                </w:tcPr>
                <w:p w14:paraId="7C23BC9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10</w:t>
                  </w:r>
                </w:p>
              </w:tc>
              <w:tc>
                <w:tcPr>
                  <w:tcW w:w="2791" w:type="dxa"/>
                  <w:gridSpan w:val="2"/>
                  <w:noWrap w:val="0"/>
                  <w:vAlign w:val="top"/>
                </w:tcPr>
                <w:p w14:paraId="36044E6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甲醛含量/（mg/kg）</w:t>
                  </w:r>
                </w:p>
              </w:tc>
              <w:tc>
                <w:tcPr>
                  <w:tcW w:w="1328" w:type="dxa"/>
                  <w:noWrap w:val="0"/>
                  <w:vAlign w:val="top"/>
                </w:tcPr>
                <w:p w14:paraId="6C8F641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≤75</w:t>
                  </w:r>
                </w:p>
              </w:tc>
              <w:tc>
                <w:tcPr>
                  <w:tcW w:w="1744" w:type="dxa"/>
                  <w:tcBorders>
                    <w:right w:val="single" w:color="auto" w:sz="12" w:space="0"/>
                  </w:tcBorders>
                  <w:noWrap w:val="0"/>
                  <w:vAlign w:val="top"/>
                </w:tcPr>
                <w:p w14:paraId="7544855D">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2912.1-2009</w:t>
                  </w:r>
                </w:p>
              </w:tc>
            </w:tr>
            <w:tr w14:paraId="40E5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7" w:type="dxa"/>
                  <w:tcBorders>
                    <w:left w:val="single" w:color="auto" w:sz="12" w:space="0"/>
                    <w:bottom w:val="single" w:color="auto" w:sz="4" w:space="0"/>
                  </w:tcBorders>
                  <w:noWrap w:val="0"/>
                  <w:vAlign w:val="center"/>
                </w:tcPr>
                <w:p w14:paraId="4FB61530">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11</w:t>
                  </w:r>
                </w:p>
              </w:tc>
              <w:tc>
                <w:tcPr>
                  <w:tcW w:w="2791" w:type="dxa"/>
                  <w:gridSpan w:val="2"/>
                  <w:tcBorders>
                    <w:bottom w:val="single" w:color="auto" w:sz="4" w:space="0"/>
                  </w:tcBorders>
                  <w:noWrap w:val="0"/>
                  <w:vAlign w:val="top"/>
                </w:tcPr>
                <w:p w14:paraId="3FCC80B6">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pH值</w:t>
                  </w:r>
                </w:p>
              </w:tc>
              <w:tc>
                <w:tcPr>
                  <w:tcW w:w="1328" w:type="dxa"/>
                  <w:tcBorders>
                    <w:bottom w:val="single" w:color="auto" w:sz="4" w:space="0"/>
                  </w:tcBorders>
                  <w:noWrap w:val="0"/>
                  <w:vAlign w:val="top"/>
                </w:tcPr>
                <w:p w14:paraId="4085135B">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4.0～9.0</w:t>
                  </w:r>
                </w:p>
              </w:tc>
              <w:tc>
                <w:tcPr>
                  <w:tcW w:w="1744" w:type="dxa"/>
                  <w:tcBorders>
                    <w:bottom w:val="single" w:color="auto" w:sz="4" w:space="0"/>
                    <w:right w:val="single" w:color="auto" w:sz="12" w:space="0"/>
                  </w:tcBorders>
                  <w:noWrap w:val="0"/>
                  <w:vAlign w:val="top"/>
                </w:tcPr>
                <w:p w14:paraId="25664A12">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GB/T 7573-2009</w:t>
                  </w:r>
                </w:p>
              </w:tc>
            </w:tr>
            <w:tr w14:paraId="69D1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97" w:type="dxa"/>
                  <w:tcBorders>
                    <w:left w:val="single" w:color="auto" w:sz="12" w:space="0"/>
                    <w:bottom w:val="single" w:color="auto" w:sz="12" w:space="0"/>
                  </w:tcBorders>
                  <w:noWrap w:val="0"/>
                  <w:vAlign w:val="center"/>
                </w:tcPr>
                <w:p w14:paraId="5CC0D9A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12</w:t>
                  </w:r>
                </w:p>
              </w:tc>
              <w:tc>
                <w:tcPr>
                  <w:tcW w:w="2791" w:type="dxa"/>
                  <w:gridSpan w:val="2"/>
                  <w:tcBorders>
                    <w:bottom w:val="single" w:color="auto" w:sz="12" w:space="0"/>
                  </w:tcBorders>
                  <w:noWrap w:val="0"/>
                  <w:vAlign w:val="top"/>
                </w:tcPr>
                <w:p w14:paraId="1BC76823">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异味</w:t>
                  </w:r>
                </w:p>
              </w:tc>
              <w:tc>
                <w:tcPr>
                  <w:tcW w:w="1328" w:type="dxa"/>
                  <w:tcBorders>
                    <w:bottom w:val="single" w:color="auto" w:sz="12" w:space="0"/>
                  </w:tcBorders>
                  <w:noWrap w:val="0"/>
                  <w:vAlign w:val="top"/>
                </w:tcPr>
                <w:p w14:paraId="0541544C">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无异味</w:t>
                  </w:r>
                </w:p>
              </w:tc>
              <w:tc>
                <w:tcPr>
                  <w:tcW w:w="1744" w:type="dxa"/>
                  <w:tcBorders>
                    <w:bottom w:val="single" w:color="auto" w:sz="12" w:space="0"/>
                    <w:right w:val="single" w:color="auto" w:sz="12" w:space="0"/>
                  </w:tcBorders>
                  <w:noWrap w:val="0"/>
                  <w:vAlign w:val="top"/>
                </w:tcPr>
                <w:p w14:paraId="31563AB5">
                  <w:pPr>
                    <w:keepLines w:val="0"/>
                    <w:pageBreakBefore w:val="0"/>
                    <w:topLinePunct w:val="0"/>
                    <w:bidi w:val="0"/>
                    <w:spacing w:line="240" w:lineRule="auto"/>
                    <w:jc w:val="center"/>
                    <w:rPr>
                      <w:rFonts w:hint="eastAsia" w:ascii="宋体" w:hAnsi="宋体"/>
                      <w:sz w:val="18"/>
                      <w:szCs w:val="18"/>
                    </w:rPr>
                  </w:pPr>
                  <w:r>
                    <w:rPr>
                      <w:rFonts w:hint="eastAsia" w:ascii="宋体" w:hAnsi="宋体"/>
                      <w:sz w:val="18"/>
                      <w:szCs w:val="18"/>
                    </w:rPr>
                    <w:t>GB 18401-2010</w:t>
                  </w:r>
                </w:p>
              </w:tc>
            </w:tr>
          </w:tbl>
          <w:p w14:paraId="307B6ABF">
            <w:pPr>
              <w:pStyle w:val="459"/>
              <w:keepLines w:val="0"/>
              <w:pageBreakBefore w:val="0"/>
              <w:numPr>
                <w:ilvl w:val="0"/>
                <w:numId w:val="25"/>
              </w:numPr>
              <w:tabs>
                <w:tab w:val="left" w:pos="360"/>
              </w:tabs>
              <w:topLinePunct w:val="0"/>
              <w:bidi w:val="0"/>
              <w:spacing w:line="240" w:lineRule="auto"/>
              <w:rPr>
                <w:rFonts w:hint="eastAsia"/>
              </w:rPr>
            </w:pPr>
            <w:bookmarkStart w:id="558" w:name="_Toc29504"/>
            <w:bookmarkStart w:id="559" w:name="_Toc8959"/>
            <w:bookmarkStart w:id="560" w:name="_Toc90391637"/>
            <w:r>
              <w:rPr>
                <w:rFonts w:hint="eastAsia"/>
              </w:rPr>
              <w:t>（文件性附录）</w:t>
            </w:r>
            <w:bookmarkEnd w:id="558"/>
            <w:bookmarkEnd w:id="559"/>
          </w:p>
          <w:p w14:paraId="2D2920D5">
            <w:pPr>
              <w:pStyle w:val="459"/>
              <w:keepLines w:val="0"/>
              <w:pageBreakBefore w:val="0"/>
              <w:numPr>
                <w:ilvl w:val="0"/>
                <w:numId w:val="25"/>
              </w:numPr>
              <w:tabs>
                <w:tab w:val="left" w:pos="360"/>
              </w:tabs>
              <w:topLinePunct w:val="0"/>
              <w:bidi w:val="0"/>
              <w:spacing w:line="240" w:lineRule="auto"/>
              <w:rPr>
                <w:rFonts w:hint="eastAsia"/>
              </w:rPr>
            </w:pPr>
            <w:bookmarkStart w:id="561" w:name="_Toc28860"/>
            <w:bookmarkStart w:id="562" w:name="_Toc19171"/>
            <w:r>
              <w:rPr>
                <w:rFonts w:hint="eastAsia"/>
              </w:rPr>
              <w:t>热熔涤纶絮片技术要求</w:t>
            </w:r>
            <w:bookmarkEnd w:id="560"/>
            <w:bookmarkEnd w:id="561"/>
            <w:bookmarkEnd w:id="562"/>
          </w:p>
          <w:p w14:paraId="3CC5E97C">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563" w:name="_Toc34205841"/>
            <w:bookmarkStart w:id="564" w:name="_Toc18475"/>
            <w:bookmarkStart w:id="565" w:name="_Toc90391638"/>
            <w:bookmarkStart w:id="566" w:name="_Toc30850"/>
            <w:r>
              <w:rPr>
                <w:rFonts w:hint="eastAsia"/>
              </w:rPr>
              <w:t>规格</w:t>
            </w:r>
            <w:bookmarkEnd w:id="563"/>
            <w:bookmarkEnd w:id="564"/>
            <w:bookmarkEnd w:id="565"/>
            <w:bookmarkEnd w:id="566"/>
          </w:p>
          <w:p w14:paraId="0AF8F49F">
            <w:pPr>
              <w:pStyle w:val="538"/>
              <w:keepLines w:val="0"/>
              <w:pageBreakBefore w:val="0"/>
              <w:topLinePunct w:val="0"/>
              <w:bidi w:val="0"/>
              <w:spacing w:line="240" w:lineRule="auto"/>
              <w:ind w:firstLine="424" w:firstLineChars="202"/>
              <w:rPr>
                <w:kern w:val="0"/>
                <w:sz w:val="18"/>
                <w:szCs w:val="18"/>
              </w:rPr>
            </w:pPr>
            <w:r>
              <w:rPr>
                <w:rFonts w:hint="eastAsia"/>
                <w:lang w:val="zh-CN"/>
              </w:rPr>
              <w:t>褥胎为两层热熔涤纶絮片，其主体纤维为涤纶短纤，占</w:t>
            </w:r>
            <w:r>
              <w:rPr>
                <w:lang w:val="zh-CN"/>
              </w:rPr>
              <w:t>84</w:t>
            </w:r>
            <w:r>
              <w:rPr>
                <w:rFonts w:hint="eastAsia"/>
                <w:lang w:val="zh-CN"/>
              </w:rPr>
              <w:t>～</w:t>
            </w:r>
            <w:r>
              <w:rPr>
                <w:lang w:val="zh-CN"/>
              </w:rPr>
              <w:t>88%</w:t>
            </w:r>
            <w:r>
              <w:rPr>
                <w:rFonts w:hint="eastAsia"/>
                <w:lang w:val="zh-CN"/>
              </w:rPr>
              <w:t>（</w:t>
            </w:r>
            <w:r>
              <w:rPr>
                <w:lang w:val="zh-CN"/>
              </w:rPr>
              <w:t>5.56</w:t>
            </w:r>
            <w:r>
              <w:rPr>
                <w:rFonts w:hint="eastAsia"/>
                <w:lang w:val="zh-CN"/>
              </w:rPr>
              <w:t>～</w:t>
            </w:r>
            <w:r>
              <w:rPr>
                <w:lang w:val="zh-CN"/>
              </w:rPr>
              <w:t>6.67dtex</w:t>
            </w:r>
            <w:r>
              <w:rPr>
                <w:rFonts w:hint="eastAsia"/>
                <w:lang w:val="zh-CN"/>
              </w:rPr>
              <w:t>，</w:t>
            </w:r>
            <w:r>
              <w:rPr>
                <w:lang w:val="zh-CN"/>
              </w:rPr>
              <w:t>38</w:t>
            </w:r>
            <w:r>
              <w:rPr>
                <w:rFonts w:hint="eastAsia"/>
                <w:lang w:val="zh-CN"/>
              </w:rPr>
              <w:t>～</w:t>
            </w:r>
            <w:r>
              <w:rPr>
                <w:lang w:val="zh-CN"/>
              </w:rPr>
              <w:t>51</w:t>
            </w:r>
            <w:r>
              <w:rPr>
                <w:rFonts w:hint="eastAsia"/>
                <w:lang w:val="en-US" w:eastAsia="zh-CN"/>
              </w:rPr>
              <w:t xml:space="preserve"> </w:t>
            </w:r>
            <w:r>
              <w:rPr>
                <w:lang w:val="zh-CN"/>
              </w:rPr>
              <w:t>cm</w:t>
            </w:r>
            <w:r>
              <w:rPr>
                <w:rFonts w:hint="eastAsia"/>
                <w:lang w:val="zh-CN"/>
              </w:rPr>
              <w:t>，</w:t>
            </w:r>
            <w:r>
              <w:rPr>
                <w:lang w:val="zh-CN"/>
              </w:rPr>
              <w:t>70%</w:t>
            </w:r>
            <w:r>
              <w:rPr>
                <w:rFonts w:hint="eastAsia"/>
                <w:lang w:val="zh-CN"/>
              </w:rPr>
              <w:t>；</w:t>
            </w:r>
            <w:r>
              <w:rPr>
                <w:lang w:val="zh-CN"/>
              </w:rPr>
              <w:t>2.78</w:t>
            </w:r>
            <w:r>
              <w:rPr>
                <w:rFonts w:hint="eastAsia"/>
                <w:lang w:val="zh-CN"/>
              </w:rPr>
              <w:t>～</w:t>
            </w:r>
            <w:r>
              <w:rPr>
                <w:lang w:val="zh-CN"/>
              </w:rPr>
              <w:t>3.33dtex</w:t>
            </w:r>
            <w:r>
              <w:rPr>
                <w:rFonts w:hint="eastAsia"/>
                <w:lang w:val="zh-CN"/>
              </w:rPr>
              <w:t>，</w:t>
            </w:r>
            <w:r>
              <w:rPr>
                <w:lang w:val="zh-CN"/>
              </w:rPr>
              <w:t>38</w:t>
            </w:r>
            <w:r>
              <w:rPr>
                <w:rFonts w:hint="eastAsia"/>
                <w:lang w:val="zh-CN"/>
              </w:rPr>
              <w:t>～</w:t>
            </w:r>
            <w:r>
              <w:rPr>
                <w:lang w:val="zh-CN"/>
              </w:rPr>
              <w:t>51</w:t>
            </w:r>
            <w:r>
              <w:rPr>
                <w:rFonts w:hint="eastAsia"/>
                <w:lang w:val="en-US" w:eastAsia="zh-CN"/>
              </w:rPr>
              <w:t xml:space="preserve"> </w:t>
            </w:r>
            <w:r>
              <w:rPr>
                <w:lang w:val="zh-CN"/>
              </w:rPr>
              <w:t>cm</w:t>
            </w:r>
            <w:r>
              <w:rPr>
                <w:rFonts w:hint="eastAsia"/>
                <w:lang w:val="zh-CN"/>
              </w:rPr>
              <w:t>，</w:t>
            </w:r>
            <w:r>
              <w:rPr>
                <w:lang w:val="zh-CN"/>
              </w:rPr>
              <w:t>30%</w:t>
            </w:r>
            <w:r>
              <w:rPr>
                <w:rFonts w:hint="eastAsia"/>
                <w:lang w:val="zh-CN"/>
              </w:rPr>
              <w:t>）；粘结纤维为</w:t>
            </w:r>
            <w:r>
              <w:rPr>
                <w:lang w:val="zh-CN"/>
              </w:rPr>
              <w:t>1.67dtex</w:t>
            </w:r>
            <w:r>
              <w:rPr>
                <w:rFonts w:hint="eastAsia"/>
                <w:lang w:val="zh-CN"/>
              </w:rPr>
              <w:t>×</w:t>
            </w:r>
            <w:r>
              <w:rPr>
                <w:lang w:val="zh-CN"/>
              </w:rPr>
              <w:t>38</w:t>
            </w:r>
            <w:r>
              <w:rPr>
                <w:rFonts w:hint="eastAsia"/>
                <w:lang w:val="en-US" w:eastAsia="zh-CN"/>
              </w:rPr>
              <w:t xml:space="preserve"> </w:t>
            </w:r>
            <w:r>
              <w:rPr>
                <w:lang w:val="zh-CN"/>
              </w:rPr>
              <w:t>mm</w:t>
            </w:r>
            <w:r>
              <w:rPr>
                <w:rFonts w:hint="eastAsia"/>
                <w:lang w:val="zh-CN"/>
              </w:rPr>
              <w:t>丙纶(涤纶)短纤，占</w:t>
            </w:r>
            <w:r>
              <w:rPr>
                <w:lang w:val="zh-CN"/>
              </w:rPr>
              <w:t>12</w:t>
            </w:r>
            <w:r>
              <w:rPr>
                <w:rFonts w:hint="eastAsia"/>
                <w:lang w:val="zh-CN"/>
              </w:rPr>
              <w:t>～</w:t>
            </w:r>
            <w:r>
              <w:rPr>
                <w:lang w:val="zh-CN"/>
              </w:rPr>
              <w:t>16%</w:t>
            </w:r>
            <w:r>
              <w:rPr>
                <w:rFonts w:hint="eastAsia"/>
                <w:lang w:val="zh-CN"/>
              </w:rPr>
              <w:t>。</w:t>
            </w:r>
            <w:r>
              <w:rPr>
                <w:rFonts w:hint="eastAsia"/>
                <w:kern w:val="0"/>
                <w:lang w:val="zh-CN"/>
              </w:rPr>
              <w:t>标准回潮率为</w:t>
            </w:r>
            <w:r>
              <w:rPr>
                <w:kern w:val="0"/>
                <w:lang w:val="zh-CN"/>
              </w:rPr>
              <w:t>5%</w:t>
            </w:r>
            <w:r>
              <w:rPr>
                <w:rFonts w:hint="eastAsia"/>
                <w:kern w:val="0"/>
                <w:lang w:val="zh-CN"/>
              </w:rPr>
              <w:t>时，每床总重量</w:t>
            </w:r>
            <w:r>
              <w:rPr>
                <w:kern w:val="0"/>
                <w:lang w:val="zh-CN"/>
              </w:rPr>
              <w:t>1</w:t>
            </w:r>
            <w:r>
              <w:rPr>
                <w:rFonts w:hint="eastAsia"/>
                <w:kern w:val="0"/>
                <w:lang w:val="zh-CN"/>
              </w:rPr>
              <w:t>2</w:t>
            </w:r>
            <w:r>
              <w:rPr>
                <w:kern w:val="0"/>
                <w:lang w:val="zh-CN"/>
              </w:rPr>
              <w:t>50</w:t>
            </w:r>
            <w:r>
              <w:rPr>
                <w:rFonts w:hint="eastAsia"/>
                <w:kern w:val="0"/>
                <w:lang w:val="zh-CN"/>
              </w:rPr>
              <w:t>±75</w:t>
            </w:r>
            <w:r>
              <w:rPr>
                <w:rFonts w:hint="eastAsia"/>
                <w:kern w:val="0"/>
                <w:lang w:val="en-US" w:eastAsia="zh-CN"/>
              </w:rPr>
              <w:t xml:space="preserve"> </w:t>
            </w:r>
            <w:r>
              <w:rPr>
                <w:kern w:val="0"/>
                <w:lang w:val="zh-CN"/>
              </w:rPr>
              <w:t>g</w:t>
            </w:r>
            <w:r>
              <w:rPr>
                <w:rFonts w:hint="eastAsia"/>
                <w:kern w:val="0"/>
                <w:lang w:val="zh-CN"/>
              </w:rPr>
              <w:t>，实际回潮率超过或不足</w:t>
            </w:r>
            <w:r>
              <w:rPr>
                <w:kern w:val="0"/>
                <w:lang w:val="zh-CN"/>
              </w:rPr>
              <w:t>5%</w:t>
            </w:r>
            <w:r>
              <w:rPr>
                <w:rFonts w:hint="eastAsia"/>
                <w:kern w:val="0"/>
                <w:lang w:val="zh-CN"/>
              </w:rPr>
              <w:t>时，按下列公式计算：</w:t>
            </w:r>
          </w:p>
          <w:p w14:paraId="4BB1DA9D">
            <w:pPr>
              <w:pStyle w:val="538"/>
              <w:keepLines w:val="0"/>
              <w:pageBreakBefore w:val="0"/>
              <w:topLinePunct w:val="0"/>
              <w:bidi w:val="0"/>
              <w:spacing w:line="240" w:lineRule="auto"/>
              <w:ind w:left="420" w:leftChars="200" w:firstLine="0" w:firstLineChars="0"/>
              <w:jc w:val="both"/>
              <w:rPr>
                <w:rFonts w:hint="eastAsia"/>
                <w:lang w:val="zh-CN"/>
              </w:rPr>
            </w:pPr>
            <w:r>
              <w:rPr>
                <w:rFonts w:hint="eastAsia"/>
                <w:lang w:val="zh-CN"/>
              </w:rPr>
              <w:t>标准重量</w:t>
            </w:r>
            <w:r>
              <w:rPr>
                <w:lang w:val="zh-CN"/>
              </w:rPr>
              <w:t>=</w:t>
            </w:r>
            <w:r>
              <w:rPr>
                <w:rFonts w:hint="eastAsia"/>
                <w:lang w:val="zh-CN"/>
              </w:rPr>
              <w:t>实际重量×（</w:t>
            </w:r>
            <w:r>
              <w:rPr>
                <w:lang w:val="zh-CN"/>
              </w:rPr>
              <w:t>1-</w:t>
            </w:r>
            <w:r>
              <w:rPr>
                <w:rFonts w:hint="eastAsia"/>
                <w:lang w:val="zh-CN"/>
              </w:rPr>
              <w:t>实际回潮率）</w:t>
            </w:r>
            <w:r>
              <w:rPr>
                <w:lang w:val="zh-CN"/>
              </w:rPr>
              <w:t>/</w:t>
            </w:r>
            <w:r>
              <w:rPr>
                <w:rFonts w:hint="eastAsia"/>
                <w:lang w:val="zh-CN"/>
              </w:rPr>
              <w:t>（</w:t>
            </w:r>
            <w:r>
              <w:rPr>
                <w:lang w:val="zh-CN"/>
              </w:rPr>
              <w:t>1-</w:t>
            </w:r>
            <w:r>
              <w:rPr>
                <w:rFonts w:hint="eastAsia"/>
                <w:lang w:val="zh-CN"/>
              </w:rPr>
              <w:t>标准回潮率）</w:t>
            </w:r>
          </w:p>
          <w:p w14:paraId="22A400DA">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567" w:name="_Toc90391639"/>
            <w:bookmarkStart w:id="568" w:name="_Toc4391"/>
            <w:bookmarkStart w:id="569" w:name="_Toc34205842"/>
            <w:bookmarkStart w:id="570" w:name="_Toc4851"/>
            <w:r>
              <w:rPr>
                <w:rFonts w:hint="eastAsia"/>
              </w:rPr>
              <w:t>物理指标</w:t>
            </w:r>
            <w:bookmarkEnd w:id="567"/>
            <w:bookmarkEnd w:id="568"/>
            <w:bookmarkEnd w:id="569"/>
            <w:bookmarkEnd w:id="570"/>
          </w:p>
          <w:p w14:paraId="5418A335">
            <w:pPr>
              <w:pStyle w:val="538"/>
              <w:keepLines w:val="0"/>
              <w:pageBreakBefore w:val="0"/>
              <w:topLinePunct w:val="0"/>
              <w:bidi w:val="0"/>
              <w:spacing w:line="240" w:lineRule="auto"/>
              <w:ind w:firstLine="424" w:firstLineChars="202"/>
              <w:rPr>
                <w:rFonts w:hint="eastAsia"/>
              </w:rPr>
            </w:pPr>
            <w:r>
              <w:rPr>
                <w:rFonts w:hint="eastAsia"/>
              </w:rPr>
              <w:t>物理指标按表B.1规定。</w:t>
            </w:r>
          </w:p>
          <w:p w14:paraId="6E40C89F">
            <w:pPr>
              <w:pStyle w:val="538"/>
              <w:keepLines w:val="0"/>
              <w:pageBreakBefore w:val="0"/>
              <w:topLinePunct w:val="0"/>
              <w:bidi w:val="0"/>
              <w:spacing w:line="240" w:lineRule="auto"/>
              <w:ind w:firstLine="424" w:firstLineChars="202"/>
              <w:rPr>
                <w:rFonts w:hint="eastAsia"/>
              </w:rPr>
            </w:pPr>
          </w:p>
          <w:p w14:paraId="4C6AB7F3">
            <w:pPr>
              <w:pStyle w:val="538"/>
              <w:keepLines w:val="0"/>
              <w:pageBreakBefore w:val="0"/>
              <w:topLinePunct w:val="0"/>
              <w:bidi w:val="0"/>
              <w:spacing w:line="240" w:lineRule="auto"/>
              <w:ind w:firstLine="424" w:firstLineChars="202"/>
              <w:rPr>
                <w:rFonts w:hint="eastAsia"/>
              </w:rPr>
            </w:pPr>
          </w:p>
          <w:tbl>
            <w:tblPr>
              <w:tblStyle w:val="58"/>
              <w:tblW w:w="6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044"/>
              <w:gridCol w:w="899"/>
              <w:gridCol w:w="1195"/>
              <w:gridCol w:w="1997"/>
            </w:tblGrid>
            <w:tr w14:paraId="5FA5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600" w:type="dxa"/>
                  <w:gridSpan w:val="5"/>
                  <w:tcBorders>
                    <w:top w:val="nil"/>
                    <w:left w:val="nil"/>
                    <w:bottom w:val="single" w:color="auto" w:sz="12" w:space="0"/>
                    <w:right w:val="nil"/>
                  </w:tcBorders>
                  <w:noWrap w:val="0"/>
                  <w:vAlign w:val="top"/>
                </w:tcPr>
                <w:p w14:paraId="1302FE27">
                  <w:pPr>
                    <w:keepLines w:val="0"/>
                    <w:pageBreakBefore w:val="0"/>
                    <w:topLinePunct w:val="0"/>
                    <w:bidi w:val="0"/>
                    <w:spacing w:line="240" w:lineRule="auto"/>
                    <w:jc w:val="center"/>
                    <w:rPr>
                      <w:rFonts w:ascii="黑体" w:hAnsi="黑体" w:eastAsia="黑体"/>
                      <w:sz w:val="22"/>
                      <w:szCs w:val="18"/>
                    </w:rPr>
                  </w:pPr>
                  <w:r>
                    <w:rPr>
                      <w:rFonts w:hint="eastAsia" w:ascii="黑体" w:hAnsi="黑体" w:eastAsia="黑体"/>
                      <w:sz w:val="22"/>
                      <w:szCs w:val="21"/>
                    </w:rPr>
                    <w:t>表B</w:t>
                  </w:r>
                  <w:r>
                    <w:rPr>
                      <w:rFonts w:ascii="黑体" w:hAnsi="黑体" w:eastAsia="黑体"/>
                      <w:sz w:val="22"/>
                      <w:szCs w:val="21"/>
                    </w:rPr>
                    <w:t>.</w:t>
                  </w:r>
                  <w:r>
                    <w:rPr>
                      <w:rFonts w:hint="eastAsia" w:ascii="黑体" w:hAnsi="黑体" w:eastAsia="黑体"/>
                      <w:sz w:val="22"/>
                      <w:szCs w:val="21"/>
                    </w:rPr>
                    <w:t>1  物理指标</w:t>
                  </w:r>
                </w:p>
              </w:tc>
            </w:tr>
            <w:tr w14:paraId="5D00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509" w:type="dxa"/>
                  <w:gridSpan w:val="2"/>
                  <w:tcBorders>
                    <w:top w:val="single" w:color="auto" w:sz="12" w:space="0"/>
                    <w:left w:val="single" w:color="auto" w:sz="12" w:space="0"/>
                    <w:bottom w:val="single" w:color="auto" w:sz="12" w:space="0"/>
                    <w:right w:val="single" w:color="auto" w:sz="4" w:space="0"/>
                  </w:tcBorders>
                  <w:noWrap w:val="0"/>
                  <w:vAlign w:val="top"/>
                </w:tcPr>
                <w:p w14:paraId="3DBC092A">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项       目</w:t>
                  </w:r>
                </w:p>
              </w:tc>
              <w:tc>
                <w:tcPr>
                  <w:tcW w:w="899" w:type="dxa"/>
                  <w:tcBorders>
                    <w:top w:val="single" w:color="auto" w:sz="12" w:space="0"/>
                    <w:left w:val="single" w:color="auto" w:sz="4" w:space="0"/>
                    <w:bottom w:val="nil"/>
                    <w:right w:val="single" w:color="auto" w:sz="4" w:space="0"/>
                  </w:tcBorders>
                  <w:noWrap w:val="0"/>
                  <w:vAlign w:val="top"/>
                </w:tcPr>
                <w:p w14:paraId="4F6B623D">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标准值</w:t>
                  </w:r>
                </w:p>
              </w:tc>
              <w:tc>
                <w:tcPr>
                  <w:tcW w:w="1195" w:type="dxa"/>
                  <w:tcBorders>
                    <w:top w:val="single" w:color="auto" w:sz="12" w:space="0"/>
                    <w:left w:val="single" w:color="auto" w:sz="4" w:space="0"/>
                    <w:bottom w:val="single" w:color="auto" w:sz="12" w:space="0"/>
                    <w:right w:val="single" w:color="auto" w:sz="4" w:space="0"/>
                  </w:tcBorders>
                  <w:noWrap w:val="0"/>
                  <w:vAlign w:val="top"/>
                </w:tcPr>
                <w:p w14:paraId="370D35F2">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最大允差</w:t>
                  </w:r>
                </w:p>
              </w:tc>
              <w:tc>
                <w:tcPr>
                  <w:tcW w:w="1997" w:type="dxa"/>
                  <w:tcBorders>
                    <w:top w:val="single" w:color="auto" w:sz="12" w:space="0"/>
                    <w:left w:val="single" w:color="auto" w:sz="4" w:space="0"/>
                    <w:bottom w:val="single" w:color="auto" w:sz="12" w:space="0"/>
                    <w:right w:val="single" w:color="auto" w:sz="12" w:space="0"/>
                  </w:tcBorders>
                  <w:noWrap w:val="0"/>
                  <w:vAlign w:val="top"/>
                </w:tcPr>
                <w:p w14:paraId="41B1AFB9">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rPr>
                    <w:t>试验方法</w:t>
                  </w:r>
                </w:p>
              </w:tc>
            </w:tr>
            <w:tr w14:paraId="0983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09" w:type="dxa"/>
                  <w:gridSpan w:val="2"/>
                  <w:tcBorders>
                    <w:top w:val="single" w:color="auto" w:sz="12" w:space="0"/>
                    <w:left w:val="single" w:color="auto" w:sz="12" w:space="0"/>
                  </w:tcBorders>
                  <w:noWrap w:val="0"/>
                  <w:vAlign w:val="center"/>
                </w:tcPr>
                <w:p w14:paraId="417249F9">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单位面积质量/（g/㎡）（双层）</w:t>
                  </w:r>
                </w:p>
              </w:tc>
              <w:tc>
                <w:tcPr>
                  <w:tcW w:w="899" w:type="dxa"/>
                  <w:tcBorders>
                    <w:top w:val="single" w:color="auto" w:sz="12" w:space="0"/>
                  </w:tcBorders>
                  <w:noWrap w:val="0"/>
                  <w:vAlign w:val="center"/>
                </w:tcPr>
                <w:p w14:paraId="40A00EF6">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950</w:t>
                  </w:r>
                </w:p>
              </w:tc>
              <w:tc>
                <w:tcPr>
                  <w:tcW w:w="1195" w:type="dxa"/>
                  <w:tcBorders>
                    <w:top w:val="single" w:color="auto" w:sz="12" w:space="0"/>
                  </w:tcBorders>
                  <w:noWrap w:val="0"/>
                  <w:vAlign w:val="center"/>
                </w:tcPr>
                <w:p w14:paraId="0436DEEF">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-5.0</w:t>
                  </w:r>
                  <w:r>
                    <w:rPr>
                      <w:rFonts w:ascii="宋体" w:hAnsi="宋体" w:cs="宋体"/>
                      <w:color w:val="000000"/>
                      <w:sz w:val="18"/>
                      <w:szCs w:val="18"/>
                      <w:lang w:val="zh-CN"/>
                    </w:rPr>
                    <w:t>%</w:t>
                  </w:r>
                  <w:r>
                    <w:rPr>
                      <w:rFonts w:hint="eastAsia" w:ascii="宋体" w:hAnsi="宋体" w:cs="宋体"/>
                      <w:sz w:val="18"/>
                      <w:szCs w:val="18"/>
                      <w:lang w:val="zh-CN"/>
                    </w:rPr>
                    <w:t>～</w:t>
                  </w:r>
                  <w:r>
                    <w:rPr>
                      <w:rFonts w:hint="eastAsia" w:ascii="宋体" w:hAnsi="宋体"/>
                      <w:color w:val="000000"/>
                      <w:sz w:val="18"/>
                      <w:szCs w:val="18"/>
                    </w:rPr>
                    <w:t>+7.0</w:t>
                  </w:r>
                  <w:r>
                    <w:rPr>
                      <w:rFonts w:ascii="宋体" w:hAnsi="宋体" w:cs="宋体"/>
                      <w:color w:val="000000"/>
                      <w:sz w:val="18"/>
                      <w:szCs w:val="18"/>
                      <w:lang w:val="zh-CN"/>
                    </w:rPr>
                    <w:t>%</w:t>
                  </w:r>
                </w:p>
              </w:tc>
              <w:tc>
                <w:tcPr>
                  <w:tcW w:w="1997" w:type="dxa"/>
                  <w:tcBorders>
                    <w:top w:val="single" w:color="auto" w:sz="12" w:space="0"/>
                    <w:right w:val="single" w:color="auto" w:sz="12" w:space="0"/>
                  </w:tcBorders>
                  <w:noWrap w:val="0"/>
                  <w:vAlign w:val="center"/>
                </w:tcPr>
                <w:p w14:paraId="3AF668A6">
                  <w:pPr>
                    <w:keepLines w:val="0"/>
                    <w:pageBreakBefore w:val="0"/>
                    <w:topLinePunct w:val="0"/>
                    <w:bidi w:val="0"/>
                    <w:spacing w:line="240" w:lineRule="auto"/>
                    <w:jc w:val="center"/>
                    <w:rPr>
                      <w:rFonts w:ascii="宋体" w:hAnsi="宋体"/>
                      <w:color w:val="FF0000"/>
                      <w:sz w:val="18"/>
                      <w:szCs w:val="18"/>
                    </w:rPr>
                  </w:pPr>
                  <w:r>
                    <w:rPr>
                      <w:rFonts w:hint="eastAsia" w:ascii="宋体" w:hAnsi="宋体"/>
                      <w:sz w:val="18"/>
                      <w:szCs w:val="18"/>
                    </w:rPr>
                    <w:t>测量</w:t>
                  </w:r>
                </w:p>
              </w:tc>
            </w:tr>
            <w:tr w14:paraId="5DEB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65" w:type="dxa"/>
                  <w:vMerge w:val="restart"/>
                  <w:tcBorders>
                    <w:left w:val="single" w:color="auto" w:sz="12" w:space="0"/>
                  </w:tcBorders>
                  <w:noWrap w:val="0"/>
                  <w:vAlign w:val="center"/>
                </w:tcPr>
                <w:p w14:paraId="1004232B">
                  <w:pPr>
                    <w:keepLines w:val="0"/>
                    <w:pageBreakBefore w:val="0"/>
                    <w:topLinePunct w:val="0"/>
                    <w:bidi w:val="0"/>
                    <w:spacing w:line="240" w:lineRule="auto"/>
                    <w:jc w:val="center"/>
                    <w:rPr>
                      <w:rFonts w:ascii="宋体" w:hAnsi="宋体"/>
                      <w:color w:val="FF0000"/>
                      <w:sz w:val="18"/>
                      <w:szCs w:val="18"/>
                    </w:rPr>
                  </w:pPr>
                  <w:r>
                    <w:rPr>
                      <w:rFonts w:hint="eastAsia" w:ascii="宋体" w:hAnsi="宋体"/>
                      <w:sz w:val="18"/>
                      <w:szCs w:val="18"/>
                    </w:rPr>
                    <w:t>抗拉强度/（N/g）</w:t>
                  </w:r>
                </w:p>
              </w:tc>
              <w:tc>
                <w:tcPr>
                  <w:tcW w:w="1044" w:type="dxa"/>
                  <w:noWrap w:val="0"/>
                  <w:vAlign w:val="center"/>
                </w:tcPr>
                <w:p w14:paraId="11BEC127">
                  <w:pPr>
                    <w:keepLines w:val="0"/>
                    <w:pageBreakBefore w:val="0"/>
                    <w:topLinePunct w:val="0"/>
                    <w:bidi w:val="0"/>
                    <w:spacing w:line="240" w:lineRule="auto"/>
                    <w:jc w:val="center"/>
                    <w:rPr>
                      <w:rFonts w:ascii="宋体" w:hAnsi="宋体"/>
                      <w:color w:val="FF0000"/>
                      <w:sz w:val="18"/>
                      <w:szCs w:val="18"/>
                    </w:rPr>
                  </w:pPr>
                  <w:r>
                    <w:rPr>
                      <w:rFonts w:ascii="宋体" w:hAnsi="宋体"/>
                      <w:kern w:val="0"/>
                      <w:sz w:val="18"/>
                      <w:szCs w:val="18"/>
                    </w:rPr>
                    <w:t>纵向</w:t>
                  </w:r>
                </w:p>
              </w:tc>
              <w:tc>
                <w:tcPr>
                  <w:tcW w:w="899" w:type="dxa"/>
                  <w:noWrap w:val="0"/>
                  <w:vAlign w:val="center"/>
                </w:tcPr>
                <w:p w14:paraId="0CA5E165">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≥10</w:t>
                  </w:r>
                </w:p>
              </w:tc>
              <w:tc>
                <w:tcPr>
                  <w:tcW w:w="1195" w:type="dxa"/>
                  <w:noWrap w:val="0"/>
                  <w:vAlign w:val="center"/>
                </w:tcPr>
                <w:p w14:paraId="17BB3F25">
                  <w:pPr>
                    <w:keepLines w:val="0"/>
                    <w:pageBreakBefore w:val="0"/>
                    <w:widowControl/>
                    <w:topLinePunct w:val="0"/>
                    <w:autoSpaceDE w:val="0"/>
                    <w:autoSpaceDN w:val="0"/>
                    <w:bidi w:val="0"/>
                    <w:spacing w:line="240" w:lineRule="auto"/>
                    <w:jc w:val="center"/>
                    <w:rPr>
                      <w:rFonts w:ascii="宋体" w:hAnsi="宋体"/>
                      <w:kern w:val="0"/>
                      <w:sz w:val="18"/>
                      <w:szCs w:val="18"/>
                    </w:rPr>
                  </w:pPr>
                  <w:r>
                    <w:rPr>
                      <w:rFonts w:hint="eastAsia" w:ascii="宋体" w:hAnsi="宋体"/>
                      <w:color w:val="000000"/>
                      <w:sz w:val="18"/>
                      <w:szCs w:val="18"/>
                    </w:rPr>
                    <w:t>-</w:t>
                  </w:r>
                </w:p>
              </w:tc>
              <w:tc>
                <w:tcPr>
                  <w:tcW w:w="1997" w:type="dxa"/>
                  <w:vMerge w:val="restart"/>
                  <w:tcBorders>
                    <w:right w:val="single" w:color="auto" w:sz="12" w:space="0"/>
                  </w:tcBorders>
                  <w:noWrap w:val="0"/>
                  <w:vAlign w:val="center"/>
                </w:tcPr>
                <w:p w14:paraId="65BA743D">
                  <w:pPr>
                    <w:keepLines w:val="0"/>
                    <w:pageBreakBefore w:val="0"/>
                    <w:topLinePunct w:val="0"/>
                    <w:bidi w:val="0"/>
                    <w:spacing w:line="240" w:lineRule="auto"/>
                    <w:jc w:val="center"/>
                    <w:rPr>
                      <w:rFonts w:ascii="宋体" w:hAnsi="宋体"/>
                      <w:color w:val="FF0000"/>
                      <w:sz w:val="18"/>
                      <w:szCs w:val="18"/>
                    </w:rPr>
                  </w:pPr>
                  <w:r>
                    <w:rPr>
                      <w:rFonts w:hint="eastAsia" w:ascii="宋体" w:hAnsi="宋体"/>
                      <w:sz w:val="18"/>
                      <w:szCs w:val="18"/>
                    </w:rPr>
                    <w:t>JBS 9.2-1992</w:t>
                  </w:r>
                </w:p>
              </w:tc>
            </w:tr>
            <w:tr w14:paraId="54E4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65" w:type="dxa"/>
                  <w:vMerge w:val="continue"/>
                  <w:tcBorders>
                    <w:left w:val="single" w:color="auto" w:sz="12" w:space="0"/>
                  </w:tcBorders>
                  <w:noWrap w:val="0"/>
                  <w:vAlign w:val="center"/>
                </w:tcPr>
                <w:p w14:paraId="2D0CDB99">
                  <w:pPr>
                    <w:keepLines w:val="0"/>
                    <w:pageBreakBefore w:val="0"/>
                    <w:topLinePunct w:val="0"/>
                    <w:bidi w:val="0"/>
                    <w:spacing w:line="240" w:lineRule="auto"/>
                    <w:jc w:val="center"/>
                    <w:rPr>
                      <w:rFonts w:ascii="宋体" w:hAnsi="宋体"/>
                      <w:color w:val="FF0000"/>
                      <w:sz w:val="18"/>
                      <w:szCs w:val="18"/>
                    </w:rPr>
                  </w:pPr>
                </w:p>
              </w:tc>
              <w:tc>
                <w:tcPr>
                  <w:tcW w:w="1044" w:type="dxa"/>
                  <w:noWrap w:val="0"/>
                  <w:vAlign w:val="center"/>
                </w:tcPr>
                <w:p w14:paraId="1DD80010">
                  <w:pPr>
                    <w:keepLines w:val="0"/>
                    <w:pageBreakBefore w:val="0"/>
                    <w:topLinePunct w:val="0"/>
                    <w:bidi w:val="0"/>
                    <w:spacing w:line="240" w:lineRule="auto"/>
                    <w:jc w:val="center"/>
                    <w:rPr>
                      <w:rFonts w:ascii="宋体" w:hAnsi="宋体"/>
                      <w:color w:val="FF0000"/>
                      <w:sz w:val="18"/>
                      <w:szCs w:val="18"/>
                    </w:rPr>
                  </w:pPr>
                  <w:r>
                    <w:rPr>
                      <w:rFonts w:ascii="宋体" w:hAnsi="宋体"/>
                      <w:kern w:val="0"/>
                      <w:sz w:val="18"/>
                      <w:szCs w:val="18"/>
                    </w:rPr>
                    <w:t>横向</w:t>
                  </w:r>
                </w:p>
              </w:tc>
              <w:tc>
                <w:tcPr>
                  <w:tcW w:w="899" w:type="dxa"/>
                  <w:noWrap w:val="0"/>
                  <w:vAlign w:val="center"/>
                </w:tcPr>
                <w:p w14:paraId="4F620F69">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≥15</w:t>
                  </w:r>
                </w:p>
              </w:tc>
              <w:tc>
                <w:tcPr>
                  <w:tcW w:w="1195" w:type="dxa"/>
                  <w:noWrap w:val="0"/>
                  <w:vAlign w:val="center"/>
                </w:tcPr>
                <w:p w14:paraId="20CA3C19">
                  <w:pPr>
                    <w:keepLines w:val="0"/>
                    <w:pageBreakBefore w:val="0"/>
                    <w:widowControl/>
                    <w:topLinePunct w:val="0"/>
                    <w:autoSpaceDE w:val="0"/>
                    <w:autoSpaceDN w:val="0"/>
                    <w:bidi w:val="0"/>
                    <w:spacing w:line="240" w:lineRule="auto"/>
                    <w:jc w:val="center"/>
                    <w:rPr>
                      <w:rFonts w:ascii="宋体" w:hAnsi="宋体"/>
                      <w:kern w:val="0"/>
                      <w:sz w:val="18"/>
                      <w:szCs w:val="18"/>
                    </w:rPr>
                  </w:pPr>
                  <w:r>
                    <w:rPr>
                      <w:rFonts w:hint="eastAsia" w:ascii="宋体" w:hAnsi="宋体"/>
                      <w:color w:val="000000"/>
                      <w:sz w:val="18"/>
                      <w:szCs w:val="18"/>
                    </w:rPr>
                    <w:t>-</w:t>
                  </w:r>
                </w:p>
              </w:tc>
              <w:tc>
                <w:tcPr>
                  <w:tcW w:w="1997" w:type="dxa"/>
                  <w:vMerge w:val="continue"/>
                  <w:tcBorders>
                    <w:right w:val="single" w:color="auto" w:sz="12" w:space="0"/>
                  </w:tcBorders>
                  <w:noWrap w:val="0"/>
                  <w:vAlign w:val="center"/>
                </w:tcPr>
                <w:p w14:paraId="413C4E82">
                  <w:pPr>
                    <w:keepLines w:val="0"/>
                    <w:pageBreakBefore w:val="0"/>
                    <w:topLinePunct w:val="0"/>
                    <w:bidi w:val="0"/>
                    <w:spacing w:line="240" w:lineRule="auto"/>
                    <w:jc w:val="center"/>
                    <w:rPr>
                      <w:rFonts w:ascii="宋体" w:hAnsi="宋体"/>
                      <w:color w:val="FF0000"/>
                      <w:sz w:val="18"/>
                      <w:szCs w:val="18"/>
                    </w:rPr>
                  </w:pPr>
                </w:p>
              </w:tc>
            </w:tr>
            <w:tr w14:paraId="613D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09" w:type="dxa"/>
                  <w:gridSpan w:val="2"/>
                  <w:tcBorders>
                    <w:left w:val="single" w:color="auto" w:sz="12" w:space="0"/>
                  </w:tcBorders>
                  <w:noWrap w:val="0"/>
                  <w:vAlign w:val="center"/>
                </w:tcPr>
                <w:p w14:paraId="07645F33">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蓬松度/（cm</w:t>
                  </w:r>
                  <w:r>
                    <w:rPr>
                      <w:rFonts w:hint="eastAsia" w:ascii="宋体" w:hAnsi="宋体"/>
                      <w:color w:val="000000"/>
                      <w:sz w:val="18"/>
                      <w:szCs w:val="18"/>
                      <w:vertAlign w:val="superscript"/>
                    </w:rPr>
                    <w:t>3</w:t>
                  </w:r>
                  <w:r>
                    <w:rPr>
                      <w:rFonts w:hint="eastAsia" w:ascii="宋体" w:hAnsi="宋体"/>
                      <w:color w:val="000000"/>
                      <w:sz w:val="18"/>
                      <w:szCs w:val="18"/>
                    </w:rPr>
                    <w:t>/g）</w:t>
                  </w:r>
                  <w:r>
                    <w:rPr>
                      <w:rFonts w:ascii="宋体" w:hAnsi="宋体"/>
                      <w:color w:val="FF0000"/>
                      <w:sz w:val="18"/>
                      <w:szCs w:val="18"/>
                    </w:rPr>
                    <w:tab/>
                  </w:r>
                </w:p>
              </w:tc>
              <w:tc>
                <w:tcPr>
                  <w:tcW w:w="899" w:type="dxa"/>
                  <w:noWrap w:val="0"/>
                  <w:vAlign w:val="center"/>
                </w:tcPr>
                <w:p w14:paraId="1027266F">
                  <w:pPr>
                    <w:keepLines w:val="0"/>
                    <w:pageBreakBefore w:val="0"/>
                    <w:widowControl/>
                    <w:topLinePunct w:val="0"/>
                    <w:autoSpaceDE w:val="0"/>
                    <w:autoSpaceDN w:val="0"/>
                    <w:bidi w:val="0"/>
                    <w:spacing w:line="240" w:lineRule="auto"/>
                    <w:jc w:val="center"/>
                    <w:rPr>
                      <w:rFonts w:ascii="宋体" w:hAnsi="宋体"/>
                      <w:kern w:val="0"/>
                      <w:sz w:val="18"/>
                      <w:szCs w:val="18"/>
                    </w:rPr>
                  </w:pPr>
                  <w:r>
                    <w:rPr>
                      <w:rFonts w:hint="eastAsia" w:ascii="宋体" w:hAnsi="宋体"/>
                      <w:color w:val="000000"/>
                      <w:sz w:val="18"/>
                      <w:szCs w:val="18"/>
                    </w:rPr>
                    <w:t>≥32</w:t>
                  </w:r>
                </w:p>
              </w:tc>
              <w:tc>
                <w:tcPr>
                  <w:tcW w:w="1195" w:type="dxa"/>
                  <w:noWrap w:val="0"/>
                  <w:vAlign w:val="center"/>
                </w:tcPr>
                <w:p w14:paraId="252C9567">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w:t>
                  </w:r>
                </w:p>
              </w:tc>
              <w:tc>
                <w:tcPr>
                  <w:tcW w:w="1997" w:type="dxa"/>
                  <w:vMerge w:val="restart"/>
                  <w:tcBorders>
                    <w:right w:val="single" w:color="auto" w:sz="12" w:space="0"/>
                  </w:tcBorders>
                  <w:noWrap w:val="0"/>
                  <w:vAlign w:val="center"/>
                </w:tcPr>
                <w:p w14:paraId="6F0A2237">
                  <w:pPr>
                    <w:keepLines w:val="0"/>
                    <w:pageBreakBefore w:val="0"/>
                    <w:widowControl/>
                    <w:topLinePunct w:val="0"/>
                    <w:autoSpaceDE w:val="0"/>
                    <w:autoSpaceDN w:val="0"/>
                    <w:bidi w:val="0"/>
                    <w:spacing w:line="240" w:lineRule="auto"/>
                    <w:jc w:val="center"/>
                    <w:rPr>
                      <w:rFonts w:ascii="宋体"/>
                      <w:kern w:val="0"/>
                      <w:szCs w:val="20"/>
                    </w:rPr>
                  </w:pPr>
                  <w:r>
                    <w:rPr>
                      <w:rFonts w:hint="eastAsia" w:ascii="宋体" w:hAnsi="宋体"/>
                      <w:sz w:val="18"/>
                      <w:szCs w:val="18"/>
                    </w:rPr>
                    <w:t>FZ/T 64003-2011</w:t>
                  </w:r>
                </w:p>
              </w:tc>
            </w:tr>
            <w:tr w14:paraId="0FB3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09" w:type="dxa"/>
                  <w:gridSpan w:val="2"/>
                  <w:tcBorders>
                    <w:left w:val="single" w:color="auto" w:sz="12" w:space="0"/>
                    <w:bottom w:val="single" w:color="auto" w:sz="12" w:space="0"/>
                  </w:tcBorders>
                  <w:noWrap w:val="0"/>
                  <w:vAlign w:val="center"/>
                </w:tcPr>
                <w:p w14:paraId="2AD137A9">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压缩弹性率/%</w:t>
                  </w:r>
                </w:p>
              </w:tc>
              <w:tc>
                <w:tcPr>
                  <w:tcW w:w="899" w:type="dxa"/>
                  <w:tcBorders>
                    <w:bottom w:val="single" w:color="auto" w:sz="12" w:space="0"/>
                  </w:tcBorders>
                  <w:noWrap w:val="0"/>
                  <w:vAlign w:val="center"/>
                </w:tcPr>
                <w:p w14:paraId="45F17A2B">
                  <w:pPr>
                    <w:keepLines w:val="0"/>
                    <w:pageBreakBefore w:val="0"/>
                    <w:widowControl/>
                    <w:topLinePunct w:val="0"/>
                    <w:autoSpaceDE w:val="0"/>
                    <w:autoSpaceDN w:val="0"/>
                    <w:bidi w:val="0"/>
                    <w:spacing w:line="240" w:lineRule="auto"/>
                    <w:jc w:val="center"/>
                    <w:rPr>
                      <w:rFonts w:ascii="宋体" w:hAnsi="宋体"/>
                      <w:kern w:val="0"/>
                      <w:sz w:val="18"/>
                      <w:szCs w:val="18"/>
                    </w:rPr>
                  </w:pPr>
                  <w:r>
                    <w:rPr>
                      <w:rFonts w:hint="eastAsia" w:ascii="宋体" w:hAnsi="宋体"/>
                      <w:color w:val="000000"/>
                      <w:sz w:val="18"/>
                      <w:szCs w:val="18"/>
                    </w:rPr>
                    <w:t>≥85</w:t>
                  </w:r>
                </w:p>
              </w:tc>
              <w:tc>
                <w:tcPr>
                  <w:tcW w:w="1195" w:type="dxa"/>
                  <w:tcBorders>
                    <w:bottom w:val="single" w:color="auto" w:sz="12" w:space="0"/>
                  </w:tcBorders>
                  <w:noWrap w:val="0"/>
                  <w:vAlign w:val="top"/>
                </w:tcPr>
                <w:p w14:paraId="6FE3F98F">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w:t>
                  </w:r>
                </w:p>
              </w:tc>
              <w:tc>
                <w:tcPr>
                  <w:tcW w:w="1997" w:type="dxa"/>
                  <w:vMerge w:val="continue"/>
                  <w:tcBorders>
                    <w:bottom w:val="single" w:color="auto" w:sz="12" w:space="0"/>
                    <w:right w:val="single" w:color="auto" w:sz="12" w:space="0"/>
                  </w:tcBorders>
                  <w:noWrap w:val="0"/>
                  <w:vAlign w:val="center"/>
                </w:tcPr>
                <w:p w14:paraId="4EDA3B92">
                  <w:pPr>
                    <w:keepLines w:val="0"/>
                    <w:pageBreakBefore w:val="0"/>
                    <w:widowControl/>
                    <w:topLinePunct w:val="0"/>
                    <w:autoSpaceDE w:val="0"/>
                    <w:autoSpaceDN w:val="0"/>
                    <w:bidi w:val="0"/>
                    <w:spacing w:line="240" w:lineRule="auto"/>
                    <w:jc w:val="center"/>
                    <w:rPr>
                      <w:rFonts w:ascii="宋体"/>
                      <w:kern w:val="0"/>
                      <w:szCs w:val="20"/>
                    </w:rPr>
                  </w:pPr>
                </w:p>
              </w:tc>
            </w:tr>
          </w:tbl>
          <w:p w14:paraId="4DDD1269">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571" w:name="_Toc90391640"/>
            <w:bookmarkStart w:id="572" w:name="_Toc24612"/>
            <w:bookmarkStart w:id="573" w:name="_Toc19341"/>
            <w:bookmarkStart w:id="574" w:name="_Toc34205843"/>
            <w:r>
              <w:rPr>
                <w:rFonts w:hint="eastAsia"/>
              </w:rPr>
              <w:t>外观质量</w:t>
            </w:r>
            <w:bookmarkEnd w:id="571"/>
            <w:bookmarkEnd w:id="572"/>
            <w:bookmarkEnd w:id="573"/>
            <w:bookmarkEnd w:id="574"/>
          </w:p>
          <w:p w14:paraId="2F4C6503">
            <w:pPr>
              <w:pStyle w:val="538"/>
              <w:keepLines w:val="0"/>
              <w:pageBreakBefore w:val="0"/>
              <w:topLinePunct w:val="0"/>
              <w:bidi w:val="0"/>
              <w:spacing w:line="240" w:lineRule="auto"/>
              <w:ind w:firstLine="424" w:firstLineChars="202"/>
              <w:rPr>
                <w:rFonts w:hint="eastAsia"/>
                <w:lang w:val="zh-CN"/>
              </w:rPr>
            </w:pPr>
            <w:r>
              <w:rPr>
                <w:rFonts w:hint="eastAsia"/>
                <w:lang w:val="zh-CN"/>
              </w:rPr>
              <w:t>褥胎厚薄过渡均匀，手感柔软、蓬松，粘结力强并富有弹性，其外观质量应符合表</w:t>
            </w:r>
            <w:r>
              <w:rPr>
                <w:rFonts w:hint="eastAsia" w:hAnsi="宋体"/>
              </w:rPr>
              <w:t>B.2</w:t>
            </w:r>
            <w:r>
              <w:rPr>
                <w:rFonts w:hint="eastAsia"/>
                <w:lang w:val="zh-CN"/>
              </w:rPr>
              <w:t>规定。</w:t>
            </w:r>
          </w:p>
          <w:tbl>
            <w:tblPr>
              <w:tblStyle w:val="58"/>
              <w:tblW w:w="5000" w:type="pct"/>
              <w:tblInd w:w="0" w:type="dxa"/>
              <w:tblLayout w:type="fixed"/>
              <w:tblCellMar>
                <w:top w:w="0" w:type="dxa"/>
                <w:left w:w="108" w:type="dxa"/>
                <w:bottom w:w="0" w:type="dxa"/>
                <w:right w:w="108" w:type="dxa"/>
              </w:tblCellMar>
            </w:tblPr>
            <w:tblGrid>
              <w:gridCol w:w="2631"/>
              <w:gridCol w:w="3936"/>
            </w:tblGrid>
            <w:tr w14:paraId="23A4D6EC">
              <w:tblPrEx>
                <w:tblCellMar>
                  <w:top w:w="0" w:type="dxa"/>
                  <w:left w:w="108" w:type="dxa"/>
                  <w:bottom w:w="0" w:type="dxa"/>
                  <w:right w:w="108" w:type="dxa"/>
                </w:tblCellMar>
              </w:tblPrEx>
              <w:tc>
                <w:tcPr>
                  <w:tcW w:w="5000" w:type="pct"/>
                  <w:gridSpan w:val="2"/>
                  <w:tcBorders>
                    <w:bottom w:val="single" w:color="auto" w:sz="6" w:space="0"/>
                  </w:tcBorders>
                  <w:noWrap w:val="0"/>
                  <w:vAlign w:val="top"/>
                </w:tcPr>
                <w:p w14:paraId="68A9ABC0">
                  <w:pPr>
                    <w:keepLines w:val="0"/>
                    <w:pageBreakBefore w:val="0"/>
                    <w:topLinePunct w:val="0"/>
                    <w:bidi w:val="0"/>
                    <w:spacing w:line="240" w:lineRule="auto"/>
                    <w:jc w:val="center"/>
                    <w:rPr>
                      <w:rFonts w:ascii="黑体" w:hAnsi="黑体" w:eastAsia="黑体" w:cs="宋体"/>
                      <w:color w:val="000000"/>
                      <w:sz w:val="18"/>
                      <w:szCs w:val="18"/>
                      <w:lang w:val="zh-CN"/>
                    </w:rPr>
                  </w:pPr>
                  <w:r>
                    <w:rPr>
                      <w:rFonts w:ascii="黑体" w:hAnsi="黑体" w:eastAsia="黑体"/>
                      <w:szCs w:val="21"/>
                    </w:rPr>
                    <w:t>表</w:t>
                  </w:r>
                  <w:r>
                    <w:rPr>
                      <w:rFonts w:hint="eastAsia" w:ascii="黑体" w:hAnsi="黑体" w:eastAsia="黑体"/>
                      <w:szCs w:val="21"/>
                    </w:rPr>
                    <w:t>B.2  外观质量</w:t>
                  </w:r>
                </w:p>
              </w:tc>
            </w:tr>
            <w:tr w14:paraId="1AF3379C">
              <w:tblPrEx>
                <w:tblCellMar>
                  <w:top w:w="0" w:type="dxa"/>
                  <w:left w:w="108" w:type="dxa"/>
                  <w:bottom w:w="0" w:type="dxa"/>
                  <w:right w:w="108" w:type="dxa"/>
                </w:tblCellMar>
              </w:tblPrEx>
              <w:tc>
                <w:tcPr>
                  <w:tcW w:w="2003" w:type="pct"/>
                  <w:tcBorders>
                    <w:top w:val="single" w:color="auto" w:sz="12" w:space="0"/>
                    <w:left w:val="single" w:color="auto" w:sz="12" w:space="0"/>
                    <w:bottom w:val="single" w:color="auto" w:sz="6" w:space="0"/>
                    <w:right w:val="single" w:color="auto" w:sz="4" w:space="0"/>
                  </w:tcBorders>
                  <w:noWrap w:val="0"/>
                  <w:vAlign w:val="top"/>
                </w:tcPr>
                <w:p w14:paraId="2C277A2E">
                  <w:pPr>
                    <w:keepLines w:val="0"/>
                    <w:pageBreakBefore w:val="0"/>
                    <w:topLinePunct w:val="0"/>
                    <w:autoSpaceDE w:val="0"/>
                    <w:autoSpaceDN w:val="0"/>
                    <w:bidi w:val="0"/>
                    <w:adjustRightInd w:val="0"/>
                    <w:spacing w:line="240" w:lineRule="auto"/>
                    <w:jc w:val="center"/>
                    <w:rPr>
                      <w:rFonts w:hint="eastAsia" w:ascii="宋体" w:hAnsi="宋体" w:cs="宋体"/>
                      <w:color w:val="000000"/>
                      <w:sz w:val="18"/>
                      <w:szCs w:val="18"/>
                      <w:lang w:val="zh-CN"/>
                    </w:rPr>
                  </w:pPr>
                  <w:r>
                    <w:rPr>
                      <w:rFonts w:hint="eastAsia" w:ascii="宋体" w:hAnsi="宋体" w:cs="宋体"/>
                      <w:color w:val="000000"/>
                      <w:sz w:val="18"/>
                      <w:szCs w:val="18"/>
                      <w:lang w:val="zh-CN"/>
                    </w:rPr>
                    <w:t>疵点名称</w:t>
                  </w:r>
                </w:p>
              </w:tc>
              <w:tc>
                <w:tcPr>
                  <w:tcW w:w="2997" w:type="pct"/>
                  <w:tcBorders>
                    <w:top w:val="single" w:color="auto" w:sz="12" w:space="0"/>
                    <w:left w:val="single" w:color="auto" w:sz="4" w:space="0"/>
                    <w:bottom w:val="single" w:color="auto" w:sz="12" w:space="0"/>
                    <w:right w:val="single" w:color="auto" w:sz="12" w:space="0"/>
                  </w:tcBorders>
                  <w:noWrap w:val="0"/>
                  <w:vAlign w:val="top"/>
                </w:tcPr>
                <w:p w14:paraId="43ED33C4">
                  <w:pPr>
                    <w:keepLines w:val="0"/>
                    <w:pageBreakBefore w:val="0"/>
                    <w:topLinePunct w:val="0"/>
                    <w:autoSpaceDE w:val="0"/>
                    <w:autoSpaceDN w:val="0"/>
                    <w:bidi w:val="0"/>
                    <w:adjustRightInd w:val="0"/>
                    <w:spacing w:line="240" w:lineRule="auto"/>
                    <w:jc w:val="center"/>
                    <w:rPr>
                      <w:rFonts w:hint="eastAsia" w:ascii="宋体" w:hAnsi="宋体" w:cs="宋体"/>
                      <w:color w:val="000000"/>
                      <w:sz w:val="18"/>
                      <w:szCs w:val="18"/>
                      <w:lang w:val="zh-CN"/>
                    </w:rPr>
                  </w:pPr>
                  <w:r>
                    <w:rPr>
                      <w:rFonts w:hint="eastAsia" w:ascii="宋体" w:hAnsi="宋体" w:cs="宋体"/>
                      <w:color w:val="000000"/>
                      <w:sz w:val="18"/>
                      <w:szCs w:val="18"/>
                      <w:lang w:val="zh-CN"/>
                    </w:rPr>
                    <w:t>合格品条件</w:t>
                  </w:r>
                </w:p>
              </w:tc>
            </w:tr>
            <w:tr w14:paraId="1149EF64">
              <w:tblPrEx>
                <w:tblCellMar>
                  <w:top w:w="0" w:type="dxa"/>
                  <w:left w:w="108" w:type="dxa"/>
                  <w:bottom w:w="0" w:type="dxa"/>
                  <w:right w:w="108" w:type="dxa"/>
                </w:tblCellMar>
              </w:tblPrEx>
              <w:tc>
                <w:tcPr>
                  <w:tcW w:w="2003" w:type="pct"/>
                  <w:tcBorders>
                    <w:top w:val="single" w:color="auto" w:sz="12" w:space="0"/>
                    <w:left w:val="single" w:color="auto" w:sz="12" w:space="0"/>
                    <w:bottom w:val="single" w:color="auto" w:sz="6" w:space="0"/>
                    <w:right w:val="single" w:color="auto" w:sz="6" w:space="0"/>
                  </w:tcBorders>
                  <w:noWrap w:val="0"/>
                  <w:vAlign w:val="center"/>
                </w:tcPr>
                <w:p w14:paraId="05462B32">
                  <w:pPr>
                    <w:keepLines w:val="0"/>
                    <w:pageBreakBefore w:val="0"/>
                    <w:topLinePunct w:val="0"/>
                    <w:autoSpaceDE w:val="0"/>
                    <w:autoSpaceDN w:val="0"/>
                    <w:bidi w:val="0"/>
                    <w:adjustRightInd w:val="0"/>
                    <w:spacing w:line="240" w:lineRule="auto"/>
                    <w:jc w:val="center"/>
                    <w:rPr>
                      <w:rFonts w:ascii="宋体" w:hAnsi="宋体" w:cs="宋体"/>
                      <w:color w:val="000000"/>
                      <w:sz w:val="18"/>
                      <w:szCs w:val="18"/>
                      <w:lang w:val="zh-CN"/>
                    </w:rPr>
                  </w:pPr>
                  <w:r>
                    <w:rPr>
                      <w:rFonts w:hint="eastAsia" w:ascii="宋体" w:hAnsi="宋体" w:cs="宋体"/>
                      <w:color w:val="000000"/>
                      <w:sz w:val="18"/>
                      <w:szCs w:val="18"/>
                      <w:lang w:val="zh-CN"/>
                    </w:rPr>
                    <w:t>破洞</w:t>
                  </w:r>
                </w:p>
              </w:tc>
              <w:tc>
                <w:tcPr>
                  <w:tcW w:w="2997" w:type="pct"/>
                  <w:tcBorders>
                    <w:top w:val="single" w:color="auto" w:sz="12" w:space="0"/>
                    <w:left w:val="single" w:color="auto" w:sz="6" w:space="0"/>
                    <w:bottom w:val="single" w:color="auto" w:sz="6" w:space="0"/>
                    <w:right w:val="single" w:color="auto" w:sz="12" w:space="0"/>
                  </w:tcBorders>
                  <w:noWrap w:val="0"/>
                  <w:vAlign w:val="top"/>
                </w:tcPr>
                <w:p w14:paraId="23D6086E">
                  <w:pPr>
                    <w:keepLines w:val="0"/>
                    <w:pageBreakBefore w:val="0"/>
                    <w:topLinePunct w:val="0"/>
                    <w:autoSpaceDE w:val="0"/>
                    <w:autoSpaceDN w:val="0"/>
                    <w:bidi w:val="0"/>
                    <w:adjustRightInd w:val="0"/>
                    <w:spacing w:line="240" w:lineRule="auto"/>
                    <w:jc w:val="center"/>
                    <w:rPr>
                      <w:rFonts w:ascii="宋体" w:hAnsi="宋体" w:cs="宋体"/>
                      <w:color w:val="000000"/>
                      <w:sz w:val="18"/>
                      <w:szCs w:val="18"/>
                      <w:lang w:val="zh-CN"/>
                    </w:rPr>
                  </w:pPr>
                  <w:r>
                    <w:rPr>
                      <w:rFonts w:hint="eastAsia" w:ascii="宋体" w:hAnsi="宋体" w:cs="宋体"/>
                      <w:color w:val="000000"/>
                      <w:sz w:val="18"/>
                      <w:szCs w:val="18"/>
                      <w:lang w:val="zh-CN"/>
                    </w:rPr>
                    <w:t>不允许</w:t>
                  </w:r>
                </w:p>
              </w:tc>
            </w:tr>
            <w:tr w14:paraId="718CF953">
              <w:tblPrEx>
                <w:tblCellMar>
                  <w:top w:w="0" w:type="dxa"/>
                  <w:left w:w="108" w:type="dxa"/>
                  <w:bottom w:w="0" w:type="dxa"/>
                  <w:right w:w="108" w:type="dxa"/>
                </w:tblCellMar>
              </w:tblPrEx>
              <w:tc>
                <w:tcPr>
                  <w:tcW w:w="2003" w:type="pct"/>
                  <w:tcBorders>
                    <w:top w:val="single" w:color="auto" w:sz="6" w:space="0"/>
                    <w:left w:val="single" w:color="auto" w:sz="12" w:space="0"/>
                    <w:bottom w:val="single" w:color="auto" w:sz="6" w:space="0"/>
                    <w:right w:val="single" w:color="auto" w:sz="6" w:space="0"/>
                  </w:tcBorders>
                  <w:noWrap w:val="0"/>
                  <w:vAlign w:val="center"/>
                </w:tcPr>
                <w:p w14:paraId="0C35989A">
                  <w:pPr>
                    <w:keepLines w:val="0"/>
                    <w:pageBreakBefore w:val="0"/>
                    <w:topLinePunct w:val="0"/>
                    <w:autoSpaceDE w:val="0"/>
                    <w:autoSpaceDN w:val="0"/>
                    <w:bidi w:val="0"/>
                    <w:adjustRightInd w:val="0"/>
                    <w:spacing w:line="240" w:lineRule="auto"/>
                    <w:jc w:val="center"/>
                    <w:rPr>
                      <w:rFonts w:ascii="宋体" w:hAnsi="宋体"/>
                      <w:color w:val="000000"/>
                      <w:sz w:val="18"/>
                      <w:szCs w:val="18"/>
                    </w:rPr>
                  </w:pPr>
                  <w:r>
                    <w:rPr>
                      <w:rFonts w:hint="eastAsia" w:ascii="宋体" w:hAnsi="宋体" w:cs="宋体"/>
                      <w:color w:val="000000"/>
                      <w:sz w:val="18"/>
                      <w:szCs w:val="18"/>
                      <w:lang w:val="zh-CN"/>
                    </w:rPr>
                    <w:t>拉毛</w:t>
                  </w:r>
                </w:p>
              </w:tc>
              <w:tc>
                <w:tcPr>
                  <w:tcW w:w="2997" w:type="pct"/>
                  <w:tcBorders>
                    <w:top w:val="single" w:color="auto" w:sz="6" w:space="0"/>
                    <w:left w:val="single" w:color="auto" w:sz="6" w:space="0"/>
                    <w:bottom w:val="single" w:color="auto" w:sz="6" w:space="0"/>
                    <w:right w:val="single" w:color="auto" w:sz="12" w:space="0"/>
                  </w:tcBorders>
                  <w:noWrap w:val="0"/>
                  <w:vAlign w:val="top"/>
                </w:tcPr>
                <w:p w14:paraId="2B76BCCA">
                  <w:pPr>
                    <w:keepLines w:val="0"/>
                    <w:pageBreakBefore w:val="0"/>
                    <w:topLinePunct w:val="0"/>
                    <w:autoSpaceDE w:val="0"/>
                    <w:autoSpaceDN w:val="0"/>
                    <w:bidi w:val="0"/>
                    <w:adjustRightInd w:val="0"/>
                    <w:spacing w:line="240" w:lineRule="auto"/>
                    <w:jc w:val="center"/>
                    <w:rPr>
                      <w:rFonts w:ascii="宋体" w:hAnsi="宋体" w:cs="宋体"/>
                      <w:color w:val="000000"/>
                      <w:sz w:val="18"/>
                      <w:szCs w:val="18"/>
                      <w:lang w:val="zh-CN"/>
                    </w:rPr>
                  </w:pPr>
                  <w:r>
                    <w:rPr>
                      <w:rFonts w:hint="eastAsia" w:ascii="宋体" w:hAnsi="宋体" w:cs="宋体"/>
                      <w:color w:val="000000"/>
                      <w:sz w:val="18"/>
                      <w:szCs w:val="18"/>
                      <w:lang w:val="zh-CN"/>
                    </w:rPr>
                    <w:t>允许有两处不连续轻微拉毛，每处面积≤</w:t>
                  </w:r>
                  <w:r>
                    <w:rPr>
                      <w:rFonts w:ascii="宋体" w:hAnsi="宋体"/>
                      <w:color w:val="000000"/>
                      <w:sz w:val="18"/>
                      <w:szCs w:val="18"/>
                    </w:rPr>
                    <w:t>100</w:t>
                  </w:r>
                  <w:r>
                    <w:rPr>
                      <w:rFonts w:hint="eastAsia" w:ascii="宋体" w:hAnsi="宋体"/>
                      <w:color w:val="000000"/>
                      <w:sz w:val="18"/>
                      <w:szCs w:val="18"/>
                      <w:lang w:val="en-US" w:eastAsia="zh-CN"/>
                    </w:rPr>
                    <w:t xml:space="preserve"> </w:t>
                  </w:r>
                  <w:r>
                    <w:rPr>
                      <w:rFonts w:ascii="宋体" w:hAnsi="宋体"/>
                      <w:color w:val="000000"/>
                      <w:sz w:val="18"/>
                      <w:szCs w:val="18"/>
                    </w:rPr>
                    <w:t>cm</w:t>
                  </w:r>
                  <w:r>
                    <w:rPr>
                      <w:rFonts w:ascii="宋体" w:hAnsi="宋体" w:cs="宋体"/>
                      <w:color w:val="000000"/>
                      <w:sz w:val="18"/>
                      <w:szCs w:val="18"/>
                      <w:vertAlign w:val="superscript"/>
                      <w:lang w:val="zh-CN"/>
                    </w:rPr>
                    <w:t>2</w:t>
                  </w:r>
                </w:p>
              </w:tc>
            </w:tr>
            <w:tr w14:paraId="64E9CC74">
              <w:tblPrEx>
                <w:tblCellMar>
                  <w:top w:w="0" w:type="dxa"/>
                  <w:left w:w="108" w:type="dxa"/>
                  <w:bottom w:w="0" w:type="dxa"/>
                  <w:right w:w="108" w:type="dxa"/>
                </w:tblCellMar>
              </w:tblPrEx>
              <w:tc>
                <w:tcPr>
                  <w:tcW w:w="2003" w:type="pct"/>
                  <w:tcBorders>
                    <w:top w:val="single" w:color="auto" w:sz="6" w:space="0"/>
                    <w:left w:val="single" w:color="auto" w:sz="12" w:space="0"/>
                    <w:bottom w:val="single" w:color="auto" w:sz="6" w:space="0"/>
                    <w:right w:val="single" w:color="auto" w:sz="6" w:space="0"/>
                  </w:tcBorders>
                  <w:noWrap w:val="0"/>
                  <w:vAlign w:val="center"/>
                </w:tcPr>
                <w:p w14:paraId="31AA475E">
                  <w:pPr>
                    <w:keepLines w:val="0"/>
                    <w:pageBreakBefore w:val="0"/>
                    <w:topLinePunct w:val="0"/>
                    <w:autoSpaceDE w:val="0"/>
                    <w:autoSpaceDN w:val="0"/>
                    <w:bidi w:val="0"/>
                    <w:adjustRightInd w:val="0"/>
                    <w:spacing w:line="240" w:lineRule="auto"/>
                    <w:jc w:val="center"/>
                    <w:rPr>
                      <w:rFonts w:ascii="宋体" w:hAnsi="宋体"/>
                      <w:color w:val="000000"/>
                      <w:sz w:val="18"/>
                      <w:szCs w:val="18"/>
                    </w:rPr>
                  </w:pPr>
                  <w:r>
                    <w:rPr>
                      <w:rFonts w:hint="eastAsia" w:ascii="宋体" w:hAnsi="宋体" w:cs="宋体"/>
                      <w:color w:val="000000"/>
                      <w:sz w:val="18"/>
                      <w:szCs w:val="18"/>
                      <w:lang w:val="zh-CN"/>
                    </w:rPr>
                    <w:t>表面油污</w:t>
                  </w:r>
                </w:p>
              </w:tc>
              <w:tc>
                <w:tcPr>
                  <w:tcW w:w="2997" w:type="pct"/>
                  <w:tcBorders>
                    <w:top w:val="single" w:color="auto" w:sz="6" w:space="0"/>
                    <w:left w:val="single" w:color="auto" w:sz="6" w:space="0"/>
                    <w:bottom w:val="single" w:color="auto" w:sz="6" w:space="0"/>
                    <w:right w:val="single" w:color="auto" w:sz="12" w:space="0"/>
                  </w:tcBorders>
                  <w:noWrap w:val="0"/>
                  <w:vAlign w:val="top"/>
                </w:tcPr>
                <w:p w14:paraId="065D536B">
                  <w:pPr>
                    <w:keepLines w:val="0"/>
                    <w:pageBreakBefore w:val="0"/>
                    <w:topLinePunct w:val="0"/>
                    <w:autoSpaceDE w:val="0"/>
                    <w:autoSpaceDN w:val="0"/>
                    <w:bidi w:val="0"/>
                    <w:adjustRightInd w:val="0"/>
                    <w:spacing w:line="240" w:lineRule="auto"/>
                    <w:jc w:val="center"/>
                    <w:rPr>
                      <w:rFonts w:ascii="宋体" w:hAnsi="宋体" w:cs="宋体"/>
                      <w:color w:val="000000"/>
                      <w:sz w:val="18"/>
                      <w:szCs w:val="18"/>
                      <w:lang w:val="zh-CN"/>
                    </w:rPr>
                  </w:pPr>
                  <w:r>
                    <w:rPr>
                      <w:rFonts w:hint="eastAsia" w:ascii="宋体" w:hAnsi="宋体" w:cs="宋体"/>
                      <w:color w:val="000000"/>
                      <w:sz w:val="18"/>
                      <w:szCs w:val="18"/>
                      <w:lang w:val="zh-CN"/>
                    </w:rPr>
                    <w:t>≤</w:t>
                  </w:r>
                  <w:r>
                    <w:rPr>
                      <w:rFonts w:ascii="宋体" w:hAnsi="宋体"/>
                      <w:color w:val="000000"/>
                      <w:sz w:val="18"/>
                      <w:szCs w:val="18"/>
                    </w:rPr>
                    <w:t>3</w:t>
                  </w:r>
                  <w:r>
                    <w:rPr>
                      <w:rFonts w:hint="eastAsia" w:ascii="宋体" w:hAnsi="宋体"/>
                      <w:color w:val="000000"/>
                      <w:sz w:val="18"/>
                      <w:szCs w:val="18"/>
                      <w:lang w:val="en-US" w:eastAsia="zh-CN"/>
                    </w:rPr>
                    <w:t xml:space="preserve"> </w:t>
                  </w:r>
                  <w:r>
                    <w:rPr>
                      <w:rFonts w:ascii="宋体" w:hAnsi="宋体"/>
                      <w:color w:val="000000"/>
                      <w:sz w:val="18"/>
                      <w:szCs w:val="18"/>
                    </w:rPr>
                    <w:t>cm</w:t>
                  </w:r>
                  <w:r>
                    <w:rPr>
                      <w:rFonts w:ascii="宋体" w:hAnsi="宋体" w:cs="宋体"/>
                      <w:color w:val="000000"/>
                      <w:sz w:val="18"/>
                      <w:szCs w:val="18"/>
                      <w:vertAlign w:val="superscript"/>
                      <w:lang w:val="zh-CN"/>
                    </w:rPr>
                    <w:t>2</w:t>
                  </w:r>
                  <w:r>
                    <w:rPr>
                      <w:rFonts w:ascii="宋体" w:hAnsi="宋体" w:cs="宋体"/>
                      <w:color w:val="000000"/>
                      <w:sz w:val="18"/>
                      <w:szCs w:val="18"/>
                      <w:lang w:val="zh-CN"/>
                    </w:rPr>
                    <w:t>/m</w:t>
                  </w:r>
                  <w:r>
                    <w:rPr>
                      <w:rFonts w:ascii="宋体" w:hAnsi="宋体" w:cs="宋体"/>
                      <w:color w:val="000000"/>
                      <w:sz w:val="18"/>
                      <w:szCs w:val="18"/>
                      <w:vertAlign w:val="superscript"/>
                      <w:lang w:val="zh-CN"/>
                    </w:rPr>
                    <w:t>2</w:t>
                  </w:r>
                  <w:r>
                    <w:rPr>
                      <w:rFonts w:hint="eastAsia" w:ascii="宋体" w:hAnsi="宋体" w:cs="宋体"/>
                      <w:color w:val="000000"/>
                      <w:sz w:val="18"/>
                      <w:szCs w:val="18"/>
                      <w:lang w:val="zh-CN"/>
                    </w:rPr>
                    <w:t>，不允许有深色油污</w:t>
                  </w:r>
                </w:p>
              </w:tc>
            </w:tr>
            <w:tr w14:paraId="15F864BD">
              <w:tblPrEx>
                <w:tblCellMar>
                  <w:top w:w="0" w:type="dxa"/>
                  <w:left w:w="108" w:type="dxa"/>
                  <w:bottom w:w="0" w:type="dxa"/>
                  <w:right w:w="108" w:type="dxa"/>
                </w:tblCellMar>
              </w:tblPrEx>
              <w:tc>
                <w:tcPr>
                  <w:tcW w:w="2003" w:type="pct"/>
                  <w:tcBorders>
                    <w:top w:val="single" w:color="auto" w:sz="6" w:space="0"/>
                    <w:left w:val="single" w:color="auto" w:sz="12" w:space="0"/>
                    <w:bottom w:val="single" w:color="auto" w:sz="12" w:space="0"/>
                    <w:right w:val="single" w:color="auto" w:sz="6" w:space="0"/>
                  </w:tcBorders>
                  <w:noWrap w:val="0"/>
                  <w:vAlign w:val="center"/>
                </w:tcPr>
                <w:p w14:paraId="41E7FD5B">
                  <w:pPr>
                    <w:keepLines w:val="0"/>
                    <w:pageBreakBefore w:val="0"/>
                    <w:topLinePunct w:val="0"/>
                    <w:autoSpaceDE w:val="0"/>
                    <w:autoSpaceDN w:val="0"/>
                    <w:bidi w:val="0"/>
                    <w:adjustRightInd w:val="0"/>
                    <w:spacing w:line="240" w:lineRule="auto"/>
                    <w:jc w:val="center"/>
                    <w:rPr>
                      <w:rFonts w:ascii="宋体" w:hAnsi="宋体"/>
                      <w:color w:val="000000"/>
                      <w:sz w:val="18"/>
                      <w:szCs w:val="18"/>
                    </w:rPr>
                  </w:pPr>
                  <w:r>
                    <w:rPr>
                      <w:rFonts w:hint="eastAsia" w:ascii="宋体" w:hAnsi="宋体" w:cs="宋体"/>
                      <w:color w:val="000000"/>
                      <w:sz w:val="18"/>
                      <w:szCs w:val="18"/>
                      <w:lang w:val="zh-CN"/>
                    </w:rPr>
                    <w:t>烘焦、板结</w:t>
                  </w:r>
                </w:p>
              </w:tc>
              <w:tc>
                <w:tcPr>
                  <w:tcW w:w="2997" w:type="pct"/>
                  <w:tcBorders>
                    <w:top w:val="single" w:color="auto" w:sz="6" w:space="0"/>
                    <w:left w:val="single" w:color="auto" w:sz="6" w:space="0"/>
                    <w:bottom w:val="single" w:color="auto" w:sz="12" w:space="0"/>
                    <w:right w:val="single" w:color="auto" w:sz="12" w:space="0"/>
                  </w:tcBorders>
                  <w:noWrap w:val="0"/>
                  <w:vAlign w:val="top"/>
                </w:tcPr>
                <w:p w14:paraId="75D2BFF6">
                  <w:pPr>
                    <w:keepLines w:val="0"/>
                    <w:pageBreakBefore w:val="0"/>
                    <w:topLinePunct w:val="0"/>
                    <w:autoSpaceDE w:val="0"/>
                    <w:autoSpaceDN w:val="0"/>
                    <w:bidi w:val="0"/>
                    <w:adjustRightInd w:val="0"/>
                    <w:spacing w:line="240" w:lineRule="auto"/>
                    <w:jc w:val="center"/>
                    <w:rPr>
                      <w:rFonts w:ascii="宋体" w:hAnsi="宋体"/>
                      <w:color w:val="000000"/>
                      <w:sz w:val="18"/>
                      <w:szCs w:val="18"/>
                    </w:rPr>
                  </w:pPr>
                  <w:r>
                    <w:rPr>
                      <w:rFonts w:hint="eastAsia" w:ascii="宋体" w:hAnsi="宋体" w:cs="宋体"/>
                      <w:color w:val="000000"/>
                      <w:sz w:val="18"/>
                      <w:szCs w:val="18"/>
                      <w:lang w:val="zh-CN"/>
                    </w:rPr>
                    <w:t>不允许</w:t>
                  </w:r>
                </w:p>
              </w:tc>
            </w:tr>
          </w:tbl>
          <w:p w14:paraId="675FC318">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575" w:name="_Toc90391641"/>
            <w:bookmarkStart w:id="576" w:name="_Toc20405"/>
            <w:bookmarkStart w:id="577" w:name="_Toc4796"/>
            <w:bookmarkStart w:id="578" w:name="_Toc34205844"/>
            <w:r>
              <w:rPr>
                <w:rFonts w:hint="eastAsia"/>
              </w:rPr>
              <w:t>抗拉强度的测定</w:t>
            </w:r>
            <w:bookmarkEnd w:id="575"/>
            <w:bookmarkEnd w:id="576"/>
            <w:bookmarkEnd w:id="577"/>
            <w:bookmarkEnd w:id="578"/>
          </w:p>
          <w:p w14:paraId="5A6CBC23">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rPr>
            </w:pPr>
            <w:bookmarkStart w:id="579" w:name="_Toc13698"/>
            <w:bookmarkStart w:id="580" w:name="_Toc30399"/>
            <w:bookmarkStart w:id="581" w:name="_Toc90391642"/>
            <w:bookmarkStart w:id="582" w:name="_Toc34205845"/>
            <w:r>
              <w:rPr>
                <w:rFonts w:hint="eastAsia"/>
              </w:rPr>
              <w:t>仪器和工具</w:t>
            </w:r>
            <w:bookmarkEnd w:id="579"/>
            <w:bookmarkEnd w:id="580"/>
            <w:bookmarkEnd w:id="581"/>
            <w:bookmarkEnd w:id="582"/>
          </w:p>
          <w:p w14:paraId="0E6E222B">
            <w:pPr>
              <w:pStyle w:val="269"/>
              <w:keepLines w:val="0"/>
              <w:pageBreakBefore w:val="0"/>
              <w:tabs>
                <w:tab w:val="center" w:pos="4201"/>
                <w:tab w:val="right" w:leader="dot" w:pos="9298"/>
              </w:tabs>
              <w:topLinePunct w:val="0"/>
              <w:bidi w:val="0"/>
              <w:spacing w:line="240" w:lineRule="auto"/>
              <w:rPr>
                <w:rFonts w:hint="eastAsia"/>
              </w:rPr>
            </w:pPr>
            <w:r>
              <w:rPr>
                <w:rFonts w:hint="eastAsia"/>
              </w:rPr>
              <w:t>仪器：强力试验机</w:t>
            </w:r>
          </w:p>
          <w:p w14:paraId="27998C68">
            <w:pPr>
              <w:pStyle w:val="269"/>
              <w:keepLines w:val="0"/>
              <w:pageBreakBefore w:val="0"/>
              <w:tabs>
                <w:tab w:val="center" w:pos="4201"/>
                <w:tab w:val="right" w:leader="dot" w:pos="9298"/>
              </w:tabs>
              <w:topLinePunct w:val="0"/>
              <w:bidi w:val="0"/>
              <w:spacing w:line="240" w:lineRule="auto"/>
              <w:ind w:firstLine="424" w:firstLineChars="202"/>
              <w:rPr>
                <w:rFonts w:hint="eastAsia"/>
              </w:rPr>
            </w:pPr>
            <w:r>
              <w:rPr>
                <w:rFonts w:hint="eastAsia"/>
              </w:rPr>
              <w:t>称量天平:精度为0.001</w:t>
            </w:r>
            <w:r>
              <w:rPr>
                <w:rFonts w:hint="eastAsia"/>
                <w:lang w:val="en-US" w:eastAsia="zh-CN"/>
              </w:rPr>
              <w:t xml:space="preserve"> </w:t>
            </w:r>
            <w:r>
              <w:rPr>
                <w:rFonts w:hint="eastAsia"/>
              </w:rPr>
              <w:t>g。</w:t>
            </w:r>
          </w:p>
          <w:p w14:paraId="52BC341E">
            <w:pPr>
              <w:pStyle w:val="269"/>
              <w:keepLines w:val="0"/>
              <w:pageBreakBefore w:val="0"/>
              <w:tabs>
                <w:tab w:val="center" w:pos="4201"/>
                <w:tab w:val="right" w:leader="dot" w:pos="9298"/>
              </w:tabs>
              <w:topLinePunct w:val="0"/>
              <w:bidi w:val="0"/>
              <w:spacing w:line="240" w:lineRule="auto"/>
              <w:ind w:firstLine="424" w:firstLineChars="202"/>
              <w:rPr>
                <w:rFonts w:hint="eastAsia"/>
              </w:rPr>
            </w:pPr>
            <w:r>
              <w:rPr>
                <w:rFonts w:hint="eastAsia"/>
              </w:rPr>
              <w:t>工具：5</w:t>
            </w:r>
            <w:r>
              <w:rPr>
                <w:rFonts w:hint="eastAsia"/>
                <w:lang w:val="en-US" w:eastAsia="zh-CN"/>
              </w:rPr>
              <w:t xml:space="preserve"> </w:t>
            </w:r>
            <w:r>
              <w:rPr>
                <w:rFonts w:hint="eastAsia"/>
              </w:rPr>
              <w:t>cm×20</w:t>
            </w:r>
            <w:r>
              <w:rPr>
                <w:rFonts w:hint="eastAsia"/>
                <w:lang w:val="en-US" w:eastAsia="zh-CN"/>
              </w:rPr>
              <w:t xml:space="preserve"> </w:t>
            </w:r>
            <w:r>
              <w:rPr>
                <w:rFonts w:hint="eastAsia"/>
              </w:rPr>
              <w:t>cm取样印章，电剪刀。</w:t>
            </w:r>
          </w:p>
          <w:p w14:paraId="14BCAA86">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rPr>
            </w:pPr>
            <w:bookmarkStart w:id="583" w:name="_Toc2031"/>
            <w:bookmarkStart w:id="584" w:name="_Toc34205846"/>
            <w:bookmarkStart w:id="585" w:name="_Toc30927"/>
            <w:bookmarkStart w:id="586" w:name="_Toc90391643"/>
            <w:r>
              <w:rPr>
                <w:rFonts w:hint="eastAsia"/>
              </w:rPr>
              <w:t>试样</w:t>
            </w:r>
            <w:bookmarkEnd w:id="583"/>
            <w:bookmarkEnd w:id="584"/>
            <w:bookmarkEnd w:id="585"/>
            <w:bookmarkEnd w:id="586"/>
          </w:p>
          <w:p w14:paraId="52C12616">
            <w:pPr>
              <w:pStyle w:val="282"/>
              <w:keepLines w:val="0"/>
              <w:pageBreakBefore w:val="0"/>
              <w:numPr>
                <w:ilvl w:val="3"/>
                <w:numId w:val="0"/>
              </w:numPr>
              <w:topLinePunct w:val="0"/>
              <w:bidi w:val="0"/>
              <w:spacing w:before="156" w:after="156" w:line="240" w:lineRule="auto"/>
              <w:ind w:leftChars="0"/>
              <w:rPr>
                <w:rFonts w:hint="eastAsia" w:hAnsi="黑体" w:cs="Arial"/>
              </w:rPr>
            </w:pPr>
            <w:r>
              <w:rPr>
                <w:rFonts w:hint="eastAsia" w:hAnsi="黑体" w:cs="Arial"/>
                <w:lang w:val="en-US" w:eastAsia="zh-CN"/>
              </w:rPr>
              <w:t>D.4.2.1</w:t>
            </w:r>
            <w:r>
              <w:rPr>
                <w:rFonts w:hint="eastAsia" w:hAnsi="黑体" w:cs="Arial"/>
              </w:rPr>
              <w:t>取样要求</w:t>
            </w:r>
          </w:p>
          <w:p w14:paraId="7F2F4A68">
            <w:pPr>
              <w:keepLines w:val="0"/>
              <w:pageBreakBefore w:val="0"/>
              <w:topLinePunct w:val="0"/>
              <w:bidi w:val="0"/>
              <w:spacing w:line="240" w:lineRule="auto"/>
              <w:ind w:firstLine="424" w:firstLineChars="202"/>
              <w:rPr>
                <w:rFonts w:hint="eastAsia" w:ascii="宋体" w:hAnsi="宋体"/>
                <w:color w:val="000000"/>
              </w:rPr>
            </w:pPr>
            <w:r>
              <w:rPr>
                <w:rFonts w:hint="eastAsia" w:ascii="宋体" w:hAnsi="宋体"/>
                <w:color w:val="000000"/>
              </w:rPr>
              <w:t>取样在距样品两边1／10幅宽以上部位，按附录</w:t>
            </w:r>
            <w:r>
              <w:rPr>
                <w:rFonts w:hint="eastAsia" w:ascii="宋体" w:hAnsi="宋体"/>
                <w:color w:val="auto"/>
              </w:rPr>
              <w:t>B.5</w:t>
            </w:r>
            <w:r>
              <w:rPr>
                <w:rFonts w:hint="eastAsia" w:ascii="宋体" w:hAnsi="宋体"/>
                <w:color w:val="000000"/>
              </w:rPr>
              <w:t>示意图用取样印章及电剪刀剪取试祥，试样要有代表性，试样上不得有明显的折皱和异常疵点。</w:t>
            </w:r>
          </w:p>
          <w:p w14:paraId="0FCAC2E6">
            <w:pPr>
              <w:pStyle w:val="282"/>
              <w:keepLines w:val="0"/>
              <w:pageBreakBefore w:val="0"/>
              <w:numPr>
                <w:ilvl w:val="2"/>
                <w:numId w:val="0"/>
              </w:numPr>
              <w:topLinePunct w:val="0"/>
              <w:bidi w:val="0"/>
              <w:spacing w:before="156" w:after="156" w:line="240" w:lineRule="auto"/>
              <w:ind w:left="0" w:leftChars="0" w:firstLine="0" w:firstLineChars="0"/>
              <w:rPr>
                <w:rFonts w:hint="eastAsia" w:ascii="宋体" w:hAnsi="宋体" w:eastAsia="宋体" w:cs="Arial"/>
              </w:rPr>
            </w:pPr>
            <w:r>
              <w:rPr>
                <w:rFonts w:hint="eastAsia" w:ascii="黑体" w:cs="Arial"/>
                <w:b w:val="0"/>
                <w:i w:val="0"/>
                <w:kern w:val="0"/>
                <w:sz w:val="21"/>
                <w:szCs w:val="20"/>
                <w:lang w:val="en-US" w:eastAsia="zh-CN" w:bidi="ar-SA"/>
              </w:rPr>
              <w:t>D</w:t>
            </w:r>
            <w:r>
              <w:rPr>
                <w:rFonts w:hint="eastAsia" w:ascii="黑体" w:hAnsi="Times New Roman" w:eastAsia="黑体" w:cs="Arial"/>
                <w:b w:val="0"/>
                <w:i w:val="0"/>
                <w:kern w:val="0"/>
                <w:sz w:val="21"/>
                <w:szCs w:val="20"/>
                <w:lang w:val="en-US" w:eastAsia="zh-CN" w:bidi="ar-SA"/>
              </w:rPr>
              <w:t>.4.2.1　</w:t>
            </w:r>
            <w:r>
              <w:rPr>
                <w:rFonts w:hint="eastAsia" w:ascii="宋体" w:hAnsi="宋体" w:eastAsia="宋体" w:cs="Arial"/>
              </w:rPr>
              <w:t>试样为5</w:t>
            </w:r>
            <w:r>
              <w:rPr>
                <w:rFonts w:hint="eastAsia" w:ascii="宋体" w:hAnsi="宋体" w:cs="Arial"/>
                <w:lang w:val="en-US" w:eastAsia="zh-CN"/>
              </w:rPr>
              <w:t xml:space="preserve"> </w:t>
            </w:r>
            <w:r>
              <w:rPr>
                <w:rFonts w:hint="eastAsia" w:ascii="宋体" w:hAnsi="宋体" w:eastAsia="宋体" w:cs="Arial"/>
              </w:rPr>
              <w:t>cm×20</w:t>
            </w:r>
            <w:r>
              <w:rPr>
                <w:rFonts w:hint="eastAsia" w:ascii="宋体" w:hAnsi="宋体" w:cs="Arial"/>
                <w:lang w:val="en-US" w:eastAsia="zh-CN"/>
              </w:rPr>
              <w:t xml:space="preserve"> </w:t>
            </w:r>
            <w:r>
              <w:rPr>
                <w:rFonts w:hint="eastAsia" w:ascii="宋体" w:hAnsi="宋体" w:eastAsia="宋体" w:cs="Arial"/>
              </w:rPr>
              <w:t>cm条形，纵向、横向各6条。</w:t>
            </w:r>
          </w:p>
          <w:p w14:paraId="6670EA49">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rPr>
            </w:pPr>
            <w:bookmarkStart w:id="587" w:name="_Toc34205847"/>
            <w:bookmarkStart w:id="588" w:name="_Toc23102"/>
            <w:bookmarkStart w:id="589" w:name="_Toc7903"/>
            <w:bookmarkStart w:id="590" w:name="_Toc90391644"/>
            <w:r>
              <w:rPr>
                <w:rFonts w:hint="eastAsia"/>
              </w:rPr>
              <w:t>试验程序</w:t>
            </w:r>
            <w:bookmarkEnd w:id="587"/>
            <w:bookmarkEnd w:id="588"/>
            <w:bookmarkEnd w:id="589"/>
            <w:bookmarkEnd w:id="590"/>
          </w:p>
          <w:p w14:paraId="1930C0F0">
            <w:pPr>
              <w:pStyle w:val="538"/>
              <w:keepLines w:val="0"/>
              <w:pageBreakBefore w:val="0"/>
              <w:numPr>
                <w:ilvl w:val="3"/>
                <w:numId w:val="0"/>
              </w:numPr>
              <w:topLinePunct w:val="0"/>
              <w:bidi w:val="0"/>
              <w:spacing w:line="240" w:lineRule="auto"/>
              <w:ind w:left="0" w:leftChars="0" w:firstLine="0" w:firstLineChars="0"/>
              <w:rPr>
                <w:rFonts w:hint="eastAsia" w:ascii="黑体" w:hAnsi="黑体" w:eastAsia="黑体"/>
              </w:rPr>
            </w:pPr>
            <w:r>
              <w:rPr>
                <w:rFonts w:hint="eastAsia" w:ascii="黑体" w:hAnsi="Times New Roman" w:eastAsia="黑体" w:cs="Times New Roman"/>
                <w:b w:val="0"/>
                <w:i w:val="0"/>
                <w:kern w:val="21"/>
                <w:sz w:val="21"/>
                <w:szCs w:val="21"/>
                <w:lang w:val="en-US" w:eastAsia="zh-CN" w:bidi="ar-SA"/>
              </w:rPr>
              <w:t>D.4.3.1　</w:t>
            </w:r>
            <w:r>
              <w:rPr>
                <w:rFonts w:hint="eastAsia" w:ascii="黑体" w:hAnsi="黑体" w:eastAsia="黑体"/>
              </w:rPr>
              <w:t>仪器校准</w:t>
            </w:r>
          </w:p>
          <w:p w14:paraId="02CABBE6">
            <w:pPr>
              <w:pStyle w:val="538"/>
              <w:keepLines w:val="0"/>
              <w:pageBreakBefore w:val="0"/>
              <w:numPr>
                <w:ilvl w:val="4"/>
                <w:numId w:val="0"/>
              </w:numPr>
              <w:topLinePunct w:val="0"/>
              <w:bidi w:val="0"/>
              <w:spacing w:line="240" w:lineRule="auto"/>
              <w:ind w:left="0" w:leftChars="0" w:firstLine="0" w:firstLineChars="0"/>
              <w:rPr>
                <w:rFonts w:hint="eastAsia"/>
              </w:rPr>
            </w:pPr>
            <w:r>
              <w:rPr>
                <w:rFonts w:hint="eastAsia" w:ascii="黑体" w:hAnsi="Times New Roman" w:eastAsia="黑体" w:cs="Times New Roman"/>
                <w:b w:val="0"/>
                <w:i w:val="0"/>
                <w:kern w:val="21"/>
                <w:sz w:val="21"/>
                <w:szCs w:val="21"/>
                <w:lang w:val="en-US" w:eastAsia="zh-CN" w:bidi="ar-SA"/>
              </w:rPr>
              <w:t>D.4.3.1.1　</w:t>
            </w:r>
            <w:r>
              <w:rPr>
                <w:rFonts w:hint="eastAsia"/>
              </w:rPr>
              <w:t>试验前应校准强力试验机的零位。</w:t>
            </w:r>
          </w:p>
          <w:p w14:paraId="421D4F57">
            <w:pPr>
              <w:pStyle w:val="538"/>
              <w:keepLines w:val="0"/>
              <w:pageBreakBefore w:val="0"/>
              <w:numPr>
                <w:ilvl w:val="4"/>
                <w:numId w:val="0"/>
              </w:numPr>
              <w:topLinePunct w:val="0"/>
              <w:bidi w:val="0"/>
              <w:spacing w:line="240" w:lineRule="auto"/>
              <w:ind w:left="0" w:leftChars="0" w:firstLine="0" w:firstLineChars="0"/>
              <w:rPr>
                <w:rFonts w:hint="eastAsia"/>
              </w:rPr>
            </w:pPr>
            <w:r>
              <w:rPr>
                <w:rFonts w:hint="eastAsia" w:ascii="黑体" w:hAnsi="Times New Roman" w:eastAsia="黑体" w:cs="Times New Roman"/>
                <w:b w:val="0"/>
                <w:i w:val="0"/>
                <w:kern w:val="21"/>
                <w:sz w:val="21"/>
                <w:szCs w:val="21"/>
                <w:lang w:val="en-US" w:eastAsia="zh-CN" w:bidi="ar-SA"/>
              </w:rPr>
              <w:t>D.4.3.1.2　</w:t>
            </w:r>
            <w:r>
              <w:rPr>
                <w:rFonts w:hint="eastAsia"/>
              </w:rPr>
              <w:t>校正试验机上下夹钳之间距离为100</w:t>
            </w:r>
            <w:r>
              <w:rPr>
                <w:rFonts w:hint="eastAsia"/>
                <w:lang w:val="en-US" w:eastAsia="zh-CN"/>
              </w:rPr>
              <w:t xml:space="preserve"> </w:t>
            </w:r>
            <w:r>
              <w:rPr>
                <w:rFonts w:hint="eastAsia"/>
              </w:rPr>
              <w:t>mm（精确至1</w:t>
            </w:r>
            <w:r>
              <w:rPr>
                <w:rFonts w:hint="eastAsia"/>
                <w:lang w:val="en-US" w:eastAsia="zh-CN"/>
              </w:rPr>
              <w:t xml:space="preserve"> </w:t>
            </w:r>
            <w:r>
              <w:rPr>
                <w:rFonts w:hint="eastAsia"/>
              </w:rPr>
              <w:t>mm），使上下夹钳相互对齐和平行(确保试样受力后，任何一个夹钳都不产生偏斜)。</w:t>
            </w:r>
          </w:p>
          <w:p w14:paraId="0C5A1E38">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rPr>
            </w:pPr>
            <w:bookmarkStart w:id="591" w:name="_Toc34205848"/>
            <w:bookmarkStart w:id="592" w:name="_Toc22432"/>
            <w:bookmarkStart w:id="593" w:name="_Toc13314"/>
            <w:bookmarkStart w:id="594" w:name="_Toc90391645"/>
            <w:r>
              <w:rPr>
                <w:rFonts w:hint="eastAsia"/>
              </w:rPr>
              <w:t>操作方法</w:t>
            </w:r>
            <w:bookmarkEnd w:id="591"/>
            <w:bookmarkEnd w:id="592"/>
            <w:bookmarkEnd w:id="593"/>
            <w:bookmarkEnd w:id="594"/>
          </w:p>
          <w:p w14:paraId="45713A8A">
            <w:pPr>
              <w:pStyle w:val="538"/>
              <w:keepLines w:val="0"/>
              <w:pageBreakBefore w:val="0"/>
              <w:numPr>
                <w:ilvl w:val="3"/>
                <w:numId w:val="0"/>
              </w:numPr>
              <w:topLinePunct w:val="0"/>
              <w:bidi w:val="0"/>
              <w:spacing w:line="240" w:lineRule="auto"/>
              <w:ind w:left="0" w:leftChars="0" w:firstLine="0" w:firstLineChars="0"/>
              <w:rPr>
                <w:rFonts w:hint="eastAsia"/>
              </w:rPr>
            </w:pPr>
            <w:r>
              <w:rPr>
                <w:rFonts w:hint="eastAsia" w:ascii="黑体" w:hAnsi="Times New Roman" w:eastAsia="黑体" w:cs="Times New Roman"/>
                <w:b w:val="0"/>
                <w:i w:val="0"/>
                <w:kern w:val="21"/>
                <w:sz w:val="21"/>
                <w:szCs w:val="21"/>
                <w:lang w:val="en-US" w:eastAsia="zh-CN" w:bidi="ar-SA"/>
              </w:rPr>
              <w:t>D.4.4.1　</w:t>
            </w:r>
            <w:r>
              <w:rPr>
                <w:rFonts w:hint="eastAsia"/>
              </w:rPr>
              <w:t>将经试验用标准大气调湿后的试样在天平上分别称量，并记录其质量M。</w:t>
            </w:r>
          </w:p>
          <w:p w14:paraId="0C4D4450">
            <w:pPr>
              <w:pStyle w:val="538"/>
              <w:keepLines w:val="0"/>
              <w:pageBreakBefore w:val="0"/>
              <w:numPr>
                <w:ilvl w:val="3"/>
                <w:numId w:val="0"/>
              </w:numPr>
              <w:topLinePunct w:val="0"/>
              <w:bidi w:val="0"/>
              <w:spacing w:line="240" w:lineRule="auto"/>
              <w:ind w:left="0" w:leftChars="0" w:firstLine="0" w:firstLineChars="0"/>
              <w:rPr>
                <w:rFonts w:hint="eastAsia"/>
              </w:rPr>
            </w:pPr>
            <w:r>
              <w:rPr>
                <w:rFonts w:hint="eastAsia" w:ascii="黑体" w:hAnsi="Times New Roman" w:eastAsia="黑体" w:cs="Times New Roman"/>
                <w:b w:val="0"/>
                <w:i w:val="0"/>
                <w:kern w:val="21"/>
                <w:sz w:val="21"/>
                <w:szCs w:val="21"/>
                <w:lang w:val="en-US" w:eastAsia="zh-CN" w:bidi="ar-SA"/>
              </w:rPr>
              <w:t>D.4.4.2　</w:t>
            </w:r>
            <w:r>
              <w:rPr>
                <w:rFonts w:hint="eastAsia"/>
              </w:rPr>
              <w:t>在夹钳小心位置夹持试样，使试样纵向轴线与夹钳的钳口线互成直角。</w:t>
            </w:r>
          </w:p>
          <w:p w14:paraId="372F458F">
            <w:pPr>
              <w:pStyle w:val="538"/>
              <w:keepLines w:val="0"/>
              <w:pageBreakBefore w:val="0"/>
              <w:numPr>
                <w:ilvl w:val="3"/>
                <w:numId w:val="0"/>
              </w:numPr>
              <w:topLinePunct w:val="0"/>
              <w:bidi w:val="0"/>
              <w:spacing w:line="240" w:lineRule="auto"/>
              <w:ind w:left="0" w:leftChars="0" w:firstLine="0" w:firstLineChars="0"/>
              <w:rPr>
                <w:rFonts w:hint="eastAsia"/>
              </w:rPr>
            </w:pPr>
            <w:r>
              <w:rPr>
                <w:rFonts w:hint="eastAsia" w:ascii="黑体" w:hAnsi="Times New Roman" w:eastAsia="黑体" w:cs="Times New Roman"/>
                <w:b w:val="0"/>
                <w:i w:val="0"/>
                <w:kern w:val="21"/>
                <w:sz w:val="21"/>
                <w:szCs w:val="21"/>
                <w:lang w:val="en-US" w:eastAsia="zh-CN" w:bidi="ar-SA"/>
              </w:rPr>
              <w:t>D.4.4.3　</w:t>
            </w:r>
            <w:r>
              <w:rPr>
                <w:rFonts w:hint="eastAsia"/>
              </w:rPr>
              <w:t>开动强力试验机，使之按规定的拉伸速度拉伸至试样断裂，记录断裂时的最大拉伸力F。</w:t>
            </w:r>
          </w:p>
          <w:p w14:paraId="2FD345E3">
            <w:pPr>
              <w:pStyle w:val="538"/>
              <w:keepLines w:val="0"/>
              <w:pageBreakBefore w:val="0"/>
              <w:numPr>
                <w:ilvl w:val="3"/>
                <w:numId w:val="0"/>
              </w:numPr>
              <w:topLinePunct w:val="0"/>
              <w:bidi w:val="0"/>
              <w:spacing w:line="240" w:lineRule="auto"/>
              <w:ind w:left="0" w:leftChars="0" w:firstLine="0" w:firstLineChars="0"/>
              <w:rPr>
                <w:rFonts w:hint="eastAsia"/>
              </w:rPr>
            </w:pPr>
            <w:r>
              <w:rPr>
                <w:rFonts w:hint="eastAsia" w:ascii="黑体" w:hAnsi="Times New Roman" w:eastAsia="黑体" w:cs="Times New Roman"/>
                <w:b w:val="0"/>
                <w:i w:val="0"/>
                <w:kern w:val="21"/>
                <w:sz w:val="21"/>
                <w:szCs w:val="21"/>
                <w:lang w:val="en-US" w:eastAsia="zh-CN" w:bidi="ar-SA"/>
              </w:rPr>
              <w:t>D.4.4.4　</w:t>
            </w:r>
            <w:r>
              <w:rPr>
                <w:rFonts w:hint="eastAsia"/>
              </w:rPr>
              <w:t>结果的计算</w:t>
            </w:r>
          </w:p>
          <w:p w14:paraId="065BE37E">
            <w:pPr>
              <w:pStyle w:val="538"/>
              <w:keepLines w:val="0"/>
              <w:pageBreakBefore w:val="0"/>
              <w:topLinePunct w:val="0"/>
              <w:bidi w:val="0"/>
              <w:spacing w:line="240" w:lineRule="auto"/>
              <w:rPr>
                <w:rFonts w:hint="eastAsia"/>
              </w:rPr>
            </w:pPr>
            <w:r>
              <w:rPr>
                <w:rFonts w:hint="eastAsia"/>
              </w:rPr>
              <w:t xml:space="preserve">                                         F</w:t>
            </w:r>
          </w:p>
          <w:p w14:paraId="3F446427">
            <w:pPr>
              <w:keepLines w:val="0"/>
              <w:pageBreakBefore w:val="0"/>
              <w:topLinePunct w:val="0"/>
              <w:bidi w:val="0"/>
              <w:spacing w:line="240" w:lineRule="auto"/>
              <w:ind w:firstLine="420" w:firstLineChars="200"/>
              <w:jc w:val="right"/>
              <w:rPr>
                <w:rFonts w:hint="eastAsia" w:ascii="宋体" w:hAnsi="宋体"/>
                <w:color w:val="000000"/>
              </w:rPr>
            </w:pPr>
            <w:r>
              <w:rPr>
                <w:rFonts w:ascii="宋体" w:hAnsi="宋体"/>
                <w:color w:val="000000"/>
              </w:rPr>
              <mc:AlternateContent>
                <mc:Choice Requires="wps">
                  <w:drawing>
                    <wp:anchor distT="0" distB="0" distL="114300" distR="114300" simplePos="0" relativeHeight="251671552" behindDoc="0" locked="0" layoutInCell="1" allowOverlap="1">
                      <wp:simplePos x="0" y="0"/>
                      <wp:positionH relativeFrom="column">
                        <wp:posOffset>2687320</wp:posOffset>
                      </wp:positionH>
                      <wp:positionV relativeFrom="paragraph">
                        <wp:posOffset>99695</wp:posOffset>
                      </wp:positionV>
                      <wp:extent cx="259080" cy="0"/>
                      <wp:effectExtent l="0" t="4445" r="0" b="5080"/>
                      <wp:wrapNone/>
                      <wp:docPr id="307" name="直接箭头连接符 307"/>
                      <wp:cNvGraphicFramePr/>
                      <a:graphic xmlns:a="http://schemas.openxmlformats.org/drawingml/2006/main">
                        <a:graphicData uri="http://schemas.microsoft.com/office/word/2010/wordprocessingShape">
                          <wps:wsp>
                            <wps:cNvCnPr/>
                            <wps:spPr>
                              <a:xfrm>
                                <a:off x="0" y="0"/>
                                <a:ext cx="25908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11.6pt;margin-top:7.85pt;height:0pt;width:20.4pt;z-index:251671552;mso-width-relative:page;mso-height-relative:page;" filled="f" stroked="t" coordsize="21600,21600" o:gfxdata="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oUk2zXAAAACQEAAA8AAAAAAAAAAQAgAAAAIgAAAGRycy9k&#10;b3ducmV2LnhtbFBLAQIUABQAAAAIAIdO4kDEuPeWAwIAAP0DAAAOAAAAAAAAAAEAIAAAACYBAABk&#10;cnMvZTJvRG9jLnhtbFBLBQYAAAAABgAGAFkBAACbBQAAAAA=&#10;">
                      <v:fill on="f" focussize="0,0"/>
                      <v:stroke color="#000000" joinstyle="round"/>
                      <v:imagedata o:title=""/>
                      <o:lock v:ext="edit" aspectratio="f"/>
                    </v:shape>
                  </w:pict>
                </mc:Fallback>
              </mc:AlternateContent>
            </w:r>
            <w:r>
              <w:rPr>
                <w:rFonts w:ascii="宋体" w:hAnsi="宋体"/>
                <w:color w:val="000000"/>
              </w:rPr>
              <w:t>P</w:t>
            </w: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……………………（B.1）</w:t>
            </w:r>
          </w:p>
          <w:p w14:paraId="235E209E">
            <w:pPr>
              <w:keepLines w:val="0"/>
              <w:pageBreakBefore w:val="0"/>
              <w:topLinePunct w:val="0"/>
              <w:bidi w:val="0"/>
              <w:spacing w:line="240" w:lineRule="auto"/>
              <w:rPr>
                <w:rFonts w:hint="eastAsia" w:ascii="宋体" w:hAnsi="宋体"/>
                <w:color w:val="000000"/>
              </w:rPr>
            </w:pPr>
            <w:r>
              <w:rPr>
                <w:rFonts w:hint="eastAsia" w:ascii="宋体" w:hAnsi="宋体"/>
                <w:color w:val="000000"/>
              </w:rPr>
              <w:t xml:space="preserve">                                         M</w:t>
            </w:r>
          </w:p>
          <w:p w14:paraId="2EFD0D4B">
            <w:pPr>
              <w:keepLines w:val="0"/>
              <w:pageBreakBefore w:val="0"/>
              <w:topLinePunct w:val="0"/>
              <w:bidi w:val="0"/>
              <w:spacing w:line="240" w:lineRule="auto"/>
              <w:rPr>
                <w:rFonts w:hint="eastAsia" w:ascii="宋体" w:hAnsi="宋体"/>
                <w:color w:val="000000"/>
              </w:rPr>
            </w:pPr>
            <w:r>
              <w:rPr>
                <w:rFonts w:hint="eastAsia" w:ascii="宋体" w:hAnsi="宋体"/>
                <w:color w:val="000000"/>
              </w:rPr>
              <w:t>式中：</w:t>
            </w:r>
          </w:p>
          <w:p w14:paraId="037A5E7E">
            <w:pPr>
              <w:keepLines w:val="0"/>
              <w:pageBreakBefore w:val="0"/>
              <w:topLinePunct w:val="0"/>
              <w:bidi w:val="0"/>
              <w:spacing w:line="240" w:lineRule="auto"/>
              <w:ind w:firstLine="630" w:firstLineChars="300"/>
              <w:rPr>
                <w:rFonts w:hint="eastAsia" w:ascii="宋体" w:hAnsi="宋体"/>
                <w:color w:val="000000"/>
              </w:rPr>
            </w:pPr>
            <w:r>
              <w:rPr>
                <w:rFonts w:hint="eastAsia" w:ascii="宋体" w:hAnsi="宋体"/>
                <w:color w:val="000000"/>
              </w:rPr>
              <w:t>P——每条试样的抗拉强度，计算到二位小数，单位为牛每克（N／g）；</w:t>
            </w:r>
          </w:p>
          <w:p w14:paraId="75143F1E">
            <w:pPr>
              <w:keepLines w:val="0"/>
              <w:pageBreakBefore w:val="0"/>
              <w:topLinePunct w:val="0"/>
              <w:bidi w:val="0"/>
              <w:spacing w:line="240" w:lineRule="auto"/>
              <w:ind w:firstLine="630" w:firstLineChars="300"/>
              <w:rPr>
                <w:rFonts w:hint="eastAsia" w:ascii="宋体" w:hAnsi="宋体"/>
                <w:color w:val="000000"/>
              </w:rPr>
            </w:pPr>
            <w:r>
              <w:rPr>
                <w:rFonts w:hint="eastAsia" w:ascii="宋体" w:hAnsi="宋体"/>
                <w:color w:val="000000"/>
              </w:rPr>
              <w:t>F——每条试样被拉伸至断裂的最大拉伸力，单位为牛（N）；</w:t>
            </w:r>
          </w:p>
          <w:p w14:paraId="6C855467">
            <w:pPr>
              <w:keepLines w:val="0"/>
              <w:pageBreakBefore w:val="0"/>
              <w:topLinePunct w:val="0"/>
              <w:bidi w:val="0"/>
              <w:spacing w:line="240" w:lineRule="auto"/>
              <w:ind w:firstLine="630" w:firstLineChars="300"/>
              <w:rPr>
                <w:rFonts w:hint="eastAsia" w:ascii="宋体" w:hAnsi="宋体"/>
                <w:color w:val="000000"/>
              </w:rPr>
            </w:pPr>
            <w:r>
              <w:rPr>
                <w:rFonts w:hint="eastAsia" w:ascii="宋体" w:hAnsi="宋体"/>
                <w:color w:val="000000"/>
              </w:rPr>
              <w:drawing>
                <wp:anchor distT="0" distB="0" distL="114300" distR="114300" simplePos="0" relativeHeight="251673600" behindDoc="0" locked="0" layoutInCell="1" allowOverlap="1">
                  <wp:simplePos x="0" y="0"/>
                  <wp:positionH relativeFrom="column">
                    <wp:posOffset>2517775</wp:posOffset>
                  </wp:positionH>
                  <wp:positionV relativeFrom="paragraph">
                    <wp:posOffset>386080</wp:posOffset>
                  </wp:positionV>
                  <wp:extent cx="431165" cy="431165"/>
                  <wp:effectExtent l="0" t="0" r="0" b="6350"/>
                  <wp:wrapNone/>
                  <wp:docPr id="3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pic:cNvPicPr>
                            <a:picLocks noChangeAspect="1"/>
                          </pic:cNvPicPr>
                        </pic:nvPicPr>
                        <pic:blipFill>
                          <a:blip r:embed="rId20"/>
                          <a:stretch>
                            <a:fillRect/>
                          </a:stretch>
                        </pic:blipFill>
                        <pic:spPr>
                          <a:xfrm>
                            <a:off x="0" y="0"/>
                            <a:ext cx="431165" cy="431165"/>
                          </a:xfrm>
                          <a:prstGeom prst="rect">
                            <a:avLst/>
                          </a:prstGeom>
                          <a:noFill/>
                          <a:ln>
                            <a:noFill/>
                          </a:ln>
                        </pic:spPr>
                      </pic:pic>
                    </a:graphicData>
                  </a:graphic>
                </wp:anchor>
              </w:drawing>
            </w:r>
            <w:r>
              <w:rPr>
                <w:rFonts w:hint="eastAsia" w:ascii="宋体" w:hAnsi="宋体"/>
                <w:color w:val="000000"/>
              </w:rPr>
              <w:drawing>
                <wp:anchor distT="0" distB="0" distL="114300" distR="114300" simplePos="0" relativeHeight="251672576" behindDoc="0" locked="0" layoutInCell="1" allowOverlap="1">
                  <wp:simplePos x="0" y="0"/>
                  <wp:positionH relativeFrom="column">
                    <wp:posOffset>306070</wp:posOffset>
                  </wp:positionH>
                  <wp:positionV relativeFrom="paragraph">
                    <wp:posOffset>195580</wp:posOffset>
                  </wp:positionV>
                  <wp:extent cx="20320" cy="18415"/>
                  <wp:effectExtent l="0" t="0" r="0" b="0"/>
                  <wp:wrapNone/>
                  <wp:docPr id="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pic:cNvPicPr>
                            <a:picLocks noChangeAspect="1"/>
                          </pic:cNvPicPr>
                        </pic:nvPicPr>
                        <pic:blipFill>
                          <a:blip r:embed="rId21"/>
                          <a:stretch>
                            <a:fillRect/>
                          </a:stretch>
                        </pic:blipFill>
                        <pic:spPr>
                          <a:xfrm>
                            <a:off x="0" y="0"/>
                            <a:ext cx="20320" cy="18415"/>
                          </a:xfrm>
                          <a:prstGeom prst="rect">
                            <a:avLst/>
                          </a:prstGeom>
                          <a:noFill/>
                          <a:ln>
                            <a:noFill/>
                          </a:ln>
                        </pic:spPr>
                      </pic:pic>
                    </a:graphicData>
                  </a:graphic>
                </wp:anchor>
              </w:drawing>
            </w:r>
            <w:r>
              <w:rPr>
                <w:rFonts w:hint="eastAsia" w:ascii="宋体" w:hAnsi="宋体"/>
                <w:color w:val="000000"/>
              </w:rPr>
              <w:t>M——每条试样在上下夹钳之间被拉伸的有效长度内的质量，单位为克（g）。</w:t>
            </w:r>
          </w:p>
          <w:p w14:paraId="33DF260A">
            <w:pPr>
              <w:pStyle w:val="269"/>
              <w:keepLines w:val="0"/>
              <w:pageBreakBefore w:val="0"/>
              <w:tabs>
                <w:tab w:val="center" w:pos="4201"/>
                <w:tab w:val="right" w:leader="dot" w:pos="9298"/>
              </w:tabs>
              <w:topLinePunct w:val="0"/>
              <w:bidi w:val="0"/>
              <w:spacing w:line="240" w:lineRule="auto"/>
              <w:rPr>
                <w:rFonts w:hint="eastAsia"/>
              </w:rPr>
            </w:pPr>
          </w:p>
          <w:p w14:paraId="7F923525">
            <w:pPr>
              <w:pStyle w:val="269"/>
              <w:keepLines w:val="0"/>
              <w:pageBreakBefore w:val="0"/>
              <w:tabs>
                <w:tab w:val="center" w:pos="4201"/>
                <w:tab w:val="right" w:leader="dot" w:pos="9298"/>
              </w:tabs>
              <w:topLinePunct w:val="0"/>
              <w:bidi w:val="0"/>
              <w:spacing w:line="240" w:lineRule="auto"/>
              <w:rPr>
                <w:rFonts w:hint="eastAsia"/>
              </w:rPr>
            </w:pPr>
          </w:p>
          <w:p w14:paraId="2C60360B">
            <w:pPr>
              <w:keepLines w:val="0"/>
              <w:pageBreakBefore w:val="0"/>
              <w:wordWrap w:val="0"/>
              <w:topLinePunct w:val="0"/>
              <w:bidi w:val="0"/>
              <w:spacing w:line="240" w:lineRule="auto"/>
              <w:ind w:firstLine="1890" w:firstLineChars="900"/>
              <w:jc w:val="right"/>
              <w:rPr>
                <w:rFonts w:hint="eastAsia" w:ascii="宋体" w:hAnsi="宋体"/>
                <w:color w:val="000000"/>
              </w:rP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2419350</wp:posOffset>
                      </wp:positionH>
                      <wp:positionV relativeFrom="paragraph">
                        <wp:posOffset>53975</wp:posOffset>
                      </wp:positionV>
                      <wp:extent cx="555625" cy="12065"/>
                      <wp:effectExtent l="0" t="4445" r="15875" b="12065"/>
                      <wp:wrapNone/>
                      <wp:docPr id="311" name="直接箭头连接符 311"/>
                      <wp:cNvGraphicFramePr/>
                      <a:graphic xmlns:a="http://schemas.openxmlformats.org/drawingml/2006/main">
                        <a:graphicData uri="http://schemas.microsoft.com/office/word/2010/wordprocessingShape">
                          <wps:wsp>
                            <wps:cNvCnPr/>
                            <wps:spPr>
                              <a:xfrm>
                                <a:off x="0" y="0"/>
                                <a:ext cx="555625" cy="1206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90.5pt;margin-top:4.25pt;height:0.95pt;width:43.75pt;z-index:251674624;mso-width-relative:page;mso-height-relative:page;" filled="f" stroked="t" coordsize="21600,21600" o:gfxdata="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9oiJ1wAAAAgBAAAPAAAAAAAAAAEAIAAAACIAAABkcnMv&#10;ZG93bnJldi54bWxQSwECFAAUAAAACACHTuJA3qn05AQCAAABBAAADgAAAAAAAAABACAAAAAmAQAA&#10;ZHJzL2Uyb0RvYy54bWxQSwUGAAAAAAYABgBZAQAAnAUAAAAA&#10;">
                      <v:fill on="f" focussize="0,0"/>
                      <v:stroke color="#000000" joinstyle="round"/>
                      <v:imagedata o:title=""/>
                      <o:lock v:ext="edit" aspectratio="f"/>
                    </v:shape>
                  </w:pict>
                </mc:Fallback>
              </mc:AlternateContent>
            </w:r>
            <w:r>
              <w:rPr>
                <w:rFonts w:hint="eastAsia" w:ascii="宋体" w:hAnsi="宋体"/>
                <w:color w:val="000000"/>
              </w:rPr>
              <w:t xml:space="preserve">G=   </w:t>
            </w:r>
            <w:r>
              <w:rPr>
                <w:rFonts w:hint="eastAsia" w:ascii="宋体" w:hAnsi="宋体"/>
                <w:color w:val="000000"/>
                <w:lang w:val="en-US" w:eastAsia="zh-CN"/>
              </w:rPr>
              <w:t xml:space="preserve">      </w:t>
            </w:r>
            <w:r>
              <w:rPr>
                <w:rFonts w:hint="eastAsia" w:ascii="宋体" w:hAnsi="宋体"/>
                <w:color w:val="000000"/>
              </w:rPr>
              <w:t>……………………（B.2）</w:t>
            </w:r>
          </w:p>
          <w:p w14:paraId="799D5367">
            <w:pPr>
              <w:keepLines w:val="0"/>
              <w:pageBreakBefore w:val="0"/>
              <w:wordWrap w:val="0"/>
              <w:topLinePunct w:val="0"/>
              <w:bidi w:val="0"/>
              <w:spacing w:line="240" w:lineRule="auto"/>
              <w:ind w:right="2837" w:rightChars="1351" w:firstLine="1890" w:firstLineChars="900"/>
              <w:jc w:val="right"/>
              <w:rPr>
                <w:rFonts w:hint="eastAsia" w:ascii="宋体" w:hAnsi="宋体"/>
                <w:color w:val="000000"/>
              </w:rPr>
            </w:pPr>
            <w:r>
              <w:rPr>
                <w:rFonts w:hint="eastAsia" w:ascii="宋体" w:hAnsi="宋体"/>
                <w:color w:val="000000"/>
              </w:rPr>
              <w:t xml:space="preserve"> n </w:t>
            </w:r>
          </w:p>
          <w:p w14:paraId="0A31C56C">
            <w:pPr>
              <w:keepLines w:val="0"/>
              <w:pageBreakBefore w:val="0"/>
              <w:topLinePunct w:val="0"/>
              <w:bidi w:val="0"/>
              <w:spacing w:line="240" w:lineRule="auto"/>
              <w:rPr>
                <w:rFonts w:hint="eastAsia" w:ascii="宋体" w:hAnsi="宋体"/>
                <w:color w:val="000000"/>
              </w:rPr>
            </w:pPr>
            <w:r>
              <w:rPr>
                <w:rFonts w:hint="eastAsia" w:ascii="宋体" w:hAnsi="宋体"/>
                <w:color w:val="000000"/>
              </w:rPr>
              <w:t>式中：</w:t>
            </w:r>
          </w:p>
          <w:p w14:paraId="353FB4A2">
            <w:pPr>
              <w:keepLines w:val="0"/>
              <w:pageBreakBefore w:val="0"/>
              <w:topLinePunct w:val="0"/>
              <w:bidi w:val="0"/>
              <w:spacing w:line="240" w:lineRule="auto"/>
              <w:ind w:firstLine="567" w:firstLineChars="270"/>
              <w:rPr>
                <w:rFonts w:hint="eastAsia" w:ascii="宋体" w:hAnsi="宋体"/>
                <w:color w:val="000000"/>
              </w:rPr>
            </w:pPr>
            <w:r>
              <w:rPr>
                <w:rFonts w:hint="eastAsia" w:ascii="宋体" w:hAnsi="宋体"/>
                <w:color w:val="000000"/>
              </w:rPr>
              <w:t>G——试样的平均抗拉强度</w:t>
            </w:r>
            <w:r>
              <w:rPr>
                <w:rFonts w:hint="eastAsia" w:ascii="宋体" w:hAnsi="宋体"/>
                <w:color w:val="000000"/>
                <w:lang w:eastAsia="zh-CN"/>
              </w:rPr>
              <w:t>，</w:t>
            </w:r>
            <w:r>
              <w:rPr>
                <w:rFonts w:hint="eastAsia" w:ascii="宋体" w:hAnsi="宋体"/>
                <w:color w:val="000000"/>
              </w:rPr>
              <w:t>计算到二位小数，按GB 8170修约到一位小数；</w:t>
            </w:r>
          </w:p>
          <w:p w14:paraId="61EB9FB3">
            <w:pPr>
              <w:keepLines w:val="0"/>
              <w:pageBreakBefore w:val="0"/>
              <w:topLinePunct w:val="0"/>
              <w:bidi w:val="0"/>
              <w:spacing w:line="240" w:lineRule="auto"/>
              <w:rPr>
                <w:rFonts w:hint="eastAsia" w:ascii="宋体" w:hAnsi="宋体"/>
                <w:color w:val="000000"/>
              </w:rPr>
            </w:pPr>
            <w:r>
              <w:rPr>
                <w:rFonts w:hint="eastAsia" w:ascii="宋体" w:hAnsi="宋体"/>
                <w:color w:val="000000"/>
              </w:rPr>
              <w:drawing>
                <wp:anchor distT="0" distB="0" distL="114300" distR="114300" simplePos="0" relativeHeight="251675648" behindDoc="0" locked="0" layoutInCell="1" allowOverlap="1">
                  <wp:simplePos x="0" y="0"/>
                  <wp:positionH relativeFrom="column">
                    <wp:posOffset>221615</wp:posOffset>
                  </wp:positionH>
                  <wp:positionV relativeFrom="paragraph">
                    <wp:posOffset>27305</wp:posOffset>
                  </wp:positionV>
                  <wp:extent cx="431165" cy="431165"/>
                  <wp:effectExtent l="0" t="0" r="0" b="6350"/>
                  <wp:wrapNone/>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pic:cNvPicPr>
                        </pic:nvPicPr>
                        <pic:blipFill>
                          <a:blip r:embed="rId20"/>
                          <a:stretch>
                            <a:fillRect/>
                          </a:stretch>
                        </pic:blipFill>
                        <pic:spPr>
                          <a:xfrm>
                            <a:off x="0" y="0"/>
                            <a:ext cx="431165" cy="431165"/>
                          </a:xfrm>
                          <a:prstGeom prst="rect">
                            <a:avLst/>
                          </a:prstGeom>
                          <a:noFill/>
                          <a:ln>
                            <a:noFill/>
                          </a:ln>
                        </pic:spPr>
                      </pic:pic>
                    </a:graphicData>
                  </a:graphic>
                </wp:anchor>
              </w:drawing>
            </w:r>
          </w:p>
          <w:p w14:paraId="0931D7C7">
            <w:pPr>
              <w:keepLines w:val="0"/>
              <w:pageBreakBefore w:val="0"/>
              <w:topLinePunct w:val="0"/>
              <w:bidi w:val="0"/>
              <w:spacing w:line="240" w:lineRule="auto"/>
              <w:rPr>
                <w:rFonts w:hint="eastAsia" w:ascii="宋体" w:hAnsi="宋体"/>
                <w:color w:val="000000"/>
              </w:rPr>
            </w:pPr>
            <w:r>
              <w:rPr>
                <w:rFonts w:hint="eastAsia" w:ascii="宋体" w:hAnsi="宋体"/>
                <w:color w:val="000000"/>
              </w:rPr>
              <w:t xml:space="preserve">            ——每条试样抗拉强度的总和，单位为牛每克（N／g）；</w:t>
            </w:r>
          </w:p>
          <w:p w14:paraId="5CF0DE2A">
            <w:pPr>
              <w:keepLines w:val="0"/>
              <w:pageBreakBefore w:val="0"/>
              <w:topLinePunct w:val="0"/>
              <w:bidi w:val="0"/>
              <w:spacing w:line="240" w:lineRule="auto"/>
              <w:ind w:firstLine="420"/>
              <w:rPr>
                <w:rFonts w:hint="eastAsia" w:ascii="宋体" w:hAnsi="宋体"/>
                <w:color w:val="000000"/>
              </w:rPr>
            </w:pPr>
            <w:r>
              <w:rPr>
                <w:rFonts w:hint="eastAsia" w:ascii="宋体" w:hAnsi="宋体"/>
                <w:color w:val="000000"/>
              </w:rPr>
              <w:t>n——测试次数。</w:t>
            </w:r>
          </w:p>
          <w:p w14:paraId="1B8F4A3E">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595" w:name="_Toc90391646"/>
            <w:bookmarkStart w:id="596" w:name="_Toc31351"/>
            <w:bookmarkStart w:id="597" w:name="_Toc20312"/>
            <w:bookmarkStart w:id="598" w:name="_Toc34205849"/>
            <w:r>
              <w:rPr>
                <w:rFonts w:hint="eastAsia"/>
              </w:rPr>
              <w:t>平行法试样剪裁示意</w:t>
            </w:r>
            <w:bookmarkEnd w:id="595"/>
            <w:bookmarkEnd w:id="596"/>
            <w:bookmarkEnd w:id="597"/>
            <w:bookmarkEnd w:id="598"/>
          </w:p>
          <w:p w14:paraId="3B3A1D12">
            <w:pPr>
              <w:pStyle w:val="269"/>
              <w:keepLines w:val="0"/>
              <w:pageBreakBefore w:val="0"/>
              <w:tabs>
                <w:tab w:val="center" w:pos="4201"/>
                <w:tab w:val="right" w:leader="dot" w:pos="9298"/>
              </w:tabs>
              <w:topLinePunct w:val="0"/>
              <w:bidi w:val="0"/>
              <w:spacing w:line="240" w:lineRule="auto"/>
              <w:ind w:firstLine="0" w:firstLineChars="0"/>
              <w:jc w:val="center"/>
              <w:rPr>
                <w:rFonts w:hint="eastAsia"/>
              </w:rPr>
            </w:pPr>
            <w:r>
              <w:rPr>
                <w:rFonts w:hint="eastAsia"/>
              </w:rPr>
              <w:t>平行法试样剪裁示意图</w:t>
            </w:r>
          </w:p>
          <w:p w14:paraId="79D3D217">
            <w:pPr>
              <w:bidi w:val="0"/>
              <w:rPr>
                <w:rFonts w:hint="eastAsia"/>
              </w:rPr>
            </w:pPr>
            <w:r>
              <w:rPr>
                <w:rFonts w:hint="eastAsia"/>
              </w:rPr>
              <w:drawing>
                <wp:anchor distT="0" distB="0" distL="114300" distR="114300" simplePos="0" relativeHeight="251670528" behindDoc="0" locked="0" layoutInCell="1" allowOverlap="1">
                  <wp:simplePos x="0" y="0"/>
                  <wp:positionH relativeFrom="column">
                    <wp:posOffset>1120775</wp:posOffset>
                  </wp:positionH>
                  <wp:positionV relativeFrom="paragraph">
                    <wp:posOffset>43815</wp:posOffset>
                  </wp:positionV>
                  <wp:extent cx="2680970" cy="1334135"/>
                  <wp:effectExtent l="0" t="0" r="5080" b="18415"/>
                  <wp:wrapNone/>
                  <wp:docPr id="1" name="图片 34" descr="出厂报告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4" descr="出厂报告 004"/>
                          <pic:cNvPicPr>
                            <a:picLocks noChangeAspect="1"/>
                          </pic:cNvPicPr>
                        </pic:nvPicPr>
                        <pic:blipFill>
                          <a:blip r:embed="rId22"/>
                          <a:stretch>
                            <a:fillRect/>
                          </a:stretch>
                        </pic:blipFill>
                        <pic:spPr>
                          <a:xfrm>
                            <a:off x="0" y="0"/>
                            <a:ext cx="2680970" cy="1334135"/>
                          </a:xfrm>
                          <a:prstGeom prst="rect">
                            <a:avLst/>
                          </a:prstGeom>
                          <a:noFill/>
                          <a:ln>
                            <a:noFill/>
                          </a:ln>
                        </pic:spPr>
                      </pic:pic>
                    </a:graphicData>
                  </a:graphic>
                </wp:anchor>
              </w:drawing>
            </w:r>
          </w:p>
          <w:p w14:paraId="65F4D303">
            <w:pPr>
              <w:pStyle w:val="269"/>
              <w:keepLines w:val="0"/>
              <w:pageBreakBefore w:val="0"/>
              <w:tabs>
                <w:tab w:val="center" w:pos="4201"/>
                <w:tab w:val="right" w:leader="dot" w:pos="9298"/>
              </w:tabs>
              <w:topLinePunct w:val="0"/>
              <w:bidi w:val="0"/>
              <w:spacing w:line="240" w:lineRule="auto"/>
              <w:rPr>
                <w:rFonts w:hint="eastAsia"/>
              </w:rPr>
            </w:pPr>
          </w:p>
          <w:p w14:paraId="5310A453">
            <w:pPr>
              <w:pStyle w:val="269"/>
              <w:keepLines w:val="0"/>
              <w:pageBreakBefore w:val="0"/>
              <w:tabs>
                <w:tab w:val="center" w:pos="4201"/>
                <w:tab w:val="right" w:leader="dot" w:pos="9298"/>
              </w:tabs>
              <w:topLinePunct w:val="0"/>
              <w:bidi w:val="0"/>
              <w:spacing w:line="240" w:lineRule="auto"/>
              <w:rPr>
                <w:rFonts w:hint="eastAsia"/>
              </w:rPr>
            </w:pPr>
          </w:p>
          <w:p w14:paraId="05CBD928">
            <w:pPr>
              <w:pStyle w:val="269"/>
              <w:keepLines w:val="0"/>
              <w:pageBreakBefore w:val="0"/>
              <w:tabs>
                <w:tab w:val="center" w:pos="4201"/>
                <w:tab w:val="right" w:leader="dot" w:pos="9298"/>
              </w:tabs>
              <w:topLinePunct w:val="0"/>
              <w:bidi w:val="0"/>
              <w:spacing w:line="240" w:lineRule="auto"/>
              <w:rPr>
                <w:rFonts w:hint="eastAsia"/>
              </w:rPr>
            </w:pPr>
          </w:p>
          <w:p w14:paraId="5E128D52">
            <w:pPr>
              <w:pStyle w:val="269"/>
              <w:keepLines w:val="0"/>
              <w:pageBreakBefore w:val="0"/>
              <w:tabs>
                <w:tab w:val="center" w:pos="4201"/>
                <w:tab w:val="right" w:leader="dot" w:pos="9298"/>
              </w:tabs>
              <w:topLinePunct w:val="0"/>
              <w:bidi w:val="0"/>
              <w:spacing w:line="240" w:lineRule="auto"/>
              <w:rPr>
                <w:rFonts w:hint="eastAsia"/>
              </w:rPr>
            </w:pPr>
          </w:p>
          <w:p w14:paraId="33F5935E">
            <w:pPr>
              <w:pStyle w:val="269"/>
              <w:keepLines w:val="0"/>
              <w:pageBreakBefore w:val="0"/>
              <w:tabs>
                <w:tab w:val="center" w:pos="4201"/>
                <w:tab w:val="right" w:leader="dot" w:pos="9298"/>
              </w:tabs>
              <w:topLinePunct w:val="0"/>
              <w:bidi w:val="0"/>
              <w:spacing w:line="240" w:lineRule="auto"/>
              <w:rPr>
                <w:rFonts w:hint="eastAsia"/>
              </w:rPr>
            </w:pPr>
          </w:p>
          <w:p w14:paraId="4A73EA27">
            <w:pPr>
              <w:pStyle w:val="269"/>
              <w:keepLines w:val="0"/>
              <w:pageBreakBefore w:val="0"/>
              <w:tabs>
                <w:tab w:val="center" w:pos="4201"/>
                <w:tab w:val="right" w:leader="dot" w:pos="9298"/>
              </w:tabs>
              <w:topLinePunct w:val="0"/>
              <w:bidi w:val="0"/>
              <w:spacing w:line="240" w:lineRule="auto"/>
              <w:rPr>
                <w:rFonts w:hint="eastAsia"/>
              </w:rPr>
            </w:pPr>
          </w:p>
          <w:p w14:paraId="6D590989">
            <w:pPr>
              <w:pStyle w:val="269"/>
              <w:keepLines w:val="0"/>
              <w:pageBreakBefore w:val="0"/>
              <w:tabs>
                <w:tab w:val="center" w:pos="4201"/>
                <w:tab w:val="right" w:leader="dot" w:pos="9298"/>
              </w:tabs>
              <w:topLinePunct w:val="0"/>
              <w:bidi w:val="0"/>
              <w:spacing w:line="240" w:lineRule="auto"/>
              <w:ind w:firstLine="0" w:firstLineChars="0"/>
              <w:rPr>
                <w:rFonts w:hint="eastAsia"/>
              </w:rPr>
            </w:pPr>
          </w:p>
          <w:p w14:paraId="6C0CC085">
            <w:pPr>
              <w:keepLines w:val="0"/>
              <w:pageBreakBefore w:val="0"/>
              <w:topLinePunct w:val="0"/>
              <w:bidi w:val="0"/>
              <w:spacing w:line="240" w:lineRule="auto"/>
              <w:jc w:val="center"/>
              <w:rPr>
                <w:rFonts w:hint="eastAsia" w:ascii="黑体" w:hAnsi="黑体" w:eastAsia="黑体"/>
                <w:color w:val="000000"/>
              </w:rPr>
            </w:pPr>
            <w:r>
              <w:rPr>
                <w:rFonts w:hint="eastAsia" w:ascii="黑体" w:hAnsi="黑体" w:eastAsia="黑体"/>
                <w:color w:val="auto"/>
              </w:rPr>
              <w:t xml:space="preserve">图B.5 </w:t>
            </w:r>
            <w:r>
              <w:rPr>
                <w:rFonts w:hint="eastAsia" w:ascii="黑体" w:hAnsi="黑体" w:eastAsia="黑体"/>
                <w:color w:val="000000"/>
              </w:rPr>
              <w:t>平行法试样剪裁示意图</w:t>
            </w:r>
          </w:p>
          <w:p w14:paraId="015AFED3">
            <w:pPr>
              <w:keepLines w:val="0"/>
              <w:pageBreakBefore w:val="0"/>
              <w:topLinePunct w:val="0"/>
              <w:bidi w:val="0"/>
              <w:spacing w:line="240" w:lineRule="auto"/>
              <w:jc w:val="center"/>
              <w:rPr>
                <w:rFonts w:hint="eastAsia" w:ascii="黑体" w:hAnsi="黑体" w:eastAsia="黑体"/>
                <w:color w:val="000000"/>
              </w:rPr>
            </w:pPr>
            <w:r>
              <w:rPr>
                <w:rFonts w:hint="eastAsia" w:ascii="黑体" w:hAnsi="黑体" w:eastAsia="黑体"/>
                <w:color w:val="000000"/>
              </w:rPr>
              <w:t>d-试样原样品边的距离，大于1/10幅宽</w:t>
            </w:r>
          </w:p>
          <w:p w14:paraId="6FC3926B">
            <w:pPr>
              <w:keepLines w:val="0"/>
              <w:pageBreakBefore w:val="0"/>
              <w:topLinePunct w:val="0"/>
              <w:bidi w:val="0"/>
              <w:spacing w:line="240" w:lineRule="auto"/>
              <w:jc w:val="center"/>
              <w:rPr>
                <w:rFonts w:hint="eastAsia" w:ascii="黑体" w:hAnsi="黑体" w:eastAsia="黑体"/>
                <w:color w:val="000000"/>
              </w:rPr>
            </w:pPr>
            <w:r>
              <w:rPr>
                <w:rFonts w:hint="eastAsia" w:ascii="黑体" w:hAnsi="黑体" w:eastAsia="黑体"/>
                <w:color w:val="000000"/>
              </w:rPr>
              <w:t>T-纵向，W-横向</w:t>
            </w:r>
          </w:p>
          <w:p w14:paraId="5D224B31">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599" w:name="_Toc90391647"/>
            <w:bookmarkStart w:id="600" w:name="_Toc22982"/>
            <w:bookmarkStart w:id="601" w:name="_Toc6770"/>
            <w:bookmarkStart w:id="602" w:name="_Toc34205850"/>
            <w:r>
              <w:rPr>
                <w:rFonts w:hint="eastAsia"/>
              </w:rPr>
              <w:t>蓬松度及压缩弹性率的测定</w:t>
            </w:r>
            <w:bookmarkEnd w:id="599"/>
            <w:bookmarkEnd w:id="600"/>
            <w:bookmarkEnd w:id="601"/>
            <w:bookmarkEnd w:id="602"/>
          </w:p>
          <w:p w14:paraId="4D09ECE0">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color w:val="auto"/>
              </w:rPr>
            </w:pPr>
            <w:bookmarkStart w:id="603" w:name="_Toc90391648"/>
            <w:bookmarkStart w:id="604" w:name="_Toc25133"/>
            <w:bookmarkStart w:id="605" w:name="_Toc34205851"/>
            <w:bookmarkStart w:id="606" w:name="_Toc4513"/>
            <w:r>
              <w:rPr>
                <w:rFonts w:hint="eastAsia"/>
                <w:color w:val="auto"/>
              </w:rPr>
              <w:t>A取样：</w:t>
            </w:r>
            <w:bookmarkEnd w:id="603"/>
            <w:bookmarkEnd w:id="604"/>
            <w:bookmarkEnd w:id="605"/>
            <w:bookmarkEnd w:id="606"/>
          </w:p>
          <w:p w14:paraId="07530D1E">
            <w:pPr>
              <w:keepLines w:val="0"/>
              <w:pageBreakBefore w:val="0"/>
              <w:topLinePunct w:val="0"/>
              <w:bidi w:val="0"/>
              <w:spacing w:after="120" w:line="240" w:lineRule="auto"/>
              <w:ind w:leftChars="-135" w:hanging="283" w:hangingChars="135"/>
              <w:rPr>
                <w:rFonts w:hint="eastAsia" w:ascii="宋体" w:hAnsi="宋体"/>
                <w:color w:val="000000"/>
              </w:rPr>
            </w:pPr>
            <w:r>
              <w:rPr>
                <w:rFonts w:hint="eastAsia" w:ascii="宋体" w:hAnsi="宋体"/>
                <w:color w:val="000000"/>
              </w:rPr>
              <w:t xml:space="preserve">      在距样品两边1/10幅宽以上部位取下试样。取样方法用梯形法或平行法都可。</w:t>
            </w:r>
          </w:p>
          <w:p w14:paraId="17E03B80">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rPr>
            </w:pPr>
            <w:bookmarkStart w:id="607" w:name="_Toc34205852"/>
            <w:bookmarkStart w:id="608" w:name="_Toc7311"/>
            <w:bookmarkStart w:id="609" w:name="_Toc90391649"/>
            <w:bookmarkStart w:id="610" w:name="_Toc21283"/>
            <w:r>
              <w:rPr>
                <w:rFonts w:hint="eastAsia"/>
              </w:rPr>
              <w:t>试样尺寸及数量：</w:t>
            </w:r>
            <w:bookmarkEnd w:id="607"/>
            <w:bookmarkEnd w:id="608"/>
            <w:bookmarkEnd w:id="609"/>
            <w:bookmarkEnd w:id="610"/>
          </w:p>
          <w:p w14:paraId="3D434EEC">
            <w:pPr>
              <w:keepLines w:val="0"/>
              <w:pageBreakBefore w:val="0"/>
              <w:topLinePunct w:val="0"/>
              <w:bidi w:val="0"/>
              <w:spacing w:line="240" w:lineRule="auto"/>
              <w:ind w:firstLine="424" w:firstLineChars="202"/>
              <w:rPr>
                <w:rFonts w:hint="eastAsia" w:ascii="宋体" w:hAnsi="宋体"/>
                <w:color w:val="000000"/>
              </w:rPr>
            </w:pPr>
            <w:r>
              <w:rPr>
                <w:rFonts w:hint="eastAsia" w:ascii="宋体" w:hAnsi="宋体"/>
                <w:color w:val="000000"/>
              </w:rPr>
              <w:t>试样为100</w:t>
            </w:r>
            <w:r>
              <w:rPr>
                <w:rFonts w:hint="eastAsia" w:ascii="宋体" w:hAnsi="宋体"/>
                <w:color w:val="000000"/>
                <w:lang w:val="en-US" w:eastAsia="zh-CN"/>
              </w:rPr>
              <w:t xml:space="preserve"> </w:t>
            </w:r>
            <w:r>
              <w:rPr>
                <w:rFonts w:hint="eastAsia" w:ascii="宋体" w:hAnsi="宋体"/>
                <w:color w:val="000000"/>
              </w:rPr>
              <w:t>cm</w:t>
            </w:r>
            <w:r>
              <w:rPr>
                <w:rFonts w:hint="eastAsia" w:ascii="宋体" w:hAnsi="宋体"/>
                <w:color w:val="000000"/>
                <w:vertAlign w:val="superscript"/>
              </w:rPr>
              <w:t>2</w:t>
            </w:r>
            <w:r>
              <w:rPr>
                <w:rFonts w:hint="eastAsia" w:ascii="宋体" w:hAnsi="宋体"/>
                <w:color w:val="000000"/>
              </w:rPr>
              <w:t>（直径为11.28</w:t>
            </w:r>
            <w:r>
              <w:rPr>
                <w:rFonts w:hint="eastAsia" w:ascii="宋体" w:hAnsi="宋体"/>
                <w:color w:val="000000"/>
                <w:lang w:val="en-US" w:eastAsia="zh-CN"/>
              </w:rPr>
              <w:t xml:space="preserve"> </w:t>
            </w:r>
            <w:r>
              <w:rPr>
                <w:rFonts w:hint="eastAsia" w:ascii="宋体" w:hAnsi="宋体"/>
                <w:color w:val="000000"/>
              </w:rPr>
              <w:t>cm）的圆形试样5块。</w:t>
            </w:r>
          </w:p>
          <w:p w14:paraId="69352E04">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rPr>
            </w:pPr>
            <w:bookmarkStart w:id="611" w:name="_Toc21534"/>
            <w:bookmarkStart w:id="612" w:name="_Toc90391650"/>
            <w:bookmarkStart w:id="613" w:name="_Toc34205853"/>
            <w:bookmarkStart w:id="614" w:name="_Toc21140"/>
            <w:r>
              <w:rPr>
                <w:rFonts w:hint="eastAsia"/>
              </w:rPr>
              <w:t>调湿和试验用的标准大气</w:t>
            </w:r>
            <w:bookmarkEnd w:id="611"/>
            <w:bookmarkEnd w:id="612"/>
            <w:bookmarkEnd w:id="613"/>
            <w:bookmarkEnd w:id="614"/>
          </w:p>
          <w:p w14:paraId="1FC48078">
            <w:pPr>
              <w:keepLines w:val="0"/>
              <w:pageBreakBefore w:val="0"/>
              <w:numPr>
                <w:ilvl w:val="3"/>
                <w:numId w:val="0"/>
              </w:numPr>
              <w:topLinePunct w:val="0"/>
              <w:bidi w:val="0"/>
              <w:spacing w:line="240" w:lineRule="auto"/>
              <w:ind w:left="0" w:leftChars="0" w:firstLine="0" w:firstLineChars="0"/>
              <w:rPr>
                <w:rFonts w:hint="eastAsia" w:ascii="宋体" w:hAnsi="宋体"/>
                <w:color w:val="000000"/>
              </w:rPr>
            </w:pPr>
            <w:r>
              <w:rPr>
                <w:rFonts w:hint="eastAsia" w:ascii="黑体" w:hAnsi="Times New Roman" w:eastAsia="黑体" w:cs="Times New Roman"/>
                <w:b w:val="0"/>
                <w:i w:val="0"/>
                <w:color w:val="000000"/>
                <w:kern w:val="2"/>
                <w:sz w:val="21"/>
                <w:szCs w:val="22"/>
                <w:lang w:val="en-US" w:eastAsia="zh-CN" w:bidi="ar-SA"/>
              </w:rPr>
              <w:t>D.6.3.1　</w:t>
            </w:r>
            <w:r>
              <w:rPr>
                <w:rFonts w:hint="eastAsia" w:ascii="宋体" w:hAnsi="宋体"/>
                <w:color w:val="000000"/>
              </w:rPr>
              <w:t>标准大气：采用GB/T 6529-2008所规定的二级标准大气。</w:t>
            </w:r>
          </w:p>
          <w:p w14:paraId="07A4082E">
            <w:pPr>
              <w:keepLines w:val="0"/>
              <w:pageBreakBefore w:val="0"/>
              <w:numPr>
                <w:ilvl w:val="3"/>
                <w:numId w:val="0"/>
              </w:numPr>
              <w:topLinePunct w:val="0"/>
              <w:bidi w:val="0"/>
              <w:spacing w:line="240" w:lineRule="auto"/>
              <w:ind w:left="0" w:leftChars="0" w:firstLine="0" w:firstLineChars="0"/>
              <w:rPr>
                <w:rFonts w:hint="eastAsia" w:ascii="宋体" w:hAnsi="宋体"/>
                <w:color w:val="000000"/>
              </w:rPr>
            </w:pPr>
            <w:r>
              <w:rPr>
                <w:rFonts w:hint="eastAsia" w:ascii="黑体" w:hAnsi="Times New Roman" w:eastAsia="黑体" w:cs="Times New Roman"/>
                <w:b w:val="0"/>
                <w:i w:val="0"/>
                <w:color w:val="000000"/>
                <w:kern w:val="2"/>
                <w:sz w:val="21"/>
                <w:szCs w:val="22"/>
                <w:lang w:val="en-US" w:eastAsia="zh-CN" w:bidi="ar-SA"/>
              </w:rPr>
              <w:t>D.6.3.2　</w:t>
            </w:r>
            <w:r>
              <w:rPr>
                <w:rFonts w:hint="eastAsia" w:ascii="宋体" w:hAnsi="宋体"/>
                <w:color w:val="000000"/>
              </w:rPr>
              <w:t>调湿：试验前将试样平铺在纱网上，在松弛状态下置于标准大气中，空气流畅地流过使试样达到吸湿平衡。</w:t>
            </w:r>
          </w:p>
          <w:p w14:paraId="33851534">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rPr>
            </w:pPr>
            <w:bookmarkStart w:id="615" w:name="_Toc34205854"/>
            <w:bookmarkStart w:id="616" w:name="_Toc90391651"/>
            <w:bookmarkStart w:id="617" w:name="_Toc4243"/>
            <w:bookmarkStart w:id="618" w:name="_Toc8503"/>
            <w:r>
              <w:rPr>
                <w:rFonts w:hint="eastAsia"/>
              </w:rPr>
              <w:t>试验步骤</w:t>
            </w:r>
            <w:bookmarkEnd w:id="615"/>
            <w:bookmarkEnd w:id="616"/>
            <w:bookmarkEnd w:id="617"/>
            <w:bookmarkEnd w:id="618"/>
          </w:p>
          <w:p w14:paraId="13182E81">
            <w:pPr>
              <w:keepLines w:val="0"/>
              <w:pageBreakBefore w:val="0"/>
              <w:numPr>
                <w:ilvl w:val="3"/>
                <w:numId w:val="0"/>
              </w:numPr>
              <w:topLinePunct w:val="0"/>
              <w:bidi w:val="0"/>
              <w:spacing w:line="240" w:lineRule="auto"/>
              <w:ind w:left="0" w:leftChars="0" w:firstLine="0" w:firstLineChars="0"/>
              <w:rPr>
                <w:rFonts w:hint="eastAsia" w:ascii="宋体" w:hAnsi="宋体"/>
                <w:color w:val="000000"/>
              </w:rPr>
            </w:pPr>
            <w:r>
              <w:rPr>
                <w:rFonts w:hint="eastAsia" w:ascii="黑体" w:hAnsi="Times New Roman" w:eastAsia="黑体" w:cs="Times New Roman"/>
                <w:b w:val="0"/>
                <w:i w:val="0"/>
                <w:color w:val="000000"/>
                <w:kern w:val="2"/>
                <w:sz w:val="21"/>
                <w:szCs w:val="22"/>
                <w:lang w:val="en-US" w:eastAsia="zh-CN" w:bidi="ar-SA"/>
              </w:rPr>
              <w:t>D.6.4.1　</w:t>
            </w:r>
            <w:r>
              <w:rPr>
                <w:rFonts w:hint="eastAsia" w:ascii="宋体" w:hAnsi="宋体"/>
                <w:color w:val="000000"/>
              </w:rPr>
              <w:t>将经试验用标准大气调湿后的试样分别称其重量W（精确至0.001</w:t>
            </w:r>
            <w:r>
              <w:rPr>
                <w:rFonts w:hint="eastAsia" w:ascii="宋体" w:hAnsi="宋体"/>
                <w:color w:val="000000"/>
                <w:lang w:val="en-US" w:eastAsia="zh-CN"/>
              </w:rPr>
              <w:t xml:space="preserve"> </w:t>
            </w:r>
            <w:r>
              <w:rPr>
                <w:rFonts w:hint="eastAsia" w:ascii="宋体" w:hAnsi="宋体"/>
                <w:color w:val="000000"/>
              </w:rPr>
              <w:t>g）。</w:t>
            </w:r>
          </w:p>
          <w:p w14:paraId="391DE886">
            <w:pPr>
              <w:keepLines w:val="0"/>
              <w:pageBreakBefore w:val="0"/>
              <w:numPr>
                <w:ilvl w:val="3"/>
                <w:numId w:val="0"/>
              </w:numPr>
              <w:topLinePunct w:val="0"/>
              <w:bidi w:val="0"/>
              <w:spacing w:line="240" w:lineRule="auto"/>
              <w:ind w:left="0" w:leftChars="0" w:firstLine="0" w:firstLineChars="0"/>
              <w:rPr>
                <w:rFonts w:hint="eastAsia" w:ascii="宋体" w:hAnsi="宋体"/>
                <w:color w:val="000000"/>
              </w:rPr>
            </w:pPr>
            <w:r>
              <w:rPr>
                <w:rFonts w:hint="eastAsia" w:ascii="黑体" w:hAnsi="Times New Roman" w:eastAsia="黑体" w:cs="Times New Roman"/>
                <w:b w:val="0"/>
                <w:i w:val="0"/>
                <w:color w:val="000000"/>
                <w:kern w:val="2"/>
                <w:sz w:val="21"/>
                <w:szCs w:val="22"/>
                <w:lang w:val="en-US" w:eastAsia="zh-CN" w:bidi="ar-SA"/>
              </w:rPr>
              <w:t>D.6.4.2　</w:t>
            </w:r>
            <w:r>
              <w:rPr>
                <w:rFonts w:hint="eastAsia" w:ascii="宋体" w:hAnsi="宋体"/>
                <w:color w:val="000000"/>
              </w:rPr>
              <w:t>将试样放于圆形测厚仪压缩台正中部位，在试样上轻轻压上100</w:t>
            </w:r>
            <w:r>
              <w:rPr>
                <w:rFonts w:hint="eastAsia" w:ascii="宋体" w:hAnsi="宋体"/>
                <w:color w:val="000000"/>
                <w:lang w:val="en-US" w:eastAsia="zh-CN"/>
              </w:rPr>
              <w:t xml:space="preserve"> </w:t>
            </w:r>
            <w:r>
              <w:rPr>
                <w:rFonts w:hint="eastAsia" w:ascii="宋体" w:hAnsi="宋体"/>
                <w:color w:val="000000"/>
              </w:rPr>
              <w:t>g的压板，使压板、试样、压缩台三者吻合，1</w:t>
            </w:r>
            <w:r>
              <w:rPr>
                <w:rFonts w:hint="eastAsia" w:ascii="宋体" w:hAnsi="宋体"/>
                <w:color w:val="000000"/>
                <w:lang w:val="en-US" w:eastAsia="zh-CN"/>
              </w:rPr>
              <w:t xml:space="preserve"> </w:t>
            </w:r>
            <w:r>
              <w:rPr>
                <w:rFonts w:hint="eastAsia" w:ascii="宋体" w:hAnsi="宋体"/>
                <w:color w:val="000000"/>
              </w:rPr>
              <w:t>min后读取试样表观厚度值h1(mm)。</w:t>
            </w:r>
          </w:p>
          <w:p w14:paraId="16C2D5E8">
            <w:pPr>
              <w:keepLines w:val="0"/>
              <w:pageBreakBefore w:val="0"/>
              <w:numPr>
                <w:ilvl w:val="3"/>
                <w:numId w:val="0"/>
              </w:numPr>
              <w:topLinePunct w:val="0"/>
              <w:bidi w:val="0"/>
              <w:spacing w:line="240" w:lineRule="auto"/>
              <w:ind w:left="0" w:leftChars="0" w:firstLine="0" w:firstLineChars="0"/>
              <w:rPr>
                <w:rFonts w:hint="eastAsia" w:ascii="宋体" w:hAnsi="宋体"/>
                <w:color w:val="000000"/>
              </w:rPr>
            </w:pPr>
            <w:r>
              <w:rPr>
                <w:rFonts w:hint="eastAsia" w:ascii="黑体" w:hAnsi="Times New Roman" w:eastAsia="黑体" w:cs="Times New Roman"/>
                <w:b w:val="0"/>
                <w:i w:val="0"/>
                <w:color w:val="000000"/>
                <w:kern w:val="2"/>
                <w:sz w:val="21"/>
                <w:szCs w:val="22"/>
                <w:lang w:val="en-US" w:eastAsia="zh-CN" w:bidi="ar-SA"/>
              </w:rPr>
              <w:t>D.6.4.3　</w:t>
            </w:r>
            <w:r>
              <w:rPr>
                <w:rFonts w:hint="eastAsia" w:ascii="宋体" w:hAnsi="宋体"/>
                <w:color w:val="000000"/>
              </w:rPr>
              <w:t>在压板上加上1250</w:t>
            </w:r>
            <w:r>
              <w:rPr>
                <w:rFonts w:hint="eastAsia" w:ascii="宋体" w:hAnsi="宋体"/>
                <w:color w:val="000000"/>
                <w:lang w:val="en-US" w:eastAsia="zh-CN"/>
              </w:rPr>
              <w:t xml:space="preserve"> </w:t>
            </w:r>
            <w:r>
              <w:rPr>
                <w:rFonts w:hint="eastAsia" w:ascii="宋体" w:hAnsi="宋体"/>
                <w:color w:val="000000"/>
              </w:rPr>
              <w:t>g的压锤，5</w:t>
            </w:r>
            <w:r>
              <w:rPr>
                <w:rFonts w:hint="eastAsia" w:ascii="宋体" w:hAnsi="宋体"/>
                <w:color w:val="000000"/>
                <w:lang w:val="en-US" w:eastAsia="zh-CN"/>
              </w:rPr>
              <w:t xml:space="preserve"> </w:t>
            </w:r>
            <w:r>
              <w:rPr>
                <w:rFonts w:hint="eastAsia" w:ascii="宋体" w:hAnsi="宋体"/>
                <w:color w:val="000000"/>
              </w:rPr>
              <w:t>min后读取试样稳定厚度值h2(mm)。</w:t>
            </w:r>
          </w:p>
          <w:p w14:paraId="7CD8EC58">
            <w:pPr>
              <w:keepLines w:val="0"/>
              <w:pageBreakBefore w:val="0"/>
              <w:numPr>
                <w:ilvl w:val="3"/>
                <w:numId w:val="0"/>
              </w:numPr>
              <w:topLinePunct w:val="0"/>
              <w:bidi w:val="0"/>
              <w:spacing w:line="240" w:lineRule="auto"/>
              <w:ind w:left="0" w:leftChars="0" w:firstLine="0" w:firstLineChars="0"/>
              <w:rPr>
                <w:rFonts w:hint="eastAsia" w:ascii="宋体" w:hAnsi="宋体"/>
                <w:color w:val="000000"/>
              </w:rPr>
            </w:pPr>
            <w:r>
              <w:rPr>
                <w:rFonts w:hint="eastAsia" w:ascii="黑体" w:hAnsi="Times New Roman" w:eastAsia="黑体" w:cs="Times New Roman"/>
                <w:b w:val="0"/>
                <w:i w:val="0"/>
                <w:color w:val="000000"/>
                <w:kern w:val="2"/>
                <w:sz w:val="21"/>
                <w:szCs w:val="22"/>
                <w:lang w:val="en-US" w:eastAsia="zh-CN" w:bidi="ar-SA"/>
              </w:rPr>
              <w:t>D.6.4.4　</w:t>
            </w:r>
            <w:r>
              <w:rPr>
                <w:rFonts w:hint="eastAsia" w:ascii="宋体" w:hAnsi="宋体"/>
                <w:color w:val="000000"/>
              </w:rPr>
              <w:t>轻轻取下压锤及压板，使试样在无负荷下恢复1</w:t>
            </w:r>
            <w:r>
              <w:rPr>
                <w:rFonts w:hint="eastAsia" w:ascii="宋体" w:hAnsi="宋体"/>
                <w:color w:val="000000"/>
                <w:lang w:val="en-US" w:eastAsia="zh-CN"/>
              </w:rPr>
              <w:t xml:space="preserve"> </w:t>
            </w:r>
            <w:r>
              <w:rPr>
                <w:rFonts w:hint="eastAsia" w:ascii="宋体" w:hAnsi="宋体"/>
                <w:color w:val="000000"/>
              </w:rPr>
              <w:t>min，再在试样上压上100</w:t>
            </w:r>
            <w:r>
              <w:rPr>
                <w:rFonts w:hint="eastAsia" w:ascii="宋体" w:hAnsi="宋体"/>
                <w:color w:val="000000"/>
                <w:lang w:val="en-US" w:eastAsia="zh-CN"/>
              </w:rPr>
              <w:t xml:space="preserve"> </w:t>
            </w:r>
            <w:r>
              <w:rPr>
                <w:rFonts w:hint="eastAsia" w:ascii="宋体" w:hAnsi="宋体"/>
                <w:color w:val="000000"/>
              </w:rPr>
              <w:t>g压板，1</w:t>
            </w:r>
            <w:r>
              <w:rPr>
                <w:rFonts w:hint="eastAsia" w:ascii="宋体" w:hAnsi="宋体"/>
                <w:color w:val="000000"/>
                <w:lang w:val="en-US" w:eastAsia="zh-CN"/>
              </w:rPr>
              <w:t xml:space="preserve"> </w:t>
            </w:r>
            <w:r>
              <w:rPr>
                <w:rFonts w:hint="eastAsia" w:ascii="宋体" w:hAnsi="宋体"/>
                <w:color w:val="000000"/>
              </w:rPr>
              <w:t>min后读取恢复厚度值h3(mm)。</w:t>
            </w:r>
          </w:p>
          <w:p w14:paraId="187B0BF0">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rPr>
            </w:pPr>
            <w:bookmarkStart w:id="619" w:name="_Toc11570"/>
            <w:bookmarkStart w:id="620" w:name="_Toc34205855"/>
            <w:bookmarkStart w:id="621" w:name="_Toc90391652"/>
            <w:bookmarkStart w:id="622" w:name="_Toc17068"/>
            <w:r>
              <w:rPr>
                <w:rFonts w:hint="eastAsia"/>
              </w:rPr>
              <w:t>试验结果的计算</w:t>
            </w:r>
            <w:bookmarkEnd w:id="619"/>
            <w:bookmarkEnd w:id="620"/>
            <w:bookmarkEnd w:id="621"/>
            <w:bookmarkEnd w:id="622"/>
          </w:p>
          <w:p w14:paraId="62C4B7E4">
            <w:pPr>
              <w:keepLines w:val="0"/>
              <w:pageBreakBefore w:val="0"/>
              <w:numPr>
                <w:ilvl w:val="3"/>
                <w:numId w:val="25"/>
              </w:numPr>
              <w:topLinePunct w:val="0"/>
              <w:bidi w:val="0"/>
              <w:spacing w:line="240" w:lineRule="auto"/>
              <w:rPr>
                <w:rFonts w:hint="eastAsia" w:ascii="宋体" w:hAnsi="宋体"/>
                <w:color w:val="000000"/>
              </w:rPr>
            </w:pPr>
            <w:r>
              <w:rPr>
                <w:rFonts w:hint="eastAsia" w:ascii="宋体" w:hAnsi="宋体"/>
                <w:color w:val="000000"/>
              </w:rPr>
              <w:t>蓬松度(cm</w:t>
            </w:r>
            <w:r>
              <w:rPr>
                <w:rFonts w:hint="eastAsia" w:ascii="宋体" w:hAnsi="宋体"/>
                <w:color w:val="000000"/>
                <w:vertAlign w:val="superscript"/>
              </w:rPr>
              <w:t>3</w:t>
            </w:r>
            <w:r>
              <w:rPr>
                <w:rFonts w:hint="eastAsia" w:ascii="宋体" w:hAnsi="宋体"/>
                <w:color w:val="000000"/>
              </w:rPr>
              <w:t>/g)   B=h1×10/W。</w:t>
            </w:r>
          </w:p>
          <w:p w14:paraId="0004CBE4">
            <w:pPr>
              <w:keepLines w:val="0"/>
              <w:pageBreakBefore w:val="0"/>
              <w:numPr>
                <w:ilvl w:val="3"/>
                <w:numId w:val="25"/>
              </w:numPr>
              <w:topLinePunct w:val="0"/>
              <w:bidi w:val="0"/>
              <w:spacing w:line="240" w:lineRule="auto"/>
              <w:rPr>
                <w:rFonts w:hint="eastAsia" w:ascii="宋体" w:hAnsi="宋体"/>
                <w:color w:val="000000"/>
              </w:rPr>
            </w:pPr>
            <w:r>
              <w:rPr>
                <w:rFonts w:hint="eastAsia" w:ascii="宋体" w:hAnsi="宋体"/>
                <w:color w:val="000000"/>
              </w:rPr>
              <w:t>压缩弹性率  R=(h3-h2)/(h1-h2) ×100%。</w:t>
            </w:r>
          </w:p>
          <w:p w14:paraId="1D1B7D3E">
            <w:pPr>
              <w:keepLines w:val="0"/>
              <w:pageBreakBefore w:val="0"/>
              <w:numPr>
                <w:ilvl w:val="3"/>
                <w:numId w:val="25"/>
              </w:numPr>
              <w:topLinePunct w:val="0"/>
              <w:bidi w:val="0"/>
              <w:spacing w:line="240" w:lineRule="auto"/>
              <w:rPr>
                <w:rFonts w:hint="eastAsia" w:ascii="宋体" w:hAnsi="宋体"/>
                <w:color w:val="000000"/>
              </w:rPr>
            </w:pPr>
            <w:r>
              <w:rPr>
                <w:rFonts w:hint="eastAsia" w:ascii="宋体" w:hAnsi="宋体"/>
                <w:color w:val="000000"/>
              </w:rPr>
              <w:t>五块试样分别按上述步骤操作，五次结果取平均值，计算到二位小数按GB 8170修约到一位小数。即为该试样的蓬松度和压缩弹性率。</w:t>
            </w:r>
          </w:p>
          <w:p w14:paraId="6FA4B855">
            <w:pPr>
              <w:pStyle w:val="459"/>
              <w:keepLines w:val="0"/>
              <w:pageBreakBefore w:val="0"/>
              <w:numPr>
                <w:ilvl w:val="0"/>
                <w:numId w:val="25"/>
              </w:numPr>
              <w:tabs>
                <w:tab w:val="left" w:pos="360"/>
              </w:tabs>
              <w:topLinePunct w:val="0"/>
              <w:bidi w:val="0"/>
              <w:spacing w:line="240" w:lineRule="auto"/>
              <w:rPr>
                <w:rFonts w:hint="eastAsia"/>
              </w:rPr>
            </w:pPr>
            <w:bookmarkStart w:id="623" w:name="_Toc28878"/>
            <w:bookmarkEnd w:id="623"/>
            <w:bookmarkStart w:id="624" w:name="_Toc22502"/>
            <w:bookmarkEnd w:id="624"/>
            <w:bookmarkStart w:id="625" w:name="_Toc90391653"/>
            <w:bookmarkStart w:id="626" w:name="_Toc34207564"/>
          </w:p>
          <w:p w14:paraId="320F2B28">
            <w:pPr>
              <w:pStyle w:val="459"/>
              <w:keepLines w:val="0"/>
              <w:pageBreakBefore w:val="0"/>
              <w:numPr>
                <w:ilvl w:val="0"/>
                <w:numId w:val="25"/>
              </w:numPr>
              <w:tabs>
                <w:tab w:val="left" w:pos="360"/>
              </w:tabs>
              <w:topLinePunct w:val="0"/>
              <w:bidi w:val="0"/>
              <w:spacing w:line="240" w:lineRule="auto"/>
              <w:rPr>
                <w:rFonts w:hint="eastAsia"/>
              </w:rPr>
            </w:pPr>
            <w:bookmarkStart w:id="627" w:name="_Toc1626"/>
            <w:bookmarkStart w:id="628" w:name="_Toc27455"/>
            <w:r>
              <w:rPr>
                <w:rFonts w:hint="eastAsia"/>
              </w:rPr>
              <w:t>（文件性附录）</w:t>
            </w:r>
            <w:bookmarkEnd w:id="627"/>
            <w:bookmarkEnd w:id="628"/>
          </w:p>
          <w:p w14:paraId="0A3CFD6A">
            <w:pPr>
              <w:pStyle w:val="459"/>
              <w:keepLines w:val="0"/>
              <w:pageBreakBefore w:val="0"/>
              <w:numPr>
                <w:ilvl w:val="0"/>
                <w:numId w:val="25"/>
              </w:numPr>
              <w:tabs>
                <w:tab w:val="left" w:pos="360"/>
              </w:tabs>
              <w:topLinePunct w:val="0"/>
              <w:bidi w:val="0"/>
              <w:spacing w:line="240" w:lineRule="auto"/>
              <w:rPr>
                <w:rFonts w:hint="eastAsia"/>
              </w:rPr>
            </w:pPr>
            <w:bookmarkStart w:id="629" w:name="_Toc24521"/>
            <w:bookmarkStart w:id="630" w:name="_Toc14090"/>
            <w:r>
              <w:rPr>
                <w:rFonts w:hint="eastAsia"/>
              </w:rPr>
              <w:t>热熔棉涤絮片技术要求</w:t>
            </w:r>
            <w:bookmarkEnd w:id="625"/>
            <w:bookmarkEnd w:id="629"/>
            <w:bookmarkEnd w:id="630"/>
          </w:p>
          <w:p w14:paraId="50DFEE87">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631" w:name="_Toc16769"/>
            <w:bookmarkStart w:id="632" w:name="_Toc90391654"/>
            <w:bookmarkStart w:id="633" w:name="_Toc22414"/>
            <w:r>
              <w:rPr>
                <w:rFonts w:hint="eastAsia"/>
              </w:rPr>
              <w:t>规格</w:t>
            </w:r>
            <w:bookmarkEnd w:id="626"/>
            <w:bookmarkEnd w:id="631"/>
            <w:bookmarkEnd w:id="632"/>
            <w:bookmarkEnd w:id="633"/>
          </w:p>
          <w:p w14:paraId="6AB0C22C">
            <w:pPr>
              <w:keepLines w:val="0"/>
              <w:pageBreakBefore w:val="0"/>
              <w:topLinePunct w:val="0"/>
              <w:autoSpaceDE w:val="0"/>
              <w:autoSpaceDN w:val="0"/>
              <w:bidi w:val="0"/>
              <w:adjustRightInd w:val="0"/>
              <w:spacing w:line="240" w:lineRule="auto"/>
              <w:ind w:firstLine="424" w:firstLineChars="202"/>
              <w:rPr>
                <w:rFonts w:ascii="宋体" w:cs="宋体"/>
                <w:color w:val="000000"/>
                <w:szCs w:val="21"/>
                <w:lang w:val="zh-CN"/>
              </w:rPr>
            </w:pPr>
            <w:r>
              <w:rPr>
                <w:rFonts w:hint="eastAsia" w:ascii="宋体" w:cs="宋体"/>
                <w:color w:val="000000"/>
                <w:szCs w:val="21"/>
                <w:lang w:val="zh-CN"/>
              </w:rPr>
              <w:t>褥胎为棉花、涤纶和低熔点双组分涤纶纤维，均匀组合，其中棉花占50%，起黏结作用的低熔点双组分涤纶纤维占18%</w:t>
            </w:r>
            <w:r>
              <w:rPr>
                <w:rFonts w:hint="eastAsia" w:ascii="宋体" w:hAnsi="宋体" w:eastAsia="宋体" w:cs="Arial"/>
              </w:rPr>
              <w:t>～</w:t>
            </w:r>
            <w:r>
              <w:rPr>
                <w:rFonts w:hint="eastAsia" w:ascii="宋体" w:cs="宋体"/>
                <w:color w:val="000000"/>
                <w:szCs w:val="21"/>
                <w:lang w:val="zh-CN"/>
              </w:rPr>
              <w:t>20%,其余为普通涤纶纤维。低熔点双组分涤纶纤维细度4.44</w:t>
            </w:r>
            <w:r>
              <w:rPr>
                <w:rFonts w:hint="eastAsia" w:ascii="宋体" w:cs="宋体"/>
                <w:color w:val="000000"/>
                <w:szCs w:val="21"/>
                <w:lang w:val="en-US" w:eastAsia="zh-CN"/>
              </w:rPr>
              <w:t xml:space="preserve"> </w:t>
            </w:r>
            <w:r>
              <w:rPr>
                <w:rFonts w:hint="eastAsia" w:ascii="宋体" w:cs="宋体"/>
                <w:color w:val="000000"/>
                <w:szCs w:val="21"/>
                <w:lang w:val="zh-CN"/>
              </w:rPr>
              <w:t>dt、长度38</w:t>
            </w:r>
            <w:r>
              <w:rPr>
                <w:rFonts w:hint="eastAsia" w:ascii="宋体" w:cs="宋体"/>
                <w:color w:val="000000"/>
                <w:szCs w:val="21"/>
                <w:lang w:val="en-US" w:eastAsia="zh-CN"/>
              </w:rPr>
              <w:t xml:space="preserve"> mm</w:t>
            </w:r>
            <w:r>
              <w:rPr>
                <w:rFonts w:hint="eastAsia" w:ascii="宋体" w:hAnsi="宋体" w:eastAsia="宋体" w:cs="Arial"/>
              </w:rPr>
              <w:t>～</w:t>
            </w:r>
            <w:r>
              <w:rPr>
                <w:rFonts w:hint="eastAsia" w:ascii="宋体" w:cs="宋体"/>
                <w:color w:val="000000"/>
                <w:szCs w:val="21"/>
                <w:lang w:val="zh-CN"/>
              </w:rPr>
              <w:t>51</w:t>
            </w:r>
            <w:r>
              <w:rPr>
                <w:rFonts w:hint="eastAsia" w:ascii="宋体" w:cs="宋体"/>
                <w:color w:val="000000"/>
                <w:szCs w:val="21"/>
                <w:lang w:val="en-US" w:eastAsia="zh-CN"/>
              </w:rPr>
              <w:t xml:space="preserve"> </w:t>
            </w:r>
            <w:r>
              <w:rPr>
                <w:rFonts w:hint="eastAsia" w:ascii="宋体" w:cs="宋体"/>
                <w:color w:val="000000"/>
                <w:szCs w:val="21"/>
                <w:lang w:val="zh-CN"/>
              </w:rPr>
              <w:t>mm；普通涤纶纤维中，细度5.56</w:t>
            </w:r>
            <w:r>
              <w:rPr>
                <w:rFonts w:hint="eastAsia" w:ascii="宋体" w:hAnsi="宋体" w:eastAsia="宋体" w:cs="Arial"/>
              </w:rPr>
              <w:t>～</w:t>
            </w:r>
            <w:r>
              <w:rPr>
                <w:rFonts w:hint="eastAsia" w:ascii="宋体" w:cs="宋体"/>
                <w:color w:val="000000"/>
                <w:szCs w:val="21"/>
                <w:lang w:val="zh-CN"/>
              </w:rPr>
              <w:t>6.67</w:t>
            </w:r>
            <w:r>
              <w:rPr>
                <w:rFonts w:hint="eastAsia" w:ascii="宋体" w:cs="宋体"/>
                <w:color w:val="000000"/>
                <w:szCs w:val="21"/>
                <w:lang w:val="en-US" w:eastAsia="zh-CN"/>
              </w:rPr>
              <w:t xml:space="preserve"> </w:t>
            </w:r>
            <w:r>
              <w:rPr>
                <w:rFonts w:hint="eastAsia" w:ascii="宋体" w:cs="宋体"/>
                <w:color w:val="000000"/>
                <w:szCs w:val="21"/>
                <w:lang w:val="zh-CN"/>
              </w:rPr>
              <w:t>dt、长度38</w:t>
            </w:r>
            <w:r>
              <w:rPr>
                <w:rFonts w:hint="eastAsia" w:ascii="宋体" w:cs="宋体"/>
                <w:color w:val="000000"/>
                <w:szCs w:val="21"/>
                <w:lang w:val="en-US" w:eastAsia="zh-CN"/>
              </w:rPr>
              <w:t xml:space="preserve"> mm</w:t>
            </w:r>
            <w:r>
              <w:rPr>
                <w:rFonts w:hint="eastAsia" w:ascii="宋体" w:hAnsi="宋体" w:eastAsia="宋体" w:cs="Arial"/>
              </w:rPr>
              <w:t>～</w:t>
            </w:r>
            <w:r>
              <w:rPr>
                <w:rFonts w:hint="eastAsia" w:ascii="宋体" w:cs="宋体"/>
                <w:color w:val="000000"/>
                <w:szCs w:val="21"/>
                <w:lang w:val="zh-CN"/>
              </w:rPr>
              <w:t>51</w:t>
            </w:r>
            <w:r>
              <w:rPr>
                <w:rFonts w:hint="eastAsia" w:ascii="宋体" w:cs="宋体"/>
                <w:color w:val="000000"/>
                <w:szCs w:val="21"/>
                <w:lang w:val="en-US" w:eastAsia="zh-CN"/>
              </w:rPr>
              <w:t xml:space="preserve"> </w:t>
            </w:r>
            <w:r>
              <w:rPr>
                <w:rFonts w:hint="eastAsia" w:ascii="宋体" w:cs="宋体"/>
                <w:color w:val="000000"/>
                <w:szCs w:val="21"/>
                <w:lang w:val="zh-CN"/>
              </w:rPr>
              <w:t>mm的涤纶短纤维占30%，细度2.78</w:t>
            </w:r>
            <w:r>
              <w:rPr>
                <w:rFonts w:hint="eastAsia" w:ascii="宋体" w:hAnsi="宋体" w:eastAsia="宋体" w:cs="Arial"/>
              </w:rPr>
              <w:t>～</w:t>
            </w:r>
            <w:r>
              <w:rPr>
                <w:rFonts w:hint="eastAsia" w:ascii="宋体" w:cs="宋体"/>
                <w:color w:val="000000"/>
                <w:szCs w:val="21"/>
                <w:lang w:val="zh-CN"/>
              </w:rPr>
              <w:t>3.33</w:t>
            </w:r>
            <w:r>
              <w:rPr>
                <w:rFonts w:hint="eastAsia" w:ascii="宋体" w:cs="宋体"/>
                <w:color w:val="000000"/>
                <w:szCs w:val="21"/>
                <w:lang w:val="en-US" w:eastAsia="zh-CN"/>
              </w:rPr>
              <w:t xml:space="preserve"> </w:t>
            </w:r>
            <w:r>
              <w:rPr>
                <w:rFonts w:hint="eastAsia" w:ascii="宋体" w:cs="宋体"/>
                <w:color w:val="000000"/>
                <w:szCs w:val="21"/>
                <w:lang w:val="zh-CN"/>
              </w:rPr>
              <w:t>dt、长度38</w:t>
            </w:r>
            <w:r>
              <w:rPr>
                <w:rFonts w:hint="eastAsia" w:ascii="宋体" w:cs="宋体"/>
                <w:color w:val="000000"/>
                <w:szCs w:val="21"/>
                <w:lang w:val="en-US" w:eastAsia="zh-CN"/>
              </w:rPr>
              <w:t xml:space="preserve"> mm</w:t>
            </w:r>
            <w:r>
              <w:rPr>
                <w:rFonts w:hint="eastAsia" w:ascii="宋体" w:hAnsi="宋体" w:eastAsia="宋体" w:cs="Arial"/>
              </w:rPr>
              <w:t>～</w:t>
            </w:r>
            <w:r>
              <w:rPr>
                <w:rFonts w:hint="eastAsia" w:ascii="宋体" w:cs="宋体"/>
                <w:color w:val="000000"/>
                <w:szCs w:val="21"/>
                <w:lang w:val="zh-CN"/>
              </w:rPr>
              <w:t>51</w:t>
            </w:r>
            <w:r>
              <w:rPr>
                <w:rFonts w:hint="eastAsia" w:ascii="宋体" w:cs="宋体"/>
                <w:color w:val="000000"/>
                <w:szCs w:val="21"/>
                <w:lang w:val="en-US" w:eastAsia="zh-CN"/>
              </w:rPr>
              <w:t xml:space="preserve"> </w:t>
            </w:r>
            <w:r>
              <w:rPr>
                <w:rFonts w:hint="eastAsia" w:ascii="宋体" w:cs="宋体"/>
                <w:color w:val="000000"/>
                <w:szCs w:val="21"/>
                <w:lang w:val="zh-CN"/>
              </w:rPr>
              <w:t>mm的涤纶短纤维占70%。棉花混合后不低于4级，含杂不超过1%。</w:t>
            </w:r>
          </w:p>
          <w:p w14:paraId="6D3573CD">
            <w:pPr>
              <w:keepLines w:val="0"/>
              <w:pageBreakBefore w:val="0"/>
              <w:topLinePunct w:val="0"/>
              <w:autoSpaceDE w:val="0"/>
              <w:autoSpaceDN w:val="0"/>
              <w:bidi w:val="0"/>
              <w:adjustRightInd w:val="0"/>
              <w:spacing w:line="240" w:lineRule="auto"/>
              <w:ind w:firstLine="424" w:firstLineChars="202"/>
              <w:rPr>
                <w:kern w:val="0"/>
                <w:sz w:val="18"/>
                <w:szCs w:val="18"/>
              </w:rPr>
            </w:pPr>
            <w:r>
              <w:rPr>
                <w:rFonts w:hint="eastAsia" w:ascii="宋体" w:cs="宋体"/>
                <w:kern w:val="0"/>
                <w:szCs w:val="21"/>
                <w:lang w:val="zh-CN"/>
              </w:rPr>
              <w:t>标准回潮率为</w:t>
            </w:r>
            <w:r>
              <w:rPr>
                <w:rFonts w:ascii="宋体" w:cs="宋体"/>
                <w:kern w:val="0"/>
                <w:szCs w:val="21"/>
                <w:lang w:val="zh-CN"/>
              </w:rPr>
              <w:t>5%</w:t>
            </w:r>
            <w:r>
              <w:rPr>
                <w:rFonts w:hint="eastAsia" w:ascii="宋体" w:cs="宋体"/>
                <w:kern w:val="0"/>
                <w:szCs w:val="21"/>
                <w:lang w:val="zh-CN"/>
              </w:rPr>
              <w:t>时，每床总重量1250±75</w:t>
            </w:r>
            <w:r>
              <w:rPr>
                <w:rFonts w:hint="eastAsia" w:ascii="宋体" w:cs="宋体"/>
                <w:kern w:val="0"/>
                <w:szCs w:val="21"/>
                <w:lang w:val="en-US" w:eastAsia="zh-CN"/>
              </w:rPr>
              <w:t xml:space="preserve"> </w:t>
            </w:r>
            <w:r>
              <w:rPr>
                <w:rFonts w:ascii="宋体" w:cs="宋体"/>
                <w:kern w:val="0"/>
                <w:szCs w:val="21"/>
                <w:lang w:val="zh-CN"/>
              </w:rPr>
              <w:t>g</w:t>
            </w:r>
            <w:r>
              <w:rPr>
                <w:rFonts w:hint="eastAsia" w:ascii="宋体" w:cs="宋体"/>
                <w:kern w:val="0"/>
                <w:szCs w:val="21"/>
                <w:lang w:val="zh-CN"/>
              </w:rPr>
              <w:t>，实际回潮率超过或不足</w:t>
            </w:r>
            <w:r>
              <w:rPr>
                <w:rFonts w:ascii="宋体" w:cs="宋体"/>
                <w:kern w:val="0"/>
                <w:szCs w:val="21"/>
                <w:lang w:val="zh-CN"/>
              </w:rPr>
              <w:t>5%</w:t>
            </w:r>
            <w:r>
              <w:rPr>
                <w:rFonts w:hint="eastAsia" w:ascii="宋体" w:cs="宋体"/>
                <w:kern w:val="0"/>
                <w:szCs w:val="21"/>
                <w:lang w:val="zh-CN"/>
              </w:rPr>
              <w:t>时，重量相应增减，按下列公式计算：</w:t>
            </w:r>
          </w:p>
          <w:p w14:paraId="37835637">
            <w:pPr>
              <w:keepLines w:val="0"/>
              <w:pageBreakBefore w:val="0"/>
              <w:topLinePunct w:val="0"/>
              <w:autoSpaceDE w:val="0"/>
              <w:autoSpaceDN w:val="0"/>
              <w:bidi w:val="0"/>
              <w:adjustRightInd w:val="0"/>
              <w:spacing w:line="240" w:lineRule="auto"/>
              <w:ind w:left="420" w:leftChars="200" w:firstLine="0" w:firstLineChars="0"/>
              <w:jc w:val="both"/>
              <w:rPr>
                <w:rFonts w:hint="eastAsia" w:ascii="宋体" w:cs="宋体"/>
                <w:szCs w:val="21"/>
                <w:lang w:val="zh-CN"/>
              </w:rPr>
            </w:pPr>
            <w:r>
              <w:rPr>
                <w:rFonts w:hint="eastAsia" w:ascii="宋体" w:cs="宋体"/>
                <w:szCs w:val="21"/>
                <w:lang w:val="zh-CN"/>
              </w:rPr>
              <w:t>标准重量</w:t>
            </w:r>
            <w:r>
              <w:rPr>
                <w:rFonts w:ascii="宋体" w:cs="宋体"/>
                <w:szCs w:val="21"/>
                <w:lang w:val="zh-CN"/>
              </w:rPr>
              <w:t>=</w:t>
            </w:r>
            <w:r>
              <w:rPr>
                <w:rFonts w:hint="eastAsia" w:ascii="宋体" w:cs="宋体"/>
                <w:szCs w:val="21"/>
                <w:lang w:val="zh-CN"/>
              </w:rPr>
              <w:t>实际重量×（</w:t>
            </w:r>
            <w:r>
              <w:rPr>
                <w:rFonts w:ascii="宋体" w:cs="宋体"/>
                <w:szCs w:val="21"/>
                <w:lang w:val="zh-CN"/>
              </w:rPr>
              <w:t>1-</w:t>
            </w:r>
            <w:r>
              <w:rPr>
                <w:rFonts w:hint="eastAsia" w:ascii="宋体" w:cs="宋体"/>
                <w:szCs w:val="21"/>
                <w:lang w:val="zh-CN"/>
              </w:rPr>
              <w:t>实际回潮率）</w:t>
            </w:r>
            <w:r>
              <w:rPr>
                <w:rFonts w:ascii="宋体" w:cs="宋体"/>
                <w:szCs w:val="21"/>
                <w:lang w:val="zh-CN"/>
              </w:rPr>
              <w:t>/</w:t>
            </w:r>
            <w:r>
              <w:rPr>
                <w:rFonts w:hint="eastAsia" w:ascii="宋体" w:cs="宋体"/>
                <w:szCs w:val="21"/>
                <w:lang w:val="zh-CN"/>
              </w:rPr>
              <w:t>（</w:t>
            </w:r>
            <w:r>
              <w:rPr>
                <w:rFonts w:ascii="宋体" w:cs="宋体"/>
                <w:szCs w:val="21"/>
                <w:lang w:val="zh-CN"/>
              </w:rPr>
              <w:t>1-</w:t>
            </w:r>
            <w:r>
              <w:rPr>
                <w:rFonts w:hint="eastAsia" w:ascii="宋体" w:cs="宋体"/>
                <w:szCs w:val="21"/>
                <w:lang w:val="zh-CN"/>
              </w:rPr>
              <w:t>标准回潮率）</w:t>
            </w:r>
          </w:p>
          <w:p w14:paraId="27EEF537">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634" w:name="_Toc3256"/>
            <w:bookmarkStart w:id="635" w:name="_Toc15115"/>
            <w:bookmarkStart w:id="636" w:name="_Toc34207565"/>
            <w:bookmarkStart w:id="637" w:name="_Toc90391655"/>
            <w:r>
              <w:rPr>
                <w:rFonts w:hint="eastAsia"/>
              </w:rPr>
              <w:t>物理指标</w:t>
            </w:r>
            <w:bookmarkEnd w:id="634"/>
            <w:bookmarkEnd w:id="635"/>
            <w:bookmarkEnd w:id="636"/>
            <w:bookmarkEnd w:id="637"/>
          </w:p>
          <w:p w14:paraId="5C684EA1">
            <w:pPr>
              <w:pStyle w:val="538"/>
              <w:keepLines w:val="0"/>
              <w:pageBreakBefore w:val="0"/>
              <w:topLinePunct w:val="0"/>
              <w:bidi w:val="0"/>
              <w:spacing w:line="240" w:lineRule="auto"/>
              <w:ind w:firstLine="424" w:firstLineChars="202"/>
              <w:rPr>
                <w:rFonts w:hint="eastAsia"/>
              </w:rPr>
            </w:pPr>
            <w:r>
              <w:rPr>
                <w:rFonts w:hint="eastAsia"/>
              </w:rPr>
              <w:t>热熔棉涤絮片的物理指标按表C.1规定。</w:t>
            </w:r>
          </w:p>
          <w:p w14:paraId="54ECEAE9">
            <w:pPr>
              <w:pStyle w:val="538"/>
              <w:keepLines w:val="0"/>
              <w:pageBreakBefore w:val="0"/>
              <w:topLinePunct w:val="0"/>
              <w:bidi w:val="0"/>
              <w:spacing w:line="240" w:lineRule="auto"/>
              <w:ind w:firstLine="424" w:firstLineChars="202"/>
              <w:rPr>
                <w:rFonts w:hint="eastAsia"/>
              </w:rPr>
            </w:pPr>
          </w:p>
          <w:tbl>
            <w:tblPr>
              <w:tblStyle w:val="58"/>
              <w:tblW w:w="6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889"/>
              <w:gridCol w:w="1084"/>
              <w:gridCol w:w="1246"/>
              <w:gridCol w:w="1844"/>
            </w:tblGrid>
            <w:tr w14:paraId="52A2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0" w:type="dxa"/>
                  <w:gridSpan w:val="5"/>
                  <w:tcBorders>
                    <w:top w:val="nil"/>
                    <w:left w:val="nil"/>
                    <w:bottom w:val="single" w:color="auto" w:sz="12" w:space="0"/>
                    <w:right w:val="nil"/>
                  </w:tcBorders>
                  <w:noWrap w:val="0"/>
                  <w:vAlign w:val="top"/>
                </w:tcPr>
                <w:p w14:paraId="05C4D46D">
                  <w:pPr>
                    <w:keepLines w:val="0"/>
                    <w:pageBreakBefore w:val="0"/>
                    <w:topLinePunct w:val="0"/>
                    <w:bidi w:val="0"/>
                    <w:spacing w:line="240" w:lineRule="auto"/>
                    <w:jc w:val="center"/>
                    <w:rPr>
                      <w:rFonts w:ascii="黑体" w:hAnsi="黑体" w:eastAsia="黑体"/>
                      <w:szCs w:val="21"/>
                    </w:rPr>
                  </w:pPr>
                  <w:r>
                    <w:rPr>
                      <w:rFonts w:hint="eastAsia" w:ascii="黑体" w:hAnsi="黑体" w:eastAsia="黑体"/>
                      <w:szCs w:val="21"/>
                    </w:rPr>
                    <w:t>表C</w:t>
                  </w:r>
                  <w:r>
                    <w:rPr>
                      <w:rFonts w:ascii="黑体" w:hAnsi="黑体" w:eastAsia="黑体"/>
                      <w:szCs w:val="21"/>
                    </w:rPr>
                    <w:t>.</w:t>
                  </w:r>
                  <w:r>
                    <w:rPr>
                      <w:rFonts w:hint="eastAsia" w:ascii="黑体" w:hAnsi="黑体" w:eastAsia="黑体"/>
                      <w:szCs w:val="21"/>
                    </w:rPr>
                    <w:t>1</w:t>
                  </w:r>
                </w:p>
              </w:tc>
            </w:tr>
            <w:tr w14:paraId="670E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gridSpan w:val="2"/>
                  <w:tcBorders>
                    <w:top w:val="single" w:color="auto" w:sz="12" w:space="0"/>
                    <w:left w:val="single" w:color="auto" w:sz="12" w:space="0"/>
                    <w:bottom w:val="single" w:color="auto" w:sz="12" w:space="0"/>
                    <w:right w:val="single" w:color="auto" w:sz="4" w:space="0"/>
                  </w:tcBorders>
                  <w:noWrap w:val="0"/>
                  <w:vAlign w:val="top"/>
                </w:tcPr>
                <w:p w14:paraId="76A86B0F">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项       目</w:t>
                  </w:r>
                </w:p>
              </w:tc>
              <w:tc>
                <w:tcPr>
                  <w:tcW w:w="1084" w:type="dxa"/>
                  <w:tcBorders>
                    <w:top w:val="single" w:color="auto" w:sz="12" w:space="0"/>
                    <w:left w:val="single" w:color="auto" w:sz="4" w:space="0"/>
                    <w:bottom w:val="nil"/>
                    <w:right w:val="single" w:color="auto" w:sz="4" w:space="0"/>
                  </w:tcBorders>
                  <w:noWrap w:val="0"/>
                  <w:vAlign w:val="top"/>
                </w:tcPr>
                <w:p w14:paraId="4AC0ED13">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标准值</w:t>
                  </w:r>
                </w:p>
              </w:tc>
              <w:tc>
                <w:tcPr>
                  <w:tcW w:w="1246" w:type="dxa"/>
                  <w:tcBorders>
                    <w:top w:val="single" w:color="auto" w:sz="12" w:space="0"/>
                    <w:left w:val="single" w:color="auto" w:sz="4" w:space="0"/>
                    <w:bottom w:val="single" w:color="auto" w:sz="12" w:space="0"/>
                    <w:right w:val="single" w:color="auto" w:sz="4" w:space="0"/>
                  </w:tcBorders>
                  <w:noWrap w:val="0"/>
                  <w:vAlign w:val="top"/>
                </w:tcPr>
                <w:p w14:paraId="1F3281C0">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最大允差</w:t>
                  </w:r>
                </w:p>
              </w:tc>
              <w:tc>
                <w:tcPr>
                  <w:tcW w:w="1844" w:type="dxa"/>
                  <w:tcBorders>
                    <w:top w:val="single" w:color="auto" w:sz="12" w:space="0"/>
                    <w:left w:val="single" w:color="auto" w:sz="4" w:space="0"/>
                    <w:bottom w:val="single" w:color="auto" w:sz="12" w:space="0"/>
                    <w:right w:val="single" w:color="auto" w:sz="12" w:space="0"/>
                  </w:tcBorders>
                  <w:noWrap w:val="0"/>
                  <w:vAlign w:val="top"/>
                </w:tcPr>
                <w:p w14:paraId="1867A54F">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rPr>
                    <w:t>试验方法</w:t>
                  </w:r>
                </w:p>
              </w:tc>
            </w:tr>
            <w:tr w14:paraId="7205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gridSpan w:val="2"/>
                  <w:tcBorders>
                    <w:top w:val="single" w:color="auto" w:sz="12" w:space="0"/>
                    <w:left w:val="single" w:color="auto" w:sz="12" w:space="0"/>
                  </w:tcBorders>
                  <w:noWrap w:val="0"/>
                  <w:vAlign w:val="top"/>
                </w:tcPr>
                <w:p w14:paraId="50AA292F">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单位面积质量（g/㎡）（双层）</w:t>
                  </w:r>
                </w:p>
              </w:tc>
              <w:tc>
                <w:tcPr>
                  <w:tcW w:w="1084" w:type="dxa"/>
                  <w:tcBorders>
                    <w:top w:val="single" w:color="auto" w:sz="12" w:space="0"/>
                  </w:tcBorders>
                  <w:noWrap w:val="0"/>
                  <w:vAlign w:val="top"/>
                </w:tcPr>
                <w:p w14:paraId="0442C1AA">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700</w:t>
                  </w:r>
                </w:p>
              </w:tc>
              <w:tc>
                <w:tcPr>
                  <w:tcW w:w="1246" w:type="dxa"/>
                  <w:tcBorders>
                    <w:top w:val="single" w:color="auto" w:sz="12" w:space="0"/>
                  </w:tcBorders>
                  <w:noWrap w:val="0"/>
                  <w:vAlign w:val="top"/>
                </w:tcPr>
                <w:p w14:paraId="1C0F6FFB">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-5.0</w:t>
                  </w:r>
                  <w:r>
                    <w:rPr>
                      <w:rFonts w:ascii="宋体" w:hAnsi="宋体" w:cs="宋体"/>
                      <w:color w:val="000000"/>
                      <w:sz w:val="18"/>
                      <w:szCs w:val="18"/>
                      <w:lang w:val="zh-CN"/>
                    </w:rPr>
                    <w:t>%</w:t>
                  </w:r>
                  <w:r>
                    <w:rPr>
                      <w:rFonts w:hint="eastAsia" w:ascii="宋体" w:hAnsi="宋体" w:cs="宋体"/>
                      <w:sz w:val="18"/>
                      <w:szCs w:val="18"/>
                      <w:lang w:val="zh-CN"/>
                    </w:rPr>
                    <w:t>～</w:t>
                  </w:r>
                  <w:r>
                    <w:rPr>
                      <w:rFonts w:hint="eastAsia" w:ascii="宋体" w:hAnsi="宋体"/>
                      <w:color w:val="000000"/>
                      <w:sz w:val="18"/>
                      <w:szCs w:val="18"/>
                    </w:rPr>
                    <w:t>+7.0</w:t>
                  </w:r>
                  <w:r>
                    <w:rPr>
                      <w:rFonts w:ascii="宋体" w:hAnsi="宋体" w:cs="宋体"/>
                      <w:color w:val="000000"/>
                      <w:sz w:val="18"/>
                      <w:szCs w:val="18"/>
                      <w:lang w:val="zh-CN"/>
                    </w:rPr>
                    <w:t>%</w:t>
                  </w:r>
                </w:p>
              </w:tc>
              <w:tc>
                <w:tcPr>
                  <w:tcW w:w="1844" w:type="dxa"/>
                  <w:tcBorders>
                    <w:top w:val="single" w:color="auto" w:sz="12" w:space="0"/>
                    <w:right w:val="single" w:color="auto" w:sz="12" w:space="0"/>
                  </w:tcBorders>
                  <w:noWrap w:val="0"/>
                  <w:vAlign w:val="top"/>
                </w:tcPr>
                <w:p w14:paraId="7EB3D317">
                  <w:pPr>
                    <w:keepLines w:val="0"/>
                    <w:pageBreakBefore w:val="0"/>
                    <w:topLinePunct w:val="0"/>
                    <w:bidi w:val="0"/>
                    <w:spacing w:line="240" w:lineRule="auto"/>
                    <w:jc w:val="center"/>
                    <w:rPr>
                      <w:rFonts w:ascii="宋体" w:hAnsi="宋体"/>
                      <w:color w:val="FF0000"/>
                      <w:sz w:val="18"/>
                      <w:szCs w:val="18"/>
                    </w:rPr>
                  </w:pPr>
                  <w:r>
                    <w:rPr>
                      <w:rFonts w:hint="eastAsia" w:ascii="宋体" w:hAnsi="宋体"/>
                      <w:sz w:val="18"/>
                      <w:szCs w:val="18"/>
                    </w:rPr>
                    <w:t>FZ/T 60003-1991</w:t>
                  </w:r>
                </w:p>
              </w:tc>
            </w:tr>
            <w:tr w14:paraId="38F5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Merge w:val="restart"/>
                  <w:tcBorders>
                    <w:left w:val="single" w:color="auto" w:sz="12" w:space="0"/>
                  </w:tcBorders>
                  <w:noWrap w:val="0"/>
                  <w:vAlign w:val="center"/>
                </w:tcPr>
                <w:p w14:paraId="37D0B8D3">
                  <w:pPr>
                    <w:keepLines w:val="0"/>
                    <w:pageBreakBefore w:val="0"/>
                    <w:topLinePunct w:val="0"/>
                    <w:bidi w:val="0"/>
                    <w:spacing w:line="240" w:lineRule="auto"/>
                    <w:jc w:val="center"/>
                    <w:rPr>
                      <w:rFonts w:ascii="宋体" w:hAnsi="宋体"/>
                      <w:color w:val="FF0000"/>
                      <w:sz w:val="18"/>
                      <w:szCs w:val="18"/>
                    </w:rPr>
                  </w:pPr>
                  <w:r>
                    <w:rPr>
                      <w:rFonts w:hint="eastAsia" w:ascii="宋体" w:hAnsi="宋体"/>
                      <w:sz w:val="18"/>
                      <w:szCs w:val="18"/>
                    </w:rPr>
                    <w:t>抗拉强度/（N/g）</w:t>
                  </w:r>
                </w:p>
              </w:tc>
              <w:tc>
                <w:tcPr>
                  <w:tcW w:w="889" w:type="dxa"/>
                  <w:noWrap w:val="0"/>
                  <w:vAlign w:val="center"/>
                </w:tcPr>
                <w:p w14:paraId="6E05671E">
                  <w:pPr>
                    <w:keepLines w:val="0"/>
                    <w:pageBreakBefore w:val="0"/>
                    <w:topLinePunct w:val="0"/>
                    <w:bidi w:val="0"/>
                    <w:spacing w:line="240" w:lineRule="auto"/>
                    <w:jc w:val="center"/>
                    <w:rPr>
                      <w:rFonts w:ascii="宋体" w:hAnsi="宋体"/>
                      <w:color w:val="FF0000"/>
                      <w:sz w:val="18"/>
                      <w:szCs w:val="18"/>
                    </w:rPr>
                  </w:pPr>
                  <w:r>
                    <w:rPr>
                      <w:rFonts w:ascii="宋体" w:hAnsi="宋体"/>
                      <w:kern w:val="0"/>
                      <w:sz w:val="18"/>
                      <w:szCs w:val="18"/>
                    </w:rPr>
                    <w:t>纵向</w:t>
                  </w:r>
                </w:p>
              </w:tc>
              <w:tc>
                <w:tcPr>
                  <w:tcW w:w="1084" w:type="dxa"/>
                  <w:noWrap w:val="0"/>
                  <w:vAlign w:val="top"/>
                </w:tcPr>
                <w:p w14:paraId="64EBF4A6">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≥10</w:t>
                  </w:r>
                </w:p>
              </w:tc>
              <w:tc>
                <w:tcPr>
                  <w:tcW w:w="1246" w:type="dxa"/>
                  <w:noWrap w:val="0"/>
                  <w:vAlign w:val="center"/>
                </w:tcPr>
                <w:p w14:paraId="753DD18A">
                  <w:pPr>
                    <w:keepLines w:val="0"/>
                    <w:pageBreakBefore w:val="0"/>
                    <w:widowControl/>
                    <w:topLinePunct w:val="0"/>
                    <w:autoSpaceDE w:val="0"/>
                    <w:autoSpaceDN w:val="0"/>
                    <w:bidi w:val="0"/>
                    <w:spacing w:line="240" w:lineRule="auto"/>
                    <w:jc w:val="center"/>
                    <w:rPr>
                      <w:rFonts w:ascii="宋体" w:hAnsi="宋体"/>
                      <w:kern w:val="0"/>
                      <w:sz w:val="18"/>
                      <w:szCs w:val="18"/>
                    </w:rPr>
                  </w:pPr>
                  <w:r>
                    <w:rPr>
                      <w:rFonts w:hint="eastAsia" w:ascii="宋体" w:hAnsi="宋体"/>
                      <w:color w:val="000000"/>
                      <w:sz w:val="18"/>
                      <w:szCs w:val="18"/>
                    </w:rPr>
                    <w:t>-</w:t>
                  </w:r>
                </w:p>
              </w:tc>
              <w:tc>
                <w:tcPr>
                  <w:tcW w:w="1844" w:type="dxa"/>
                  <w:vMerge w:val="restart"/>
                  <w:tcBorders>
                    <w:right w:val="single" w:color="auto" w:sz="12" w:space="0"/>
                  </w:tcBorders>
                  <w:noWrap w:val="0"/>
                  <w:vAlign w:val="center"/>
                </w:tcPr>
                <w:p w14:paraId="2A4BA68F">
                  <w:pPr>
                    <w:keepLines w:val="0"/>
                    <w:pageBreakBefore w:val="0"/>
                    <w:topLinePunct w:val="0"/>
                    <w:bidi w:val="0"/>
                    <w:spacing w:line="240" w:lineRule="auto"/>
                    <w:jc w:val="center"/>
                    <w:rPr>
                      <w:rFonts w:ascii="宋体" w:hAnsi="宋体"/>
                      <w:color w:val="FF0000"/>
                      <w:sz w:val="18"/>
                      <w:szCs w:val="18"/>
                    </w:rPr>
                  </w:pPr>
                  <w:r>
                    <w:rPr>
                      <w:rFonts w:hint="eastAsia" w:ascii="宋体" w:hAnsi="宋体"/>
                      <w:sz w:val="18"/>
                      <w:szCs w:val="18"/>
                    </w:rPr>
                    <w:t>FZ/T 60005-1991</w:t>
                  </w:r>
                </w:p>
              </w:tc>
            </w:tr>
            <w:tr w14:paraId="2A15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Merge w:val="continue"/>
                  <w:tcBorders>
                    <w:left w:val="single" w:color="auto" w:sz="12" w:space="0"/>
                  </w:tcBorders>
                  <w:noWrap w:val="0"/>
                  <w:vAlign w:val="top"/>
                </w:tcPr>
                <w:p w14:paraId="0C64EEBB">
                  <w:pPr>
                    <w:keepLines w:val="0"/>
                    <w:pageBreakBefore w:val="0"/>
                    <w:topLinePunct w:val="0"/>
                    <w:bidi w:val="0"/>
                    <w:spacing w:line="240" w:lineRule="auto"/>
                    <w:jc w:val="center"/>
                    <w:rPr>
                      <w:rFonts w:ascii="宋体" w:hAnsi="宋体"/>
                      <w:color w:val="FF0000"/>
                      <w:sz w:val="18"/>
                      <w:szCs w:val="18"/>
                    </w:rPr>
                  </w:pPr>
                </w:p>
              </w:tc>
              <w:tc>
                <w:tcPr>
                  <w:tcW w:w="889" w:type="dxa"/>
                  <w:noWrap w:val="0"/>
                  <w:vAlign w:val="top"/>
                </w:tcPr>
                <w:p w14:paraId="77E02994">
                  <w:pPr>
                    <w:keepLines w:val="0"/>
                    <w:pageBreakBefore w:val="0"/>
                    <w:topLinePunct w:val="0"/>
                    <w:bidi w:val="0"/>
                    <w:spacing w:line="240" w:lineRule="auto"/>
                    <w:jc w:val="center"/>
                    <w:rPr>
                      <w:rFonts w:ascii="宋体" w:hAnsi="宋体"/>
                      <w:color w:val="FF0000"/>
                      <w:sz w:val="18"/>
                      <w:szCs w:val="18"/>
                    </w:rPr>
                  </w:pPr>
                  <w:r>
                    <w:rPr>
                      <w:rFonts w:ascii="宋体" w:hAnsi="宋体"/>
                      <w:kern w:val="0"/>
                      <w:sz w:val="18"/>
                      <w:szCs w:val="18"/>
                    </w:rPr>
                    <w:t>横向</w:t>
                  </w:r>
                </w:p>
              </w:tc>
              <w:tc>
                <w:tcPr>
                  <w:tcW w:w="1084" w:type="dxa"/>
                  <w:noWrap w:val="0"/>
                  <w:vAlign w:val="top"/>
                </w:tcPr>
                <w:p w14:paraId="6C6F8A02">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≥15</w:t>
                  </w:r>
                </w:p>
              </w:tc>
              <w:tc>
                <w:tcPr>
                  <w:tcW w:w="1246" w:type="dxa"/>
                  <w:noWrap w:val="0"/>
                  <w:vAlign w:val="center"/>
                </w:tcPr>
                <w:p w14:paraId="29473312">
                  <w:pPr>
                    <w:keepLines w:val="0"/>
                    <w:pageBreakBefore w:val="0"/>
                    <w:widowControl/>
                    <w:topLinePunct w:val="0"/>
                    <w:autoSpaceDE w:val="0"/>
                    <w:autoSpaceDN w:val="0"/>
                    <w:bidi w:val="0"/>
                    <w:spacing w:line="240" w:lineRule="auto"/>
                    <w:jc w:val="center"/>
                    <w:rPr>
                      <w:rFonts w:ascii="宋体" w:hAnsi="宋体"/>
                      <w:kern w:val="0"/>
                      <w:sz w:val="18"/>
                      <w:szCs w:val="18"/>
                    </w:rPr>
                  </w:pPr>
                  <w:r>
                    <w:rPr>
                      <w:rFonts w:hint="eastAsia" w:ascii="宋体" w:hAnsi="宋体"/>
                      <w:color w:val="000000"/>
                      <w:sz w:val="18"/>
                      <w:szCs w:val="18"/>
                    </w:rPr>
                    <w:t>-</w:t>
                  </w:r>
                </w:p>
              </w:tc>
              <w:tc>
                <w:tcPr>
                  <w:tcW w:w="1844" w:type="dxa"/>
                  <w:vMerge w:val="continue"/>
                  <w:tcBorders>
                    <w:right w:val="single" w:color="auto" w:sz="12" w:space="0"/>
                  </w:tcBorders>
                  <w:noWrap w:val="0"/>
                  <w:vAlign w:val="top"/>
                </w:tcPr>
                <w:p w14:paraId="770A6FED">
                  <w:pPr>
                    <w:keepLines w:val="0"/>
                    <w:pageBreakBefore w:val="0"/>
                    <w:topLinePunct w:val="0"/>
                    <w:bidi w:val="0"/>
                    <w:spacing w:line="240" w:lineRule="auto"/>
                    <w:jc w:val="center"/>
                    <w:rPr>
                      <w:rFonts w:ascii="宋体" w:hAnsi="宋体"/>
                      <w:color w:val="FF0000"/>
                      <w:sz w:val="18"/>
                      <w:szCs w:val="18"/>
                    </w:rPr>
                  </w:pPr>
                </w:p>
              </w:tc>
            </w:tr>
            <w:tr w14:paraId="22F5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gridSpan w:val="2"/>
                  <w:tcBorders>
                    <w:left w:val="single" w:color="auto" w:sz="12" w:space="0"/>
                  </w:tcBorders>
                  <w:noWrap w:val="0"/>
                  <w:vAlign w:val="top"/>
                </w:tcPr>
                <w:p w14:paraId="0D1D4C77">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蓬松度/（cm</w:t>
                  </w:r>
                  <w:r>
                    <w:rPr>
                      <w:rFonts w:hint="eastAsia" w:ascii="宋体" w:hAnsi="宋体"/>
                      <w:color w:val="000000"/>
                      <w:sz w:val="18"/>
                      <w:szCs w:val="18"/>
                      <w:vertAlign w:val="superscript"/>
                    </w:rPr>
                    <w:t>3</w:t>
                  </w:r>
                  <w:r>
                    <w:rPr>
                      <w:rFonts w:hint="eastAsia" w:ascii="宋体" w:hAnsi="宋体"/>
                      <w:color w:val="000000"/>
                      <w:sz w:val="18"/>
                      <w:szCs w:val="18"/>
                    </w:rPr>
                    <w:t>/g）</w:t>
                  </w:r>
                  <w:r>
                    <w:rPr>
                      <w:rFonts w:ascii="宋体" w:hAnsi="宋体"/>
                      <w:color w:val="FF0000"/>
                      <w:sz w:val="18"/>
                      <w:szCs w:val="18"/>
                    </w:rPr>
                    <w:tab/>
                  </w:r>
                </w:p>
              </w:tc>
              <w:tc>
                <w:tcPr>
                  <w:tcW w:w="1084" w:type="dxa"/>
                  <w:noWrap w:val="0"/>
                  <w:vAlign w:val="center"/>
                </w:tcPr>
                <w:p w14:paraId="532C70AE">
                  <w:pPr>
                    <w:keepLines w:val="0"/>
                    <w:pageBreakBefore w:val="0"/>
                    <w:widowControl/>
                    <w:topLinePunct w:val="0"/>
                    <w:autoSpaceDE w:val="0"/>
                    <w:autoSpaceDN w:val="0"/>
                    <w:bidi w:val="0"/>
                    <w:spacing w:line="240" w:lineRule="auto"/>
                    <w:jc w:val="center"/>
                    <w:rPr>
                      <w:rFonts w:ascii="宋体" w:hAnsi="宋体"/>
                      <w:kern w:val="0"/>
                      <w:sz w:val="18"/>
                      <w:szCs w:val="18"/>
                    </w:rPr>
                  </w:pPr>
                  <w:r>
                    <w:rPr>
                      <w:rFonts w:hint="eastAsia" w:ascii="宋体" w:hAnsi="宋体"/>
                      <w:color w:val="000000"/>
                      <w:sz w:val="18"/>
                      <w:szCs w:val="18"/>
                    </w:rPr>
                    <w:t>≥30</w:t>
                  </w:r>
                </w:p>
              </w:tc>
              <w:tc>
                <w:tcPr>
                  <w:tcW w:w="1246" w:type="dxa"/>
                  <w:noWrap w:val="0"/>
                  <w:vAlign w:val="center"/>
                </w:tcPr>
                <w:p w14:paraId="11D9CD6E">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w:t>
                  </w:r>
                </w:p>
              </w:tc>
              <w:tc>
                <w:tcPr>
                  <w:tcW w:w="1844" w:type="dxa"/>
                  <w:vMerge w:val="restart"/>
                  <w:tcBorders>
                    <w:right w:val="single" w:color="auto" w:sz="12" w:space="0"/>
                  </w:tcBorders>
                  <w:noWrap w:val="0"/>
                  <w:vAlign w:val="center"/>
                </w:tcPr>
                <w:p w14:paraId="4BD5B3A8">
                  <w:pPr>
                    <w:keepLines w:val="0"/>
                    <w:pageBreakBefore w:val="0"/>
                    <w:widowControl/>
                    <w:topLinePunct w:val="0"/>
                    <w:autoSpaceDE w:val="0"/>
                    <w:autoSpaceDN w:val="0"/>
                    <w:bidi w:val="0"/>
                    <w:spacing w:line="240" w:lineRule="auto"/>
                    <w:jc w:val="center"/>
                    <w:rPr>
                      <w:rFonts w:ascii="宋体"/>
                      <w:kern w:val="0"/>
                      <w:szCs w:val="20"/>
                    </w:rPr>
                  </w:pPr>
                  <w:r>
                    <w:rPr>
                      <w:rFonts w:hint="eastAsia" w:ascii="宋体" w:hAnsi="宋体"/>
                      <w:sz w:val="18"/>
                      <w:szCs w:val="18"/>
                    </w:rPr>
                    <w:t>FZ/T 64003-2011</w:t>
                  </w:r>
                </w:p>
              </w:tc>
            </w:tr>
            <w:tr w14:paraId="1612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6" w:type="dxa"/>
                  <w:gridSpan w:val="2"/>
                  <w:tcBorders>
                    <w:left w:val="single" w:color="auto" w:sz="12" w:space="0"/>
                    <w:bottom w:val="single" w:color="auto" w:sz="12" w:space="0"/>
                  </w:tcBorders>
                  <w:noWrap w:val="0"/>
                  <w:vAlign w:val="center"/>
                </w:tcPr>
                <w:p w14:paraId="5170F346">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压缩弹性率/%</w:t>
                  </w:r>
                </w:p>
              </w:tc>
              <w:tc>
                <w:tcPr>
                  <w:tcW w:w="1084" w:type="dxa"/>
                  <w:tcBorders>
                    <w:bottom w:val="single" w:color="auto" w:sz="12" w:space="0"/>
                  </w:tcBorders>
                  <w:noWrap w:val="0"/>
                  <w:vAlign w:val="center"/>
                </w:tcPr>
                <w:p w14:paraId="2B9ABBB9">
                  <w:pPr>
                    <w:keepLines w:val="0"/>
                    <w:pageBreakBefore w:val="0"/>
                    <w:widowControl/>
                    <w:topLinePunct w:val="0"/>
                    <w:autoSpaceDE w:val="0"/>
                    <w:autoSpaceDN w:val="0"/>
                    <w:bidi w:val="0"/>
                    <w:spacing w:line="240" w:lineRule="auto"/>
                    <w:jc w:val="center"/>
                    <w:rPr>
                      <w:rFonts w:ascii="宋体" w:hAnsi="宋体"/>
                      <w:kern w:val="0"/>
                      <w:sz w:val="18"/>
                      <w:szCs w:val="18"/>
                    </w:rPr>
                  </w:pPr>
                  <w:r>
                    <w:rPr>
                      <w:rFonts w:hint="eastAsia" w:ascii="宋体" w:hAnsi="宋体"/>
                      <w:color w:val="000000"/>
                      <w:sz w:val="18"/>
                      <w:szCs w:val="18"/>
                    </w:rPr>
                    <w:t>≥70</w:t>
                  </w:r>
                </w:p>
              </w:tc>
              <w:tc>
                <w:tcPr>
                  <w:tcW w:w="1246" w:type="dxa"/>
                  <w:tcBorders>
                    <w:bottom w:val="single" w:color="auto" w:sz="12" w:space="0"/>
                  </w:tcBorders>
                  <w:noWrap w:val="0"/>
                  <w:vAlign w:val="top"/>
                </w:tcPr>
                <w:p w14:paraId="09EAAA40">
                  <w:pPr>
                    <w:keepLines w:val="0"/>
                    <w:pageBreakBefore w:val="0"/>
                    <w:topLinePunct w:val="0"/>
                    <w:bidi w:val="0"/>
                    <w:spacing w:line="240" w:lineRule="auto"/>
                    <w:jc w:val="center"/>
                    <w:rPr>
                      <w:rFonts w:ascii="宋体" w:hAnsi="宋体"/>
                      <w:color w:val="FF0000"/>
                      <w:sz w:val="18"/>
                      <w:szCs w:val="18"/>
                    </w:rPr>
                  </w:pPr>
                  <w:r>
                    <w:rPr>
                      <w:rFonts w:hint="eastAsia" w:ascii="宋体" w:hAnsi="宋体"/>
                      <w:color w:val="000000"/>
                      <w:sz w:val="18"/>
                      <w:szCs w:val="18"/>
                    </w:rPr>
                    <w:t>-</w:t>
                  </w:r>
                </w:p>
              </w:tc>
              <w:tc>
                <w:tcPr>
                  <w:tcW w:w="1844" w:type="dxa"/>
                  <w:vMerge w:val="continue"/>
                  <w:tcBorders>
                    <w:bottom w:val="single" w:color="auto" w:sz="12" w:space="0"/>
                    <w:right w:val="single" w:color="auto" w:sz="12" w:space="0"/>
                  </w:tcBorders>
                  <w:noWrap w:val="0"/>
                  <w:vAlign w:val="center"/>
                </w:tcPr>
                <w:p w14:paraId="3C639935">
                  <w:pPr>
                    <w:keepLines w:val="0"/>
                    <w:pageBreakBefore w:val="0"/>
                    <w:widowControl/>
                    <w:topLinePunct w:val="0"/>
                    <w:autoSpaceDE w:val="0"/>
                    <w:autoSpaceDN w:val="0"/>
                    <w:bidi w:val="0"/>
                    <w:spacing w:line="240" w:lineRule="auto"/>
                    <w:jc w:val="center"/>
                    <w:rPr>
                      <w:rFonts w:ascii="宋体"/>
                      <w:kern w:val="0"/>
                      <w:szCs w:val="20"/>
                    </w:rPr>
                  </w:pPr>
                </w:p>
              </w:tc>
            </w:tr>
          </w:tbl>
          <w:p w14:paraId="5D4AAF73">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rPr>
            </w:pPr>
            <w:bookmarkStart w:id="638" w:name="_Toc24000"/>
            <w:bookmarkStart w:id="639" w:name="_Toc7249"/>
            <w:bookmarkStart w:id="640" w:name="_Toc34207566"/>
            <w:bookmarkStart w:id="641" w:name="_Toc90391656"/>
            <w:r>
              <w:rPr>
                <w:rFonts w:hint="eastAsia"/>
              </w:rPr>
              <w:t>外观质量</w:t>
            </w:r>
            <w:bookmarkEnd w:id="638"/>
            <w:bookmarkEnd w:id="639"/>
            <w:bookmarkEnd w:id="640"/>
            <w:bookmarkEnd w:id="641"/>
          </w:p>
          <w:p w14:paraId="3B58A63D">
            <w:pPr>
              <w:pStyle w:val="538"/>
              <w:keepLines w:val="0"/>
              <w:pageBreakBefore w:val="0"/>
              <w:topLinePunct w:val="0"/>
              <w:bidi w:val="0"/>
              <w:spacing w:line="240" w:lineRule="auto"/>
              <w:ind w:firstLine="424" w:firstLineChars="202"/>
              <w:rPr>
                <w:rFonts w:hint="eastAsia"/>
                <w:lang w:val="zh-CN"/>
              </w:rPr>
            </w:pPr>
            <w:r>
              <w:rPr>
                <w:rFonts w:hint="eastAsia"/>
                <w:lang w:val="zh-CN"/>
              </w:rPr>
              <w:t>褥胎厚薄过渡均匀，手感柔软、蓬松，粘结力强并富有弹性，其外观质量应符合表</w:t>
            </w:r>
            <w:r>
              <w:rPr>
                <w:rFonts w:hint="eastAsia" w:hAnsi="宋体"/>
              </w:rPr>
              <w:t>C.2</w:t>
            </w:r>
            <w:r>
              <w:rPr>
                <w:rFonts w:hint="eastAsia"/>
                <w:lang w:val="zh-CN"/>
              </w:rPr>
              <w:t>规定。</w:t>
            </w:r>
          </w:p>
          <w:tbl>
            <w:tblPr>
              <w:tblStyle w:val="58"/>
              <w:tblW w:w="5000" w:type="pct"/>
              <w:tblInd w:w="0" w:type="dxa"/>
              <w:tblLayout w:type="fixed"/>
              <w:tblCellMar>
                <w:top w:w="0" w:type="dxa"/>
                <w:left w:w="108" w:type="dxa"/>
                <w:bottom w:w="0" w:type="dxa"/>
                <w:right w:w="108" w:type="dxa"/>
              </w:tblCellMar>
            </w:tblPr>
            <w:tblGrid>
              <w:gridCol w:w="2631"/>
              <w:gridCol w:w="3936"/>
            </w:tblGrid>
            <w:tr w14:paraId="5976E5FE">
              <w:tblPrEx>
                <w:tblCellMar>
                  <w:top w:w="0" w:type="dxa"/>
                  <w:left w:w="108" w:type="dxa"/>
                  <w:bottom w:w="0" w:type="dxa"/>
                  <w:right w:w="108" w:type="dxa"/>
                </w:tblCellMar>
              </w:tblPrEx>
              <w:tc>
                <w:tcPr>
                  <w:tcW w:w="5000" w:type="pct"/>
                  <w:gridSpan w:val="2"/>
                  <w:tcBorders>
                    <w:bottom w:val="single" w:color="auto" w:sz="12" w:space="0"/>
                  </w:tcBorders>
                  <w:noWrap w:val="0"/>
                  <w:vAlign w:val="top"/>
                </w:tcPr>
                <w:p w14:paraId="7EB6C87D">
                  <w:pPr>
                    <w:keepLines w:val="0"/>
                    <w:pageBreakBefore w:val="0"/>
                    <w:topLinePunct w:val="0"/>
                    <w:bidi w:val="0"/>
                    <w:spacing w:line="240" w:lineRule="auto"/>
                    <w:jc w:val="center"/>
                    <w:rPr>
                      <w:rFonts w:ascii="黑体" w:hAnsi="黑体" w:eastAsia="黑体" w:cs="宋体"/>
                      <w:color w:val="000000"/>
                      <w:sz w:val="18"/>
                      <w:szCs w:val="18"/>
                      <w:lang w:val="zh-CN"/>
                    </w:rPr>
                  </w:pPr>
                  <w:r>
                    <w:rPr>
                      <w:rFonts w:ascii="黑体" w:hAnsi="黑体" w:eastAsia="黑体"/>
                      <w:szCs w:val="21"/>
                    </w:rPr>
                    <w:t>表</w:t>
                  </w:r>
                  <w:r>
                    <w:rPr>
                      <w:rFonts w:hint="eastAsia" w:ascii="黑体" w:hAnsi="黑体" w:eastAsia="黑体"/>
                      <w:szCs w:val="21"/>
                    </w:rPr>
                    <w:t>C.2</w:t>
                  </w:r>
                </w:p>
              </w:tc>
            </w:tr>
            <w:tr w14:paraId="136F6026">
              <w:tblPrEx>
                <w:tblCellMar>
                  <w:top w:w="0" w:type="dxa"/>
                  <w:left w:w="108" w:type="dxa"/>
                  <w:bottom w:w="0" w:type="dxa"/>
                  <w:right w:w="108" w:type="dxa"/>
                </w:tblCellMar>
              </w:tblPrEx>
              <w:tc>
                <w:tcPr>
                  <w:tcW w:w="2003" w:type="pct"/>
                  <w:tcBorders>
                    <w:top w:val="single" w:color="auto" w:sz="12" w:space="0"/>
                    <w:left w:val="single" w:color="auto" w:sz="12" w:space="0"/>
                    <w:bottom w:val="single" w:color="auto" w:sz="12" w:space="0"/>
                    <w:right w:val="single" w:color="auto" w:sz="4" w:space="0"/>
                  </w:tcBorders>
                  <w:noWrap w:val="0"/>
                  <w:vAlign w:val="top"/>
                </w:tcPr>
                <w:p w14:paraId="4698955F">
                  <w:pPr>
                    <w:keepLines w:val="0"/>
                    <w:pageBreakBefore w:val="0"/>
                    <w:topLinePunct w:val="0"/>
                    <w:autoSpaceDE w:val="0"/>
                    <w:autoSpaceDN w:val="0"/>
                    <w:bidi w:val="0"/>
                    <w:adjustRightInd w:val="0"/>
                    <w:spacing w:line="240" w:lineRule="auto"/>
                    <w:jc w:val="center"/>
                    <w:rPr>
                      <w:rFonts w:hint="eastAsia" w:ascii="宋体" w:hAnsi="宋体" w:cs="宋体"/>
                      <w:color w:val="000000"/>
                      <w:sz w:val="18"/>
                      <w:szCs w:val="18"/>
                      <w:lang w:val="zh-CN"/>
                    </w:rPr>
                  </w:pPr>
                  <w:r>
                    <w:rPr>
                      <w:rFonts w:hint="eastAsia" w:ascii="宋体" w:hAnsi="宋体" w:cs="宋体"/>
                      <w:color w:val="000000"/>
                      <w:sz w:val="18"/>
                      <w:szCs w:val="18"/>
                      <w:lang w:val="zh-CN"/>
                    </w:rPr>
                    <w:t>疵点名称</w:t>
                  </w:r>
                </w:p>
              </w:tc>
              <w:tc>
                <w:tcPr>
                  <w:tcW w:w="2997" w:type="pct"/>
                  <w:tcBorders>
                    <w:top w:val="single" w:color="auto" w:sz="12" w:space="0"/>
                    <w:left w:val="single" w:color="auto" w:sz="4" w:space="0"/>
                    <w:bottom w:val="single" w:color="auto" w:sz="12" w:space="0"/>
                    <w:right w:val="single" w:color="auto" w:sz="12" w:space="0"/>
                  </w:tcBorders>
                  <w:noWrap w:val="0"/>
                  <w:vAlign w:val="top"/>
                </w:tcPr>
                <w:p w14:paraId="6DCA9872">
                  <w:pPr>
                    <w:keepLines w:val="0"/>
                    <w:pageBreakBefore w:val="0"/>
                    <w:topLinePunct w:val="0"/>
                    <w:autoSpaceDE w:val="0"/>
                    <w:autoSpaceDN w:val="0"/>
                    <w:bidi w:val="0"/>
                    <w:adjustRightInd w:val="0"/>
                    <w:spacing w:line="240" w:lineRule="auto"/>
                    <w:jc w:val="center"/>
                    <w:rPr>
                      <w:rFonts w:hint="eastAsia" w:ascii="宋体" w:hAnsi="宋体" w:cs="宋体"/>
                      <w:color w:val="000000"/>
                      <w:sz w:val="18"/>
                      <w:szCs w:val="18"/>
                      <w:lang w:val="zh-CN"/>
                    </w:rPr>
                  </w:pPr>
                  <w:r>
                    <w:rPr>
                      <w:rFonts w:hint="eastAsia" w:ascii="宋体" w:hAnsi="宋体" w:cs="宋体"/>
                      <w:color w:val="000000"/>
                      <w:sz w:val="18"/>
                      <w:szCs w:val="18"/>
                      <w:lang w:val="zh-CN"/>
                    </w:rPr>
                    <w:t>合格品条件</w:t>
                  </w:r>
                </w:p>
              </w:tc>
            </w:tr>
            <w:tr w14:paraId="7F92774F">
              <w:tblPrEx>
                <w:tblCellMar>
                  <w:top w:w="0" w:type="dxa"/>
                  <w:left w:w="108" w:type="dxa"/>
                  <w:bottom w:w="0" w:type="dxa"/>
                  <w:right w:w="108" w:type="dxa"/>
                </w:tblCellMar>
              </w:tblPrEx>
              <w:tc>
                <w:tcPr>
                  <w:tcW w:w="2003" w:type="pct"/>
                  <w:tcBorders>
                    <w:top w:val="single" w:color="auto" w:sz="12" w:space="0"/>
                    <w:left w:val="single" w:color="auto" w:sz="12" w:space="0"/>
                    <w:bottom w:val="single" w:color="auto" w:sz="6" w:space="0"/>
                    <w:right w:val="single" w:color="auto" w:sz="6" w:space="0"/>
                  </w:tcBorders>
                  <w:noWrap w:val="0"/>
                  <w:vAlign w:val="center"/>
                </w:tcPr>
                <w:p w14:paraId="07CC453A">
                  <w:pPr>
                    <w:keepLines w:val="0"/>
                    <w:pageBreakBefore w:val="0"/>
                    <w:topLinePunct w:val="0"/>
                    <w:autoSpaceDE w:val="0"/>
                    <w:autoSpaceDN w:val="0"/>
                    <w:bidi w:val="0"/>
                    <w:adjustRightInd w:val="0"/>
                    <w:spacing w:line="240" w:lineRule="auto"/>
                    <w:jc w:val="center"/>
                    <w:rPr>
                      <w:rFonts w:ascii="宋体" w:hAnsi="宋体" w:cs="宋体"/>
                      <w:color w:val="000000"/>
                      <w:sz w:val="18"/>
                      <w:szCs w:val="18"/>
                      <w:lang w:val="zh-CN"/>
                    </w:rPr>
                  </w:pPr>
                  <w:r>
                    <w:rPr>
                      <w:rFonts w:hint="eastAsia" w:ascii="宋体" w:hAnsi="宋体" w:cs="宋体"/>
                      <w:color w:val="000000"/>
                      <w:sz w:val="18"/>
                      <w:szCs w:val="18"/>
                      <w:lang w:val="zh-CN"/>
                    </w:rPr>
                    <w:t>破洞</w:t>
                  </w:r>
                </w:p>
              </w:tc>
              <w:tc>
                <w:tcPr>
                  <w:tcW w:w="2997" w:type="pct"/>
                  <w:tcBorders>
                    <w:top w:val="single" w:color="auto" w:sz="12" w:space="0"/>
                    <w:left w:val="single" w:color="auto" w:sz="6" w:space="0"/>
                    <w:bottom w:val="single" w:color="auto" w:sz="6" w:space="0"/>
                    <w:right w:val="single" w:color="auto" w:sz="12" w:space="0"/>
                  </w:tcBorders>
                  <w:noWrap w:val="0"/>
                  <w:vAlign w:val="center"/>
                </w:tcPr>
                <w:p w14:paraId="50E5AFCD">
                  <w:pPr>
                    <w:keepLines w:val="0"/>
                    <w:pageBreakBefore w:val="0"/>
                    <w:topLinePunct w:val="0"/>
                    <w:autoSpaceDE w:val="0"/>
                    <w:autoSpaceDN w:val="0"/>
                    <w:bidi w:val="0"/>
                    <w:adjustRightInd w:val="0"/>
                    <w:spacing w:line="240" w:lineRule="auto"/>
                    <w:jc w:val="center"/>
                    <w:rPr>
                      <w:rFonts w:ascii="宋体" w:hAnsi="宋体" w:cs="宋体"/>
                      <w:color w:val="000000"/>
                      <w:sz w:val="18"/>
                      <w:szCs w:val="18"/>
                      <w:lang w:val="zh-CN"/>
                    </w:rPr>
                  </w:pPr>
                  <w:r>
                    <w:rPr>
                      <w:rFonts w:hint="eastAsia" w:ascii="宋体" w:hAnsi="宋体" w:cs="宋体"/>
                      <w:color w:val="000000"/>
                      <w:sz w:val="18"/>
                      <w:szCs w:val="18"/>
                      <w:lang w:val="zh-CN"/>
                    </w:rPr>
                    <w:t>不允许</w:t>
                  </w:r>
                </w:p>
              </w:tc>
            </w:tr>
            <w:tr w14:paraId="2B7EEDB0">
              <w:tblPrEx>
                <w:tblCellMar>
                  <w:top w:w="0" w:type="dxa"/>
                  <w:left w:w="108" w:type="dxa"/>
                  <w:bottom w:w="0" w:type="dxa"/>
                  <w:right w:w="108" w:type="dxa"/>
                </w:tblCellMar>
              </w:tblPrEx>
              <w:tc>
                <w:tcPr>
                  <w:tcW w:w="2003" w:type="pct"/>
                  <w:tcBorders>
                    <w:top w:val="single" w:color="auto" w:sz="6" w:space="0"/>
                    <w:left w:val="single" w:color="auto" w:sz="12" w:space="0"/>
                    <w:bottom w:val="single" w:color="auto" w:sz="6" w:space="0"/>
                    <w:right w:val="single" w:color="auto" w:sz="6" w:space="0"/>
                  </w:tcBorders>
                  <w:noWrap w:val="0"/>
                  <w:vAlign w:val="center"/>
                </w:tcPr>
                <w:p w14:paraId="67F0F856">
                  <w:pPr>
                    <w:keepLines w:val="0"/>
                    <w:pageBreakBefore w:val="0"/>
                    <w:topLinePunct w:val="0"/>
                    <w:autoSpaceDE w:val="0"/>
                    <w:autoSpaceDN w:val="0"/>
                    <w:bidi w:val="0"/>
                    <w:adjustRightInd w:val="0"/>
                    <w:spacing w:line="240" w:lineRule="auto"/>
                    <w:jc w:val="center"/>
                    <w:rPr>
                      <w:rFonts w:ascii="宋体" w:hAnsi="宋体"/>
                      <w:color w:val="000000"/>
                      <w:sz w:val="18"/>
                      <w:szCs w:val="18"/>
                    </w:rPr>
                  </w:pPr>
                  <w:r>
                    <w:rPr>
                      <w:rFonts w:hint="eastAsia" w:ascii="宋体" w:hAnsi="宋体" w:cs="宋体"/>
                      <w:color w:val="000000"/>
                      <w:sz w:val="18"/>
                      <w:szCs w:val="18"/>
                      <w:lang w:val="zh-CN"/>
                    </w:rPr>
                    <w:t>拉毛</w:t>
                  </w:r>
                </w:p>
              </w:tc>
              <w:tc>
                <w:tcPr>
                  <w:tcW w:w="2997" w:type="pct"/>
                  <w:tcBorders>
                    <w:top w:val="single" w:color="auto" w:sz="6" w:space="0"/>
                    <w:left w:val="single" w:color="auto" w:sz="6" w:space="0"/>
                    <w:bottom w:val="single" w:color="auto" w:sz="6" w:space="0"/>
                    <w:right w:val="single" w:color="auto" w:sz="12" w:space="0"/>
                  </w:tcBorders>
                  <w:noWrap w:val="0"/>
                  <w:vAlign w:val="center"/>
                </w:tcPr>
                <w:p w14:paraId="60DAABFC">
                  <w:pPr>
                    <w:keepLines w:val="0"/>
                    <w:pageBreakBefore w:val="0"/>
                    <w:topLinePunct w:val="0"/>
                    <w:autoSpaceDE w:val="0"/>
                    <w:autoSpaceDN w:val="0"/>
                    <w:bidi w:val="0"/>
                    <w:adjustRightInd w:val="0"/>
                    <w:spacing w:line="240" w:lineRule="auto"/>
                    <w:jc w:val="center"/>
                    <w:rPr>
                      <w:rFonts w:ascii="宋体" w:hAnsi="宋体" w:cs="宋体"/>
                      <w:color w:val="000000"/>
                      <w:sz w:val="18"/>
                      <w:szCs w:val="18"/>
                      <w:lang w:val="zh-CN"/>
                    </w:rPr>
                  </w:pPr>
                  <w:r>
                    <w:rPr>
                      <w:rFonts w:hint="eastAsia" w:ascii="宋体" w:hAnsi="宋体" w:cs="宋体"/>
                      <w:color w:val="000000"/>
                      <w:sz w:val="18"/>
                      <w:szCs w:val="18"/>
                      <w:lang w:val="zh-CN"/>
                    </w:rPr>
                    <w:t>允许有两处不连续轻微拉毛，每处面积≤</w:t>
                  </w:r>
                  <w:r>
                    <w:rPr>
                      <w:rFonts w:ascii="宋体" w:hAnsi="宋体"/>
                      <w:color w:val="000000"/>
                      <w:sz w:val="18"/>
                      <w:szCs w:val="18"/>
                    </w:rPr>
                    <w:t>100</w:t>
                  </w:r>
                  <w:r>
                    <w:rPr>
                      <w:rFonts w:hint="eastAsia" w:ascii="宋体" w:hAnsi="宋体"/>
                      <w:color w:val="000000"/>
                      <w:sz w:val="18"/>
                      <w:szCs w:val="18"/>
                      <w:lang w:val="en-US" w:eastAsia="zh-CN"/>
                    </w:rPr>
                    <w:t xml:space="preserve"> </w:t>
                  </w:r>
                  <w:r>
                    <w:rPr>
                      <w:rFonts w:ascii="宋体" w:hAnsi="宋体"/>
                      <w:color w:val="000000"/>
                      <w:sz w:val="18"/>
                      <w:szCs w:val="18"/>
                    </w:rPr>
                    <w:t>cm</w:t>
                  </w:r>
                  <w:r>
                    <w:rPr>
                      <w:rFonts w:ascii="宋体" w:hAnsi="宋体" w:cs="宋体"/>
                      <w:color w:val="000000"/>
                      <w:sz w:val="18"/>
                      <w:szCs w:val="18"/>
                      <w:vertAlign w:val="superscript"/>
                      <w:lang w:val="zh-CN"/>
                    </w:rPr>
                    <w:t>2</w:t>
                  </w:r>
                </w:p>
              </w:tc>
            </w:tr>
            <w:tr w14:paraId="161757F6">
              <w:tblPrEx>
                <w:tblCellMar>
                  <w:top w:w="0" w:type="dxa"/>
                  <w:left w:w="108" w:type="dxa"/>
                  <w:bottom w:w="0" w:type="dxa"/>
                  <w:right w:w="108" w:type="dxa"/>
                </w:tblCellMar>
              </w:tblPrEx>
              <w:tc>
                <w:tcPr>
                  <w:tcW w:w="2003" w:type="pct"/>
                  <w:tcBorders>
                    <w:top w:val="single" w:color="auto" w:sz="6" w:space="0"/>
                    <w:left w:val="single" w:color="auto" w:sz="12" w:space="0"/>
                    <w:bottom w:val="single" w:color="auto" w:sz="6" w:space="0"/>
                    <w:right w:val="single" w:color="auto" w:sz="6" w:space="0"/>
                  </w:tcBorders>
                  <w:noWrap w:val="0"/>
                  <w:vAlign w:val="center"/>
                </w:tcPr>
                <w:p w14:paraId="45214CBE">
                  <w:pPr>
                    <w:keepLines w:val="0"/>
                    <w:pageBreakBefore w:val="0"/>
                    <w:topLinePunct w:val="0"/>
                    <w:autoSpaceDE w:val="0"/>
                    <w:autoSpaceDN w:val="0"/>
                    <w:bidi w:val="0"/>
                    <w:adjustRightInd w:val="0"/>
                    <w:spacing w:line="240" w:lineRule="auto"/>
                    <w:jc w:val="center"/>
                    <w:rPr>
                      <w:rFonts w:ascii="宋体" w:hAnsi="宋体"/>
                      <w:color w:val="000000"/>
                      <w:sz w:val="18"/>
                      <w:szCs w:val="18"/>
                    </w:rPr>
                  </w:pPr>
                  <w:r>
                    <w:rPr>
                      <w:rFonts w:hint="eastAsia" w:ascii="宋体" w:hAnsi="宋体" w:cs="宋体"/>
                      <w:color w:val="000000"/>
                      <w:sz w:val="18"/>
                      <w:szCs w:val="18"/>
                      <w:lang w:val="zh-CN"/>
                    </w:rPr>
                    <w:t>表面油污</w:t>
                  </w:r>
                </w:p>
              </w:tc>
              <w:tc>
                <w:tcPr>
                  <w:tcW w:w="2997" w:type="pct"/>
                  <w:tcBorders>
                    <w:top w:val="single" w:color="auto" w:sz="6" w:space="0"/>
                    <w:left w:val="single" w:color="auto" w:sz="6" w:space="0"/>
                    <w:bottom w:val="single" w:color="auto" w:sz="6" w:space="0"/>
                    <w:right w:val="single" w:color="auto" w:sz="12" w:space="0"/>
                  </w:tcBorders>
                  <w:noWrap w:val="0"/>
                  <w:vAlign w:val="center"/>
                </w:tcPr>
                <w:p w14:paraId="7F0632AB">
                  <w:pPr>
                    <w:keepLines w:val="0"/>
                    <w:pageBreakBefore w:val="0"/>
                    <w:topLinePunct w:val="0"/>
                    <w:autoSpaceDE w:val="0"/>
                    <w:autoSpaceDN w:val="0"/>
                    <w:bidi w:val="0"/>
                    <w:adjustRightInd w:val="0"/>
                    <w:spacing w:line="240" w:lineRule="auto"/>
                    <w:jc w:val="center"/>
                    <w:rPr>
                      <w:rFonts w:ascii="宋体" w:hAnsi="宋体" w:cs="宋体"/>
                      <w:color w:val="000000"/>
                      <w:sz w:val="18"/>
                      <w:szCs w:val="18"/>
                      <w:lang w:val="zh-CN"/>
                    </w:rPr>
                  </w:pPr>
                  <w:r>
                    <w:rPr>
                      <w:rFonts w:hint="eastAsia" w:ascii="宋体" w:hAnsi="宋体" w:cs="宋体"/>
                      <w:color w:val="000000"/>
                      <w:sz w:val="18"/>
                      <w:szCs w:val="18"/>
                      <w:lang w:val="zh-CN"/>
                    </w:rPr>
                    <w:t>≤</w:t>
                  </w:r>
                  <w:r>
                    <w:rPr>
                      <w:rFonts w:ascii="宋体" w:hAnsi="宋体"/>
                      <w:color w:val="000000"/>
                      <w:sz w:val="18"/>
                      <w:szCs w:val="18"/>
                    </w:rPr>
                    <w:t>3</w:t>
                  </w:r>
                  <w:r>
                    <w:rPr>
                      <w:rFonts w:hint="eastAsia" w:ascii="宋体" w:hAnsi="宋体"/>
                      <w:color w:val="000000"/>
                      <w:sz w:val="18"/>
                      <w:szCs w:val="18"/>
                      <w:lang w:val="en-US" w:eastAsia="zh-CN"/>
                    </w:rPr>
                    <w:t xml:space="preserve"> </w:t>
                  </w:r>
                  <w:r>
                    <w:rPr>
                      <w:rFonts w:ascii="宋体" w:hAnsi="宋体"/>
                      <w:color w:val="000000"/>
                      <w:sz w:val="18"/>
                      <w:szCs w:val="18"/>
                    </w:rPr>
                    <w:t>cm</w:t>
                  </w:r>
                  <w:r>
                    <w:rPr>
                      <w:rFonts w:ascii="宋体" w:hAnsi="宋体" w:cs="宋体"/>
                      <w:color w:val="000000"/>
                      <w:sz w:val="18"/>
                      <w:szCs w:val="18"/>
                      <w:vertAlign w:val="superscript"/>
                      <w:lang w:val="zh-CN"/>
                    </w:rPr>
                    <w:t>2</w:t>
                  </w:r>
                  <w:r>
                    <w:rPr>
                      <w:rFonts w:ascii="宋体" w:hAnsi="宋体" w:cs="宋体"/>
                      <w:color w:val="000000"/>
                      <w:sz w:val="18"/>
                      <w:szCs w:val="18"/>
                      <w:lang w:val="zh-CN"/>
                    </w:rPr>
                    <w:t>/m</w:t>
                  </w:r>
                  <w:r>
                    <w:rPr>
                      <w:rFonts w:ascii="宋体" w:hAnsi="宋体" w:cs="宋体"/>
                      <w:color w:val="000000"/>
                      <w:sz w:val="18"/>
                      <w:szCs w:val="18"/>
                      <w:vertAlign w:val="superscript"/>
                      <w:lang w:val="zh-CN"/>
                    </w:rPr>
                    <w:t>2</w:t>
                  </w:r>
                  <w:r>
                    <w:rPr>
                      <w:rFonts w:hint="eastAsia" w:ascii="宋体" w:hAnsi="宋体" w:cs="宋体"/>
                      <w:color w:val="000000"/>
                      <w:sz w:val="18"/>
                      <w:szCs w:val="18"/>
                      <w:lang w:val="zh-CN"/>
                    </w:rPr>
                    <w:t>，不允许有深色油污</w:t>
                  </w:r>
                </w:p>
              </w:tc>
            </w:tr>
            <w:tr w14:paraId="75984FD8">
              <w:tblPrEx>
                <w:tblCellMar>
                  <w:top w:w="0" w:type="dxa"/>
                  <w:left w:w="108" w:type="dxa"/>
                  <w:bottom w:w="0" w:type="dxa"/>
                  <w:right w:w="108" w:type="dxa"/>
                </w:tblCellMar>
              </w:tblPrEx>
              <w:tc>
                <w:tcPr>
                  <w:tcW w:w="2003" w:type="pct"/>
                  <w:tcBorders>
                    <w:top w:val="single" w:color="auto" w:sz="6" w:space="0"/>
                    <w:left w:val="single" w:color="auto" w:sz="12" w:space="0"/>
                    <w:bottom w:val="single" w:color="auto" w:sz="12" w:space="0"/>
                    <w:right w:val="single" w:color="auto" w:sz="6" w:space="0"/>
                  </w:tcBorders>
                  <w:noWrap w:val="0"/>
                  <w:vAlign w:val="center"/>
                </w:tcPr>
                <w:p w14:paraId="6A047107">
                  <w:pPr>
                    <w:keepLines w:val="0"/>
                    <w:pageBreakBefore w:val="0"/>
                    <w:topLinePunct w:val="0"/>
                    <w:autoSpaceDE w:val="0"/>
                    <w:autoSpaceDN w:val="0"/>
                    <w:bidi w:val="0"/>
                    <w:adjustRightInd w:val="0"/>
                    <w:spacing w:line="240" w:lineRule="auto"/>
                    <w:jc w:val="center"/>
                    <w:rPr>
                      <w:rFonts w:ascii="宋体" w:hAnsi="宋体"/>
                      <w:color w:val="000000"/>
                      <w:sz w:val="18"/>
                      <w:szCs w:val="18"/>
                    </w:rPr>
                  </w:pPr>
                  <w:r>
                    <w:rPr>
                      <w:rFonts w:hint="eastAsia" w:ascii="宋体" w:hAnsi="宋体" w:cs="宋体"/>
                      <w:color w:val="000000"/>
                      <w:sz w:val="18"/>
                      <w:szCs w:val="18"/>
                      <w:lang w:val="zh-CN"/>
                    </w:rPr>
                    <w:t>烘焦、板结</w:t>
                  </w:r>
                </w:p>
              </w:tc>
              <w:tc>
                <w:tcPr>
                  <w:tcW w:w="2997" w:type="pct"/>
                  <w:tcBorders>
                    <w:top w:val="single" w:color="auto" w:sz="6" w:space="0"/>
                    <w:left w:val="single" w:color="auto" w:sz="6" w:space="0"/>
                    <w:bottom w:val="single" w:color="auto" w:sz="12" w:space="0"/>
                    <w:right w:val="single" w:color="auto" w:sz="12" w:space="0"/>
                  </w:tcBorders>
                  <w:noWrap w:val="0"/>
                  <w:vAlign w:val="center"/>
                </w:tcPr>
                <w:p w14:paraId="48735CE1">
                  <w:pPr>
                    <w:keepLines w:val="0"/>
                    <w:pageBreakBefore w:val="0"/>
                    <w:topLinePunct w:val="0"/>
                    <w:autoSpaceDE w:val="0"/>
                    <w:autoSpaceDN w:val="0"/>
                    <w:bidi w:val="0"/>
                    <w:adjustRightInd w:val="0"/>
                    <w:spacing w:line="240" w:lineRule="auto"/>
                    <w:jc w:val="center"/>
                    <w:rPr>
                      <w:rFonts w:ascii="宋体" w:hAnsi="宋体"/>
                      <w:color w:val="000000"/>
                      <w:sz w:val="18"/>
                      <w:szCs w:val="18"/>
                    </w:rPr>
                  </w:pPr>
                  <w:r>
                    <w:rPr>
                      <w:rFonts w:hint="eastAsia" w:ascii="宋体" w:hAnsi="宋体" w:cs="宋体"/>
                      <w:color w:val="000000"/>
                      <w:sz w:val="18"/>
                      <w:szCs w:val="18"/>
                      <w:lang w:val="zh-CN"/>
                    </w:rPr>
                    <w:t>不允许</w:t>
                  </w:r>
                </w:p>
              </w:tc>
            </w:tr>
          </w:tbl>
          <w:p w14:paraId="32BD34F7">
            <w:pPr>
              <w:pStyle w:val="459"/>
              <w:keepLines w:val="0"/>
              <w:pageBreakBefore w:val="0"/>
              <w:numPr>
                <w:ilvl w:val="0"/>
                <w:numId w:val="25"/>
              </w:numPr>
              <w:tabs>
                <w:tab w:val="left" w:pos="360"/>
              </w:tabs>
              <w:topLinePunct w:val="0"/>
              <w:bidi w:val="0"/>
              <w:spacing w:line="240" w:lineRule="auto"/>
              <w:rPr>
                <w:rFonts w:hint="eastAsia"/>
              </w:rPr>
            </w:pPr>
            <w:bookmarkStart w:id="642" w:name="_Toc1862"/>
            <w:bookmarkEnd w:id="642"/>
            <w:bookmarkStart w:id="643" w:name="_Toc1217"/>
            <w:bookmarkEnd w:id="643"/>
            <w:bookmarkStart w:id="644" w:name="_Toc90391657"/>
          </w:p>
          <w:p w14:paraId="38022FA0">
            <w:pPr>
              <w:pStyle w:val="459"/>
              <w:keepLines w:val="0"/>
              <w:pageBreakBefore w:val="0"/>
              <w:numPr>
                <w:ilvl w:val="0"/>
                <w:numId w:val="25"/>
              </w:numPr>
              <w:tabs>
                <w:tab w:val="left" w:pos="360"/>
              </w:tabs>
              <w:topLinePunct w:val="0"/>
              <w:bidi w:val="0"/>
              <w:spacing w:line="240" w:lineRule="auto"/>
              <w:rPr>
                <w:rFonts w:hint="eastAsia"/>
              </w:rPr>
            </w:pPr>
            <w:bookmarkStart w:id="645" w:name="_Toc1242"/>
            <w:bookmarkStart w:id="646" w:name="_Toc10822"/>
            <w:r>
              <w:rPr>
                <w:rFonts w:hint="eastAsia"/>
              </w:rPr>
              <w:t>（文件性附录）</w:t>
            </w:r>
            <w:bookmarkEnd w:id="645"/>
            <w:bookmarkEnd w:id="646"/>
          </w:p>
          <w:p w14:paraId="1DED499A">
            <w:pPr>
              <w:pStyle w:val="459"/>
              <w:keepLines w:val="0"/>
              <w:pageBreakBefore w:val="0"/>
              <w:numPr>
                <w:ilvl w:val="0"/>
                <w:numId w:val="25"/>
              </w:numPr>
              <w:tabs>
                <w:tab w:val="left" w:pos="360"/>
              </w:tabs>
              <w:topLinePunct w:val="0"/>
              <w:bidi w:val="0"/>
              <w:spacing w:line="240" w:lineRule="auto"/>
              <w:rPr>
                <w:rFonts w:hint="eastAsia"/>
              </w:rPr>
            </w:pPr>
            <w:bookmarkStart w:id="647" w:name="_Toc16953"/>
            <w:bookmarkStart w:id="648" w:name="_Toc32193"/>
            <w:r>
              <w:rPr>
                <w:rFonts w:hint="eastAsia"/>
              </w:rPr>
              <w:t>聚丙烯编织布技术要求</w:t>
            </w:r>
            <w:bookmarkEnd w:id="644"/>
            <w:bookmarkEnd w:id="647"/>
            <w:bookmarkEnd w:id="648"/>
          </w:p>
          <w:p w14:paraId="4DD0D424">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hAnsi="宋体"/>
                <w:szCs w:val="21"/>
              </w:rPr>
            </w:pPr>
            <w:bookmarkStart w:id="649" w:name="_Toc30507"/>
            <w:bookmarkStart w:id="650" w:name="_Toc90391658"/>
            <w:bookmarkStart w:id="651" w:name="_Toc34205857"/>
            <w:bookmarkStart w:id="652" w:name="_Toc6263"/>
            <w:r>
              <w:rPr>
                <w:rFonts w:hint="eastAsia" w:hAnsi="宋体"/>
                <w:szCs w:val="21"/>
              </w:rPr>
              <w:t>材料</w:t>
            </w:r>
            <w:bookmarkEnd w:id="649"/>
            <w:bookmarkEnd w:id="650"/>
            <w:bookmarkEnd w:id="651"/>
            <w:bookmarkEnd w:id="652"/>
          </w:p>
          <w:p w14:paraId="542EDDF5">
            <w:pPr>
              <w:keepLines w:val="0"/>
              <w:pageBreakBefore w:val="0"/>
              <w:widowControl/>
              <w:wordWrap w:val="0"/>
              <w:overflowPunct w:val="0"/>
              <w:topLinePunct w:val="0"/>
              <w:autoSpaceDE w:val="0"/>
              <w:bidi w:val="0"/>
              <w:spacing w:before="93" w:beforeLines="30" w:line="240" w:lineRule="auto"/>
              <w:ind w:firstLine="424" w:firstLineChars="202"/>
              <w:textAlignment w:val="baseline"/>
              <w:outlineLvl w:val="1"/>
              <w:rPr>
                <w:rFonts w:hint="eastAsia" w:ascii="宋体" w:hAnsi="宋体"/>
                <w:snapToGrid w:val="0"/>
                <w:kern w:val="21"/>
                <w:szCs w:val="20"/>
              </w:rPr>
            </w:pPr>
            <w:bookmarkStart w:id="653" w:name="_Toc34205858"/>
            <w:bookmarkStart w:id="654" w:name="_Toc26111"/>
            <w:bookmarkStart w:id="655" w:name="_Toc90391659"/>
            <w:bookmarkStart w:id="656" w:name="_Toc6317"/>
            <w:r>
              <w:rPr>
                <w:rFonts w:hint="eastAsia" w:ascii="宋体" w:hAnsi="宋体"/>
                <w:snapToGrid w:val="0"/>
                <w:kern w:val="21"/>
                <w:szCs w:val="20"/>
              </w:rPr>
              <w:t>聚丙烯编织布主要原料为聚丙烯（5203）树脂、抗紫外线吸收剂及其他填料。</w:t>
            </w:r>
            <w:bookmarkEnd w:id="653"/>
            <w:bookmarkEnd w:id="654"/>
            <w:bookmarkEnd w:id="655"/>
            <w:bookmarkEnd w:id="656"/>
          </w:p>
          <w:p w14:paraId="279B6A63">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hAnsi="宋体"/>
                <w:szCs w:val="21"/>
              </w:rPr>
            </w:pPr>
            <w:bookmarkStart w:id="657" w:name="_Toc90391660"/>
            <w:bookmarkStart w:id="658" w:name="_Toc31867"/>
            <w:bookmarkStart w:id="659" w:name="_Toc14253"/>
            <w:bookmarkStart w:id="660" w:name="_Toc34205859"/>
            <w:r>
              <w:rPr>
                <w:rFonts w:hint="eastAsia" w:hAnsi="宋体"/>
                <w:szCs w:val="21"/>
              </w:rPr>
              <w:t>颜色</w:t>
            </w:r>
            <w:bookmarkEnd w:id="657"/>
            <w:bookmarkEnd w:id="658"/>
            <w:bookmarkEnd w:id="659"/>
            <w:bookmarkEnd w:id="660"/>
          </w:p>
          <w:p w14:paraId="67716ACE">
            <w:pPr>
              <w:pStyle w:val="538"/>
              <w:keepLines w:val="0"/>
              <w:pageBreakBefore w:val="0"/>
              <w:topLinePunct w:val="0"/>
              <w:bidi w:val="0"/>
              <w:spacing w:line="240" w:lineRule="auto"/>
              <w:ind w:firstLine="424" w:firstLineChars="202"/>
              <w:rPr>
                <w:rFonts w:hint="eastAsia"/>
                <w:snapToGrid w:val="0"/>
              </w:rPr>
            </w:pPr>
            <w:r>
              <w:rPr>
                <w:rFonts w:hint="eastAsia"/>
                <w:snapToGrid w:val="0"/>
              </w:rPr>
              <w:t>聚丙烯编织布颜色为白色。</w:t>
            </w:r>
          </w:p>
          <w:p w14:paraId="6F3E2C98">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hAnsi="宋体"/>
                <w:szCs w:val="21"/>
              </w:rPr>
            </w:pPr>
            <w:bookmarkStart w:id="661" w:name="_Toc90391661"/>
            <w:bookmarkStart w:id="662" w:name="_Toc17014"/>
            <w:bookmarkStart w:id="663" w:name="_Toc16830"/>
            <w:bookmarkStart w:id="664" w:name="_Toc34205860"/>
            <w:r>
              <w:rPr>
                <w:rFonts w:hint="eastAsia" w:hAnsi="宋体"/>
                <w:szCs w:val="21"/>
              </w:rPr>
              <w:t>外观质量</w:t>
            </w:r>
            <w:bookmarkEnd w:id="661"/>
            <w:bookmarkEnd w:id="662"/>
            <w:bookmarkEnd w:id="663"/>
            <w:bookmarkEnd w:id="664"/>
          </w:p>
          <w:p w14:paraId="6A972B8F">
            <w:pPr>
              <w:keepLines w:val="0"/>
              <w:pageBreakBefore w:val="0"/>
              <w:widowControl/>
              <w:wordWrap w:val="0"/>
              <w:overflowPunct w:val="0"/>
              <w:topLinePunct w:val="0"/>
              <w:autoSpaceDE w:val="0"/>
              <w:bidi w:val="0"/>
              <w:spacing w:before="93" w:beforeLines="30" w:line="240" w:lineRule="auto"/>
              <w:ind w:firstLine="424" w:firstLineChars="202"/>
              <w:textAlignment w:val="baseline"/>
              <w:outlineLvl w:val="1"/>
              <w:rPr>
                <w:rFonts w:hint="eastAsia" w:ascii="宋体" w:hAnsi="宋体"/>
                <w:snapToGrid w:val="0"/>
                <w:kern w:val="21"/>
                <w:szCs w:val="20"/>
              </w:rPr>
            </w:pPr>
            <w:bookmarkStart w:id="665" w:name="_Toc90391662"/>
            <w:bookmarkStart w:id="666" w:name="_Toc34205861"/>
            <w:bookmarkStart w:id="667" w:name="_Toc29635"/>
            <w:bookmarkStart w:id="668" w:name="_Toc22190"/>
            <w:r>
              <w:rPr>
                <w:rFonts w:hint="eastAsia" w:ascii="宋体" w:hAnsi="宋体"/>
                <w:snapToGrid w:val="0"/>
                <w:kern w:val="21"/>
                <w:szCs w:val="20"/>
              </w:rPr>
              <w:t>布面应平整清洁，两边平齐，不散头松边，布面单面需要复膜处理。单根经纱断裂布大于200</w:t>
            </w:r>
            <w:r>
              <w:rPr>
                <w:rFonts w:hint="eastAsia" w:ascii="宋体" w:hAnsi="宋体"/>
                <w:snapToGrid w:val="0"/>
                <w:kern w:val="21"/>
                <w:szCs w:val="20"/>
                <w:lang w:val="en-US" w:eastAsia="zh-CN"/>
              </w:rPr>
              <w:t xml:space="preserve"> </w:t>
            </w:r>
            <w:r>
              <w:rPr>
                <w:rFonts w:hint="eastAsia" w:ascii="宋体" w:hAnsi="宋体"/>
                <w:snapToGrid w:val="0"/>
                <w:kern w:val="21"/>
                <w:szCs w:val="20"/>
              </w:rPr>
              <w:t>mm，经纬纱同一处断裂之和不应大于三根（含三根），每1</w:t>
            </w:r>
            <w:r>
              <w:rPr>
                <w:rFonts w:hint="eastAsia" w:ascii="宋体" w:hAnsi="宋体"/>
                <w:snapToGrid w:val="0"/>
                <w:kern w:val="21"/>
                <w:szCs w:val="20"/>
                <w:lang w:val="en-US" w:eastAsia="zh-CN"/>
              </w:rPr>
              <w:t xml:space="preserve"> </w:t>
            </w:r>
            <w:r>
              <w:rPr>
                <w:rFonts w:hint="eastAsia" w:ascii="宋体" w:hAnsi="宋体"/>
                <w:snapToGrid w:val="0"/>
                <w:kern w:val="21"/>
                <w:szCs w:val="20"/>
              </w:rPr>
              <w:t>m</w:t>
            </w:r>
            <w:r>
              <w:rPr>
                <w:rFonts w:hint="eastAsia" w:ascii="宋体" w:hAnsi="宋体"/>
                <w:snapToGrid w:val="0"/>
                <w:kern w:val="21"/>
                <w:szCs w:val="20"/>
                <w:vertAlign w:val="superscript"/>
              </w:rPr>
              <w:t>2</w:t>
            </w:r>
            <w:r>
              <w:rPr>
                <w:rFonts w:hint="eastAsia" w:ascii="宋体" w:hAnsi="宋体"/>
                <w:snapToGrid w:val="0"/>
                <w:kern w:val="21"/>
                <w:szCs w:val="20"/>
              </w:rPr>
              <w:t>内轻微污渍不应超过100</w:t>
            </w:r>
            <w:r>
              <w:rPr>
                <w:rFonts w:hint="eastAsia" w:ascii="宋体" w:hAnsi="宋体"/>
                <w:snapToGrid w:val="0"/>
                <w:kern w:val="21"/>
                <w:szCs w:val="20"/>
                <w:lang w:val="en-US" w:eastAsia="zh-CN"/>
              </w:rPr>
              <w:t xml:space="preserve"> </w:t>
            </w:r>
            <w:r>
              <w:rPr>
                <w:rFonts w:hint="eastAsia" w:ascii="宋体" w:hAnsi="宋体"/>
                <w:snapToGrid w:val="0"/>
                <w:kern w:val="21"/>
                <w:szCs w:val="20"/>
              </w:rPr>
              <w:t>mm</w:t>
            </w:r>
            <w:r>
              <w:rPr>
                <w:rFonts w:hint="eastAsia" w:ascii="宋体" w:hAnsi="宋体"/>
                <w:snapToGrid w:val="0"/>
                <w:kern w:val="21"/>
                <w:szCs w:val="20"/>
                <w:vertAlign w:val="superscript"/>
              </w:rPr>
              <w:t>2</w:t>
            </w:r>
            <w:r>
              <w:rPr>
                <w:rFonts w:hint="eastAsia" w:ascii="宋体" w:hAnsi="宋体"/>
                <w:snapToGrid w:val="0"/>
                <w:kern w:val="21"/>
                <w:szCs w:val="20"/>
              </w:rPr>
              <w:t>，限两处。</w:t>
            </w:r>
            <w:bookmarkEnd w:id="665"/>
            <w:bookmarkEnd w:id="666"/>
            <w:bookmarkEnd w:id="667"/>
            <w:bookmarkEnd w:id="668"/>
          </w:p>
          <w:p w14:paraId="75B7F4A8">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hAnsi="宋体"/>
                <w:szCs w:val="21"/>
              </w:rPr>
            </w:pPr>
            <w:bookmarkStart w:id="669" w:name="_Toc90391663"/>
            <w:bookmarkStart w:id="670" w:name="_Toc17152"/>
            <w:bookmarkStart w:id="671" w:name="_Toc17531"/>
            <w:bookmarkStart w:id="672" w:name="_Toc34205862"/>
            <w:r>
              <w:rPr>
                <w:rFonts w:hint="eastAsia" w:hAnsi="宋体"/>
                <w:szCs w:val="21"/>
              </w:rPr>
              <w:t>理化性能</w:t>
            </w:r>
            <w:bookmarkEnd w:id="669"/>
            <w:bookmarkEnd w:id="670"/>
            <w:bookmarkEnd w:id="671"/>
            <w:bookmarkEnd w:id="672"/>
          </w:p>
          <w:p w14:paraId="519161E6">
            <w:pPr>
              <w:keepLines w:val="0"/>
              <w:pageBreakBefore w:val="0"/>
              <w:widowControl/>
              <w:wordWrap w:val="0"/>
              <w:overflowPunct w:val="0"/>
              <w:topLinePunct w:val="0"/>
              <w:autoSpaceDE w:val="0"/>
              <w:bidi w:val="0"/>
              <w:spacing w:before="93" w:beforeLines="30" w:line="240" w:lineRule="auto"/>
              <w:ind w:firstLine="424" w:firstLineChars="202"/>
              <w:textAlignment w:val="baseline"/>
              <w:outlineLvl w:val="1"/>
              <w:rPr>
                <w:rFonts w:hint="eastAsia" w:ascii="宋体" w:hAnsi="宋体"/>
                <w:snapToGrid w:val="0"/>
                <w:kern w:val="21"/>
                <w:szCs w:val="20"/>
              </w:rPr>
            </w:pPr>
            <w:bookmarkStart w:id="673" w:name="_Toc34205863"/>
            <w:bookmarkStart w:id="674" w:name="_Toc90391664"/>
            <w:bookmarkStart w:id="675" w:name="_Toc12611"/>
            <w:bookmarkStart w:id="676" w:name="_Toc6507"/>
            <w:r>
              <w:rPr>
                <w:rFonts w:hint="eastAsia" w:ascii="宋体" w:hAnsi="宋体"/>
                <w:snapToGrid w:val="0"/>
                <w:kern w:val="21"/>
                <w:szCs w:val="20"/>
              </w:rPr>
              <w:t>理化性能指标按表D.1的规定。</w:t>
            </w:r>
            <w:bookmarkEnd w:id="673"/>
            <w:bookmarkEnd w:id="674"/>
            <w:bookmarkEnd w:id="675"/>
            <w:bookmarkEnd w:id="676"/>
          </w:p>
          <w:p w14:paraId="238622D1">
            <w:pPr>
              <w:pStyle w:val="2"/>
              <w:rPr>
                <w:rFonts w:hint="eastAsia"/>
              </w:rPr>
            </w:pPr>
          </w:p>
          <w:tbl>
            <w:tblPr>
              <w:tblStyle w:val="58"/>
              <w:tblW w:w="6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3"/>
              <w:gridCol w:w="1201"/>
              <w:gridCol w:w="831"/>
              <w:gridCol w:w="1069"/>
              <w:gridCol w:w="792"/>
              <w:gridCol w:w="2004"/>
            </w:tblGrid>
            <w:tr w14:paraId="7990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6500" w:type="dxa"/>
                  <w:gridSpan w:val="6"/>
                  <w:tcBorders>
                    <w:top w:val="nil"/>
                    <w:left w:val="nil"/>
                    <w:bottom w:val="single" w:color="auto" w:sz="12" w:space="0"/>
                    <w:right w:val="nil"/>
                  </w:tcBorders>
                  <w:noWrap w:val="0"/>
                  <w:vAlign w:val="top"/>
                </w:tcPr>
                <w:p w14:paraId="4E38A52C">
                  <w:pPr>
                    <w:keepLines w:val="0"/>
                    <w:pageBreakBefore w:val="0"/>
                    <w:widowControl/>
                    <w:numPr>
                      <w:ilvl w:val="1"/>
                      <w:numId w:val="0"/>
                    </w:numPr>
                    <w:overflowPunct w:val="0"/>
                    <w:topLinePunct w:val="0"/>
                    <w:autoSpaceDE w:val="0"/>
                    <w:bidi w:val="0"/>
                    <w:spacing w:before="93" w:beforeLines="30" w:line="240" w:lineRule="auto"/>
                    <w:jc w:val="center"/>
                    <w:textAlignment w:val="baseline"/>
                    <w:outlineLvl w:val="1"/>
                    <w:rPr>
                      <w:rFonts w:hint="eastAsia" w:ascii="黑体" w:hAnsi="黑体" w:eastAsia="黑体"/>
                      <w:snapToGrid w:val="0"/>
                      <w:kern w:val="21"/>
                      <w:szCs w:val="21"/>
                    </w:rPr>
                  </w:pPr>
                  <w:bookmarkStart w:id="677" w:name="_Toc9267"/>
                  <w:bookmarkStart w:id="678" w:name="_Toc4866"/>
                  <w:bookmarkStart w:id="679" w:name="_Toc90391665"/>
                  <w:bookmarkStart w:id="680" w:name="_Toc34205864"/>
                  <w:r>
                    <w:rPr>
                      <w:rFonts w:hint="eastAsia" w:ascii="黑体" w:hAnsi="黑体" w:eastAsia="黑体"/>
                      <w:snapToGrid w:val="0"/>
                      <w:kern w:val="21"/>
                      <w:szCs w:val="21"/>
                    </w:rPr>
                    <w:t>表D.1  理化性能指标</w:t>
                  </w:r>
                  <w:bookmarkEnd w:id="677"/>
                  <w:bookmarkEnd w:id="678"/>
                  <w:bookmarkEnd w:id="679"/>
                  <w:bookmarkEnd w:id="680"/>
                </w:p>
              </w:tc>
            </w:tr>
            <w:tr w14:paraId="20F6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603" w:type="dxa"/>
                  <w:tcBorders>
                    <w:top w:val="single" w:color="auto" w:sz="12" w:space="0"/>
                    <w:left w:val="single" w:color="auto" w:sz="12" w:space="0"/>
                    <w:bottom w:val="single" w:color="auto" w:sz="12" w:space="0"/>
                    <w:right w:val="single" w:color="auto" w:sz="4" w:space="0"/>
                  </w:tcBorders>
                  <w:noWrap w:val="0"/>
                  <w:vAlign w:val="center"/>
                </w:tcPr>
                <w:p w14:paraId="4871AAC1">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681" w:name="_Toc34205865"/>
                  <w:bookmarkStart w:id="682" w:name="_Toc23913"/>
                  <w:bookmarkStart w:id="683" w:name="_Toc90391666"/>
                  <w:bookmarkStart w:id="684" w:name="_Toc5107"/>
                  <w:r>
                    <w:rPr>
                      <w:rFonts w:hint="eastAsia" w:ascii="宋体" w:hAnsi="宋体"/>
                      <w:snapToGrid w:val="0"/>
                      <w:kern w:val="21"/>
                      <w:sz w:val="18"/>
                      <w:szCs w:val="20"/>
                    </w:rPr>
                    <w:t>项目</w:t>
                  </w:r>
                  <w:bookmarkEnd w:id="681"/>
                  <w:bookmarkEnd w:id="682"/>
                  <w:bookmarkEnd w:id="683"/>
                  <w:bookmarkEnd w:id="684"/>
                </w:p>
              </w:tc>
              <w:tc>
                <w:tcPr>
                  <w:tcW w:w="2032" w:type="dxa"/>
                  <w:gridSpan w:val="2"/>
                  <w:tcBorders>
                    <w:top w:val="single" w:color="auto" w:sz="12" w:space="0"/>
                    <w:left w:val="single" w:color="auto" w:sz="4" w:space="0"/>
                    <w:right w:val="single" w:color="auto" w:sz="4" w:space="0"/>
                  </w:tcBorders>
                  <w:noWrap w:val="0"/>
                  <w:vAlign w:val="center"/>
                </w:tcPr>
                <w:p w14:paraId="14C9D9B0">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685" w:name="_Toc34205866"/>
                  <w:bookmarkStart w:id="686" w:name="_Toc90391667"/>
                  <w:bookmarkStart w:id="687" w:name="_Toc23080"/>
                  <w:bookmarkStart w:id="688" w:name="_Toc819"/>
                  <w:r>
                    <w:rPr>
                      <w:rFonts w:hint="eastAsia" w:ascii="宋体" w:hAnsi="宋体"/>
                      <w:snapToGrid w:val="0"/>
                      <w:kern w:val="21"/>
                      <w:sz w:val="18"/>
                      <w:szCs w:val="20"/>
                    </w:rPr>
                    <w:t>断裂强力/N</w:t>
                  </w:r>
                  <w:bookmarkEnd w:id="685"/>
                  <w:bookmarkEnd w:id="686"/>
                  <w:bookmarkEnd w:id="687"/>
                  <w:bookmarkEnd w:id="688"/>
                </w:p>
              </w:tc>
              <w:tc>
                <w:tcPr>
                  <w:tcW w:w="1861" w:type="dxa"/>
                  <w:gridSpan w:val="2"/>
                  <w:tcBorders>
                    <w:top w:val="single" w:color="auto" w:sz="12" w:space="0"/>
                    <w:left w:val="single" w:color="auto" w:sz="4" w:space="0"/>
                    <w:right w:val="single" w:color="auto" w:sz="4" w:space="0"/>
                  </w:tcBorders>
                  <w:noWrap w:val="0"/>
                  <w:vAlign w:val="center"/>
                </w:tcPr>
                <w:p w14:paraId="209F76C4">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689" w:name="_Toc34205867"/>
                  <w:bookmarkStart w:id="690" w:name="_Toc28080"/>
                  <w:bookmarkStart w:id="691" w:name="_Toc90391668"/>
                  <w:bookmarkStart w:id="692" w:name="_Toc3957"/>
                  <w:r>
                    <w:rPr>
                      <w:rFonts w:hint="eastAsia" w:ascii="宋体" w:hAnsi="宋体"/>
                      <w:snapToGrid w:val="0"/>
                      <w:kern w:val="21"/>
                      <w:sz w:val="18"/>
                      <w:szCs w:val="20"/>
                    </w:rPr>
                    <w:t>织密/（根/10</w:t>
                  </w:r>
                  <w:r>
                    <w:rPr>
                      <w:rFonts w:hint="eastAsia" w:ascii="宋体" w:hAnsi="宋体"/>
                      <w:snapToGrid w:val="0"/>
                      <w:kern w:val="21"/>
                      <w:sz w:val="18"/>
                      <w:szCs w:val="20"/>
                      <w:lang w:val="en-US" w:eastAsia="zh-CN"/>
                    </w:rPr>
                    <w:t xml:space="preserve"> </w:t>
                  </w:r>
                  <w:r>
                    <w:rPr>
                      <w:rFonts w:hint="eastAsia" w:ascii="宋体" w:hAnsi="宋体"/>
                      <w:snapToGrid w:val="0"/>
                      <w:kern w:val="21"/>
                      <w:sz w:val="18"/>
                      <w:szCs w:val="20"/>
                    </w:rPr>
                    <w:t>cm）</w:t>
                  </w:r>
                  <w:bookmarkEnd w:id="689"/>
                  <w:bookmarkEnd w:id="690"/>
                  <w:bookmarkEnd w:id="691"/>
                  <w:bookmarkEnd w:id="692"/>
                </w:p>
              </w:tc>
              <w:tc>
                <w:tcPr>
                  <w:tcW w:w="2004" w:type="dxa"/>
                  <w:tcBorders>
                    <w:top w:val="single" w:color="auto" w:sz="12" w:space="0"/>
                    <w:left w:val="single" w:color="auto" w:sz="4" w:space="0"/>
                    <w:right w:val="single" w:color="auto" w:sz="12" w:space="0"/>
                  </w:tcBorders>
                  <w:noWrap w:val="0"/>
                  <w:vAlign w:val="center"/>
                </w:tcPr>
                <w:p w14:paraId="0B1DD549">
                  <w:pPr>
                    <w:keepNext w:val="0"/>
                    <w:keepLines w:val="0"/>
                    <w:pageBreakBefore w:val="0"/>
                    <w:widowControl/>
                    <w:numPr>
                      <w:ilvl w:val="1"/>
                      <w:numId w:val="0"/>
                    </w:numPr>
                    <w:kinsoku/>
                    <w:wordWrap w:val="0"/>
                    <w:overflowPunct w:val="0"/>
                    <w:topLinePunct w:val="0"/>
                    <w:autoSpaceDE w:val="0"/>
                    <w:autoSpaceDN/>
                    <w:bidi w:val="0"/>
                    <w:adjustRightInd/>
                    <w:snapToGrid/>
                    <w:spacing w:before="93" w:beforeLines="30" w:line="240" w:lineRule="auto"/>
                    <w:ind w:right="0" w:rightChars="0"/>
                    <w:jc w:val="center"/>
                    <w:textAlignment w:val="baseline"/>
                    <w:outlineLvl w:val="1"/>
                    <w:rPr>
                      <w:rFonts w:hint="eastAsia" w:ascii="宋体" w:hAnsi="宋体"/>
                      <w:snapToGrid w:val="0"/>
                      <w:kern w:val="21"/>
                      <w:sz w:val="18"/>
                      <w:szCs w:val="20"/>
                    </w:rPr>
                  </w:pPr>
                  <w:bookmarkStart w:id="693" w:name="_Toc90391669"/>
                  <w:bookmarkStart w:id="694" w:name="_Toc6705"/>
                  <w:bookmarkStart w:id="695" w:name="_Toc34205868"/>
                  <w:bookmarkStart w:id="696" w:name="_Toc16091"/>
                  <w:r>
                    <w:rPr>
                      <w:rFonts w:hint="eastAsia" w:ascii="宋体" w:hAnsi="宋体"/>
                      <w:snapToGrid w:val="0"/>
                      <w:kern w:val="21"/>
                      <w:sz w:val="18"/>
                      <w:szCs w:val="20"/>
                    </w:rPr>
                    <w:t>单位面积质量/（g/㎡）</w:t>
                  </w:r>
                  <w:bookmarkEnd w:id="693"/>
                  <w:bookmarkEnd w:id="694"/>
                  <w:bookmarkEnd w:id="695"/>
                  <w:bookmarkEnd w:id="696"/>
                </w:p>
              </w:tc>
            </w:tr>
            <w:tr w14:paraId="6187E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603" w:type="dxa"/>
                  <w:vMerge w:val="restart"/>
                  <w:tcBorders>
                    <w:top w:val="single" w:color="auto" w:sz="12" w:space="0"/>
                    <w:left w:val="single" w:color="auto" w:sz="12" w:space="0"/>
                  </w:tcBorders>
                  <w:noWrap w:val="0"/>
                  <w:vAlign w:val="center"/>
                </w:tcPr>
                <w:p w14:paraId="44BBBD12">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697" w:name="_Toc3315"/>
                  <w:bookmarkStart w:id="698" w:name="_Toc34205869"/>
                  <w:bookmarkStart w:id="699" w:name="_Toc90391670"/>
                  <w:bookmarkStart w:id="700" w:name="_Toc21173"/>
                  <w:r>
                    <w:rPr>
                      <w:rFonts w:hint="eastAsia" w:ascii="宋体" w:hAnsi="宋体"/>
                      <w:snapToGrid w:val="0"/>
                      <w:kern w:val="21"/>
                      <w:sz w:val="18"/>
                      <w:szCs w:val="20"/>
                    </w:rPr>
                    <w:t>指标</w:t>
                  </w:r>
                  <w:bookmarkEnd w:id="697"/>
                  <w:bookmarkEnd w:id="698"/>
                  <w:bookmarkEnd w:id="699"/>
                  <w:bookmarkEnd w:id="700"/>
                </w:p>
              </w:tc>
              <w:tc>
                <w:tcPr>
                  <w:tcW w:w="1201" w:type="dxa"/>
                  <w:tcBorders>
                    <w:top w:val="single" w:color="auto" w:sz="12" w:space="0"/>
                    <w:bottom w:val="single" w:color="000000" w:sz="4" w:space="0"/>
                  </w:tcBorders>
                  <w:noWrap w:val="0"/>
                  <w:vAlign w:val="center"/>
                </w:tcPr>
                <w:p w14:paraId="77D1850E">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701" w:name="_Toc10558"/>
                  <w:bookmarkStart w:id="702" w:name="_Toc28479"/>
                  <w:bookmarkStart w:id="703" w:name="_Toc34205870"/>
                  <w:bookmarkStart w:id="704" w:name="_Toc90391671"/>
                  <w:r>
                    <w:rPr>
                      <w:rFonts w:hint="eastAsia" w:ascii="宋体" w:hAnsi="宋体"/>
                      <w:snapToGrid w:val="0"/>
                      <w:kern w:val="21"/>
                      <w:sz w:val="18"/>
                      <w:szCs w:val="20"/>
                    </w:rPr>
                    <w:t>经向</w:t>
                  </w:r>
                  <w:bookmarkEnd w:id="701"/>
                  <w:bookmarkEnd w:id="702"/>
                  <w:bookmarkEnd w:id="703"/>
                  <w:bookmarkEnd w:id="704"/>
                </w:p>
              </w:tc>
              <w:tc>
                <w:tcPr>
                  <w:tcW w:w="831" w:type="dxa"/>
                  <w:tcBorders>
                    <w:top w:val="single" w:color="auto" w:sz="12" w:space="0"/>
                    <w:bottom w:val="single" w:color="000000" w:sz="4" w:space="0"/>
                  </w:tcBorders>
                  <w:noWrap w:val="0"/>
                  <w:vAlign w:val="center"/>
                </w:tcPr>
                <w:p w14:paraId="3607CACB">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705" w:name="_Toc32338"/>
                  <w:bookmarkStart w:id="706" w:name="_Toc14036"/>
                  <w:bookmarkStart w:id="707" w:name="_Toc34205871"/>
                  <w:bookmarkStart w:id="708" w:name="_Toc90391672"/>
                  <w:r>
                    <w:rPr>
                      <w:rFonts w:hint="eastAsia" w:ascii="宋体" w:hAnsi="宋体"/>
                      <w:snapToGrid w:val="0"/>
                      <w:kern w:val="21"/>
                      <w:sz w:val="18"/>
                      <w:szCs w:val="20"/>
                    </w:rPr>
                    <w:t>纬向</w:t>
                  </w:r>
                  <w:bookmarkEnd w:id="705"/>
                  <w:bookmarkEnd w:id="706"/>
                  <w:bookmarkEnd w:id="707"/>
                  <w:bookmarkEnd w:id="708"/>
                </w:p>
              </w:tc>
              <w:tc>
                <w:tcPr>
                  <w:tcW w:w="1069" w:type="dxa"/>
                  <w:tcBorders>
                    <w:top w:val="single" w:color="auto" w:sz="12" w:space="0"/>
                    <w:bottom w:val="single" w:color="000000" w:sz="4" w:space="0"/>
                  </w:tcBorders>
                  <w:noWrap w:val="0"/>
                  <w:vAlign w:val="center"/>
                </w:tcPr>
                <w:p w14:paraId="087E0B91">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709" w:name="_Toc26164"/>
                  <w:bookmarkStart w:id="710" w:name="_Toc90391673"/>
                  <w:bookmarkStart w:id="711" w:name="_Toc7205"/>
                  <w:bookmarkStart w:id="712" w:name="_Toc34205872"/>
                  <w:r>
                    <w:rPr>
                      <w:rFonts w:hint="eastAsia" w:ascii="宋体" w:hAnsi="宋体"/>
                      <w:snapToGrid w:val="0"/>
                      <w:kern w:val="21"/>
                      <w:sz w:val="18"/>
                      <w:szCs w:val="20"/>
                    </w:rPr>
                    <w:t>经密</w:t>
                  </w:r>
                  <w:bookmarkEnd w:id="709"/>
                  <w:bookmarkEnd w:id="710"/>
                  <w:bookmarkEnd w:id="711"/>
                  <w:bookmarkEnd w:id="712"/>
                </w:p>
              </w:tc>
              <w:tc>
                <w:tcPr>
                  <w:tcW w:w="792" w:type="dxa"/>
                  <w:tcBorders>
                    <w:top w:val="single" w:color="auto" w:sz="12" w:space="0"/>
                    <w:bottom w:val="single" w:color="000000" w:sz="4" w:space="0"/>
                  </w:tcBorders>
                  <w:noWrap w:val="0"/>
                  <w:vAlign w:val="center"/>
                </w:tcPr>
                <w:p w14:paraId="2C32978B">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713" w:name="_Toc34205873"/>
                  <w:bookmarkStart w:id="714" w:name="_Toc23224"/>
                  <w:bookmarkStart w:id="715" w:name="_Toc90391674"/>
                  <w:bookmarkStart w:id="716" w:name="_Toc27805"/>
                  <w:r>
                    <w:rPr>
                      <w:rFonts w:hint="eastAsia" w:ascii="宋体" w:hAnsi="宋体"/>
                      <w:snapToGrid w:val="0"/>
                      <w:kern w:val="21"/>
                      <w:sz w:val="18"/>
                      <w:szCs w:val="20"/>
                    </w:rPr>
                    <w:t>纬密</w:t>
                  </w:r>
                  <w:bookmarkEnd w:id="713"/>
                  <w:bookmarkEnd w:id="714"/>
                  <w:bookmarkEnd w:id="715"/>
                  <w:bookmarkEnd w:id="716"/>
                </w:p>
              </w:tc>
              <w:tc>
                <w:tcPr>
                  <w:tcW w:w="2004" w:type="dxa"/>
                  <w:vMerge w:val="restart"/>
                  <w:tcBorders>
                    <w:top w:val="single" w:color="auto" w:sz="12" w:space="0"/>
                    <w:right w:val="single" w:color="auto" w:sz="12" w:space="0"/>
                  </w:tcBorders>
                  <w:noWrap w:val="0"/>
                  <w:vAlign w:val="center"/>
                </w:tcPr>
                <w:p w14:paraId="2ED20508">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717" w:name="_Toc90391675"/>
                  <w:bookmarkStart w:id="718" w:name="_Toc1270"/>
                  <w:bookmarkStart w:id="719" w:name="_Toc34205874"/>
                  <w:bookmarkStart w:id="720" w:name="_Toc11087"/>
                  <w:r>
                    <w:rPr>
                      <w:rFonts w:hint="eastAsia" w:ascii="宋体" w:hAnsi="宋体"/>
                      <w:snapToGrid w:val="0"/>
                      <w:color w:val="auto"/>
                      <w:kern w:val="21"/>
                      <w:sz w:val="18"/>
                      <w:szCs w:val="20"/>
                    </w:rPr>
                    <w:t>≥90</w:t>
                  </w:r>
                  <w:bookmarkEnd w:id="717"/>
                  <w:bookmarkEnd w:id="718"/>
                  <w:bookmarkEnd w:id="719"/>
                  <w:bookmarkEnd w:id="720"/>
                </w:p>
              </w:tc>
            </w:tr>
            <w:tr w14:paraId="467C8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03" w:type="dxa"/>
                  <w:vMerge w:val="continue"/>
                  <w:tcBorders>
                    <w:left w:val="single" w:color="auto" w:sz="12" w:space="0"/>
                    <w:bottom w:val="single" w:color="auto" w:sz="12" w:space="0"/>
                  </w:tcBorders>
                  <w:noWrap w:val="0"/>
                  <w:vAlign w:val="center"/>
                </w:tcPr>
                <w:p w14:paraId="52720256">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黑体" w:hAnsi="宋体" w:eastAsia="黑体"/>
                      <w:snapToGrid w:val="0"/>
                      <w:kern w:val="21"/>
                      <w:sz w:val="18"/>
                      <w:szCs w:val="20"/>
                    </w:rPr>
                  </w:pPr>
                </w:p>
              </w:tc>
              <w:tc>
                <w:tcPr>
                  <w:tcW w:w="2032" w:type="dxa"/>
                  <w:gridSpan w:val="2"/>
                  <w:tcBorders>
                    <w:bottom w:val="single" w:color="auto" w:sz="12" w:space="0"/>
                  </w:tcBorders>
                  <w:noWrap w:val="0"/>
                  <w:vAlign w:val="center"/>
                </w:tcPr>
                <w:p w14:paraId="0C1EBB0A">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721" w:name="_Toc34205875"/>
                  <w:bookmarkStart w:id="722" w:name="_Toc90391676"/>
                  <w:bookmarkStart w:id="723" w:name="_Toc22342"/>
                  <w:bookmarkStart w:id="724" w:name="_Toc15769"/>
                  <w:r>
                    <w:rPr>
                      <w:rFonts w:hint="eastAsia" w:ascii="宋体" w:hAnsi="宋体"/>
                      <w:snapToGrid w:val="0"/>
                      <w:kern w:val="21"/>
                      <w:sz w:val="18"/>
                      <w:szCs w:val="20"/>
                    </w:rPr>
                    <w:t>≥700</w:t>
                  </w:r>
                  <w:bookmarkEnd w:id="721"/>
                  <w:bookmarkEnd w:id="722"/>
                  <w:bookmarkEnd w:id="723"/>
                  <w:bookmarkEnd w:id="724"/>
                </w:p>
              </w:tc>
              <w:tc>
                <w:tcPr>
                  <w:tcW w:w="1861" w:type="dxa"/>
                  <w:gridSpan w:val="2"/>
                  <w:tcBorders>
                    <w:bottom w:val="single" w:color="auto" w:sz="12" w:space="0"/>
                  </w:tcBorders>
                  <w:noWrap w:val="0"/>
                  <w:vAlign w:val="center"/>
                </w:tcPr>
                <w:p w14:paraId="310046F7">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宋体" w:hAnsi="宋体"/>
                      <w:snapToGrid w:val="0"/>
                      <w:kern w:val="21"/>
                      <w:sz w:val="18"/>
                      <w:szCs w:val="20"/>
                    </w:rPr>
                  </w:pPr>
                  <w:bookmarkStart w:id="725" w:name="_Toc34205876"/>
                  <w:bookmarkStart w:id="726" w:name="_Toc29210"/>
                  <w:bookmarkStart w:id="727" w:name="_Toc16730"/>
                  <w:bookmarkStart w:id="728" w:name="_Toc90391677"/>
                  <w:r>
                    <w:rPr>
                      <w:rFonts w:hint="eastAsia" w:ascii="宋体" w:hAnsi="宋体"/>
                      <w:snapToGrid w:val="0"/>
                      <w:kern w:val="21"/>
                      <w:sz w:val="18"/>
                      <w:szCs w:val="20"/>
                    </w:rPr>
                    <w:t>≥40</w:t>
                  </w:r>
                  <w:bookmarkEnd w:id="725"/>
                  <w:bookmarkEnd w:id="726"/>
                  <w:bookmarkEnd w:id="727"/>
                  <w:bookmarkEnd w:id="728"/>
                </w:p>
              </w:tc>
              <w:tc>
                <w:tcPr>
                  <w:tcW w:w="2004" w:type="dxa"/>
                  <w:vMerge w:val="continue"/>
                  <w:tcBorders>
                    <w:bottom w:val="single" w:color="auto" w:sz="12" w:space="0"/>
                    <w:right w:val="single" w:color="auto" w:sz="12" w:space="0"/>
                  </w:tcBorders>
                  <w:noWrap w:val="0"/>
                  <w:vAlign w:val="center"/>
                </w:tcPr>
                <w:p w14:paraId="3D636485">
                  <w:pPr>
                    <w:keepLines w:val="0"/>
                    <w:pageBreakBefore w:val="0"/>
                    <w:widowControl/>
                    <w:numPr>
                      <w:ilvl w:val="1"/>
                      <w:numId w:val="0"/>
                    </w:numPr>
                    <w:wordWrap w:val="0"/>
                    <w:overflowPunct w:val="0"/>
                    <w:topLinePunct w:val="0"/>
                    <w:autoSpaceDE w:val="0"/>
                    <w:bidi w:val="0"/>
                    <w:spacing w:before="93" w:beforeLines="30" w:line="240" w:lineRule="auto"/>
                    <w:jc w:val="center"/>
                    <w:textAlignment w:val="baseline"/>
                    <w:outlineLvl w:val="1"/>
                    <w:rPr>
                      <w:rFonts w:hint="eastAsia" w:ascii="黑体" w:hAnsi="宋体" w:eastAsia="黑体"/>
                      <w:snapToGrid w:val="0"/>
                      <w:kern w:val="21"/>
                      <w:sz w:val="18"/>
                      <w:szCs w:val="20"/>
                    </w:rPr>
                  </w:pPr>
                </w:p>
              </w:tc>
            </w:tr>
          </w:tbl>
          <w:p w14:paraId="0DEBE81C">
            <w:pPr>
              <w:pStyle w:val="357"/>
              <w:keepLines w:val="0"/>
              <w:pageBreakBefore w:val="0"/>
              <w:numPr>
                <w:ilvl w:val="1"/>
                <w:numId w:val="25"/>
              </w:numPr>
              <w:tabs>
                <w:tab w:val="left" w:pos="0"/>
                <w:tab w:val="clear" w:pos="840"/>
              </w:tabs>
              <w:topLinePunct w:val="0"/>
              <w:bidi w:val="0"/>
              <w:spacing w:before="156" w:beforeLines="50" w:after="62" w:afterLines="20" w:line="240" w:lineRule="auto"/>
              <w:rPr>
                <w:rFonts w:hint="eastAsia" w:hAnsi="宋体"/>
                <w:szCs w:val="21"/>
              </w:rPr>
            </w:pPr>
            <w:bookmarkStart w:id="729" w:name="_Toc34205877"/>
            <w:bookmarkStart w:id="730" w:name="_Toc21770"/>
            <w:bookmarkStart w:id="731" w:name="_Toc7590"/>
            <w:bookmarkStart w:id="732" w:name="_Toc90391678"/>
            <w:r>
              <w:rPr>
                <w:rFonts w:hint="eastAsia" w:hAnsi="宋体"/>
                <w:szCs w:val="21"/>
              </w:rPr>
              <w:t>试验方法</w:t>
            </w:r>
            <w:bookmarkEnd w:id="729"/>
            <w:bookmarkEnd w:id="730"/>
            <w:bookmarkEnd w:id="731"/>
            <w:bookmarkEnd w:id="732"/>
          </w:p>
          <w:p w14:paraId="6B5E2012">
            <w:pPr>
              <w:pStyle w:val="543"/>
              <w:keepLines w:val="0"/>
              <w:pageBreakBefore w:val="0"/>
              <w:numPr>
                <w:ilvl w:val="2"/>
                <w:numId w:val="25"/>
              </w:numPr>
              <w:tabs>
                <w:tab w:val="left" w:pos="0"/>
                <w:tab w:val="clear" w:pos="360"/>
              </w:tabs>
              <w:wordWrap/>
              <w:topLinePunct w:val="0"/>
              <w:bidi w:val="0"/>
              <w:spacing w:before="62" w:beforeLines="20" w:after="62" w:afterLines="20" w:line="240" w:lineRule="auto"/>
              <w:rPr>
                <w:rFonts w:hint="eastAsia"/>
              </w:rPr>
            </w:pPr>
            <w:bookmarkStart w:id="733" w:name="_Toc34205878"/>
            <w:bookmarkStart w:id="734" w:name="_Toc1359"/>
            <w:bookmarkStart w:id="735" w:name="_Toc24157"/>
            <w:bookmarkStart w:id="736" w:name="_Toc90391679"/>
            <w:r>
              <w:rPr>
                <w:rFonts w:hint="eastAsia"/>
              </w:rPr>
              <w:t>断裂强力试验</w:t>
            </w:r>
            <w:bookmarkEnd w:id="733"/>
            <w:bookmarkEnd w:id="734"/>
            <w:bookmarkEnd w:id="735"/>
            <w:bookmarkEnd w:id="736"/>
          </w:p>
          <w:p w14:paraId="14DE8D2F">
            <w:pPr>
              <w:pStyle w:val="282"/>
              <w:keepLines w:val="0"/>
              <w:pageBreakBefore w:val="0"/>
              <w:numPr>
                <w:ilvl w:val="3"/>
                <w:numId w:val="25"/>
              </w:numPr>
              <w:topLinePunct w:val="0"/>
              <w:bidi w:val="0"/>
              <w:spacing w:before="156" w:after="156" w:line="240" w:lineRule="auto"/>
              <w:rPr>
                <w:rFonts w:hint="eastAsia" w:hAnsi="黑体" w:cs="Arial"/>
              </w:rPr>
            </w:pPr>
            <w:r>
              <w:rPr>
                <w:rFonts w:hint="eastAsia" w:hAnsi="黑体" w:cs="Arial"/>
              </w:rPr>
              <w:t>试验条件</w:t>
            </w:r>
          </w:p>
          <w:p w14:paraId="1E9468B3">
            <w:pPr>
              <w:pStyle w:val="538"/>
              <w:keepLines w:val="0"/>
              <w:pageBreakBefore w:val="0"/>
              <w:topLinePunct w:val="0"/>
              <w:bidi w:val="0"/>
              <w:spacing w:line="240" w:lineRule="auto"/>
              <w:ind w:firstLine="424" w:firstLineChars="202"/>
              <w:rPr>
                <w:rFonts w:hint="eastAsia"/>
                <w:snapToGrid w:val="0"/>
              </w:rPr>
            </w:pPr>
            <w:r>
              <w:rPr>
                <w:rFonts w:hint="eastAsia"/>
                <w:snapToGrid w:val="0"/>
              </w:rPr>
              <w:t>试验环境条件调节按GB/T 2918-1998的规定，其他条件按GB/T 1040.1-2006的规定。</w:t>
            </w:r>
          </w:p>
          <w:p w14:paraId="676332A8">
            <w:pPr>
              <w:pStyle w:val="282"/>
              <w:keepLines w:val="0"/>
              <w:pageBreakBefore w:val="0"/>
              <w:numPr>
                <w:ilvl w:val="3"/>
                <w:numId w:val="25"/>
              </w:numPr>
              <w:topLinePunct w:val="0"/>
              <w:bidi w:val="0"/>
              <w:spacing w:before="156" w:after="156" w:line="240" w:lineRule="auto"/>
              <w:rPr>
                <w:rFonts w:hint="eastAsia" w:hAnsi="黑体" w:cs="Arial"/>
              </w:rPr>
            </w:pPr>
            <w:r>
              <w:rPr>
                <w:rFonts w:hint="eastAsia" w:hAnsi="黑体" w:cs="Arial"/>
              </w:rPr>
              <w:t>取样</w:t>
            </w:r>
          </w:p>
          <w:p w14:paraId="3585428A">
            <w:pPr>
              <w:pStyle w:val="269"/>
              <w:keepLines w:val="0"/>
              <w:pageBreakBefore w:val="0"/>
              <w:tabs>
                <w:tab w:val="center" w:pos="4201"/>
                <w:tab w:val="right" w:leader="dot" w:pos="9298"/>
              </w:tabs>
              <w:topLinePunct w:val="0"/>
              <w:bidi w:val="0"/>
              <w:spacing w:line="240" w:lineRule="auto"/>
              <w:rPr>
                <w:rFonts w:hint="eastAsia" w:hAnsi="宋体"/>
                <w:snapToGrid w:val="0"/>
                <w:kern w:val="21"/>
              </w:rPr>
            </w:pPr>
          </w:p>
          <w:p w14:paraId="03FAC905">
            <w:pPr>
              <w:pStyle w:val="269"/>
              <w:keepLines w:val="0"/>
              <w:pageBreakBefore w:val="0"/>
              <w:tabs>
                <w:tab w:val="center" w:pos="4201"/>
                <w:tab w:val="right" w:leader="dot" w:pos="9298"/>
              </w:tabs>
              <w:topLinePunct w:val="0"/>
              <w:bidi w:val="0"/>
              <w:spacing w:line="240" w:lineRule="auto"/>
              <w:rPr>
                <w:rFonts w:hint="eastAsia" w:hAnsi="宋体"/>
                <w:snapToGrid w:val="0"/>
                <w:kern w:val="21"/>
              </w:rPr>
            </w:pPr>
            <w:r>
              <w:rPr>
                <w:rFonts w:hint="eastAsia" w:hAnsi="宋体"/>
                <w:snapToGrid w:val="0"/>
                <w:kern w:val="21"/>
              </w:rPr>
              <w:t>在试样距边100</w:t>
            </w:r>
            <w:r>
              <w:rPr>
                <w:rFonts w:hint="eastAsia" w:hAnsi="宋体"/>
                <w:snapToGrid w:val="0"/>
                <w:kern w:val="21"/>
                <w:lang w:val="en-US" w:eastAsia="zh-CN"/>
              </w:rPr>
              <w:t xml:space="preserve"> </w:t>
            </w:r>
            <w:r>
              <w:rPr>
                <w:rFonts w:hint="eastAsia" w:hAnsi="宋体"/>
                <w:snapToGrid w:val="0"/>
                <w:kern w:val="21"/>
              </w:rPr>
              <w:t>mm以上处顺经、纬向各取长300</w:t>
            </w:r>
            <w:r>
              <w:rPr>
                <w:rFonts w:hint="eastAsia" w:hAnsi="宋体"/>
                <w:snapToGrid w:val="0"/>
                <w:kern w:val="21"/>
                <w:lang w:val="en-US" w:eastAsia="zh-CN"/>
              </w:rPr>
              <w:t xml:space="preserve"> </w:t>
            </w:r>
            <w:r>
              <w:rPr>
                <w:rFonts w:hint="eastAsia" w:hAnsi="宋体"/>
                <w:snapToGrid w:val="0"/>
                <w:kern w:val="21"/>
              </w:rPr>
              <w:t>mm,宽60</w:t>
            </w:r>
            <w:r>
              <w:rPr>
                <w:rFonts w:hint="eastAsia" w:hAnsi="宋体"/>
                <w:snapToGrid w:val="0"/>
                <w:kern w:val="21"/>
                <w:lang w:val="en-US" w:eastAsia="zh-CN"/>
              </w:rPr>
              <w:t xml:space="preserve"> </w:t>
            </w:r>
            <w:r>
              <w:rPr>
                <w:rFonts w:hint="eastAsia" w:hAnsi="宋体"/>
                <w:snapToGrid w:val="0"/>
                <w:kern w:val="21"/>
              </w:rPr>
              <w:t>mm试片两片，再撕去两边的扁丝准确取宽50</w:t>
            </w:r>
            <w:r>
              <w:rPr>
                <w:rFonts w:hint="eastAsia" w:hAnsi="宋体"/>
                <w:snapToGrid w:val="0"/>
                <w:kern w:val="21"/>
                <w:lang w:val="en-US" w:eastAsia="zh-CN"/>
              </w:rPr>
              <w:t xml:space="preserve"> </w:t>
            </w:r>
            <w:r>
              <w:rPr>
                <w:rFonts w:hint="eastAsia" w:hAnsi="宋体"/>
                <w:snapToGrid w:val="0"/>
                <w:kern w:val="21"/>
              </w:rPr>
              <w:t>mm，如遇到最后一根超过半根则保留，否则去掉。</w:t>
            </w:r>
          </w:p>
          <w:p w14:paraId="79F5F118">
            <w:pPr>
              <w:pStyle w:val="282"/>
              <w:keepLines w:val="0"/>
              <w:pageBreakBefore w:val="0"/>
              <w:numPr>
                <w:ilvl w:val="3"/>
                <w:numId w:val="25"/>
              </w:numPr>
              <w:topLinePunct w:val="0"/>
              <w:bidi w:val="0"/>
              <w:spacing w:before="156" w:after="156" w:line="240" w:lineRule="auto"/>
              <w:rPr>
                <w:rFonts w:hint="eastAsia" w:hAnsi="黑体" w:cs="Arial"/>
              </w:rPr>
            </w:pPr>
            <w:r>
              <w:rPr>
                <w:rFonts w:hint="eastAsia" w:hAnsi="黑体" w:cs="Arial"/>
              </w:rPr>
              <w:t xml:space="preserve"> 测试</w:t>
            </w:r>
          </w:p>
          <w:p w14:paraId="4009A95E">
            <w:pPr>
              <w:pStyle w:val="538"/>
              <w:keepLines w:val="0"/>
              <w:pageBreakBefore w:val="0"/>
              <w:topLinePunct w:val="0"/>
              <w:bidi w:val="0"/>
              <w:spacing w:line="240" w:lineRule="auto"/>
              <w:ind w:firstLine="424" w:firstLineChars="202"/>
              <w:rPr>
                <w:rFonts w:hint="eastAsia"/>
                <w:snapToGrid w:val="0"/>
              </w:rPr>
            </w:pPr>
          </w:p>
          <w:p w14:paraId="5464E2A9">
            <w:pPr>
              <w:pStyle w:val="538"/>
              <w:keepLines w:val="0"/>
              <w:pageBreakBefore w:val="0"/>
              <w:topLinePunct w:val="0"/>
              <w:bidi w:val="0"/>
              <w:spacing w:line="240" w:lineRule="auto"/>
              <w:ind w:firstLine="424" w:firstLineChars="202"/>
              <w:rPr>
                <w:rFonts w:hint="eastAsia"/>
                <w:snapToGrid w:val="0"/>
              </w:rPr>
            </w:pPr>
            <w:r>
              <w:rPr>
                <w:rFonts w:hint="eastAsia"/>
                <w:snapToGrid w:val="0"/>
              </w:rPr>
              <w:t>将试片夹在夹钳上，夹钳间距为200</w:t>
            </w:r>
            <w:r>
              <w:rPr>
                <w:rFonts w:hint="eastAsia"/>
                <w:snapToGrid w:val="0"/>
                <w:lang w:val="en-US" w:eastAsia="zh-CN"/>
              </w:rPr>
              <w:t xml:space="preserve"> </w:t>
            </w:r>
            <w:r>
              <w:rPr>
                <w:rFonts w:hint="eastAsia"/>
                <w:snapToGrid w:val="0"/>
              </w:rPr>
              <w:t>mm，空车下降速度为（200±20）mm/min,拉力试验机量程应满足测试强度值在20%～75%范围内，测试应精确到1N，取算术平均值。测试中若遇试片在夹钳处破裂滑脱应重新试验。</w:t>
            </w:r>
          </w:p>
          <w:p w14:paraId="30C20F07">
            <w:pPr>
              <w:pStyle w:val="282"/>
              <w:keepLines w:val="0"/>
              <w:pageBreakBefore w:val="0"/>
              <w:numPr>
                <w:ilvl w:val="3"/>
                <w:numId w:val="25"/>
              </w:numPr>
              <w:topLinePunct w:val="0"/>
              <w:bidi w:val="0"/>
              <w:spacing w:before="156" w:after="156" w:line="240" w:lineRule="auto"/>
              <w:rPr>
                <w:rFonts w:hint="eastAsia"/>
                <w:snapToGrid w:val="0"/>
              </w:rPr>
            </w:pPr>
            <w:r>
              <w:rPr>
                <w:rFonts w:hint="eastAsia" w:hAnsi="黑体" w:cs="Arial"/>
              </w:rPr>
              <w:t>密度测定</w:t>
            </w:r>
          </w:p>
          <w:p w14:paraId="08D3CC95">
            <w:pPr>
              <w:pStyle w:val="538"/>
              <w:keepLines w:val="0"/>
              <w:pageBreakBefore w:val="0"/>
              <w:topLinePunct w:val="0"/>
              <w:bidi w:val="0"/>
              <w:spacing w:line="240" w:lineRule="auto"/>
              <w:ind w:firstLine="424" w:firstLineChars="202"/>
              <w:rPr>
                <w:rFonts w:hint="eastAsia"/>
                <w:snapToGrid w:val="0"/>
              </w:rPr>
            </w:pPr>
            <w:r>
              <w:rPr>
                <w:rFonts w:hint="eastAsia"/>
                <w:snapToGrid w:val="0"/>
              </w:rPr>
              <w:t>将试样展平，在距边100</w:t>
            </w:r>
            <w:r>
              <w:rPr>
                <w:rFonts w:hint="eastAsia"/>
                <w:snapToGrid w:val="0"/>
                <w:lang w:val="en-US" w:eastAsia="zh-CN"/>
              </w:rPr>
              <w:t xml:space="preserve"> </w:t>
            </w:r>
            <w:r>
              <w:rPr>
                <w:rFonts w:hint="eastAsia"/>
                <w:snapToGrid w:val="0"/>
              </w:rPr>
              <w:t>mm以上处，取100</w:t>
            </w:r>
            <w:r>
              <w:rPr>
                <w:rFonts w:hint="eastAsia"/>
                <w:snapToGrid w:val="0"/>
                <w:lang w:val="en-US" w:eastAsia="zh-CN"/>
              </w:rPr>
              <w:t xml:space="preserve"> </w:t>
            </w:r>
            <w:r>
              <w:rPr>
                <w:rFonts w:hint="eastAsia"/>
                <w:snapToGrid w:val="0"/>
              </w:rPr>
              <w:t>mm×100</w:t>
            </w:r>
            <w:r>
              <w:rPr>
                <w:rFonts w:hint="eastAsia"/>
                <w:snapToGrid w:val="0"/>
                <w:lang w:val="en-US" w:eastAsia="zh-CN"/>
              </w:rPr>
              <w:t xml:space="preserve"> </w:t>
            </w:r>
            <w:r>
              <w:rPr>
                <w:rFonts w:hint="eastAsia"/>
                <w:snapToGrid w:val="0"/>
              </w:rPr>
              <w:t>mm两个方块，目测方块内经、纬根数，取其平均值，当终点不足一根时，按一根计。</w:t>
            </w:r>
          </w:p>
          <w:p w14:paraId="38F17FD9">
            <w:pPr>
              <w:pStyle w:val="282"/>
              <w:keepLines w:val="0"/>
              <w:pageBreakBefore w:val="0"/>
              <w:numPr>
                <w:ilvl w:val="3"/>
                <w:numId w:val="25"/>
              </w:numPr>
              <w:topLinePunct w:val="0"/>
              <w:bidi w:val="0"/>
              <w:spacing w:before="156" w:after="156" w:line="240" w:lineRule="auto"/>
              <w:rPr>
                <w:rFonts w:hint="eastAsia"/>
                <w:snapToGrid w:val="0"/>
              </w:rPr>
            </w:pPr>
            <w:r>
              <w:rPr>
                <w:rFonts w:hint="eastAsia" w:hAnsi="黑体" w:cs="Arial"/>
              </w:rPr>
              <w:t>单位面积质量的测定</w:t>
            </w:r>
          </w:p>
          <w:p w14:paraId="07448C74">
            <w:pPr>
              <w:pStyle w:val="538"/>
              <w:keepLines w:val="0"/>
              <w:pageBreakBefore w:val="0"/>
              <w:topLinePunct w:val="0"/>
              <w:bidi w:val="0"/>
              <w:spacing w:line="240" w:lineRule="auto"/>
              <w:ind w:left="210" w:leftChars="100" w:firstLine="214" w:firstLineChars="102"/>
              <w:rPr>
                <w:rFonts w:hint="eastAsia"/>
              </w:rPr>
            </w:pPr>
            <w:r>
              <w:rPr>
                <w:rFonts w:hint="eastAsia"/>
                <w:snapToGrid w:val="0"/>
              </w:rPr>
              <w:t>将试样展平，在距边100</w:t>
            </w:r>
            <w:r>
              <w:rPr>
                <w:rFonts w:hint="eastAsia"/>
                <w:snapToGrid w:val="0"/>
                <w:lang w:val="en-US" w:eastAsia="zh-CN"/>
              </w:rPr>
              <w:t xml:space="preserve"> </w:t>
            </w:r>
            <w:r>
              <w:rPr>
                <w:rFonts w:hint="eastAsia"/>
                <w:snapToGrid w:val="0"/>
              </w:rPr>
              <w:t>mm以上处，取200</w:t>
            </w:r>
            <w:r>
              <w:rPr>
                <w:rFonts w:hint="eastAsia"/>
                <w:snapToGrid w:val="0"/>
                <w:lang w:val="en-US" w:eastAsia="zh-CN"/>
              </w:rPr>
              <w:t xml:space="preserve"> </w:t>
            </w:r>
            <w:r>
              <w:rPr>
                <w:rFonts w:hint="eastAsia"/>
                <w:snapToGrid w:val="0"/>
              </w:rPr>
              <w:t>mm×200</w:t>
            </w:r>
            <w:r>
              <w:rPr>
                <w:rFonts w:hint="eastAsia"/>
                <w:snapToGrid w:val="0"/>
                <w:lang w:val="en-US" w:eastAsia="zh-CN"/>
              </w:rPr>
              <w:t xml:space="preserve"> </w:t>
            </w:r>
            <w:r>
              <w:rPr>
                <w:rFonts w:hint="eastAsia"/>
                <w:snapToGrid w:val="0"/>
              </w:rPr>
              <w:t>mm试片三片，用0.g的天平分别称其重量，取算术平均值。</w:t>
            </w:r>
          </w:p>
          <w:p w14:paraId="2A7F8DFF">
            <w:pPr>
              <w:keepLines w:val="0"/>
              <w:pageBreakBefore w:val="0"/>
              <w:topLinePunct w:val="0"/>
              <w:bidi w:val="0"/>
              <w:snapToGrid w:val="0"/>
              <w:spacing w:line="240" w:lineRule="auto"/>
              <w:jc w:val="both"/>
              <w:rPr>
                <w:rFonts w:ascii="宋体" w:hAnsi="宋体" w:eastAsia="宋体" w:cs="Arial"/>
                <w:color w:val="000000"/>
                <w:kern w:val="0"/>
                <w:sz w:val="32"/>
                <w:szCs w:val="32"/>
              </w:rPr>
            </w:pPr>
          </w:p>
        </w:tc>
        <w:tc>
          <w:tcPr>
            <w:tcW w:w="904" w:type="dxa"/>
            <w:vAlign w:val="center"/>
          </w:tcPr>
          <w:p w14:paraId="40811D1A">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700</w:t>
            </w:r>
            <w:r>
              <w:rPr>
                <w:rFonts w:hint="eastAsia" w:ascii="宋体" w:hAnsi="宋体" w:eastAsia="宋体" w:cs="Arial"/>
                <w:color w:val="000000"/>
                <w:kern w:val="0"/>
                <w:sz w:val="24"/>
                <w:szCs w:val="24"/>
                <w:lang w:val="en-US" w:eastAsia="zh-CN"/>
              </w:rPr>
              <w:t>条</w:t>
            </w:r>
          </w:p>
        </w:tc>
        <w:tc>
          <w:tcPr>
            <w:tcW w:w="794" w:type="dxa"/>
            <w:vAlign w:val="center"/>
          </w:tcPr>
          <w:p w14:paraId="6C0596C6">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w:t>
            </w:r>
            <w:r>
              <w:rPr>
                <w:rFonts w:hint="eastAsia" w:ascii="宋体" w:hAnsi="宋体" w:cs="Arial"/>
                <w:color w:val="000000"/>
                <w:kern w:val="0"/>
                <w:sz w:val="24"/>
                <w:szCs w:val="24"/>
                <w:lang w:val="en-US" w:eastAsia="zh-CN"/>
              </w:rPr>
              <w:t>1</w:t>
            </w:r>
            <w:r>
              <w:rPr>
                <w:rFonts w:hint="eastAsia" w:ascii="宋体" w:hAnsi="宋体" w:eastAsia="宋体" w:cs="Arial"/>
                <w:color w:val="000000"/>
                <w:kern w:val="0"/>
                <w:sz w:val="24"/>
                <w:szCs w:val="24"/>
                <w:lang w:val="en-US" w:eastAsia="zh-CN"/>
              </w:rPr>
              <w:t>0</w:t>
            </w:r>
          </w:p>
        </w:tc>
        <w:tc>
          <w:tcPr>
            <w:tcW w:w="1038" w:type="dxa"/>
            <w:vAlign w:val="center"/>
          </w:tcPr>
          <w:p w14:paraId="470D36E6">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77000</w:t>
            </w:r>
          </w:p>
        </w:tc>
      </w:tr>
    </w:tbl>
    <w:tbl>
      <w:tblPr>
        <w:tblStyle w:val="58"/>
        <w:tblpPr w:leftFromText="180" w:rightFromText="180" w:vertAnchor="text" w:horzAnchor="page" w:tblpX="546" w:tblpY="4960"/>
        <w:tblOverlap w:val="never"/>
        <w:tblW w:w="108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8"/>
        <w:gridCol w:w="695"/>
        <w:gridCol w:w="6791"/>
        <w:gridCol w:w="900"/>
        <w:gridCol w:w="778"/>
        <w:gridCol w:w="1050"/>
      </w:tblGrid>
      <w:tr w14:paraId="59C22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68" w:type="dxa"/>
            <w:vAlign w:val="center"/>
          </w:tcPr>
          <w:p w14:paraId="0A1B76D3">
            <w:pPr>
              <w:keepLines w:val="0"/>
              <w:pageBreakBefore w:val="0"/>
              <w:topLinePunct w:val="0"/>
              <w:bidi w:val="0"/>
              <w:snapToGrid w:val="0"/>
              <w:spacing w:line="240" w:lineRule="auto"/>
              <w:jc w:val="center"/>
              <w:rPr>
                <w:rFonts w:hint="eastAsia" w:ascii="宋体" w:hAnsi="宋体" w:eastAsia="宋体" w:cs="Arial"/>
                <w:color w:val="000000"/>
                <w:kern w:val="0"/>
                <w:sz w:val="32"/>
                <w:szCs w:val="32"/>
              </w:rPr>
            </w:pPr>
          </w:p>
        </w:tc>
        <w:tc>
          <w:tcPr>
            <w:tcW w:w="695" w:type="dxa"/>
            <w:vAlign w:val="center"/>
          </w:tcPr>
          <w:p w14:paraId="1A2DA7B4">
            <w:pPr>
              <w:keepLines w:val="0"/>
              <w:pageBreakBefore w:val="0"/>
              <w:topLinePunct w:val="0"/>
              <w:bidi w:val="0"/>
              <w:snapToGrid w:val="0"/>
              <w:spacing w:line="240" w:lineRule="auto"/>
              <w:jc w:val="center"/>
              <w:rPr>
                <w:rFonts w:hint="eastAsia" w:ascii="宋体" w:hAnsi="宋体" w:eastAsia="宋体" w:cs="Arial"/>
                <w:color w:val="000000"/>
                <w:kern w:val="0"/>
                <w:sz w:val="32"/>
                <w:szCs w:val="32"/>
                <w:lang w:eastAsia="zh-CN"/>
              </w:rPr>
            </w:pPr>
            <w:r>
              <w:rPr>
                <w:rFonts w:hint="eastAsia" w:ascii="宋体" w:hAnsi="宋体" w:eastAsia="宋体" w:cs="Arial"/>
                <w:color w:val="000000"/>
                <w:kern w:val="0"/>
                <w:sz w:val="32"/>
                <w:szCs w:val="32"/>
                <w:lang w:eastAsia="zh-CN"/>
              </w:rPr>
              <w:t>取暖炉</w:t>
            </w:r>
          </w:p>
        </w:tc>
        <w:tc>
          <w:tcPr>
            <w:tcW w:w="6791" w:type="dxa"/>
            <w:vAlign w:val="center"/>
          </w:tcPr>
          <w:p w14:paraId="3BB63D4B">
            <w:pPr>
              <w:pStyle w:val="535"/>
              <w:spacing w:beforeLines="100" w:afterLines="100"/>
              <w:rPr>
                <w:rFonts w:ascii="方正小标宋简体" w:hAnsi="方正小标宋简体" w:eastAsia="方正小标宋简体" w:cs="方正小标宋简体"/>
                <w:sz w:val="21"/>
                <w:szCs w:val="21"/>
              </w:rPr>
            </w:pPr>
            <w:bookmarkStart w:id="737" w:name="_Toc6645"/>
            <w:r>
              <w:rPr>
                <w:rFonts w:hint="eastAsia" w:ascii="方正小标宋简体" w:hAnsi="方正小标宋简体" w:eastAsia="方正小标宋简体" w:cs="方正小标宋简体"/>
                <w:sz w:val="21"/>
                <w:szCs w:val="21"/>
              </w:rPr>
              <w:t>柴煤两用取暖炉技术规范</w:t>
            </w:r>
            <w:bookmarkEnd w:id="737"/>
          </w:p>
          <w:p w14:paraId="63DDB94B">
            <w:pPr>
              <w:pStyle w:val="536"/>
              <w:spacing w:beforeLines="50" w:afterLines="50" w:line="560" w:lineRule="exact"/>
              <w:rPr>
                <w:rFonts w:hAnsi="黑体" w:cs="黑体"/>
                <w:sz w:val="21"/>
                <w:szCs w:val="21"/>
              </w:rPr>
            </w:pPr>
            <w:bookmarkStart w:id="738" w:name="_Toc318631128"/>
            <w:bookmarkStart w:id="739" w:name="_Toc30032"/>
            <w:r>
              <w:rPr>
                <w:rFonts w:hint="eastAsia" w:hAnsi="黑体" w:cs="黑体"/>
                <w:sz w:val="21"/>
                <w:szCs w:val="21"/>
              </w:rPr>
              <w:t>范围</w:t>
            </w:r>
            <w:bookmarkEnd w:id="738"/>
            <w:bookmarkEnd w:id="739"/>
          </w:p>
          <w:p w14:paraId="5CE00AAB">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本文件规定了柴煤两用取暖炉（烤箱）的要求、试验方法、检验规则及标志、包装、运输与贮存。</w:t>
            </w:r>
          </w:p>
          <w:p w14:paraId="51E42464">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本文件适用于柴煤两用取暖炉（烤箱）的生产订购与质量验收。</w:t>
            </w:r>
          </w:p>
          <w:p w14:paraId="45CC8211">
            <w:pPr>
              <w:pStyle w:val="536"/>
              <w:spacing w:beforeLines="50" w:afterLines="50" w:line="560" w:lineRule="exact"/>
              <w:rPr>
                <w:rFonts w:hAnsi="黑体" w:cs="黑体"/>
                <w:sz w:val="21"/>
                <w:szCs w:val="21"/>
              </w:rPr>
            </w:pPr>
            <w:bookmarkStart w:id="740" w:name="_Toc194306300"/>
            <w:bookmarkStart w:id="741" w:name="_Toc148753662"/>
            <w:bookmarkStart w:id="742" w:name="_Toc234038964"/>
            <w:bookmarkStart w:id="743" w:name="_Toc216086038"/>
            <w:bookmarkStart w:id="744" w:name="_Toc215373055"/>
            <w:bookmarkStart w:id="745" w:name="_Toc194988250"/>
            <w:bookmarkStart w:id="746" w:name="_Toc207703990"/>
            <w:bookmarkStart w:id="747" w:name="_Toc14922"/>
            <w:bookmarkStart w:id="748" w:name="_Toc207616446"/>
            <w:bookmarkStart w:id="749" w:name="_Toc216085722"/>
            <w:bookmarkStart w:id="750" w:name="_Toc208653355"/>
            <w:bookmarkStart w:id="751" w:name="_Toc195002031"/>
            <w:bookmarkStart w:id="752" w:name="_Toc318631129"/>
            <w:r>
              <w:rPr>
                <w:rFonts w:hint="eastAsia" w:hAnsi="黑体" w:cs="黑体"/>
                <w:sz w:val="21"/>
                <w:szCs w:val="21"/>
              </w:rPr>
              <w:t>规范性引用文件</w:t>
            </w:r>
            <w:bookmarkEnd w:id="740"/>
            <w:bookmarkEnd w:id="741"/>
            <w:bookmarkEnd w:id="742"/>
            <w:bookmarkEnd w:id="743"/>
            <w:bookmarkEnd w:id="744"/>
            <w:bookmarkEnd w:id="745"/>
            <w:bookmarkEnd w:id="746"/>
            <w:bookmarkEnd w:id="747"/>
            <w:bookmarkEnd w:id="748"/>
            <w:bookmarkEnd w:id="749"/>
            <w:bookmarkEnd w:id="750"/>
            <w:bookmarkEnd w:id="751"/>
            <w:bookmarkEnd w:id="752"/>
          </w:p>
          <w:p w14:paraId="63BBFDBC">
            <w:pPr>
              <w:pStyle w:val="269"/>
              <w:tabs>
                <w:tab w:val="center" w:pos="4201"/>
                <w:tab w:val="right" w:leader="dot" w:pos="9298"/>
              </w:tabs>
              <w:spacing w:line="560" w:lineRule="exact"/>
              <w:ind w:firstLine="640"/>
              <w:rPr>
                <w:rFonts w:ascii="仿宋_GB2312" w:hAnsi="仿宋_GB2312" w:eastAsia="仿宋_GB2312" w:cs="仿宋_GB2312"/>
                <w:kern w:val="2"/>
                <w:sz w:val="21"/>
                <w:szCs w:val="21"/>
              </w:rPr>
            </w:pPr>
            <w:r>
              <w:rPr>
                <w:rFonts w:hint="eastAsia" w:ascii="仿宋_GB2312" w:hAnsi="仿宋_GB2312" w:eastAsia="仿宋_GB2312" w:cs="仿宋_GB2312"/>
                <w:sz w:val="21"/>
                <w:szCs w:val="21"/>
              </w:rPr>
              <w:t>下列文件对于本文件的应用是必不可少的。凡是注日期的引用文件，仅注入日期的版本适用于本文件。</w:t>
            </w:r>
            <w:r>
              <w:rPr>
                <w:rFonts w:hint="eastAsia" w:ascii="仿宋_GB2312" w:hAnsi="仿宋_GB2312" w:eastAsia="仿宋_GB2312" w:cs="仿宋_GB2312"/>
                <w:kern w:val="2"/>
                <w:sz w:val="21"/>
                <w:szCs w:val="21"/>
              </w:rPr>
              <w:t>凡是不注入日期的引用文件，其最新版本（包括所有的修改单）适用于本文件。</w:t>
            </w:r>
          </w:p>
          <w:p w14:paraId="62E9B479">
            <w:pPr>
              <w:pStyle w:val="269"/>
              <w:tabs>
                <w:tab w:val="center" w:pos="4201"/>
                <w:tab w:val="right" w:leader="dot" w:pos="9298"/>
              </w:tabs>
              <w:spacing w:line="560" w:lineRule="exact"/>
              <w:ind w:firstLine="640"/>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GB/T 708-2019  冷轧钢板和钢带的尺寸、外形、重量及允许偏差</w:t>
            </w:r>
          </w:p>
          <w:p w14:paraId="4C35E745">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GB/T 11253-2019 碳素结构钢冷轧钢板及钢带</w:t>
            </w:r>
          </w:p>
          <w:p w14:paraId="62DDF97F">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GB/T 2518-2019  连续热镀锌和锌合金镀层钢板及钢带</w:t>
            </w:r>
          </w:p>
          <w:p w14:paraId="2E8CE06E">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GB/T 3325-2017  金属家具通用技术条件</w:t>
            </w:r>
          </w:p>
          <w:p w14:paraId="57762A91">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GB/T 9437-2009  耐热铸铁件</w:t>
            </w:r>
          </w:p>
          <w:p w14:paraId="651FFA92">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GB/T 4857.4-2008包装 运输包装件基本试验 第4部分：采用压力试验机进行的抗压和堆码试验方法</w:t>
            </w:r>
          </w:p>
          <w:p w14:paraId="763F6615">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GB/T 6545-1998  瓦楞纸板耐破强度的测定法</w:t>
            </w:r>
          </w:p>
          <w:p w14:paraId="551A7A69">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GJB 3840－1999  包装用塑料基压敏胶粘带规范</w:t>
            </w:r>
          </w:p>
          <w:p w14:paraId="3D444974">
            <w:pPr>
              <w:spacing w:line="560" w:lineRule="exact"/>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QB/T 3811－1999  塑料打包带</w:t>
            </w:r>
          </w:p>
          <w:p w14:paraId="049D3F2B">
            <w:pPr>
              <w:pStyle w:val="536"/>
              <w:spacing w:beforeLines="50" w:afterLines="50" w:line="560" w:lineRule="exact"/>
              <w:rPr>
                <w:rFonts w:hAnsi="黑体" w:cs="黑体"/>
                <w:sz w:val="21"/>
                <w:szCs w:val="21"/>
              </w:rPr>
            </w:pPr>
            <w:bookmarkStart w:id="753" w:name="_Toc318631130"/>
            <w:bookmarkStart w:id="754" w:name="_Toc15720"/>
            <w:r>
              <w:rPr>
                <w:rFonts w:hint="eastAsia" w:hAnsi="黑体" w:cs="黑体"/>
                <w:sz w:val="21"/>
                <w:szCs w:val="21"/>
              </w:rPr>
              <w:t>要求</w:t>
            </w:r>
            <w:bookmarkEnd w:id="753"/>
            <w:bookmarkEnd w:id="754"/>
          </w:p>
          <w:p w14:paraId="3BEC1FE8">
            <w:pPr>
              <w:pStyle w:val="434"/>
              <w:spacing w:beforeLines="0" w:afterLines="0" w:line="560" w:lineRule="exact"/>
              <w:rPr>
                <w:rFonts w:hint="eastAsia" w:ascii="仿宋_GB2312" w:hAnsi="仿宋_GB2312" w:eastAsia="仿宋_GB2312" w:cs="仿宋_GB2312"/>
                <w:kern w:val="2"/>
                <w:sz w:val="21"/>
                <w:szCs w:val="21"/>
                <w:lang w:val="en-US" w:eastAsia="zh-CN" w:bidi="ar-SA"/>
              </w:rPr>
            </w:pPr>
            <w:bookmarkStart w:id="755" w:name="_Toc30811"/>
            <w:bookmarkStart w:id="756" w:name="_Toc318631131"/>
            <w:r>
              <w:rPr>
                <w:rFonts w:hint="eastAsia" w:ascii="仿宋_GB2312" w:hAnsi="仿宋_GB2312" w:eastAsia="仿宋_GB2312" w:cs="仿宋_GB2312"/>
                <w:kern w:val="2"/>
                <w:sz w:val="21"/>
                <w:szCs w:val="21"/>
                <w:lang w:val="en-US" w:eastAsia="zh-CN" w:bidi="ar-SA"/>
              </w:rPr>
              <w:t>样式</w:t>
            </w:r>
            <w:bookmarkEnd w:id="755"/>
            <w:bookmarkEnd w:id="756"/>
          </w:p>
          <w:p w14:paraId="1FDF76F5">
            <w:pPr>
              <w:pStyle w:val="282"/>
              <w:numPr>
                <w:ilvl w:val="0"/>
                <w:numId w:val="0"/>
              </w:numPr>
              <w:spacing w:beforeLines="0" w:afterLines="0" w:line="560" w:lineRule="exact"/>
              <w:ind w:firstLine="420" w:firstLineChars="20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柴煤两用取暖炉为长方体样式。一端面设有加柴口和炉灰口；另一端面设有烟囱口；侧面配有烤箱及通风口；炉内有两用炉芯和炉箅子；灶台面有两个灶口。其外观和结构见图1～图3，成品尺寸见表1。</w:t>
            </w:r>
          </w:p>
          <w:p w14:paraId="3193D886">
            <w:pPr>
              <w:pStyle w:val="537"/>
              <w:numPr>
                <w:ilvl w:val="0"/>
                <w:numId w:val="0"/>
              </w:numPr>
              <w:spacing w:before="156" w:after="156"/>
              <w:jc w:val="both"/>
              <w:rPr>
                <w:sz w:val="21"/>
                <w:szCs w:val="21"/>
              </w:rPr>
            </w:pPr>
            <w:r>
              <w:rPr>
                <w:sz w:val="21"/>
                <w:szCs w:val="21"/>
              </w:rPr>
              <w:drawing>
                <wp:anchor distT="0" distB="0" distL="114300" distR="114300" simplePos="0" relativeHeight="251691008" behindDoc="0" locked="0" layoutInCell="1" allowOverlap="1">
                  <wp:simplePos x="0" y="0"/>
                  <wp:positionH relativeFrom="column">
                    <wp:posOffset>2569210</wp:posOffset>
                  </wp:positionH>
                  <wp:positionV relativeFrom="paragraph">
                    <wp:posOffset>340360</wp:posOffset>
                  </wp:positionV>
                  <wp:extent cx="1497330" cy="2048510"/>
                  <wp:effectExtent l="0" t="0" r="7620" b="8890"/>
                  <wp:wrapNone/>
                  <wp:docPr id="39" name="图片 14" descr="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descr="22-1"/>
                          <pic:cNvPicPr>
                            <a:picLocks noChangeAspect="1"/>
                          </pic:cNvPicPr>
                        </pic:nvPicPr>
                        <pic:blipFill>
                          <a:blip r:embed="rId23"/>
                          <a:srcRect l="1498" t="9984" r="-749" b="18181"/>
                          <a:stretch>
                            <a:fillRect/>
                          </a:stretch>
                        </pic:blipFill>
                        <pic:spPr>
                          <a:xfrm>
                            <a:off x="0" y="0"/>
                            <a:ext cx="1497330" cy="2048510"/>
                          </a:xfrm>
                          <a:prstGeom prst="rect">
                            <a:avLst/>
                          </a:prstGeom>
                          <a:noFill/>
                          <a:ln>
                            <a:noFill/>
                          </a:ln>
                        </pic:spPr>
                      </pic:pic>
                    </a:graphicData>
                  </a:graphic>
                </wp:anchor>
              </w:drawing>
            </w:r>
            <w:r>
              <w:rPr>
                <w:sz w:val="21"/>
                <w:szCs w:val="21"/>
              </w:rPr>
              <w:drawing>
                <wp:anchor distT="0" distB="0" distL="114300" distR="114300" simplePos="0" relativeHeight="251688960" behindDoc="0" locked="0" layoutInCell="1" allowOverlap="1">
                  <wp:simplePos x="0" y="0"/>
                  <wp:positionH relativeFrom="column">
                    <wp:posOffset>92710</wp:posOffset>
                  </wp:positionH>
                  <wp:positionV relativeFrom="paragraph">
                    <wp:posOffset>356235</wp:posOffset>
                  </wp:positionV>
                  <wp:extent cx="2217420" cy="2096770"/>
                  <wp:effectExtent l="0" t="0" r="11430" b="17780"/>
                  <wp:wrapNone/>
                  <wp:docPr id="40" name="图片 1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descr="11-1"/>
                          <pic:cNvPicPr>
                            <a:picLocks noChangeAspect="1"/>
                          </pic:cNvPicPr>
                        </pic:nvPicPr>
                        <pic:blipFill>
                          <a:blip r:embed="rId24"/>
                          <a:srcRect l="15448" t="8728" r="19440" b="-1831"/>
                          <a:stretch>
                            <a:fillRect/>
                          </a:stretch>
                        </pic:blipFill>
                        <pic:spPr>
                          <a:xfrm>
                            <a:off x="0" y="0"/>
                            <a:ext cx="2217420" cy="2096770"/>
                          </a:xfrm>
                          <a:prstGeom prst="rect">
                            <a:avLst/>
                          </a:prstGeom>
                          <a:noFill/>
                          <a:ln>
                            <a:noFill/>
                          </a:ln>
                        </pic:spPr>
                      </pic:pic>
                    </a:graphicData>
                  </a:graphic>
                </wp:anchor>
              </w:drawing>
            </w:r>
            <w:r>
              <w:rPr>
                <w:rFonts w:hint="eastAsia"/>
                <w:sz w:val="21"/>
                <w:szCs w:val="21"/>
                <w:lang w:eastAsia="zh-CN"/>
              </w:rPr>
              <w:t>图</w:t>
            </w:r>
            <w:r>
              <w:rPr>
                <w:rFonts w:hint="eastAsia"/>
                <w:sz w:val="21"/>
                <w:szCs w:val="21"/>
                <w:lang w:val="en-US" w:eastAsia="zh-CN"/>
              </w:rPr>
              <w:t>1.</w:t>
            </w:r>
            <w:r>
              <w:rPr>
                <w:rFonts w:hint="eastAsia"/>
                <w:sz w:val="21"/>
                <w:szCs w:val="21"/>
              </w:rPr>
              <w:t>炉子外观</w:t>
            </w:r>
          </w:p>
          <w:p w14:paraId="5079E60A">
            <w:pPr>
              <w:pStyle w:val="269"/>
              <w:tabs>
                <w:tab w:val="center" w:pos="4201"/>
                <w:tab w:val="right" w:leader="dot" w:pos="9298"/>
              </w:tabs>
              <w:rPr>
                <w:sz w:val="21"/>
                <w:szCs w:val="21"/>
              </w:rPr>
            </w:pPr>
          </w:p>
          <w:p w14:paraId="576A1BE1">
            <w:pPr>
              <w:pStyle w:val="269"/>
              <w:tabs>
                <w:tab w:val="center" w:pos="4201"/>
                <w:tab w:val="right" w:leader="dot" w:pos="9298"/>
              </w:tabs>
              <w:rPr>
                <w:sz w:val="21"/>
                <w:szCs w:val="21"/>
              </w:rPr>
            </w:pPr>
          </w:p>
          <w:p w14:paraId="4A5E762D">
            <w:pPr>
              <w:pStyle w:val="269"/>
              <w:tabs>
                <w:tab w:val="center" w:pos="4201"/>
                <w:tab w:val="right" w:leader="dot" w:pos="9298"/>
              </w:tabs>
              <w:rPr>
                <w:sz w:val="21"/>
                <w:szCs w:val="21"/>
              </w:rPr>
            </w:pPr>
          </w:p>
          <w:p w14:paraId="62749B5A">
            <w:pPr>
              <w:pStyle w:val="269"/>
              <w:tabs>
                <w:tab w:val="center" w:pos="4201"/>
                <w:tab w:val="right" w:leader="dot" w:pos="9298"/>
              </w:tabs>
              <w:rPr>
                <w:sz w:val="21"/>
                <w:szCs w:val="21"/>
              </w:rPr>
            </w:pPr>
          </w:p>
          <w:p w14:paraId="4BC6F1B1">
            <w:pPr>
              <w:pStyle w:val="269"/>
              <w:tabs>
                <w:tab w:val="center" w:pos="4201"/>
                <w:tab w:val="right" w:leader="dot" w:pos="9298"/>
              </w:tabs>
              <w:rPr>
                <w:sz w:val="21"/>
                <w:szCs w:val="21"/>
              </w:rPr>
            </w:pPr>
          </w:p>
          <w:p w14:paraId="2867B294">
            <w:pPr>
              <w:pStyle w:val="269"/>
              <w:tabs>
                <w:tab w:val="center" w:pos="4201"/>
                <w:tab w:val="right" w:leader="dot" w:pos="9298"/>
              </w:tabs>
              <w:rPr>
                <w:sz w:val="21"/>
                <w:szCs w:val="21"/>
              </w:rPr>
            </w:pPr>
          </w:p>
          <w:p w14:paraId="0A3D5512">
            <w:pPr>
              <w:rPr>
                <w:sz w:val="21"/>
                <w:szCs w:val="21"/>
              </w:rPr>
            </w:pPr>
          </w:p>
          <w:p w14:paraId="7E865E0A">
            <w:pPr>
              <w:pStyle w:val="2"/>
              <w:rPr>
                <w:sz w:val="21"/>
                <w:szCs w:val="21"/>
              </w:rPr>
            </w:pPr>
          </w:p>
          <w:p w14:paraId="7A7EDDD1">
            <w:pPr>
              <w:rPr>
                <w:sz w:val="21"/>
                <w:szCs w:val="21"/>
              </w:rPr>
            </w:pPr>
          </w:p>
          <w:p w14:paraId="41182D04">
            <w:pPr>
              <w:pStyle w:val="2"/>
              <w:rPr>
                <w:sz w:val="21"/>
                <w:szCs w:val="21"/>
              </w:rPr>
            </w:pPr>
          </w:p>
          <w:p w14:paraId="24478FE9">
            <w:pPr>
              <w:pStyle w:val="537"/>
              <w:numPr>
                <w:ilvl w:val="0"/>
                <w:numId w:val="0"/>
              </w:numPr>
              <w:spacing w:before="156" w:after="156"/>
              <w:jc w:val="both"/>
              <w:rPr>
                <w:sz w:val="21"/>
                <w:szCs w:val="21"/>
              </w:rPr>
            </w:pPr>
            <w:r>
              <w:rPr>
                <w:sz w:val="21"/>
                <w:szCs w:val="21"/>
              </w:rPr>
              <w:drawing>
                <wp:anchor distT="0" distB="0" distL="114300" distR="114300" simplePos="0" relativeHeight="251692032" behindDoc="1" locked="0" layoutInCell="1" allowOverlap="1">
                  <wp:simplePos x="0" y="0"/>
                  <wp:positionH relativeFrom="page">
                    <wp:posOffset>1102360</wp:posOffset>
                  </wp:positionH>
                  <wp:positionV relativeFrom="page">
                    <wp:posOffset>7110730</wp:posOffset>
                  </wp:positionV>
                  <wp:extent cx="1986280" cy="2032635"/>
                  <wp:effectExtent l="0" t="0" r="13970" b="5715"/>
                  <wp:wrapThrough wrapText="bothSides">
                    <wp:wrapPolygon>
                      <wp:start x="0" y="0"/>
                      <wp:lineTo x="0" y="21458"/>
                      <wp:lineTo x="21338" y="21458"/>
                      <wp:lineTo x="21338" y="0"/>
                      <wp:lineTo x="0" y="0"/>
                    </wp:wrapPolygon>
                  </wp:wrapThrough>
                  <wp:docPr id="41" name="图片 41" descr="L_X0%T4N6(JQHV844GB~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L_X0%T4N6(JQHV844GB~4}P"/>
                          <pic:cNvPicPr>
                            <a:picLocks noChangeAspect="1"/>
                          </pic:cNvPicPr>
                        </pic:nvPicPr>
                        <pic:blipFill>
                          <a:blip r:embed="rId25"/>
                          <a:srcRect l="5365" t="2739" r="6024"/>
                          <a:stretch>
                            <a:fillRect/>
                          </a:stretch>
                        </pic:blipFill>
                        <pic:spPr>
                          <a:xfrm>
                            <a:off x="0" y="0"/>
                            <a:ext cx="1986280" cy="2032635"/>
                          </a:xfrm>
                          <a:prstGeom prst="rect">
                            <a:avLst/>
                          </a:prstGeom>
                          <a:noFill/>
                          <a:ln>
                            <a:noFill/>
                          </a:ln>
                        </pic:spPr>
                      </pic:pic>
                    </a:graphicData>
                  </a:graphic>
                </wp:anchor>
              </w:drawing>
            </w:r>
            <w:r>
              <w:rPr>
                <w:rFonts w:hint="eastAsia"/>
                <w:sz w:val="21"/>
                <w:szCs w:val="21"/>
                <w:lang w:eastAsia="zh-CN"/>
              </w:rPr>
              <w:t>图</w:t>
            </w:r>
            <w:r>
              <w:rPr>
                <w:rFonts w:hint="eastAsia"/>
                <w:sz w:val="21"/>
                <w:szCs w:val="21"/>
                <w:lang w:val="en-US" w:eastAsia="zh-CN"/>
              </w:rPr>
              <w:t>2.</w:t>
            </w:r>
            <w:r>
              <w:rPr>
                <w:rFonts w:hint="eastAsia"/>
                <w:sz w:val="21"/>
                <w:szCs w:val="21"/>
              </w:rPr>
              <w:t>炉子内部结构</w:t>
            </w:r>
          </w:p>
          <w:p w14:paraId="7FDCB16F">
            <w:pPr>
              <w:pStyle w:val="269"/>
              <w:tabs>
                <w:tab w:val="center" w:pos="4201"/>
                <w:tab w:val="right" w:leader="dot" w:pos="9298"/>
              </w:tabs>
              <w:rPr>
                <w:sz w:val="21"/>
                <w:szCs w:val="21"/>
              </w:rPr>
            </w:pPr>
          </w:p>
          <w:p w14:paraId="13ABEBA4">
            <w:pPr>
              <w:pStyle w:val="269"/>
              <w:tabs>
                <w:tab w:val="center" w:pos="4201"/>
                <w:tab w:val="right" w:leader="dot" w:pos="9298"/>
              </w:tabs>
              <w:rPr>
                <w:sz w:val="21"/>
                <w:szCs w:val="21"/>
              </w:rPr>
            </w:pPr>
          </w:p>
          <w:p w14:paraId="3DF848B7">
            <w:pPr>
              <w:pStyle w:val="269"/>
              <w:tabs>
                <w:tab w:val="center" w:pos="4201"/>
                <w:tab w:val="right" w:leader="dot" w:pos="9298"/>
              </w:tabs>
              <w:rPr>
                <w:sz w:val="21"/>
                <w:szCs w:val="21"/>
              </w:rPr>
            </w:pPr>
          </w:p>
          <w:p w14:paraId="064632E2">
            <w:pPr>
              <w:pStyle w:val="269"/>
              <w:tabs>
                <w:tab w:val="center" w:pos="4201"/>
                <w:tab w:val="right" w:leader="dot" w:pos="9298"/>
              </w:tabs>
              <w:rPr>
                <w:sz w:val="21"/>
                <w:szCs w:val="21"/>
              </w:rPr>
            </w:pPr>
          </w:p>
          <w:p w14:paraId="0DB79881">
            <w:pPr>
              <w:pStyle w:val="269"/>
              <w:tabs>
                <w:tab w:val="center" w:pos="4201"/>
                <w:tab w:val="right" w:leader="dot" w:pos="9298"/>
              </w:tabs>
              <w:rPr>
                <w:sz w:val="21"/>
                <w:szCs w:val="21"/>
              </w:rPr>
            </w:pPr>
          </w:p>
          <w:p w14:paraId="27F4A38B">
            <w:pPr>
              <w:pStyle w:val="269"/>
              <w:tabs>
                <w:tab w:val="center" w:pos="4201"/>
                <w:tab w:val="right" w:leader="dot" w:pos="9298"/>
              </w:tabs>
              <w:rPr>
                <w:sz w:val="21"/>
                <w:szCs w:val="21"/>
              </w:rPr>
            </w:pPr>
          </w:p>
          <w:p w14:paraId="115CD8FA">
            <w:pPr>
              <w:pStyle w:val="269"/>
              <w:tabs>
                <w:tab w:val="center" w:pos="4201"/>
                <w:tab w:val="right" w:leader="dot" w:pos="9298"/>
              </w:tabs>
              <w:rPr>
                <w:sz w:val="21"/>
                <w:szCs w:val="21"/>
              </w:rPr>
            </w:pPr>
          </w:p>
          <w:p w14:paraId="4002F4BD">
            <w:pPr>
              <w:pStyle w:val="269"/>
              <w:tabs>
                <w:tab w:val="center" w:pos="4201"/>
                <w:tab w:val="right" w:leader="dot" w:pos="9298"/>
              </w:tabs>
              <w:rPr>
                <w:sz w:val="21"/>
                <w:szCs w:val="21"/>
              </w:rPr>
            </w:pPr>
          </w:p>
          <w:p w14:paraId="5BF35A6B">
            <w:pPr>
              <w:pStyle w:val="269"/>
              <w:tabs>
                <w:tab w:val="center" w:pos="4201"/>
                <w:tab w:val="right" w:leader="dot" w:pos="9298"/>
              </w:tabs>
              <w:rPr>
                <w:sz w:val="21"/>
                <w:szCs w:val="21"/>
              </w:rPr>
            </w:pPr>
          </w:p>
          <w:p w14:paraId="26631E7B">
            <w:pPr>
              <w:pStyle w:val="269"/>
              <w:tabs>
                <w:tab w:val="center" w:pos="4201"/>
                <w:tab w:val="right" w:leader="dot" w:pos="9298"/>
              </w:tabs>
              <w:rPr>
                <w:sz w:val="21"/>
                <w:szCs w:val="21"/>
              </w:rPr>
            </w:pPr>
          </w:p>
          <w:p w14:paraId="58526324">
            <w:pPr>
              <w:pStyle w:val="537"/>
              <w:numPr>
                <w:ilvl w:val="0"/>
                <w:numId w:val="0"/>
              </w:numPr>
              <w:spacing w:before="156" w:after="156"/>
              <w:jc w:val="both"/>
              <w:rPr>
                <w:sz w:val="21"/>
                <w:szCs w:val="21"/>
              </w:rPr>
            </w:pPr>
            <w:r>
              <w:rPr>
                <w:sz w:val="21"/>
                <w:szCs w:val="21"/>
              </w:rPr>
              <w:drawing>
                <wp:anchor distT="0" distB="0" distL="114300" distR="114300" simplePos="0" relativeHeight="251693056" behindDoc="0" locked="0" layoutInCell="1" allowOverlap="1">
                  <wp:simplePos x="0" y="0"/>
                  <wp:positionH relativeFrom="page">
                    <wp:posOffset>2498725</wp:posOffset>
                  </wp:positionH>
                  <wp:positionV relativeFrom="page">
                    <wp:posOffset>370840</wp:posOffset>
                  </wp:positionV>
                  <wp:extent cx="1193800" cy="1074420"/>
                  <wp:effectExtent l="0" t="0" r="6350" b="11430"/>
                  <wp:wrapNone/>
                  <wp:docPr id="42" name="图片 11" descr="79QRKLG36O3~~VSJNY8N~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1" descr="79QRKLG36O3~~VSJNY8N~8B"/>
                          <pic:cNvPicPr>
                            <a:picLocks noChangeAspect="1"/>
                          </pic:cNvPicPr>
                        </pic:nvPicPr>
                        <pic:blipFill>
                          <a:blip r:embed="rId26"/>
                          <a:srcRect l="9160" r="9109" b="2188"/>
                          <a:stretch>
                            <a:fillRect/>
                          </a:stretch>
                        </pic:blipFill>
                        <pic:spPr>
                          <a:xfrm>
                            <a:off x="0" y="0"/>
                            <a:ext cx="1193800" cy="1074420"/>
                          </a:xfrm>
                          <a:prstGeom prst="rect">
                            <a:avLst/>
                          </a:prstGeom>
                          <a:noFill/>
                          <a:ln>
                            <a:noFill/>
                          </a:ln>
                        </pic:spPr>
                      </pic:pic>
                    </a:graphicData>
                  </a:graphic>
                </wp:anchor>
              </w:drawing>
            </w:r>
            <w:r>
              <w:rPr>
                <w:sz w:val="21"/>
                <w:szCs w:val="21"/>
              </w:rPr>
              <w:drawing>
                <wp:anchor distT="0" distB="0" distL="114300" distR="114300" simplePos="0" relativeHeight="251689984" behindDoc="0" locked="0" layoutInCell="1" allowOverlap="1">
                  <wp:simplePos x="0" y="0"/>
                  <wp:positionH relativeFrom="page">
                    <wp:posOffset>353695</wp:posOffset>
                  </wp:positionH>
                  <wp:positionV relativeFrom="page">
                    <wp:posOffset>391795</wp:posOffset>
                  </wp:positionV>
                  <wp:extent cx="1203960" cy="1048385"/>
                  <wp:effectExtent l="0" t="0" r="15240" b="18415"/>
                  <wp:wrapNone/>
                  <wp:docPr id="43" name="图片 29" descr="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9" descr="xz"/>
                          <pic:cNvPicPr>
                            <a:picLocks noChangeAspect="1"/>
                          </pic:cNvPicPr>
                        </pic:nvPicPr>
                        <pic:blipFill>
                          <a:blip r:embed="rId27"/>
                          <a:stretch>
                            <a:fillRect/>
                          </a:stretch>
                        </pic:blipFill>
                        <pic:spPr>
                          <a:xfrm>
                            <a:off x="0" y="0"/>
                            <a:ext cx="1203960" cy="1048385"/>
                          </a:xfrm>
                          <a:prstGeom prst="rect">
                            <a:avLst/>
                          </a:prstGeom>
                          <a:noFill/>
                          <a:ln>
                            <a:noFill/>
                          </a:ln>
                        </pic:spPr>
                      </pic:pic>
                    </a:graphicData>
                  </a:graphic>
                </wp:anchor>
              </w:drawing>
            </w:r>
            <w:r>
              <w:rPr>
                <w:rFonts w:hint="eastAsia"/>
                <w:sz w:val="21"/>
                <w:szCs w:val="21"/>
                <w:lang w:eastAsia="zh-CN"/>
              </w:rPr>
              <w:t>图</w:t>
            </w:r>
            <w:r>
              <w:rPr>
                <w:rFonts w:hint="eastAsia"/>
                <w:sz w:val="21"/>
                <w:szCs w:val="21"/>
                <w:lang w:val="en-US" w:eastAsia="zh-CN"/>
              </w:rPr>
              <w:t>3.</w:t>
            </w:r>
            <w:r>
              <w:rPr>
                <w:rFonts w:hint="eastAsia"/>
                <w:sz w:val="21"/>
                <w:szCs w:val="21"/>
              </w:rPr>
              <w:t>炉芯结构</w:t>
            </w:r>
          </w:p>
          <w:p w14:paraId="3B5305C6">
            <w:pPr>
              <w:pStyle w:val="269"/>
              <w:rPr>
                <w:rFonts w:hint="eastAsia"/>
                <w:sz w:val="21"/>
                <w:szCs w:val="21"/>
              </w:rPr>
            </w:pPr>
          </w:p>
          <w:p w14:paraId="5FCEB019">
            <w:pPr>
              <w:rPr>
                <w:rFonts w:hint="eastAsia"/>
                <w:sz w:val="21"/>
                <w:szCs w:val="21"/>
              </w:rPr>
            </w:pPr>
          </w:p>
          <w:p w14:paraId="7CFFB079">
            <w:pPr>
              <w:pStyle w:val="2"/>
              <w:rPr>
                <w:rFonts w:hint="eastAsia"/>
                <w:sz w:val="21"/>
                <w:szCs w:val="21"/>
              </w:rPr>
            </w:pPr>
          </w:p>
          <w:p w14:paraId="0E8B5E63">
            <w:pPr>
              <w:rPr>
                <w:rFonts w:hint="eastAsia"/>
                <w:sz w:val="21"/>
                <w:szCs w:val="21"/>
              </w:rPr>
            </w:pPr>
          </w:p>
          <w:p w14:paraId="3B109A2D">
            <w:pPr>
              <w:pStyle w:val="2"/>
            </w:pPr>
          </w:p>
          <w:p w14:paraId="44E87942">
            <w:pPr>
              <w:pStyle w:val="434"/>
              <w:spacing w:beforeLines="0" w:afterLines="0" w:line="560" w:lineRule="exact"/>
              <w:rPr>
                <w:rFonts w:ascii="仿宋_GB2312" w:hAnsi="仿宋_GB2312" w:eastAsia="仿宋_GB2312" w:cs="仿宋_GB2312"/>
                <w:sz w:val="21"/>
                <w:szCs w:val="21"/>
              </w:rPr>
            </w:pPr>
            <w:bookmarkStart w:id="757" w:name="_Toc2894"/>
            <w:r>
              <w:rPr>
                <w:rFonts w:hint="eastAsia" w:ascii="仿宋_GB2312" w:hAnsi="仿宋_GB2312" w:eastAsia="仿宋_GB2312" w:cs="仿宋_GB2312"/>
                <w:sz w:val="21"/>
                <w:szCs w:val="21"/>
              </w:rPr>
              <w:t>结构</w:t>
            </w:r>
            <w:bookmarkEnd w:id="757"/>
          </w:p>
          <w:p w14:paraId="6927EBFA">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19.1</w:t>
            </w:r>
            <w:r>
              <w:rPr>
                <w:rFonts w:hint="eastAsia" w:ascii="仿宋_GB2312" w:hAnsi="仿宋_GB2312" w:eastAsia="仿宋_GB2312" w:cs="仿宋_GB2312"/>
                <w:sz w:val="21"/>
                <w:szCs w:val="21"/>
              </w:rPr>
              <w:t>炉子台面板有两个可调节大小的灶口，台面四周有抗冲击折边，高度为10mm。</w:t>
            </w:r>
          </w:p>
          <w:p w14:paraId="295AED11">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19.2</w:t>
            </w:r>
            <w:r>
              <w:rPr>
                <w:rFonts w:hint="eastAsia" w:ascii="仿宋_GB2312" w:hAnsi="仿宋_GB2312" w:eastAsia="仿宋_GB2312" w:cs="仿宋_GB2312"/>
                <w:sz w:val="21"/>
                <w:szCs w:val="21"/>
              </w:rPr>
              <w:t>炉子箱体四周，分别装有烤箱门、加柴门、炉灰门、可调节通风口、烟囱口和炉箅子拉杆。</w:t>
            </w:r>
          </w:p>
          <w:p w14:paraId="691F3050">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19.3</w:t>
            </w:r>
            <w:r>
              <w:rPr>
                <w:rFonts w:hint="eastAsia" w:ascii="仿宋_GB2312" w:hAnsi="仿宋_GB2312" w:eastAsia="仿宋_GB2312" w:cs="仿宋_GB2312"/>
                <w:sz w:val="21"/>
                <w:szCs w:val="21"/>
              </w:rPr>
              <w:t>炉子箱体内，装有带隔层的烤箱仓、可活动式烧煤炉芯、固定式烧柴炉芯及可旋转活动的炉箅子和炉灰仓。</w:t>
            </w:r>
          </w:p>
          <w:p w14:paraId="7A45A8B9">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19.4</w:t>
            </w:r>
            <w:r>
              <w:rPr>
                <w:rFonts w:hint="eastAsia" w:ascii="仿宋_GB2312" w:hAnsi="仿宋_GB2312" w:eastAsia="仿宋_GB2312" w:cs="仿宋_GB2312"/>
                <w:sz w:val="21"/>
                <w:szCs w:val="21"/>
              </w:rPr>
              <w:t>炉子箱体下部装有四个可调节高度的炉脚。</w:t>
            </w:r>
          </w:p>
          <w:p w14:paraId="11CE835C">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19.5</w:t>
            </w:r>
            <w:r>
              <w:rPr>
                <w:rFonts w:hint="eastAsia" w:ascii="仿宋_GB2312" w:hAnsi="仿宋_GB2312" w:eastAsia="仿宋_GB2312" w:cs="仿宋_GB2312"/>
                <w:sz w:val="21"/>
                <w:szCs w:val="21"/>
              </w:rPr>
              <w:t>炉子的配件由灶口封盖、烟筒、火钩、火钳、火铲、捅条、封炉盖组成。</w:t>
            </w:r>
          </w:p>
          <w:p w14:paraId="1D4D40FE">
            <w:pPr>
              <w:pStyle w:val="361"/>
              <w:tabs>
                <w:tab w:val="left" w:pos="360"/>
                <w:tab w:val="clear" w:pos="366"/>
              </w:tabs>
              <w:spacing w:before="156" w:after="156"/>
              <w:jc w:val="both"/>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柴煤两用取暖炉成品尺寸            单位： mm</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140"/>
              <w:gridCol w:w="2140"/>
              <w:gridCol w:w="2140"/>
            </w:tblGrid>
            <w:tr w14:paraId="25F4D8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9" w:hRule="atLeast"/>
              </w:trPr>
              <w:tc>
                <w:tcPr>
                  <w:tcW w:w="2140" w:type="dxa"/>
                  <w:tcBorders>
                    <w:bottom w:val="single" w:color="auto" w:sz="12" w:space="0"/>
                    <w:right w:val="single" w:color="auto" w:sz="8" w:space="0"/>
                  </w:tcBorders>
                  <w:vAlign w:val="center"/>
                </w:tcPr>
                <w:p w14:paraId="034888D8">
                  <w:pPr>
                    <w:spacing w:line="0" w:lineRule="atLeast"/>
                    <w:jc w:val="center"/>
                    <w:rPr>
                      <w:rFonts w:ascii="黑体" w:hAnsi="黑体" w:eastAsia="黑体" w:cs="黑体"/>
                      <w:sz w:val="21"/>
                      <w:szCs w:val="21"/>
                    </w:rPr>
                  </w:pPr>
                  <w:r>
                    <w:rPr>
                      <w:rFonts w:hint="eastAsia" w:ascii="黑体" w:hAnsi="黑体" w:eastAsia="黑体" w:cs="黑体"/>
                      <w:sz w:val="21"/>
                      <w:szCs w:val="21"/>
                    </w:rPr>
                    <w:t>部位（件）名称</w:t>
                  </w:r>
                </w:p>
              </w:tc>
              <w:tc>
                <w:tcPr>
                  <w:tcW w:w="2140" w:type="dxa"/>
                  <w:tcBorders>
                    <w:left w:val="single" w:color="auto" w:sz="8" w:space="0"/>
                    <w:bottom w:val="single" w:color="auto" w:sz="12" w:space="0"/>
                    <w:right w:val="single" w:color="auto" w:sz="8" w:space="0"/>
                  </w:tcBorders>
                  <w:vAlign w:val="center"/>
                </w:tcPr>
                <w:p w14:paraId="3E553D3D">
                  <w:pPr>
                    <w:spacing w:line="0" w:lineRule="atLeast"/>
                    <w:jc w:val="center"/>
                    <w:rPr>
                      <w:rFonts w:ascii="黑体" w:hAnsi="黑体" w:eastAsia="黑体" w:cs="黑体"/>
                      <w:sz w:val="21"/>
                      <w:szCs w:val="21"/>
                    </w:rPr>
                  </w:pPr>
                  <w:r>
                    <w:rPr>
                      <w:rFonts w:hint="eastAsia" w:ascii="黑体" w:hAnsi="黑体" w:eastAsia="黑体" w:cs="黑体"/>
                      <w:sz w:val="21"/>
                      <w:szCs w:val="21"/>
                    </w:rPr>
                    <w:t>成品尺寸</w:t>
                  </w:r>
                </w:p>
              </w:tc>
              <w:tc>
                <w:tcPr>
                  <w:tcW w:w="2140" w:type="dxa"/>
                  <w:tcBorders>
                    <w:left w:val="single" w:color="auto" w:sz="8" w:space="0"/>
                    <w:bottom w:val="single" w:color="auto" w:sz="12" w:space="0"/>
                  </w:tcBorders>
                  <w:vAlign w:val="center"/>
                </w:tcPr>
                <w:p w14:paraId="7E5249F6">
                  <w:pPr>
                    <w:spacing w:line="0" w:lineRule="atLeast"/>
                    <w:jc w:val="center"/>
                    <w:rPr>
                      <w:rFonts w:ascii="黑体" w:hAnsi="黑体" w:eastAsia="黑体" w:cs="黑体"/>
                      <w:sz w:val="21"/>
                      <w:szCs w:val="21"/>
                    </w:rPr>
                  </w:pPr>
                  <w:r>
                    <w:rPr>
                      <w:rFonts w:hint="eastAsia" w:ascii="黑体" w:hAnsi="黑体" w:eastAsia="黑体" w:cs="黑体"/>
                      <w:sz w:val="21"/>
                      <w:szCs w:val="21"/>
                    </w:rPr>
                    <w:t>极限偏差</w:t>
                  </w:r>
                </w:p>
              </w:tc>
            </w:tr>
            <w:tr w14:paraId="2357EB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6" w:hRule="atLeast"/>
              </w:trPr>
              <w:tc>
                <w:tcPr>
                  <w:tcW w:w="2140" w:type="dxa"/>
                  <w:tcBorders>
                    <w:bottom w:val="single" w:color="auto" w:sz="8" w:space="0"/>
                    <w:right w:val="single" w:color="auto" w:sz="8" w:space="0"/>
                  </w:tcBorders>
                  <w:vAlign w:val="center"/>
                </w:tcPr>
                <w:p w14:paraId="0D66FC4B">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炉体台面长度</w:t>
                  </w:r>
                </w:p>
              </w:tc>
              <w:tc>
                <w:tcPr>
                  <w:tcW w:w="2140" w:type="dxa"/>
                  <w:tcBorders>
                    <w:left w:val="single" w:color="auto" w:sz="8" w:space="0"/>
                    <w:bottom w:val="single" w:color="auto" w:sz="8" w:space="0"/>
                    <w:right w:val="single" w:color="auto" w:sz="8" w:space="0"/>
                  </w:tcBorders>
                  <w:vAlign w:val="center"/>
                </w:tcPr>
                <w:p w14:paraId="3F5931A1">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650</w:t>
                  </w:r>
                </w:p>
              </w:tc>
              <w:tc>
                <w:tcPr>
                  <w:tcW w:w="2140" w:type="dxa"/>
                  <w:tcBorders>
                    <w:left w:val="single" w:color="auto" w:sz="8" w:space="0"/>
                    <w:bottom w:val="single" w:color="auto" w:sz="8" w:space="0"/>
                  </w:tcBorders>
                  <w:vAlign w:val="center"/>
                </w:tcPr>
                <w:p w14:paraId="355ED4E5">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7AD3C0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trPr>
              <w:tc>
                <w:tcPr>
                  <w:tcW w:w="2140" w:type="dxa"/>
                  <w:tcBorders>
                    <w:top w:val="single" w:color="auto" w:sz="8" w:space="0"/>
                    <w:bottom w:val="single" w:color="auto" w:sz="8" w:space="0"/>
                    <w:right w:val="single" w:color="auto" w:sz="8" w:space="0"/>
                  </w:tcBorders>
                  <w:vAlign w:val="center"/>
                </w:tcPr>
                <w:p w14:paraId="1D25D7D6">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炉体台面宽度</w:t>
                  </w:r>
                </w:p>
              </w:tc>
              <w:tc>
                <w:tcPr>
                  <w:tcW w:w="2140" w:type="dxa"/>
                  <w:tcBorders>
                    <w:top w:val="single" w:color="auto" w:sz="8" w:space="0"/>
                    <w:left w:val="single" w:color="auto" w:sz="8" w:space="0"/>
                    <w:bottom w:val="single" w:color="auto" w:sz="8" w:space="0"/>
                    <w:right w:val="single" w:color="auto" w:sz="8" w:space="0"/>
                  </w:tcBorders>
                  <w:vAlign w:val="center"/>
                </w:tcPr>
                <w:p w14:paraId="647EB79C">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400</w:t>
                  </w:r>
                </w:p>
              </w:tc>
              <w:tc>
                <w:tcPr>
                  <w:tcW w:w="2140" w:type="dxa"/>
                  <w:tcBorders>
                    <w:top w:val="single" w:color="auto" w:sz="8" w:space="0"/>
                    <w:left w:val="single" w:color="auto" w:sz="8" w:space="0"/>
                    <w:bottom w:val="single" w:color="auto" w:sz="8" w:space="0"/>
                  </w:tcBorders>
                  <w:vAlign w:val="center"/>
                </w:tcPr>
                <w:p w14:paraId="29A09FB8">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32A4FFB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trPr>
              <w:tc>
                <w:tcPr>
                  <w:tcW w:w="2140" w:type="dxa"/>
                  <w:tcBorders>
                    <w:top w:val="single" w:color="auto" w:sz="8" w:space="0"/>
                    <w:bottom w:val="single" w:color="auto" w:sz="8" w:space="0"/>
                    <w:right w:val="single" w:color="auto" w:sz="8" w:space="0"/>
                  </w:tcBorders>
                  <w:vAlign w:val="center"/>
                </w:tcPr>
                <w:p w14:paraId="204B8626">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炉体高度</w:t>
                  </w:r>
                </w:p>
              </w:tc>
              <w:tc>
                <w:tcPr>
                  <w:tcW w:w="2140" w:type="dxa"/>
                  <w:tcBorders>
                    <w:top w:val="single" w:color="auto" w:sz="8" w:space="0"/>
                    <w:left w:val="single" w:color="auto" w:sz="8" w:space="0"/>
                    <w:bottom w:val="single" w:color="auto" w:sz="8" w:space="0"/>
                    <w:right w:val="single" w:color="auto" w:sz="8" w:space="0"/>
                  </w:tcBorders>
                  <w:vAlign w:val="center"/>
                </w:tcPr>
                <w:p w14:paraId="05BD9FFC">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610</w:t>
                  </w:r>
                </w:p>
              </w:tc>
              <w:tc>
                <w:tcPr>
                  <w:tcW w:w="2140" w:type="dxa"/>
                  <w:tcBorders>
                    <w:top w:val="single" w:color="auto" w:sz="8" w:space="0"/>
                    <w:left w:val="single" w:color="auto" w:sz="8" w:space="0"/>
                    <w:bottom w:val="single" w:color="auto" w:sz="8" w:space="0"/>
                  </w:tcBorders>
                  <w:vAlign w:val="center"/>
                </w:tcPr>
                <w:p w14:paraId="663CE028">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67D7D09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trPr>
              <w:tc>
                <w:tcPr>
                  <w:tcW w:w="2140" w:type="dxa"/>
                  <w:tcBorders>
                    <w:top w:val="single" w:color="auto" w:sz="8" w:space="0"/>
                    <w:bottom w:val="single" w:color="auto" w:sz="8" w:space="0"/>
                    <w:right w:val="single" w:color="auto" w:sz="8" w:space="0"/>
                  </w:tcBorders>
                  <w:vAlign w:val="center"/>
                </w:tcPr>
                <w:p w14:paraId="791CC626">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炉脚高度</w:t>
                  </w:r>
                </w:p>
              </w:tc>
              <w:tc>
                <w:tcPr>
                  <w:tcW w:w="2140" w:type="dxa"/>
                  <w:tcBorders>
                    <w:top w:val="single" w:color="auto" w:sz="8" w:space="0"/>
                    <w:left w:val="single" w:color="auto" w:sz="8" w:space="0"/>
                    <w:bottom w:val="single" w:color="auto" w:sz="8" w:space="0"/>
                    <w:right w:val="single" w:color="auto" w:sz="8" w:space="0"/>
                  </w:tcBorders>
                  <w:vAlign w:val="center"/>
                </w:tcPr>
                <w:p w14:paraId="6E53C3AF">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40</w:t>
                  </w:r>
                </w:p>
              </w:tc>
              <w:tc>
                <w:tcPr>
                  <w:tcW w:w="2140" w:type="dxa"/>
                  <w:tcBorders>
                    <w:top w:val="single" w:color="auto" w:sz="8" w:space="0"/>
                    <w:left w:val="single" w:color="auto" w:sz="8" w:space="0"/>
                    <w:bottom w:val="single" w:color="auto" w:sz="8" w:space="0"/>
                  </w:tcBorders>
                  <w:vAlign w:val="center"/>
                </w:tcPr>
                <w:p w14:paraId="6794D3FE">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1543D5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trPr>
              <w:tc>
                <w:tcPr>
                  <w:tcW w:w="2140" w:type="dxa"/>
                  <w:tcBorders>
                    <w:top w:val="single" w:color="auto" w:sz="8" w:space="0"/>
                    <w:bottom w:val="single" w:color="auto" w:sz="8" w:space="0"/>
                    <w:right w:val="single" w:color="auto" w:sz="8" w:space="0"/>
                  </w:tcBorders>
                  <w:vAlign w:val="center"/>
                </w:tcPr>
                <w:p w14:paraId="0B70305E">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烧柴炉膛高度</w:t>
                  </w:r>
                </w:p>
              </w:tc>
              <w:tc>
                <w:tcPr>
                  <w:tcW w:w="2140" w:type="dxa"/>
                  <w:tcBorders>
                    <w:top w:val="single" w:color="auto" w:sz="8" w:space="0"/>
                    <w:left w:val="single" w:color="auto" w:sz="8" w:space="0"/>
                    <w:bottom w:val="single" w:color="auto" w:sz="8" w:space="0"/>
                    <w:right w:val="single" w:color="auto" w:sz="8" w:space="0"/>
                  </w:tcBorders>
                  <w:vAlign w:val="center"/>
                </w:tcPr>
                <w:p w14:paraId="7B738C0C">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285</w:t>
                  </w:r>
                </w:p>
              </w:tc>
              <w:tc>
                <w:tcPr>
                  <w:tcW w:w="2140" w:type="dxa"/>
                  <w:tcBorders>
                    <w:top w:val="single" w:color="auto" w:sz="8" w:space="0"/>
                    <w:left w:val="single" w:color="auto" w:sz="8" w:space="0"/>
                    <w:bottom w:val="single" w:color="auto" w:sz="8" w:space="0"/>
                  </w:tcBorders>
                  <w:vAlign w:val="center"/>
                </w:tcPr>
                <w:p w14:paraId="2BBA5039">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45524D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trPr>
              <w:tc>
                <w:tcPr>
                  <w:tcW w:w="2140" w:type="dxa"/>
                  <w:tcBorders>
                    <w:top w:val="single" w:color="auto" w:sz="8" w:space="0"/>
                    <w:bottom w:val="single" w:color="auto" w:sz="8" w:space="0"/>
                    <w:right w:val="single" w:color="auto" w:sz="8" w:space="0"/>
                  </w:tcBorders>
                  <w:vAlign w:val="center"/>
                </w:tcPr>
                <w:p w14:paraId="56B855EB">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烧柴炉膛直径</w:t>
                  </w:r>
                </w:p>
              </w:tc>
              <w:tc>
                <w:tcPr>
                  <w:tcW w:w="2140" w:type="dxa"/>
                  <w:tcBorders>
                    <w:top w:val="single" w:color="auto" w:sz="8" w:space="0"/>
                    <w:left w:val="single" w:color="auto" w:sz="8" w:space="0"/>
                    <w:bottom w:val="single" w:color="auto" w:sz="8" w:space="0"/>
                    <w:right w:val="single" w:color="auto" w:sz="8" w:space="0"/>
                  </w:tcBorders>
                  <w:vAlign w:val="center"/>
                </w:tcPr>
                <w:p w14:paraId="1C5678BB">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275</w:t>
                  </w:r>
                </w:p>
              </w:tc>
              <w:tc>
                <w:tcPr>
                  <w:tcW w:w="2140" w:type="dxa"/>
                  <w:tcBorders>
                    <w:top w:val="single" w:color="auto" w:sz="8" w:space="0"/>
                    <w:left w:val="single" w:color="auto" w:sz="8" w:space="0"/>
                    <w:bottom w:val="single" w:color="auto" w:sz="8" w:space="0"/>
                  </w:tcBorders>
                  <w:vAlign w:val="center"/>
                </w:tcPr>
                <w:p w14:paraId="7F32B280">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142198D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0" w:hRule="atLeast"/>
              </w:trPr>
              <w:tc>
                <w:tcPr>
                  <w:tcW w:w="2140" w:type="dxa"/>
                  <w:tcBorders>
                    <w:top w:val="single" w:color="auto" w:sz="8" w:space="0"/>
                    <w:bottom w:val="single" w:color="auto" w:sz="8" w:space="0"/>
                    <w:right w:val="single" w:color="auto" w:sz="8" w:space="0"/>
                  </w:tcBorders>
                  <w:vAlign w:val="center"/>
                </w:tcPr>
                <w:p w14:paraId="7047ABAA">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烧煤耐火炉芯高度</w:t>
                  </w:r>
                </w:p>
              </w:tc>
              <w:tc>
                <w:tcPr>
                  <w:tcW w:w="2140" w:type="dxa"/>
                  <w:tcBorders>
                    <w:top w:val="single" w:color="auto" w:sz="8" w:space="0"/>
                    <w:left w:val="single" w:color="auto" w:sz="8" w:space="0"/>
                    <w:bottom w:val="single" w:color="auto" w:sz="8" w:space="0"/>
                    <w:right w:val="single" w:color="auto" w:sz="8" w:space="0"/>
                  </w:tcBorders>
                  <w:vAlign w:val="center"/>
                </w:tcPr>
                <w:p w14:paraId="627B500F">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260</w:t>
                  </w:r>
                </w:p>
              </w:tc>
              <w:tc>
                <w:tcPr>
                  <w:tcW w:w="2140" w:type="dxa"/>
                  <w:tcBorders>
                    <w:top w:val="single" w:color="auto" w:sz="8" w:space="0"/>
                    <w:left w:val="single" w:color="auto" w:sz="8" w:space="0"/>
                    <w:bottom w:val="single" w:color="auto" w:sz="8" w:space="0"/>
                  </w:tcBorders>
                  <w:vAlign w:val="center"/>
                </w:tcPr>
                <w:p w14:paraId="4253800F">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310DD4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5" w:hRule="atLeast"/>
              </w:trPr>
              <w:tc>
                <w:tcPr>
                  <w:tcW w:w="2140" w:type="dxa"/>
                  <w:tcBorders>
                    <w:top w:val="single" w:color="auto" w:sz="8" w:space="0"/>
                    <w:bottom w:val="single" w:color="auto" w:sz="8" w:space="0"/>
                    <w:right w:val="single" w:color="auto" w:sz="8" w:space="0"/>
                  </w:tcBorders>
                  <w:vAlign w:val="center"/>
                </w:tcPr>
                <w:p w14:paraId="6ADDCC60">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烧煤耐火炉芯上口外径</w:t>
                  </w:r>
                </w:p>
              </w:tc>
              <w:tc>
                <w:tcPr>
                  <w:tcW w:w="2140" w:type="dxa"/>
                  <w:tcBorders>
                    <w:top w:val="single" w:color="auto" w:sz="8" w:space="0"/>
                    <w:left w:val="single" w:color="auto" w:sz="8" w:space="0"/>
                    <w:bottom w:val="single" w:color="auto" w:sz="8" w:space="0"/>
                    <w:right w:val="single" w:color="auto" w:sz="8" w:space="0"/>
                  </w:tcBorders>
                  <w:vAlign w:val="center"/>
                </w:tcPr>
                <w:p w14:paraId="2EA74B7C">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160</w:t>
                  </w:r>
                </w:p>
              </w:tc>
              <w:tc>
                <w:tcPr>
                  <w:tcW w:w="2140" w:type="dxa"/>
                  <w:tcBorders>
                    <w:top w:val="single" w:color="auto" w:sz="8" w:space="0"/>
                    <w:left w:val="single" w:color="auto" w:sz="8" w:space="0"/>
                    <w:bottom w:val="single" w:color="auto" w:sz="8" w:space="0"/>
                  </w:tcBorders>
                  <w:vAlign w:val="center"/>
                </w:tcPr>
                <w:p w14:paraId="6082D6B7">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427625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5" w:hRule="atLeast"/>
              </w:trPr>
              <w:tc>
                <w:tcPr>
                  <w:tcW w:w="2140" w:type="dxa"/>
                  <w:tcBorders>
                    <w:top w:val="single" w:color="auto" w:sz="8" w:space="0"/>
                    <w:bottom w:val="single" w:color="auto" w:sz="8" w:space="0"/>
                    <w:right w:val="single" w:color="auto" w:sz="8" w:space="0"/>
                  </w:tcBorders>
                  <w:vAlign w:val="center"/>
                </w:tcPr>
                <w:p w14:paraId="12DCD3E0">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烧煤耐火炉芯上口内径</w:t>
                  </w:r>
                </w:p>
              </w:tc>
              <w:tc>
                <w:tcPr>
                  <w:tcW w:w="2140" w:type="dxa"/>
                  <w:tcBorders>
                    <w:top w:val="single" w:color="auto" w:sz="8" w:space="0"/>
                    <w:left w:val="single" w:color="auto" w:sz="8" w:space="0"/>
                    <w:bottom w:val="single" w:color="auto" w:sz="8" w:space="0"/>
                    <w:right w:val="single" w:color="auto" w:sz="8" w:space="0"/>
                  </w:tcBorders>
                  <w:vAlign w:val="center"/>
                </w:tcPr>
                <w:p w14:paraId="7C5BCA4E">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115</w:t>
                  </w:r>
                </w:p>
              </w:tc>
              <w:tc>
                <w:tcPr>
                  <w:tcW w:w="2140" w:type="dxa"/>
                  <w:tcBorders>
                    <w:top w:val="single" w:color="auto" w:sz="8" w:space="0"/>
                    <w:left w:val="single" w:color="auto" w:sz="8" w:space="0"/>
                    <w:bottom w:val="single" w:color="auto" w:sz="8" w:space="0"/>
                  </w:tcBorders>
                  <w:vAlign w:val="center"/>
                </w:tcPr>
                <w:p w14:paraId="3F6573A3">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6EA3DF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5" w:hRule="atLeast"/>
              </w:trPr>
              <w:tc>
                <w:tcPr>
                  <w:tcW w:w="2140" w:type="dxa"/>
                  <w:tcBorders>
                    <w:top w:val="single" w:color="auto" w:sz="8" w:space="0"/>
                    <w:bottom w:val="single" w:color="auto" w:sz="8" w:space="0"/>
                    <w:right w:val="single" w:color="auto" w:sz="8" w:space="0"/>
                  </w:tcBorders>
                  <w:vAlign w:val="center"/>
                </w:tcPr>
                <w:p w14:paraId="522461F5">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烧煤耐火炉芯下口外径</w:t>
                  </w:r>
                </w:p>
              </w:tc>
              <w:tc>
                <w:tcPr>
                  <w:tcW w:w="2140" w:type="dxa"/>
                  <w:tcBorders>
                    <w:top w:val="single" w:color="auto" w:sz="8" w:space="0"/>
                    <w:left w:val="single" w:color="auto" w:sz="8" w:space="0"/>
                    <w:bottom w:val="single" w:color="auto" w:sz="8" w:space="0"/>
                    <w:right w:val="single" w:color="auto" w:sz="8" w:space="0"/>
                  </w:tcBorders>
                  <w:vAlign w:val="center"/>
                </w:tcPr>
                <w:p w14:paraId="1E14C810">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260</w:t>
                  </w:r>
                </w:p>
              </w:tc>
              <w:tc>
                <w:tcPr>
                  <w:tcW w:w="2140" w:type="dxa"/>
                  <w:tcBorders>
                    <w:top w:val="single" w:color="auto" w:sz="8" w:space="0"/>
                    <w:left w:val="single" w:color="auto" w:sz="8" w:space="0"/>
                    <w:bottom w:val="single" w:color="auto" w:sz="8" w:space="0"/>
                  </w:tcBorders>
                  <w:vAlign w:val="center"/>
                </w:tcPr>
                <w:p w14:paraId="36CDDAFF">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r w14:paraId="41A71A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 w:hRule="atLeast"/>
              </w:trPr>
              <w:tc>
                <w:tcPr>
                  <w:tcW w:w="2140" w:type="dxa"/>
                  <w:tcBorders>
                    <w:top w:val="single" w:color="auto" w:sz="8" w:space="0"/>
                    <w:bottom w:val="single" w:color="auto" w:sz="12" w:space="0"/>
                    <w:right w:val="single" w:color="auto" w:sz="8" w:space="0"/>
                  </w:tcBorders>
                  <w:vAlign w:val="center"/>
                </w:tcPr>
                <w:p w14:paraId="35DCE0DD">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烧煤耐火炉芯下口内径</w:t>
                  </w:r>
                </w:p>
              </w:tc>
              <w:tc>
                <w:tcPr>
                  <w:tcW w:w="2140" w:type="dxa"/>
                  <w:tcBorders>
                    <w:top w:val="single" w:color="auto" w:sz="8" w:space="0"/>
                    <w:left w:val="single" w:color="auto" w:sz="8" w:space="0"/>
                    <w:bottom w:val="single" w:color="auto" w:sz="12" w:space="0"/>
                    <w:right w:val="single" w:color="auto" w:sz="8" w:space="0"/>
                  </w:tcBorders>
                  <w:vAlign w:val="center"/>
                </w:tcPr>
                <w:p w14:paraId="4D7EBEB6">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210</w:t>
                  </w:r>
                </w:p>
              </w:tc>
              <w:tc>
                <w:tcPr>
                  <w:tcW w:w="2140" w:type="dxa"/>
                  <w:tcBorders>
                    <w:top w:val="single" w:color="auto" w:sz="8" w:space="0"/>
                    <w:left w:val="single" w:color="auto" w:sz="8" w:space="0"/>
                    <w:bottom w:val="single" w:color="auto" w:sz="12" w:space="0"/>
                  </w:tcBorders>
                  <w:vAlign w:val="center"/>
                </w:tcPr>
                <w:p w14:paraId="14EFE39A">
                  <w:pPr>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±5</w:t>
                  </w:r>
                </w:p>
              </w:tc>
            </w:tr>
          </w:tbl>
          <w:p w14:paraId="34CB4FC1">
            <w:pPr>
              <w:pStyle w:val="434"/>
              <w:spacing w:beforeLines="0" w:afterLines="0" w:line="560" w:lineRule="exact"/>
              <w:rPr>
                <w:rFonts w:ascii="仿宋_GB2312" w:hAnsi="仿宋_GB2312" w:eastAsia="仿宋_GB2312" w:cs="仿宋_GB2312"/>
                <w:sz w:val="21"/>
                <w:szCs w:val="21"/>
              </w:rPr>
            </w:pPr>
            <w:bookmarkStart w:id="758" w:name="_Toc318631133"/>
            <w:bookmarkStart w:id="759" w:name="_Toc5381"/>
            <w:r>
              <w:rPr>
                <w:rFonts w:hint="eastAsia" w:ascii="仿宋_GB2312" w:hAnsi="仿宋_GB2312" w:eastAsia="仿宋_GB2312" w:cs="仿宋_GB2312"/>
                <w:sz w:val="21"/>
                <w:szCs w:val="21"/>
              </w:rPr>
              <w:t>材料规格</w:t>
            </w:r>
            <w:bookmarkEnd w:id="758"/>
            <w:bookmarkEnd w:id="759"/>
          </w:p>
          <w:p w14:paraId="3F771FC6">
            <w:pPr>
              <w:pStyle w:val="282"/>
              <w:numPr>
                <w:ilvl w:val="3"/>
                <w:numId w:val="0"/>
              </w:numPr>
              <w:spacing w:beforeLines="0" w:afterLines="0" w:line="560" w:lineRule="exact"/>
              <w:ind w:left="1260" w:leftChars="0"/>
              <w:rPr>
                <w:rFonts w:ascii="仿宋_GB2312" w:hAnsi="仿宋_GB2312" w:eastAsia="仿宋_GB2312" w:cs="仿宋_GB2312"/>
                <w:sz w:val="21"/>
                <w:szCs w:val="21"/>
              </w:rPr>
            </w:pPr>
            <w:bookmarkStart w:id="760" w:name="_Toc318631134"/>
            <w:r>
              <w:rPr>
                <w:rFonts w:hint="eastAsia" w:ascii="仿宋_GB2312" w:hAnsi="仿宋_GB2312" w:eastAsia="仿宋_GB2312" w:cs="仿宋_GB2312"/>
                <w:sz w:val="21"/>
                <w:szCs w:val="21"/>
              </w:rPr>
              <w:t>主辅材料规格、质量要求与用途见表2。</w:t>
            </w:r>
            <w:bookmarkEnd w:id="760"/>
          </w:p>
          <w:p w14:paraId="6ECACADE">
            <w:pPr>
              <w:pStyle w:val="361"/>
              <w:tabs>
                <w:tab w:val="left" w:pos="360"/>
                <w:tab w:val="clear" w:pos="366"/>
              </w:tabs>
              <w:spacing w:before="156" w:after="156"/>
              <w:jc w:val="both"/>
              <w:rPr>
                <w:sz w:val="21"/>
                <w:szCs w:val="21"/>
              </w:rPr>
            </w:pPr>
            <w:r>
              <w:rPr>
                <w:rFonts w:hint="eastAsia" w:ascii="方正小标宋简体" w:hAnsi="方正小标宋简体" w:eastAsia="方正小标宋简体" w:cs="方正小标宋简体"/>
                <w:sz w:val="21"/>
                <w:szCs w:val="21"/>
              </w:rPr>
              <w:t>主辅材料规格、质量要求与用途</w:t>
            </w:r>
          </w:p>
          <w:tbl>
            <w:tblPr>
              <w:tblStyle w:val="58"/>
              <w:tblW w:w="65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722"/>
              <w:gridCol w:w="1838"/>
              <w:gridCol w:w="1697"/>
            </w:tblGrid>
            <w:tr w14:paraId="23E14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983" w:type="dxa"/>
                  <w:gridSpan w:val="2"/>
                  <w:tcBorders>
                    <w:top w:val="single" w:color="auto" w:sz="12" w:space="0"/>
                    <w:left w:val="single" w:color="auto" w:sz="12" w:space="0"/>
                    <w:bottom w:val="single" w:color="auto" w:sz="4" w:space="0"/>
                    <w:right w:val="single" w:color="auto" w:sz="4" w:space="0"/>
                  </w:tcBorders>
                  <w:vAlign w:val="center"/>
                </w:tcPr>
                <w:p w14:paraId="4F43D040">
                  <w:pPr>
                    <w:pStyle w:val="36"/>
                    <w:spacing w:line="0" w:lineRule="atLeast"/>
                    <w:jc w:val="center"/>
                    <w:rPr>
                      <w:rFonts w:ascii="黑体" w:hAnsi="黑体" w:eastAsia="黑体" w:cs="黑体"/>
                      <w:kern w:val="18"/>
                      <w:sz w:val="21"/>
                      <w:szCs w:val="21"/>
                    </w:rPr>
                  </w:pPr>
                  <w:r>
                    <w:rPr>
                      <w:rFonts w:hint="eastAsia" w:ascii="黑体" w:hAnsi="黑体" w:eastAsia="黑体" w:cs="黑体"/>
                      <w:kern w:val="18"/>
                      <w:sz w:val="21"/>
                      <w:szCs w:val="21"/>
                    </w:rPr>
                    <w:t>材     料</w:t>
                  </w:r>
                </w:p>
              </w:tc>
              <w:tc>
                <w:tcPr>
                  <w:tcW w:w="1838" w:type="dxa"/>
                  <w:vMerge w:val="restart"/>
                  <w:tcBorders>
                    <w:top w:val="single" w:color="auto" w:sz="12" w:space="0"/>
                    <w:left w:val="single" w:color="auto" w:sz="4" w:space="0"/>
                  </w:tcBorders>
                  <w:vAlign w:val="center"/>
                </w:tcPr>
                <w:p w14:paraId="789BF1FA">
                  <w:pPr>
                    <w:snapToGrid w:val="0"/>
                    <w:spacing w:line="0" w:lineRule="atLeast"/>
                    <w:jc w:val="center"/>
                    <w:rPr>
                      <w:rFonts w:ascii="黑体" w:hAnsi="黑体" w:eastAsia="黑体" w:cs="黑体"/>
                      <w:kern w:val="18"/>
                      <w:sz w:val="21"/>
                      <w:szCs w:val="21"/>
                    </w:rPr>
                  </w:pPr>
                  <w:r>
                    <w:rPr>
                      <w:rFonts w:hint="eastAsia" w:ascii="黑体" w:hAnsi="黑体" w:eastAsia="黑体" w:cs="黑体"/>
                      <w:kern w:val="18"/>
                      <w:sz w:val="21"/>
                      <w:szCs w:val="21"/>
                    </w:rPr>
                    <w:t>质  量  要  求</w:t>
                  </w:r>
                </w:p>
              </w:tc>
              <w:tc>
                <w:tcPr>
                  <w:tcW w:w="1697" w:type="dxa"/>
                  <w:vMerge w:val="restart"/>
                  <w:tcBorders>
                    <w:top w:val="single" w:color="auto" w:sz="12" w:space="0"/>
                    <w:left w:val="single" w:color="auto" w:sz="4" w:space="0"/>
                  </w:tcBorders>
                  <w:vAlign w:val="center"/>
                </w:tcPr>
                <w:p w14:paraId="416AFE3C">
                  <w:pPr>
                    <w:pStyle w:val="36"/>
                    <w:spacing w:line="0" w:lineRule="atLeast"/>
                    <w:jc w:val="center"/>
                    <w:rPr>
                      <w:rFonts w:ascii="黑体" w:hAnsi="黑体" w:eastAsia="黑体" w:cs="黑体"/>
                      <w:kern w:val="18"/>
                      <w:sz w:val="21"/>
                      <w:szCs w:val="21"/>
                    </w:rPr>
                  </w:pPr>
                  <w:r>
                    <w:rPr>
                      <w:rFonts w:hint="eastAsia" w:ascii="黑体" w:hAnsi="黑体" w:eastAsia="黑体" w:cs="黑体"/>
                      <w:kern w:val="18"/>
                      <w:sz w:val="21"/>
                      <w:szCs w:val="21"/>
                    </w:rPr>
                    <w:t>用途</w:t>
                  </w:r>
                </w:p>
              </w:tc>
            </w:tr>
            <w:tr w14:paraId="287B8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261" w:type="dxa"/>
                  <w:tcBorders>
                    <w:top w:val="single" w:color="auto" w:sz="4" w:space="0"/>
                    <w:left w:val="single" w:color="auto" w:sz="12" w:space="0"/>
                    <w:bottom w:val="single" w:color="auto" w:sz="12" w:space="0"/>
                  </w:tcBorders>
                  <w:vAlign w:val="center"/>
                </w:tcPr>
                <w:p w14:paraId="1717DBA3">
                  <w:pPr>
                    <w:snapToGrid w:val="0"/>
                    <w:spacing w:line="0" w:lineRule="atLeast"/>
                    <w:jc w:val="center"/>
                    <w:rPr>
                      <w:rFonts w:ascii="黑体" w:hAnsi="黑体" w:eastAsia="黑体" w:cs="黑体"/>
                      <w:kern w:val="18"/>
                      <w:sz w:val="21"/>
                      <w:szCs w:val="21"/>
                    </w:rPr>
                  </w:pPr>
                  <w:r>
                    <w:rPr>
                      <w:rFonts w:hint="eastAsia" w:ascii="黑体" w:hAnsi="黑体" w:eastAsia="黑体" w:cs="黑体"/>
                      <w:kern w:val="18"/>
                      <w:sz w:val="21"/>
                      <w:szCs w:val="21"/>
                    </w:rPr>
                    <w:t>名    称</w:t>
                  </w:r>
                </w:p>
              </w:tc>
              <w:tc>
                <w:tcPr>
                  <w:tcW w:w="1722" w:type="dxa"/>
                  <w:tcBorders>
                    <w:top w:val="single" w:color="auto" w:sz="4" w:space="0"/>
                    <w:bottom w:val="single" w:color="auto" w:sz="12" w:space="0"/>
                    <w:right w:val="single" w:color="auto" w:sz="4" w:space="0"/>
                  </w:tcBorders>
                  <w:vAlign w:val="center"/>
                </w:tcPr>
                <w:p w14:paraId="55867313">
                  <w:pPr>
                    <w:snapToGrid w:val="0"/>
                    <w:spacing w:line="0" w:lineRule="atLeast"/>
                    <w:jc w:val="center"/>
                    <w:rPr>
                      <w:rFonts w:ascii="黑体" w:hAnsi="黑体" w:eastAsia="黑体" w:cs="黑体"/>
                      <w:kern w:val="18"/>
                      <w:sz w:val="21"/>
                      <w:szCs w:val="21"/>
                    </w:rPr>
                  </w:pPr>
                  <w:r>
                    <w:rPr>
                      <w:rFonts w:hint="eastAsia" w:ascii="黑体" w:hAnsi="黑体" w:eastAsia="黑体" w:cs="黑体"/>
                      <w:kern w:val="18"/>
                      <w:sz w:val="21"/>
                      <w:szCs w:val="21"/>
                    </w:rPr>
                    <w:t>规    格</w:t>
                  </w:r>
                </w:p>
              </w:tc>
              <w:tc>
                <w:tcPr>
                  <w:tcW w:w="1838" w:type="dxa"/>
                  <w:vMerge w:val="continue"/>
                  <w:tcBorders>
                    <w:left w:val="single" w:color="auto" w:sz="4" w:space="0"/>
                    <w:bottom w:val="single" w:color="auto" w:sz="12" w:space="0"/>
                  </w:tcBorders>
                  <w:vAlign w:val="center"/>
                </w:tcPr>
                <w:p w14:paraId="74379844">
                  <w:pPr>
                    <w:snapToGrid w:val="0"/>
                    <w:spacing w:line="0" w:lineRule="atLeast"/>
                    <w:jc w:val="center"/>
                    <w:rPr>
                      <w:rFonts w:ascii="宋体" w:hAnsi="宋体"/>
                      <w:kern w:val="18"/>
                      <w:sz w:val="21"/>
                      <w:szCs w:val="21"/>
                    </w:rPr>
                  </w:pPr>
                </w:p>
              </w:tc>
              <w:tc>
                <w:tcPr>
                  <w:tcW w:w="1697" w:type="dxa"/>
                  <w:vMerge w:val="continue"/>
                  <w:tcBorders>
                    <w:bottom w:val="single" w:color="auto" w:sz="12" w:space="0"/>
                  </w:tcBorders>
                  <w:vAlign w:val="center"/>
                </w:tcPr>
                <w:p w14:paraId="7228C779">
                  <w:pPr>
                    <w:snapToGrid w:val="0"/>
                    <w:spacing w:line="0" w:lineRule="atLeast"/>
                    <w:jc w:val="center"/>
                    <w:rPr>
                      <w:rFonts w:ascii="宋体" w:hAnsi="宋体"/>
                      <w:kern w:val="18"/>
                      <w:sz w:val="21"/>
                      <w:szCs w:val="21"/>
                    </w:rPr>
                  </w:pPr>
                </w:p>
              </w:tc>
            </w:tr>
            <w:tr w14:paraId="14E94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261" w:type="dxa"/>
                  <w:vMerge w:val="restart"/>
                  <w:tcBorders>
                    <w:top w:val="single" w:color="auto" w:sz="12" w:space="0"/>
                    <w:left w:val="single" w:color="auto" w:sz="12" w:space="0"/>
                    <w:right w:val="single" w:color="auto" w:sz="6" w:space="0"/>
                  </w:tcBorders>
                  <w:vAlign w:val="center"/>
                </w:tcPr>
                <w:p w14:paraId="2CC11CD6">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镀锌钢板</w:t>
                  </w:r>
                </w:p>
              </w:tc>
              <w:tc>
                <w:tcPr>
                  <w:tcW w:w="1722" w:type="dxa"/>
                  <w:vMerge w:val="restart"/>
                  <w:tcBorders>
                    <w:top w:val="single" w:color="auto" w:sz="12" w:space="0"/>
                    <w:left w:val="single" w:color="auto" w:sz="6" w:space="0"/>
                    <w:right w:val="single" w:color="auto" w:sz="6" w:space="0"/>
                  </w:tcBorders>
                  <w:vAlign w:val="center"/>
                </w:tcPr>
                <w:p w14:paraId="34B944BB">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sz w:val="21"/>
                      <w:szCs w:val="21"/>
                    </w:rPr>
                    <w:t>Q195</w:t>
                  </w:r>
                  <w:r>
                    <w:rPr>
                      <w:rFonts w:hint="eastAsia" w:ascii="仿宋_GB2312" w:hAnsi="仿宋_GB2312" w:eastAsia="仿宋_GB2312" w:cs="仿宋_GB2312"/>
                      <w:kern w:val="18"/>
                      <w:sz w:val="21"/>
                      <w:szCs w:val="21"/>
                    </w:rPr>
                    <w:t>～</w:t>
                  </w:r>
                  <w:r>
                    <w:rPr>
                      <w:rFonts w:hint="eastAsia" w:ascii="仿宋_GB2312" w:hAnsi="仿宋_GB2312" w:eastAsia="仿宋_GB2312" w:cs="仿宋_GB2312"/>
                      <w:sz w:val="21"/>
                      <w:szCs w:val="21"/>
                    </w:rPr>
                    <w:t xml:space="preserve">Q235  t </w:t>
                  </w:r>
                  <w:r>
                    <w:rPr>
                      <w:rFonts w:hint="eastAsia" w:ascii="仿宋_GB2312" w:hAnsi="仿宋_GB2312" w:eastAsia="仿宋_GB2312" w:cs="仿宋_GB2312"/>
                      <w:kern w:val="18"/>
                      <w:sz w:val="21"/>
                      <w:szCs w:val="21"/>
                    </w:rPr>
                    <w:t>2.0mm</w:t>
                  </w:r>
                </w:p>
              </w:tc>
              <w:tc>
                <w:tcPr>
                  <w:tcW w:w="1838" w:type="dxa"/>
                  <w:vMerge w:val="restart"/>
                  <w:tcBorders>
                    <w:top w:val="single" w:color="auto" w:sz="12" w:space="0"/>
                    <w:left w:val="single" w:color="auto" w:sz="6" w:space="0"/>
                    <w:right w:val="single" w:color="auto" w:sz="4" w:space="0"/>
                  </w:tcBorders>
                  <w:vAlign w:val="center"/>
                </w:tcPr>
                <w:p w14:paraId="4402ABC6">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sz w:val="21"/>
                      <w:szCs w:val="21"/>
                    </w:rPr>
                    <w:t>GB/T 708－2019</w:t>
                  </w:r>
                </w:p>
              </w:tc>
              <w:tc>
                <w:tcPr>
                  <w:tcW w:w="1697" w:type="dxa"/>
                  <w:tcBorders>
                    <w:top w:val="single" w:color="auto" w:sz="12" w:space="0"/>
                    <w:left w:val="single" w:color="auto" w:sz="4" w:space="0"/>
                    <w:bottom w:val="single" w:color="auto" w:sz="4" w:space="0"/>
                    <w:right w:val="single" w:color="auto" w:sz="12" w:space="0"/>
                  </w:tcBorders>
                  <w:vAlign w:val="center"/>
                </w:tcPr>
                <w:p w14:paraId="09A7F9B6">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炉子台面</w:t>
                  </w:r>
                </w:p>
              </w:tc>
            </w:tr>
            <w:tr w14:paraId="54CD9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61" w:type="dxa"/>
                  <w:vMerge w:val="continue"/>
                  <w:tcBorders>
                    <w:left w:val="single" w:color="auto" w:sz="12" w:space="0"/>
                    <w:right w:val="single" w:color="auto" w:sz="6" w:space="0"/>
                  </w:tcBorders>
                  <w:vAlign w:val="center"/>
                </w:tcPr>
                <w:p w14:paraId="546BF33C">
                  <w:pPr>
                    <w:spacing w:line="0" w:lineRule="atLeast"/>
                    <w:jc w:val="center"/>
                    <w:rPr>
                      <w:rFonts w:ascii="仿宋_GB2312" w:hAnsi="仿宋_GB2312" w:eastAsia="仿宋_GB2312" w:cs="仿宋_GB2312"/>
                      <w:kern w:val="18"/>
                      <w:sz w:val="21"/>
                      <w:szCs w:val="21"/>
                    </w:rPr>
                  </w:pPr>
                </w:p>
              </w:tc>
              <w:tc>
                <w:tcPr>
                  <w:tcW w:w="1722" w:type="dxa"/>
                  <w:vMerge w:val="continue"/>
                  <w:tcBorders>
                    <w:left w:val="single" w:color="auto" w:sz="6" w:space="0"/>
                    <w:bottom w:val="single" w:color="auto" w:sz="6" w:space="0"/>
                    <w:right w:val="single" w:color="auto" w:sz="6" w:space="0"/>
                  </w:tcBorders>
                  <w:vAlign w:val="center"/>
                </w:tcPr>
                <w:p w14:paraId="092C9479">
                  <w:pPr>
                    <w:adjustRightInd w:val="0"/>
                    <w:snapToGrid w:val="0"/>
                    <w:spacing w:line="0" w:lineRule="atLeast"/>
                    <w:jc w:val="center"/>
                    <w:rPr>
                      <w:rFonts w:ascii="仿宋_GB2312" w:hAnsi="仿宋_GB2312" w:eastAsia="仿宋_GB2312" w:cs="仿宋_GB2312"/>
                      <w:kern w:val="18"/>
                      <w:sz w:val="21"/>
                      <w:szCs w:val="21"/>
                    </w:rPr>
                  </w:pPr>
                </w:p>
              </w:tc>
              <w:tc>
                <w:tcPr>
                  <w:tcW w:w="1838" w:type="dxa"/>
                  <w:vMerge w:val="continue"/>
                  <w:tcBorders>
                    <w:left w:val="single" w:color="auto" w:sz="6" w:space="0"/>
                    <w:right w:val="single" w:color="auto" w:sz="4" w:space="0"/>
                  </w:tcBorders>
                </w:tcPr>
                <w:p w14:paraId="63BB4C2F">
                  <w:pPr>
                    <w:jc w:val="center"/>
                    <w:rPr>
                      <w:rFonts w:ascii="仿宋_GB2312" w:hAnsi="仿宋_GB2312" w:eastAsia="仿宋_GB2312" w:cs="仿宋_GB2312"/>
                      <w:sz w:val="21"/>
                      <w:szCs w:val="21"/>
                    </w:rPr>
                  </w:pPr>
                </w:p>
              </w:tc>
              <w:tc>
                <w:tcPr>
                  <w:tcW w:w="1697" w:type="dxa"/>
                  <w:tcBorders>
                    <w:top w:val="single" w:color="auto" w:sz="4" w:space="0"/>
                    <w:left w:val="single" w:color="auto" w:sz="4" w:space="0"/>
                    <w:bottom w:val="single" w:color="auto" w:sz="6" w:space="0"/>
                    <w:right w:val="single" w:color="auto" w:sz="12" w:space="0"/>
                  </w:tcBorders>
                  <w:vAlign w:val="center"/>
                </w:tcPr>
                <w:p w14:paraId="426B636E">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烧柴炉芯</w:t>
                  </w:r>
                </w:p>
              </w:tc>
            </w:tr>
            <w:tr w14:paraId="2D699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261" w:type="dxa"/>
                  <w:vMerge w:val="continue"/>
                  <w:tcBorders>
                    <w:left w:val="single" w:color="auto" w:sz="12" w:space="0"/>
                    <w:right w:val="single" w:color="auto" w:sz="6" w:space="0"/>
                  </w:tcBorders>
                  <w:vAlign w:val="center"/>
                </w:tcPr>
                <w:p w14:paraId="1C1136D2">
                  <w:pPr>
                    <w:spacing w:line="0" w:lineRule="atLeast"/>
                    <w:jc w:val="center"/>
                    <w:rPr>
                      <w:rFonts w:ascii="仿宋_GB2312" w:hAnsi="仿宋_GB2312" w:eastAsia="仿宋_GB2312" w:cs="仿宋_GB2312"/>
                      <w:kern w:val="18"/>
                      <w:sz w:val="21"/>
                      <w:szCs w:val="21"/>
                    </w:rPr>
                  </w:pPr>
                </w:p>
              </w:tc>
              <w:tc>
                <w:tcPr>
                  <w:tcW w:w="1722" w:type="dxa"/>
                  <w:vMerge w:val="restart"/>
                  <w:tcBorders>
                    <w:top w:val="single" w:color="auto" w:sz="6" w:space="0"/>
                    <w:left w:val="single" w:color="auto" w:sz="6" w:space="0"/>
                    <w:right w:val="single" w:color="auto" w:sz="6" w:space="0"/>
                  </w:tcBorders>
                  <w:vAlign w:val="center"/>
                </w:tcPr>
                <w:p w14:paraId="286F0AD1">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sz w:val="21"/>
                      <w:szCs w:val="21"/>
                    </w:rPr>
                    <w:t>Q195</w:t>
                  </w:r>
                  <w:r>
                    <w:rPr>
                      <w:rFonts w:hint="eastAsia" w:ascii="仿宋_GB2312" w:hAnsi="仿宋_GB2312" w:eastAsia="仿宋_GB2312" w:cs="仿宋_GB2312"/>
                      <w:kern w:val="18"/>
                      <w:sz w:val="21"/>
                      <w:szCs w:val="21"/>
                    </w:rPr>
                    <w:t>～</w:t>
                  </w:r>
                  <w:r>
                    <w:rPr>
                      <w:rFonts w:hint="eastAsia" w:ascii="仿宋_GB2312" w:hAnsi="仿宋_GB2312" w:eastAsia="仿宋_GB2312" w:cs="仿宋_GB2312"/>
                      <w:sz w:val="21"/>
                      <w:szCs w:val="21"/>
                    </w:rPr>
                    <w:t xml:space="preserve">Q235  t </w:t>
                  </w:r>
                  <w:r>
                    <w:rPr>
                      <w:rFonts w:hint="eastAsia" w:ascii="仿宋_GB2312" w:hAnsi="仿宋_GB2312" w:eastAsia="仿宋_GB2312" w:cs="仿宋_GB2312"/>
                      <w:kern w:val="18"/>
                      <w:sz w:val="21"/>
                      <w:szCs w:val="21"/>
                    </w:rPr>
                    <w:t>1.0mm</w:t>
                  </w:r>
                </w:p>
              </w:tc>
              <w:tc>
                <w:tcPr>
                  <w:tcW w:w="1838" w:type="dxa"/>
                  <w:vMerge w:val="continue"/>
                  <w:tcBorders>
                    <w:left w:val="single" w:color="auto" w:sz="6" w:space="0"/>
                    <w:right w:val="single" w:color="auto" w:sz="4" w:space="0"/>
                  </w:tcBorders>
                </w:tcPr>
                <w:p w14:paraId="46A58F89">
                  <w:pPr>
                    <w:jc w:val="center"/>
                    <w:rPr>
                      <w:rFonts w:ascii="仿宋_GB2312" w:hAnsi="仿宋_GB2312" w:eastAsia="仿宋_GB2312" w:cs="仿宋_GB2312"/>
                      <w:sz w:val="21"/>
                      <w:szCs w:val="21"/>
                    </w:rPr>
                  </w:pPr>
                </w:p>
              </w:tc>
              <w:tc>
                <w:tcPr>
                  <w:tcW w:w="1697" w:type="dxa"/>
                  <w:tcBorders>
                    <w:top w:val="single" w:color="auto" w:sz="4" w:space="0"/>
                    <w:left w:val="single" w:color="auto" w:sz="4" w:space="0"/>
                    <w:bottom w:val="single" w:color="auto" w:sz="6" w:space="0"/>
                    <w:right w:val="single" w:color="auto" w:sz="12" w:space="0"/>
                  </w:tcBorders>
                  <w:vAlign w:val="center"/>
                </w:tcPr>
                <w:p w14:paraId="77CBA28C">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炉子箱体</w:t>
                  </w:r>
                </w:p>
              </w:tc>
            </w:tr>
            <w:tr w14:paraId="65265C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261" w:type="dxa"/>
                  <w:vMerge w:val="continue"/>
                  <w:tcBorders>
                    <w:left w:val="single" w:color="auto" w:sz="12" w:space="0"/>
                    <w:right w:val="single" w:color="auto" w:sz="6" w:space="0"/>
                  </w:tcBorders>
                  <w:vAlign w:val="center"/>
                </w:tcPr>
                <w:p w14:paraId="51D15400">
                  <w:pPr>
                    <w:spacing w:line="0" w:lineRule="atLeast"/>
                    <w:jc w:val="center"/>
                    <w:rPr>
                      <w:rFonts w:ascii="仿宋_GB2312" w:hAnsi="仿宋_GB2312" w:eastAsia="仿宋_GB2312" w:cs="仿宋_GB2312"/>
                      <w:kern w:val="18"/>
                      <w:sz w:val="21"/>
                      <w:szCs w:val="21"/>
                    </w:rPr>
                  </w:pPr>
                </w:p>
              </w:tc>
              <w:tc>
                <w:tcPr>
                  <w:tcW w:w="1722" w:type="dxa"/>
                  <w:vMerge w:val="continue"/>
                  <w:tcBorders>
                    <w:left w:val="single" w:color="auto" w:sz="6" w:space="0"/>
                    <w:bottom w:val="single" w:color="auto" w:sz="6" w:space="0"/>
                    <w:right w:val="single" w:color="auto" w:sz="6" w:space="0"/>
                  </w:tcBorders>
                  <w:vAlign w:val="center"/>
                </w:tcPr>
                <w:p w14:paraId="219B46C5">
                  <w:pPr>
                    <w:adjustRightInd w:val="0"/>
                    <w:snapToGrid w:val="0"/>
                    <w:spacing w:line="0" w:lineRule="atLeast"/>
                    <w:jc w:val="center"/>
                    <w:rPr>
                      <w:rFonts w:ascii="仿宋_GB2312" w:hAnsi="仿宋_GB2312" w:eastAsia="仿宋_GB2312" w:cs="仿宋_GB2312"/>
                      <w:sz w:val="21"/>
                      <w:szCs w:val="21"/>
                    </w:rPr>
                  </w:pPr>
                </w:p>
              </w:tc>
              <w:tc>
                <w:tcPr>
                  <w:tcW w:w="1838" w:type="dxa"/>
                  <w:vMerge w:val="continue"/>
                  <w:tcBorders>
                    <w:left w:val="single" w:color="auto" w:sz="6" w:space="0"/>
                    <w:bottom w:val="single" w:color="auto" w:sz="6" w:space="0"/>
                    <w:right w:val="single" w:color="auto" w:sz="4" w:space="0"/>
                  </w:tcBorders>
                </w:tcPr>
                <w:p w14:paraId="2F5064E7">
                  <w:pPr>
                    <w:jc w:val="center"/>
                    <w:rPr>
                      <w:rFonts w:ascii="仿宋_GB2312" w:hAnsi="仿宋_GB2312" w:eastAsia="仿宋_GB2312" w:cs="仿宋_GB2312"/>
                      <w:sz w:val="21"/>
                      <w:szCs w:val="21"/>
                    </w:rPr>
                  </w:pPr>
                </w:p>
              </w:tc>
              <w:tc>
                <w:tcPr>
                  <w:tcW w:w="1697" w:type="dxa"/>
                  <w:tcBorders>
                    <w:top w:val="single" w:color="auto" w:sz="4" w:space="0"/>
                    <w:left w:val="single" w:color="auto" w:sz="4" w:space="0"/>
                    <w:bottom w:val="single" w:color="auto" w:sz="6" w:space="0"/>
                    <w:right w:val="single" w:color="auto" w:sz="12" w:space="0"/>
                  </w:tcBorders>
                  <w:vAlign w:val="center"/>
                </w:tcPr>
                <w:p w14:paraId="26E8A045">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簸箕、火铲</w:t>
                  </w:r>
                </w:p>
              </w:tc>
            </w:tr>
            <w:tr w14:paraId="01D8C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261" w:type="dxa"/>
                  <w:vMerge w:val="continue"/>
                  <w:tcBorders>
                    <w:left w:val="single" w:color="auto" w:sz="12" w:space="0"/>
                    <w:bottom w:val="single" w:color="auto" w:sz="4" w:space="0"/>
                    <w:right w:val="single" w:color="auto" w:sz="6" w:space="0"/>
                  </w:tcBorders>
                  <w:vAlign w:val="center"/>
                </w:tcPr>
                <w:p w14:paraId="7A4AED63">
                  <w:pPr>
                    <w:spacing w:line="0" w:lineRule="atLeast"/>
                    <w:jc w:val="center"/>
                    <w:rPr>
                      <w:rFonts w:ascii="仿宋_GB2312" w:hAnsi="仿宋_GB2312" w:eastAsia="仿宋_GB2312" w:cs="仿宋_GB2312"/>
                      <w:sz w:val="21"/>
                      <w:szCs w:val="21"/>
                    </w:rPr>
                  </w:pPr>
                </w:p>
              </w:tc>
              <w:tc>
                <w:tcPr>
                  <w:tcW w:w="1722" w:type="dxa"/>
                  <w:tcBorders>
                    <w:top w:val="single" w:color="auto" w:sz="6" w:space="0"/>
                    <w:left w:val="single" w:color="auto" w:sz="6" w:space="0"/>
                    <w:bottom w:val="single" w:color="auto" w:sz="6" w:space="0"/>
                    <w:right w:val="single" w:color="auto" w:sz="6" w:space="0"/>
                  </w:tcBorders>
                  <w:vAlign w:val="center"/>
                </w:tcPr>
                <w:p w14:paraId="5EB9D191">
                  <w:pPr>
                    <w:spacing w:line="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DX52  t </w:t>
                  </w:r>
                  <w:r>
                    <w:rPr>
                      <w:rFonts w:hint="eastAsia" w:ascii="仿宋_GB2312" w:hAnsi="仿宋_GB2312" w:eastAsia="仿宋_GB2312" w:cs="仿宋_GB2312"/>
                      <w:kern w:val="18"/>
                      <w:sz w:val="21"/>
                      <w:szCs w:val="21"/>
                    </w:rPr>
                    <w:t>0.4mm</w:t>
                  </w:r>
                </w:p>
              </w:tc>
              <w:tc>
                <w:tcPr>
                  <w:tcW w:w="1838" w:type="dxa"/>
                  <w:tcBorders>
                    <w:left w:val="single" w:color="auto" w:sz="6" w:space="0"/>
                    <w:bottom w:val="single" w:color="auto" w:sz="6" w:space="0"/>
                    <w:right w:val="single" w:color="auto" w:sz="4" w:space="0"/>
                  </w:tcBorders>
                  <w:vAlign w:val="center"/>
                </w:tcPr>
                <w:p w14:paraId="737F8C24">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sz w:val="21"/>
                      <w:szCs w:val="21"/>
                    </w:rPr>
                    <w:t>GB/T</w:t>
                  </w:r>
                  <w:r>
                    <w:rPr>
                      <w:rFonts w:hint="eastAsia" w:ascii="仿宋_GB2312" w:hAnsi="仿宋_GB2312" w:eastAsia="仿宋_GB2312" w:cs="仿宋_GB2312"/>
                      <w:kern w:val="18"/>
                      <w:sz w:val="21"/>
                      <w:szCs w:val="21"/>
                    </w:rPr>
                    <w:t xml:space="preserve"> 2518-2019</w:t>
                  </w:r>
                </w:p>
              </w:tc>
              <w:tc>
                <w:tcPr>
                  <w:tcW w:w="1697" w:type="dxa"/>
                  <w:tcBorders>
                    <w:left w:val="single" w:color="auto" w:sz="4" w:space="0"/>
                    <w:bottom w:val="single" w:color="auto" w:sz="6" w:space="0"/>
                    <w:right w:val="single" w:color="auto" w:sz="12" w:space="0"/>
                  </w:tcBorders>
                  <w:vAlign w:val="center"/>
                </w:tcPr>
                <w:p w14:paraId="5479A189">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烟筒、弯头、丁字头</w:t>
                  </w:r>
                </w:p>
              </w:tc>
            </w:tr>
            <w:tr w14:paraId="06D1B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261" w:type="dxa"/>
                  <w:tcBorders>
                    <w:left w:val="single" w:color="auto" w:sz="12" w:space="0"/>
                    <w:bottom w:val="single" w:color="auto" w:sz="4" w:space="0"/>
                    <w:right w:val="single" w:color="auto" w:sz="6" w:space="0"/>
                  </w:tcBorders>
                  <w:vAlign w:val="center"/>
                </w:tcPr>
                <w:p w14:paraId="53397253">
                  <w:pPr>
                    <w:spacing w:line="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钢板</w:t>
                  </w:r>
                </w:p>
              </w:tc>
              <w:tc>
                <w:tcPr>
                  <w:tcW w:w="1722" w:type="dxa"/>
                  <w:tcBorders>
                    <w:top w:val="single" w:color="auto" w:sz="6" w:space="0"/>
                    <w:left w:val="single" w:color="auto" w:sz="6" w:space="0"/>
                    <w:bottom w:val="single" w:color="auto" w:sz="6" w:space="0"/>
                    <w:right w:val="single" w:color="auto" w:sz="6" w:space="0"/>
                  </w:tcBorders>
                  <w:vAlign w:val="center"/>
                </w:tcPr>
                <w:p w14:paraId="42E6D2D3">
                  <w:pPr>
                    <w:spacing w:line="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Q195</w:t>
                  </w:r>
                  <w:r>
                    <w:rPr>
                      <w:rFonts w:hint="eastAsia" w:ascii="仿宋_GB2312" w:hAnsi="仿宋_GB2312" w:eastAsia="仿宋_GB2312" w:cs="仿宋_GB2312"/>
                      <w:kern w:val="18"/>
                      <w:sz w:val="21"/>
                      <w:szCs w:val="21"/>
                    </w:rPr>
                    <w:t>～</w:t>
                  </w:r>
                  <w:r>
                    <w:rPr>
                      <w:rFonts w:hint="eastAsia" w:ascii="仿宋_GB2312" w:hAnsi="仿宋_GB2312" w:eastAsia="仿宋_GB2312" w:cs="仿宋_GB2312"/>
                      <w:sz w:val="21"/>
                      <w:szCs w:val="21"/>
                    </w:rPr>
                    <w:t xml:space="preserve">Q235  t </w:t>
                  </w:r>
                  <w:r>
                    <w:rPr>
                      <w:rFonts w:hint="eastAsia" w:ascii="仿宋_GB2312" w:hAnsi="仿宋_GB2312" w:eastAsia="仿宋_GB2312" w:cs="仿宋_GB2312"/>
                      <w:kern w:val="18"/>
                      <w:sz w:val="21"/>
                      <w:szCs w:val="21"/>
                    </w:rPr>
                    <w:t>1.0mm</w:t>
                  </w:r>
                </w:p>
              </w:tc>
              <w:tc>
                <w:tcPr>
                  <w:tcW w:w="1838" w:type="dxa"/>
                  <w:tcBorders>
                    <w:left w:val="single" w:color="auto" w:sz="6" w:space="0"/>
                    <w:bottom w:val="single" w:color="auto" w:sz="6" w:space="0"/>
                    <w:right w:val="single" w:color="auto" w:sz="4" w:space="0"/>
                  </w:tcBorders>
                  <w:vAlign w:val="center"/>
                </w:tcPr>
                <w:p w14:paraId="27A7D1B4">
                  <w:pPr>
                    <w:adjustRightInd w:val="0"/>
                    <w:snapToGrid w:val="0"/>
                    <w:spacing w:line="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GB/T 708－2019</w:t>
                  </w:r>
                </w:p>
              </w:tc>
              <w:tc>
                <w:tcPr>
                  <w:tcW w:w="1697" w:type="dxa"/>
                  <w:tcBorders>
                    <w:left w:val="single" w:color="auto" w:sz="4" w:space="0"/>
                    <w:bottom w:val="single" w:color="auto" w:sz="6" w:space="0"/>
                    <w:right w:val="single" w:color="auto" w:sz="12" w:space="0"/>
                  </w:tcBorders>
                  <w:vAlign w:val="center"/>
                </w:tcPr>
                <w:p w14:paraId="6F7F58A4">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耐火炉芯保护套</w:t>
                  </w:r>
                </w:p>
              </w:tc>
            </w:tr>
            <w:tr w14:paraId="60E8B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261" w:type="dxa"/>
                  <w:tcBorders>
                    <w:top w:val="single" w:color="auto" w:sz="6" w:space="0"/>
                    <w:left w:val="single" w:color="auto" w:sz="12" w:space="0"/>
                    <w:right w:val="single" w:color="auto" w:sz="6" w:space="0"/>
                  </w:tcBorders>
                  <w:vAlign w:val="center"/>
                </w:tcPr>
                <w:p w14:paraId="1E9C165A">
                  <w:pPr>
                    <w:spacing w:line="0" w:lineRule="atLeast"/>
                    <w:jc w:val="center"/>
                    <w:rPr>
                      <w:rFonts w:ascii="仿宋_GB2312" w:hAnsi="仿宋_GB2312" w:eastAsia="仿宋_GB2312" w:cs="仿宋_GB2312"/>
                      <w:sz w:val="21"/>
                      <w:szCs w:val="21"/>
                    </w:rPr>
                  </w:pPr>
                  <w:bookmarkStart w:id="761" w:name="_Toc318631135"/>
                  <w:r>
                    <w:rPr>
                      <w:rFonts w:hint="eastAsia" w:ascii="仿宋_GB2312" w:hAnsi="仿宋_GB2312" w:eastAsia="仿宋_GB2312" w:cs="仿宋_GB2312"/>
                      <w:sz w:val="21"/>
                      <w:szCs w:val="21"/>
                    </w:rPr>
                    <w:t>圆钢</w:t>
                  </w:r>
                </w:p>
              </w:tc>
              <w:tc>
                <w:tcPr>
                  <w:tcW w:w="1722" w:type="dxa"/>
                  <w:tcBorders>
                    <w:top w:val="single" w:color="auto" w:sz="6" w:space="0"/>
                    <w:left w:val="single" w:color="auto" w:sz="6" w:space="0"/>
                    <w:right w:val="single" w:color="auto" w:sz="6" w:space="0"/>
                  </w:tcBorders>
                  <w:vAlign w:val="center"/>
                </w:tcPr>
                <w:p w14:paraId="0E909524">
                  <w:pPr>
                    <w:spacing w:line="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Q195</w:t>
                  </w:r>
                  <w:r>
                    <w:rPr>
                      <w:rFonts w:hint="eastAsia" w:ascii="仿宋_GB2312" w:hAnsi="仿宋_GB2312" w:eastAsia="仿宋_GB2312" w:cs="仿宋_GB2312"/>
                      <w:kern w:val="18"/>
                      <w:sz w:val="21"/>
                      <w:szCs w:val="21"/>
                    </w:rPr>
                    <w:t>～</w:t>
                  </w:r>
                  <w:r>
                    <w:rPr>
                      <w:rFonts w:hint="eastAsia" w:ascii="仿宋_GB2312" w:hAnsi="仿宋_GB2312" w:eastAsia="仿宋_GB2312" w:cs="仿宋_GB2312"/>
                      <w:sz w:val="21"/>
                      <w:szCs w:val="21"/>
                    </w:rPr>
                    <w:t>Q235   φ8mm</w:t>
                  </w:r>
                </w:p>
              </w:tc>
              <w:tc>
                <w:tcPr>
                  <w:tcW w:w="1838" w:type="dxa"/>
                  <w:tcBorders>
                    <w:top w:val="single" w:color="auto" w:sz="6" w:space="0"/>
                    <w:left w:val="single" w:color="auto" w:sz="6" w:space="0"/>
                    <w:right w:val="single" w:color="auto" w:sz="4" w:space="0"/>
                  </w:tcBorders>
                  <w:vAlign w:val="center"/>
                </w:tcPr>
                <w:p w14:paraId="3DF3CE10">
                  <w:pPr>
                    <w:adjustRightInd w:val="0"/>
                    <w:snapToGrid w:val="0"/>
                    <w:spacing w:line="0" w:lineRule="atLeast"/>
                    <w:jc w:val="left"/>
                    <w:rPr>
                      <w:rFonts w:ascii="仿宋_GB2312" w:hAnsi="仿宋_GB2312" w:eastAsia="仿宋_GB2312" w:cs="仿宋_GB2312"/>
                      <w:sz w:val="21"/>
                      <w:szCs w:val="21"/>
                      <w:vertAlign w:val="superscript"/>
                    </w:rPr>
                  </w:pPr>
                  <w:r>
                    <w:rPr>
                      <w:rFonts w:hint="eastAsia" w:ascii="仿宋_GB2312" w:hAnsi="仿宋_GB2312" w:eastAsia="仿宋_GB2312" w:cs="仿宋_GB2312"/>
                      <w:sz w:val="21"/>
                      <w:szCs w:val="21"/>
                      <w:vertAlign w:val="superscript"/>
                    </w:rPr>
                    <w:t xml:space="preserve">  </w:t>
                  </w:r>
                  <w:r>
                    <w:rPr>
                      <w:rFonts w:hint="eastAsia" w:ascii="仿宋_GB2312" w:hAnsi="仿宋_GB2312" w:eastAsia="仿宋_GB2312" w:cs="仿宋_GB2312"/>
                      <w:kern w:val="18"/>
                      <w:sz w:val="21"/>
                      <w:szCs w:val="21"/>
                    </w:rPr>
                    <w:t xml:space="preserve">   YB/T 5294-2009</w:t>
                  </w:r>
                </w:p>
              </w:tc>
              <w:tc>
                <w:tcPr>
                  <w:tcW w:w="1697" w:type="dxa"/>
                  <w:tcBorders>
                    <w:top w:val="single" w:color="auto" w:sz="6" w:space="0"/>
                    <w:left w:val="single" w:color="auto" w:sz="4" w:space="0"/>
                    <w:right w:val="single" w:color="auto" w:sz="12" w:space="0"/>
                  </w:tcBorders>
                  <w:vAlign w:val="center"/>
                </w:tcPr>
                <w:p w14:paraId="06788345">
                  <w:pPr>
                    <w:adjustRightInd w:val="0"/>
                    <w:snapToGrid w:val="0"/>
                    <w:spacing w:line="0" w:lineRule="atLeast"/>
                    <w:jc w:val="left"/>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火钩、火钳、捅条、炉芯提手</w:t>
                  </w:r>
                </w:p>
              </w:tc>
            </w:tr>
            <w:tr w14:paraId="6D4F9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261" w:type="dxa"/>
                  <w:tcBorders>
                    <w:top w:val="single" w:color="auto" w:sz="6" w:space="0"/>
                    <w:left w:val="single" w:color="auto" w:sz="12" w:space="0"/>
                    <w:bottom w:val="single" w:color="auto" w:sz="6" w:space="0"/>
                    <w:right w:val="single" w:color="auto" w:sz="6" w:space="0"/>
                  </w:tcBorders>
                  <w:vAlign w:val="center"/>
                </w:tcPr>
                <w:p w14:paraId="1030A3EF">
                  <w:pPr>
                    <w:spacing w:line="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耐热铸铁</w:t>
                  </w:r>
                </w:p>
              </w:tc>
              <w:tc>
                <w:tcPr>
                  <w:tcW w:w="1722" w:type="dxa"/>
                  <w:tcBorders>
                    <w:top w:val="single" w:color="auto" w:sz="6" w:space="0"/>
                    <w:left w:val="single" w:color="auto" w:sz="6" w:space="0"/>
                    <w:right w:val="single" w:color="auto" w:sz="6" w:space="0"/>
                  </w:tcBorders>
                  <w:vAlign w:val="center"/>
                </w:tcPr>
                <w:p w14:paraId="4F0D2700">
                  <w:pPr>
                    <w:adjustRightInd w:val="0"/>
                    <w:snapToGrid w:val="0"/>
                    <w:spacing w:line="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HTRCr</w:t>
                  </w:r>
                </w:p>
              </w:tc>
              <w:tc>
                <w:tcPr>
                  <w:tcW w:w="1838" w:type="dxa"/>
                  <w:tcBorders>
                    <w:top w:val="single" w:color="auto" w:sz="6" w:space="0"/>
                    <w:left w:val="single" w:color="auto" w:sz="6" w:space="0"/>
                    <w:right w:val="single" w:color="auto" w:sz="4" w:space="0"/>
                  </w:tcBorders>
                  <w:vAlign w:val="center"/>
                </w:tcPr>
                <w:p w14:paraId="7D54E470">
                  <w:pPr>
                    <w:adjustRightInd w:val="0"/>
                    <w:snapToGrid w:val="0"/>
                    <w:spacing w:line="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GB/T 9437-2009</w:t>
                  </w:r>
                </w:p>
              </w:tc>
              <w:tc>
                <w:tcPr>
                  <w:tcW w:w="1697" w:type="dxa"/>
                  <w:tcBorders>
                    <w:top w:val="single" w:color="auto" w:sz="6" w:space="0"/>
                    <w:left w:val="single" w:color="auto" w:sz="4" w:space="0"/>
                    <w:right w:val="single" w:color="auto" w:sz="12" w:space="0"/>
                  </w:tcBorders>
                  <w:vAlign w:val="center"/>
                </w:tcPr>
                <w:p w14:paraId="301D82A8">
                  <w:pPr>
                    <w:adjustRightInd w:val="0"/>
                    <w:snapToGrid w:val="0"/>
                    <w:spacing w:line="0" w:lineRule="atLeast"/>
                    <w:jc w:val="left"/>
                    <w:rPr>
                      <w:rFonts w:ascii="仿宋_GB2312" w:hAnsi="仿宋_GB2312" w:eastAsia="仿宋_GB2312" w:cs="仿宋_GB2312"/>
                      <w:kern w:val="18"/>
                      <w:sz w:val="21"/>
                      <w:szCs w:val="21"/>
                    </w:rPr>
                  </w:pPr>
                  <w:r>
                    <w:rPr>
                      <w:rFonts w:hint="eastAsia" w:ascii="仿宋_GB2312" w:hAnsi="仿宋_GB2312" w:eastAsia="仿宋_GB2312" w:cs="仿宋_GB2312"/>
                      <w:sz w:val="21"/>
                      <w:szCs w:val="21"/>
                    </w:rPr>
                    <w:t>炉箅子、封炉盖（见标样）</w:t>
                  </w:r>
                </w:p>
              </w:tc>
            </w:tr>
            <w:tr w14:paraId="7DF57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261" w:type="dxa"/>
                  <w:tcBorders>
                    <w:top w:val="single" w:color="auto" w:sz="6" w:space="0"/>
                    <w:left w:val="single" w:color="auto" w:sz="12" w:space="0"/>
                    <w:bottom w:val="single" w:color="auto" w:sz="6" w:space="0"/>
                    <w:right w:val="single" w:color="auto" w:sz="6" w:space="0"/>
                  </w:tcBorders>
                  <w:vAlign w:val="center"/>
                </w:tcPr>
                <w:p w14:paraId="65902FC4">
                  <w:pPr>
                    <w:spacing w:line="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炉瓦</w:t>
                  </w:r>
                </w:p>
              </w:tc>
              <w:tc>
                <w:tcPr>
                  <w:tcW w:w="1722" w:type="dxa"/>
                  <w:tcBorders>
                    <w:top w:val="single" w:color="auto" w:sz="6" w:space="0"/>
                    <w:left w:val="single" w:color="auto" w:sz="6" w:space="0"/>
                    <w:right w:val="single" w:color="auto" w:sz="6" w:space="0"/>
                  </w:tcBorders>
                  <w:vAlign w:val="center"/>
                </w:tcPr>
                <w:p w14:paraId="63223B92">
                  <w:pPr>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sz w:val="21"/>
                      <w:szCs w:val="21"/>
                    </w:rPr>
                    <w:t>——</w:t>
                  </w:r>
                </w:p>
              </w:tc>
              <w:tc>
                <w:tcPr>
                  <w:tcW w:w="1838" w:type="dxa"/>
                  <w:tcBorders>
                    <w:top w:val="single" w:color="auto" w:sz="6" w:space="0"/>
                    <w:left w:val="single" w:color="auto" w:sz="6" w:space="0"/>
                    <w:right w:val="single" w:color="auto" w:sz="4" w:space="0"/>
                  </w:tcBorders>
                  <w:vAlign w:val="center"/>
                </w:tcPr>
                <w:p w14:paraId="0C87801F">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sz w:val="21"/>
                      <w:szCs w:val="21"/>
                    </w:rPr>
                    <w:t>见标样</w:t>
                  </w:r>
                </w:p>
              </w:tc>
              <w:tc>
                <w:tcPr>
                  <w:tcW w:w="1697" w:type="dxa"/>
                  <w:tcBorders>
                    <w:top w:val="single" w:color="auto" w:sz="6" w:space="0"/>
                    <w:left w:val="single" w:color="auto" w:sz="4" w:space="0"/>
                    <w:right w:val="single" w:color="auto" w:sz="12" w:space="0"/>
                  </w:tcBorders>
                  <w:vAlign w:val="center"/>
                </w:tcPr>
                <w:p w14:paraId="69D51E81">
                  <w:pPr>
                    <w:adjustRightInd w:val="0"/>
                    <w:snapToGrid w:val="0"/>
                    <w:spacing w:line="0" w:lineRule="atLeast"/>
                    <w:jc w:val="center"/>
                    <w:rPr>
                      <w:rFonts w:ascii="仿宋_GB2312" w:hAnsi="仿宋_GB2312" w:eastAsia="仿宋_GB2312" w:cs="仿宋_GB2312"/>
                      <w:kern w:val="18"/>
                      <w:sz w:val="21"/>
                      <w:szCs w:val="21"/>
                    </w:rPr>
                  </w:pPr>
                  <w:r>
                    <w:rPr>
                      <w:rFonts w:hint="eastAsia" w:ascii="仿宋_GB2312" w:hAnsi="仿宋_GB2312" w:eastAsia="仿宋_GB2312" w:cs="仿宋_GB2312"/>
                      <w:kern w:val="18"/>
                      <w:sz w:val="21"/>
                      <w:szCs w:val="21"/>
                    </w:rPr>
                    <w:t>燃烧室</w:t>
                  </w:r>
                </w:p>
              </w:tc>
            </w:tr>
            <w:tr w14:paraId="72BB82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17" w:hRule="atLeast"/>
              </w:trPr>
              <w:tc>
                <w:tcPr>
                  <w:tcW w:w="1261" w:type="dxa"/>
                  <w:tcBorders>
                    <w:top w:val="single" w:color="auto" w:sz="6" w:space="0"/>
                    <w:left w:val="single" w:color="auto" w:sz="12" w:space="0"/>
                    <w:bottom w:val="single" w:color="auto" w:sz="6" w:space="0"/>
                    <w:right w:val="single" w:color="auto" w:sz="6" w:space="0"/>
                  </w:tcBorders>
                  <w:vAlign w:val="center"/>
                </w:tcPr>
                <w:p w14:paraId="4ABEDC96">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球形拉手</w:t>
                  </w:r>
                </w:p>
              </w:tc>
              <w:tc>
                <w:tcPr>
                  <w:tcW w:w="1722" w:type="dxa"/>
                  <w:tcBorders>
                    <w:top w:val="single" w:color="auto" w:sz="6" w:space="0"/>
                    <w:left w:val="single" w:color="auto" w:sz="6" w:space="0"/>
                    <w:right w:val="single" w:color="auto" w:sz="6" w:space="0"/>
                  </w:tcBorders>
                  <w:vAlign w:val="center"/>
                </w:tcPr>
                <w:p w14:paraId="5C090DF3">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838" w:type="dxa"/>
                  <w:tcBorders>
                    <w:top w:val="single" w:color="auto" w:sz="6" w:space="0"/>
                    <w:left w:val="single" w:color="auto" w:sz="6" w:space="0"/>
                    <w:right w:val="single" w:color="auto" w:sz="4" w:space="0"/>
                  </w:tcBorders>
                  <w:vAlign w:val="center"/>
                </w:tcPr>
                <w:p w14:paraId="408B9BE5">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见标样</w:t>
                  </w:r>
                </w:p>
              </w:tc>
              <w:tc>
                <w:tcPr>
                  <w:tcW w:w="1697" w:type="dxa"/>
                  <w:tcBorders>
                    <w:top w:val="single" w:color="auto" w:sz="6" w:space="0"/>
                    <w:left w:val="single" w:color="auto" w:sz="4" w:space="0"/>
                    <w:right w:val="single" w:color="auto" w:sz="12" w:space="0"/>
                  </w:tcBorders>
                  <w:vAlign w:val="center"/>
                </w:tcPr>
                <w:p w14:paraId="2D3F5B17">
                  <w:pPr>
                    <w:pStyle w:val="269"/>
                    <w:tabs>
                      <w:tab w:val="center" w:pos="4201"/>
                      <w:tab w:val="right" w:leader="dot" w:pos="9298"/>
                    </w:tabs>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烤箱门、炉灰门、加柴门、通风门</w:t>
                  </w:r>
                </w:p>
              </w:tc>
            </w:tr>
            <w:tr w14:paraId="0DA17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06" w:hRule="atLeast"/>
              </w:trPr>
              <w:tc>
                <w:tcPr>
                  <w:tcW w:w="1261" w:type="dxa"/>
                  <w:tcBorders>
                    <w:top w:val="single" w:color="auto" w:sz="6" w:space="0"/>
                    <w:left w:val="single" w:color="auto" w:sz="12" w:space="0"/>
                    <w:bottom w:val="single" w:color="auto" w:sz="6" w:space="0"/>
                    <w:right w:val="single" w:color="auto" w:sz="6" w:space="0"/>
                  </w:tcBorders>
                  <w:vAlign w:val="center"/>
                </w:tcPr>
                <w:p w14:paraId="4D1DEF55">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瓦楞纸箱</w:t>
                  </w:r>
                </w:p>
              </w:tc>
              <w:tc>
                <w:tcPr>
                  <w:tcW w:w="1722" w:type="dxa"/>
                  <w:tcBorders>
                    <w:top w:val="single" w:color="auto" w:sz="6" w:space="0"/>
                    <w:left w:val="single" w:color="auto" w:sz="6" w:space="0"/>
                    <w:bottom w:val="single" w:color="auto" w:sz="6" w:space="0"/>
                    <w:right w:val="single" w:color="auto" w:sz="6" w:space="0"/>
                  </w:tcBorders>
                  <w:vAlign w:val="center"/>
                </w:tcPr>
                <w:p w14:paraId="669C3F5C">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bCs/>
                      <w:sz w:val="21"/>
                      <w:szCs w:val="21"/>
                    </w:rPr>
                    <w:t>650mm×400mm×610mm</w:t>
                  </w:r>
                </w:p>
              </w:tc>
              <w:tc>
                <w:tcPr>
                  <w:tcW w:w="1838" w:type="dxa"/>
                  <w:tcBorders>
                    <w:left w:val="single" w:color="auto" w:sz="6" w:space="0"/>
                    <w:bottom w:val="single" w:color="auto" w:sz="6" w:space="0"/>
                    <w:right w:val="single" w:color="auto" w:sz="4" w:space="0"/>
                  </w:tcBorders>
                  <w:vAlign w:val="center"/>
                </w:tcPr>
                <w:p w14:paraId="17730A21">
                  <w:pPr>
                    <w:pStyle w:val="269"/>
                    <w:tabs>
                      <w:tab w:val="center" w:pos="4201"/>
                      <w:tab w:val="right" w:leader="dot" w:pos="9298"/>
                    </w:tabs>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空箱抗压能力≥6500N </w:t>
                  </w:r>
                </w:p>
                <w:p w14:paraId="644A7308">
                  <w:pPr>
                    <w:pStyle w:val="269"/>
                    <w:tabs>
                      <w:tab w:val="center" w:pos="4201"/>
                      <w:tab w:val="right" w:leader="dot" w:pos="9298"/>
                    </w:tabs>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耐破强度 ≥1500kPa </w:t>
                  </w:r>
                </w:p>
              </w:tc>
              <w:tc>
                <w:tcPr>
                  <w:tcW w:w="1697" w:type="dxa"/>
                  <w:tcBorders>
                    <w:top w:val="single" w:color="auto" w:sz="6" w:space="0"/>
                    <w:left w:val="single" w:color="auto" w:sz="4" w:space="0"/>
                    <w:bottom w:val="single" w:color="auto" w:sz="6" w:space="0"/>
                    <w:right w:val="single" w:color="auto" w:sz="12" w:space="0"/>
                  </w:tcBorders>
                  <w:vAlign w:val="center"/>
                </w:tcPr>
                <w:p w14:paraId="7BB7127C">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外包装</w:t>
                  </w:r>
                </w:p>
              </w:tc>
            </w:tr>
            <w:tr w14:paraId="2F9D40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261" w:type="dxa"/>
                  <w:tcBorders>
                    <w:top w:val="single" w:color="auto" w:sz="6" w:space="0"/>
                    <w:left w:val="single" w:color="auto" w:sz="12" w:space="0"/>
                    <w:bottom w:val="single" w:color="auto" w:sz="6" w:space="0"/>
                    <w:right w:val="single" w:color="auto" w:sz="6" w:space="0"/>
                  </w:tcBorders>
                  <w:vAlign w:val="center"/>
                </w:tcPr>
                <w:p w14:paraId="18186E21">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压敏胶粘带</w:t>
                  </w:r>
                </w:p>
              </w:tc>
              <w:tc>
                <w:tcPr>
                  <w:tcW w:w="1722" w:type="dxa"/>
                  <w:tcBorders>
                    <w:top w:val="single" w:color="auto" w:sz="6" w:space="0"/>
                    <w:left w:val="single" w:color="auto" w:sz="6" w:space="0"/>
                    <w:bottom w:val="single" w:color="auto" w:sz="6" w:space="0"/>
                    <w:right w:val="single" w:color="auto" w:sz="6" w:space="0"/>
                  </w:tcBorders>
                  <w:vAlign w:val="center"/>
                </w:tcPr>
                <w:p w14:paraId="2F258307">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宽度60mm</w:t>
                  </w:r>
                </w:p>
              </w:tc>
              <w:tc>
                <w:tcPr>
                  <w:tcW w:w="1838" w:type="dxa"/>
                  <w:tcBorders>
                    <w:left w:val="single" w:color="auto" w:sz="6" w:space="0"/>
                    <w:bottom w:val="single" w:color="auto" w:sz="6" w:space="0"/>
                    <w:right w:val="single" w:color="auto" w:sz="4" w:space="0"/>
                  </w:tcBorders>
                  <w:vAlign w:val="center"/>
                </w:tcPr>
                <w:p w14:paraId="5F6B4D32">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GJB 3840－1999</w:t>
                  </w:r>
                </w:p>
              </w:tc>
              <w:tc>
                <w:tcPr>
                  <w:tcW w:w="1697" w:type="dxa"/>
                  <w:tcBorders>
                    <w:top w:val="single" w:color="auto" w:sz="6" w:space="0"/>
                    <w:left w:val="single" w:color="auto" w:sz="4" w:space="0"/>
                    <w:bottom w:val="single" w:color="auto" w:sz="6" w:space="0"/>
                    <w:right w:val="single" w:color="auto" w:sz="12" w:space="0"/>
                  </w:tcBorders>
                  <w:vAlign w:val="center"/>
                </w:tcPr>
                <w:p w14:paraId="68C4C5DA">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封箱</w:t>
                  </w:r>
                </w:p>
              </w:tc>
            </w:tr>
            <w:tr w14:paraId="2A973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261" w:type="dxa"/>
                  <w:tcBorders>
                    <w:top w:val="single" w:color="auto" w:sz="6" w:space="0"/>
                    <w:left w:val="single" w:color="auto" w:sz="12" w:space="0"/>
                    <w:bottom w:val="single" w:color="auto" w:sz="12" w:space="0"/>
                    <w:right w:val="single" w:color="auto" w:sz="6" w:space="0"/>
                  </w:tcBorders>
                  <w:vAlign w:val="center"/>
                </w:tcPr>
                <w:p w14:paraId="45A0A310">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塑料打包带</w:t>
                  </w:r>
                </w:p>
              </w:tc>
              <w:tc>
                <w:tcPr>
                  <w:tcW w:w="1722" w:type="dxa"/>
                  <w:tcBorders>
                    <w:top w:val="single" w:color="auto" w:sz="6" w:space="0"/>
                    <w:left w:val="single" w:color="auto" w:sz="6" w:space="0"/>
                    <w:bottom w:val="single" w:color="auto" w:sz="12" w:space="0"/>
                    <w:right w:val="single" w:color="auto" w:sz="6" w:space="0"/>
                  </w:tcBorders>
                  <w:vAlign w:val="center"/>
                </w:tcPr>
                <w:p w14:paraId="5A66A15C">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PP12008J</w:t>
                  </w:r>
                </w:p>
              </w:tc>
              <w:tc>
                <w:tcPr>
                  <w:tcW w:w="1838" w:type="dxa"/>
                  <w:tcBorders>
                    <w:top w:val="single" w:color="auto" w:sz="6" w:space="0"/>
                    <w:left w:val="single" w:color="auto" w:sz="6" w:space="0"/>
                    <w:bottom w:val="single" w:color="auto" w:sz="12" w:space="0"/>
                    <w:right w:val="single" w:color="auto" w:sz="4" w:space="0"/>
                  </w:tcBorders>
                  <w:vAlign w:val="center"/>
                </w:tcPr>
                <w:p w14:paraId="2614A69B">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QB/T 3811－1999</w:t>
                  </w:r>
                </w:p>
              </w:tc>
              <w:tc>
                <w:tcPr>
                  <w:tcW w:w="1697" w:type="dxa"/>
                  <w:tcBorders>
                    <w:top w:val="single" w:color="auto" w:sz="6" w:space="0"/>
                    <w:left w:val="single" w:color="auto" w:sz="4" w:space="0"/>
                    <w:bottom w:val="single" w:color="auto" w:sz="12" w:space="0"/>
                    <w:right w:val="single" w:color="auto" w:sz="12" w:space="0"/>
                  </w:tcBorders>
                  <w:vAlign w:val="center"/>
                </w:tcPr>
                <w:p w14:paraId="4AA3DA58">
                  <w:pPr>
                    <w:pStyle w:val="269"/>
                    <w:tabs>
                      <w:tab w:val="center" w:pos="4201"/>
                      <w:tab w:val="right" w:leader="dot" w:pos="9298"/>
                    </w:tabs>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打包</w:t>
                  </w:r>
                </w:p>
              </w:tc>
            </w:tr>
          </w:tbl>
          <w:p w14:paraId="411C1803">
            <w:pPr>
              <w:pStyle w:val="434"/>
              <w:spacing w:beforeLines="0" w:afterLines="0" w:line="560" w:lineRule="exact"/>
              <w:rPr>
                <w:rFonts w:ascii="仿宋_GB2312" w:hAnsi="仿宋_GB2312" w:eastAsia="仿宋_GB2312" w:cs="仿宋_GB2312"/>
                <w:sz w:val="21"/>
                <w:szCs w:val="21"/>
              </w:rPr>
            </w:pPr>
            <w:bookmarkStart w:id="762" w:name="_Toc18016"/>
            <w:r>
              <w:rPr>
                <w:rFonts w:hint="eastAsia" w:ascii="仿宋_GB2312" w:hAnsi="仿宋_GB2312" w:eastAsia="仿宋_GB2312" w:cs="仿宋_GB2312"/>
                <w:sz w:val="21"/>
                <w:szCs w:val="21"/>
              </w:rPr>
              <w:t>外观质量</w:t>
            </w:r>
            <w:bookmarkEnd w:id="761"/>
            <w:bookmarkEnd w:id="762"/>
          </w:p>
          <w:p w14:paraId="13850BE0">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21.1</w:t>
            </w:r>
            <w:r>
              <w:rPr>
                <w:rFonts w:hint="eastAsia" w:ascii="仿宋_GB2312" w:hAnsi="仿宋_GB2312" w:eastAsia="仿宋_GB2312" w:cs="仿宋_GB2312"/>
                <w:sz w:val="21"/>
                <w:szCs w:val="21"/>
              </w:rPr>
              <w:t>经过焊接、点焊的零部件，要去焊渣、氧化皮。涂层厚薄应均匀牢固，不得有起层脱落的现象。</w:t>
            </w:r>
          </w:p>
          <w:p w14:paraId="5A202056">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21.2</w:t>
            </w:r>
            <w:r>
              <w:rPr>
                <w:rFonts w:hint="eastAsia" w:ascii="仿宋_GB2312" w:hAnsi="仿宋_GB2312" w:eastAsia="仿宋_GB2312" w:cs="仿宋_GB2312"/>
                <w:sz w:val="21"/>
                <w:szCs w:val="21"/>
              </w:rPr>
              <w:t>耐火炉瓦不得有裂纹缺陷，厚度均匀，不圆度和不圆柱度分别不大于2mm。</w:t>
            </w:r>
          </w:p>
          <w:p w14:paraId="51541F5E">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21.3</w:t>
            </w:r>
            <w:r>
              <w:rPr>
                <w:rFonts w:hint="eastAsia" w:ascii="仿宋_GB2312" w:hAnsi="仿宋_GB2312" w:eastAsia="仿宋_GB2312" w:cs="仿宋_GB2312"/>
                <w:sz w:val="21"/>
                <w:szCs w:val="21"/>
              </w:rPr>
              <w:t>炉芯护套与底座、底盘点焊时不得有歪扭、烧穿等毛病。</w:t>
            </w:r>
          </w:p>
          <w:p w14:paraId="7839E368">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21.4</w:t>
            </w:r>
            <w:r>
              <w:rPr>
                <w:rFonts w:hint="eastAsia" w:ascii="仿宋_GB2312" w:hAnsi="仿宋_GB2312" w:eastAsia="仿宋_GB2312" w:cs="仿宋_GB2312"/>
                <w:sz w:val="21"/>
                <w:szCs w:val="21"/>
              </w:rPr>
              <w:t>炉芯护套与封盖装配应严密。</w:t>
            </w:r>
          </w:p>
          <w:p w14:paraId="19A88236">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21.5</w:t>
            </w:r>
            <w:r>
              <w:rPr>
                <w:rFonts w:hint="eastAsia" w:ascii="仿宋_GB2312" w:hAnsi="仿宋_GB2312" w:eastAsia="仿宋_GB2312" w:cs="仿宋_GB2312"/>
                <w:sz w:val="21"/>
                <w:szCs w:val="21"/>
              </w:rPr>
              <w:t>炉体装配完毕后，烧柴炉芯不允许有圆周方向或轴线方向窜动，炉体与炉芯间隙固定均匀。</w:t>
            </w:r>
          </w:p>
          <w:p w14:paraId="0B781D23">
            <w:pPr>
              <w:pStyle w:val="434"/>
              <w:spacing w:beforeLines="0" w:afterLines="0" w:line="560" w:lineRule="exact"/>
              <w:rPr>
                <w:rFonts w:ascii="仿宋_GB2312" w:hAnsi="仿宋_GB2312" w:eastAsia="仿宋_GB2312" w:cs="仿宋_GB2312"/>
                <w:sz w:val="21"/>
                <w:szCs w:val="21"/>
              </w:rPr>
            </w:pPr>
            <w:bookmarkStart w:id="763" w:name="_Toc318631136"/>
            <w:bookmarkStart w:id="764" w:name="_Toc17468"/>
            <w:r>
              <w:rPr>
                <w:rFonts w:hint="eastAsia" w:ascii="仿宋_GB2312" w:hAnsi="仿宋_GB2312" w:eastAsia="仿宋_GB2312" w:cs="仿宋_GB2312"/>
                <w:sz w:val="21"/>
                <w:szCs w:val="21"/>
              </w:rPr>
              <w:t>理化性能</w:t>
            </w:r>
            <w:bookmarkEnd w:id="763"/>
            <w:bookmarkEnd w:id="764"/>
          </w:p>
          <w:p w14:paraId="2F27F2D5">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22.1</w:t>
            </w:r>
            <w:r>
              <w:rPr>
                <w:rFonts w:hint="eastAsia" w:ascii="仿宋_GB2312" w:hAnsi="仿宋_GB2312" w:eastAsia="仿宋_GB2312" w:cs="仿宋_GB2312"/>
                <w:sz w:val="21"/>
                <w:szCs w:val="21"/>
              </w:rPr>
              <w:t>碳素结构钢钢带性能见表2。</w:t>
            </w:r>
          </w:p>
          <w:p w14:paraId="0470FB19">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22.2</w:t>
            </w:r>
            <w:r>
              <w:rPr>
                <w:rFonts w:hint="eastAsia" w:ascii="仿宋_GB2312" w:hAnsi="仿宋_GB2312" w:eastAsia="仿宋_GB2312" w:cs="仿宋_GB2312"/>
                <w:sz w:val="21"/>
                <w:szCs w:val="21"/>
              </w:rPr>
              <w:t>连续热镀锌钢板及钢带性能见表2。</w:t>
            </w:r>
          </w:p>
          <w:p w14:paraId="29CBF5BD">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22.3</w:t>
            </w:r>
            <w:r>
              <w:rPr>
                <w:rFonts w:hint="eastAsia" w:ascii="仿宋_GB2312" w:hAnsi="仿宋_GB2312" w:eastAsia="仿宋_GB2312" w:cs="仿宋_GB2312"/>
                <w:sz w:val="21"/>
                <w:szCs w:val="21"/>
              </w:rPr>
              <w:t>金属配件的理化性能见表2。</w:t>
            </w:r>
          </w:p>
          <w:p w14:paraId="461BAD41">
            <w:pPr>
              <w:pStyle w:val="536"/>
              <w:spacing w:beforeLines="50" w:afterLines="50" w:line="560" w:lineRule="exact"/>
              <w:rPr>
                <w:rFonts w:ascii="仿宋_GB2312" w:hAnsi="仿宋_GB2312" w:eastAsia="仿宋_GB2312" w:cs="仿宋_GB2312"/>
                <w:sz w:val="21"/>
                <w:szCs w:val="21"/>
              </w:rPr>
            </w:pPr>
            <w:bookmarkStart w:id="765" w:name="_Toc318631137"/>
            <w:bookmarkStart w:id="766" w:name="_Toc23694"/>
            <w:r>
              <w:rPr>
                <w:rFonts w:hint="eastAsia" w:hAnsi="黑体" w:cs="黑体"/>
                <w:sz w:val="21"/>
                <w:szCs w:val="21"/>
              </w:rPr>
              <w:t>试验方法</w:t>
            </w:r>
            <w:bookmarkEnd w:id="765"/>
            <w:bookmarkEnd w:id="766"/>
            <w:r>
              <w:rPr>
                <w:rFonts w:hint="eastAsia" w:ascii="仿宋_GB2312" w:hAnsi="仿宋_GB2312" w:eastAsia="仿宋_GB2312" w:cs="仿宋_GB2312"/>
                <w:sz w:val="21"/>
                <w:szCs w:val="21"/>
              </w:rPr>
              <w:t xml:space="preserve"> </w:t>
            </w:r>
          </w:p>
          <w:p w14:paraId="054C6FBE">
            <w:pPr>
              <w:pStyle w:val="434"/>
              <w:spacing w:beforeLines="0" w:afterLines="0" w:line="560" w:lineRule="exact"/>
              <w:rPr>
                <w:rFonts w:ascii="仿宋_GB2312" w:hAnsi="仿宋_GB2312" w:eastAsia="仿宋_GB2312" w:cs="仿宋_GB2312"/>
                <w:sz w:val="21"/>
                <w:szCs w:val="21"/>
              </w:rPr>
            </w:pPr>
            <w:bookmarkStart w:id="767" w:name="_Toc18136"/>
            <w:bookmarkStart w:id="768" w:name="_Toc318631138"/>
            <w:r>
              <w:rPr>
                <w:rFonts w:hint="eastAsia" w:ascii="仿宋_GB2312" w:hAnsi="仿宋_GB2312" w:eastAsia="仿宋_GB2312" w:cs="仿宋_GB2312"/>
                <w:sz w:val="21"/>
                <w:szCs w:val="21"/>
              </w:rPr>
              <w:t>材料检验</w:t>
            </w:r>
            <w:bookmarkEnd w:id="767"/>
          </w:p>
          <w:p w14:paraId="5AC5EF4F">
            <w:pPr>
              <w:pStyle w:val="269"/>
              <w:tabs>
                <w:tab w:val="center" w:pos="4201"/>
                <w:tab w:val="right" w:leader="dot" w:pos="9298"/>
              </w:tabs>
              <w:spacing w:line="560" w:lineRule="exact"/>
              <w:ind w:firstLine="640"/>
              <w:rPr>
                <w:rFonts w:ascii="仿宋_GB2312" w:hAnsi="仿宋_GB2312" w:eastAsia="仿宋_GB2312" w:cs="仿宋_GB2312"/>
                <w:sz w:val="21"/>
                <w:szCs w:val="21"/>
              </w:rPr>
            </w:pPr>
            <w:r>
              <w:rPr>
                <w:rFonts w:hint="eastAsia" w:ascii="仿宋_GB2312" w:hAnsi="仿宋_GB2312" w:eastAsia="仿宋_GB2312" w:cs="仿宋_GB2312"/>
                <w:sz w:val="21"/>
                <w:szCs w:val="21"/>
              </w:rPr>
              <w:t>各种材料进厂后或使用前应按相关标准检验，不合格者不得使用。</w:t>
            </w:r>
          </w:p>
          <w:p w14:paraId="637FBA58">
            <w:pPr>
              <w:pStyle w:val="434"/>
              <w:spacing w:beforeLines="0" w:afterLines="0" w:line="560" w:lineRule="exact"/>
              <w:rPr>
                <w:rFonts w:ascii="仿宋_GB2312" w:hAnsi="仿宋_GB2312" w:eastAsia="仿宋_GB2312" w:cs="仿宋_GB2312"/>
                <w:sz w:val="21"/>
                <w:szCs w:val="21"/>
              </w:rPr>
            </w:pPr>
            <w:bookmarkStart w:id="769" w:name="_Toc63583299"/>
            <w:bookmarkStart w:id="770" w:name="_Toc63651220"/>
            <w:bookmarkStart w:id="771" w:name="_Toc63484613"/>
            <w:bookmarkStart w:id="772" w:name="_Toc63652234"/>
            <w:bookmarkStart w:id="773" w:name="_Toc63652492"/>
            <w:bookmarkStart w:id="774" w:name="_Toc63650847"/>
            <w:bookmarkStart w:id="775" w:name="_Toc63672425"/>
            <w:bookmarkStart w:id="776" w:name="_Toc63652136"/>
            <w:bookmarkStart w:id="777" w:name="_Toc63652037"/>
            <w:bookmarkStart w:id="778" w:name="_Toc63652632"/>
            <w:bookmarkStart w:id="779" w:name="_Toc63652385"/>
            <w:bookmarkStart w:id="780" w:name="_Toc63651588"/>
            <w:bookmarkStart w:id="781" w:name="_Toc63583195"/>
            <w:bookmarkStart w:id="782" w:name="_Toc235863427"/>
            <w:bookmarkStart w:id="783" w:name="_Toc63651450"/>
            <w:bookmarkStart w:id="784" w:name="_Toc106683691"/>
            <w:bookmarkStart w:id="785" w:name="_Toc188694781"/>
            <w:bookmarkStart w:id="786" w:name="_Toc29547"/>
            <w:bookmarkStart w:id="787" w:name="_Toc63650641"/>
            <w:bookmarkStart w:id="788" w:name="_Toc63651866"/>
            <w:r>
              <w:rPr>
                <w:rFonts w:hint="eastAsia" w:ascii="仿宋_GB2312" w:hAnsi="仿宋_GB2312" w:eastAsia="仿宋_GB2312" w:cs="仿宋_GB2312"/>
                <w:sz w:val="21"/>
                <w:szCs w:val="21"/>
              </w:rPr>
              <w:t>外观检验</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059B2155">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25.1</w:t>
            </w:r>
            <w:r>
              <w:rPr>
                <w:rFonts w:hint="eastAsia" w:ascii="仿宋_GB2312" w:hAnsi="仿宋_GB2312" w:eastAsia="仿宋_GB2312" w:cs="仿宋_GB2312"/>
                <w:sz w:val="21"/>
                <w:szCs w:val="21"/>
              </w:rPr>
              <w:t>检验条件</w:t>
            </w:r>
          </w:p>
          <w:p w14:paraId="69F28AF2">
            <w:pPr>
              <w:spacing w:line="560" w:lineRule="exac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bookmarkStart w:id="789" w:name="_Toc23502"/>
            <w:r>
              <w:rPr>
                <w:rFonts w:hint="eastAsia" w:ascii="仿宋_GB2312" w:hAnsi="仿宋_GB2312" w:eastAsia="仿宋_GB2312" w:cs="仿宋_GB2312"/>
                <w:sz w:val="21"/>
                <w:szCs w:val="21"/>
              </w:rPr>
              <w:t>在天然散射光或无反射光的白色透射光线下进行，光的照度不得低于300lx（相当于40W日光灯下距离500mm处的光照度）。</w:t>
            </w:r>
            <w:bookmarkEnd w:id="789"/>
          </w:p>
          <w:p w14:paraId="0EEAB3C4">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25.2</w:t>
            </w:r>
            <w:r>
              <w:rPr>
                <w:rFonts w:hint="eastAsia" w:ascii="仿宋_GB2312" w:hAnsi="仿宋_GB2312" w:eastAsia="仿宋_GB2312" w:cs="仿宋_GB2312"/>
                <w:sz w:val="21"/>
                <w:szCs w:val="21"/>
              </w:rPr>
              <w:t>检验方法</w:t>
            </w:r>
          </w:p>
          <w:p w14:paraId="19CB18C4">
            <w:pPr>
              <w:pStyle w:val="282"/>
              <w:numPr>
                <w:ilvl w:val="0"/>
                <w:numId w:val="0"/>
              </w:numPr>
              <w:spacing w:beforeLines="0" w:afterLines="0"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外观质量的检验以目视观感和手感检验。</w:t>
            </w:r>
          </w:p>
          <w:p w14:paraId="2A218F1D">
            <w:pPr>
              <w:pStyle w:val="434"/>
              <w:spacing w:beforeLines="0" w:afterLines="0" w:line="560" w:lineRule="exact"/>
              <w:rPr>
                <w:rFonts w:ascii="仿宋_GB2312" w:hAnsi="仿宋_GB2312" w:eastAsia="仿宋_GB2312" w:cs="仿宋_GB2312"/>
                <w:sz w:val="21"/>
                <w:szCs w:val="21"/>
              </w:rPr>
            </w:pPr>
            <w:bookmarkStart w:id="790" w:name="_Toc63651589"/>
            <w:bookmarkStart w:id="791" w:name="_Toc63651451"/>
            <w:bookmarkStart w:id="792" w:name="_Toc63583196"/>
            <w:bookmarkStart w:id="793" w:name="_Toc63652235"/>
            <w:bookmarkStart w:id="794" w:name="_Toc63651221"/>
            <w:bookmarkStart w:id="795" w:name="_Toc188694782"/>
            <w:bookmarkStart w:id="796" w:name="_Toc106683692"/>
            <w:bookmarkStart w:id="797" w:name="_Toc63650848"/>
            <w:bookmarkStart w:id="798" w:name="_Toc63650642"/>
            <w:bookmarkStart w:id="799" w:name="_Toc1794"/>
            <w:bookmarkStart w:id="800" w:name="_Toc63652633"/>
            <w:bookmarkStart w:id="801" w:name="_Toc63652038"/>
            <w:bookmarkStart w:id="802" w:name="_Toc63652386"/>
            <w:bookmarkStart w:id="803" w:name="_Toc63583300"/>
            <w:bookmarkStart w:id="804" w:name="_Toc63651867"/>
            <w:bookmarkStart w:id="805" w:name="_Toc235863428"/>
            <w:bookmarkStart w:id="806" w:name="_Toc63672426"/>
            <w:bookmarkStart w:id="807" w:name="_Toc63484614"/>
            <w:bookmarkStart w:id="808" w:name="_Toc63652493"/>
            <w:bookmarkStart w:id="809" w:name="_Toc63652137"/>
            <w:r>
              <w:rPr>
                <w:rFonts w:hint="eastAsia" w:ascii="仿宋_GB2312" w:hAnsi="仿宋_GB2312" w:eastAsia="仿宋_GB2312" w:cs="仿宋_GB2312"/>
                <w:sz w:val="21"/>
                <w:szCs w:val="21"/>
              </w:rPr>
              <w:t>尺寸检验</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008456FC">
            <w:pPr>
              <w:spacing w:line="560" w:lineRule="exact"/>
              <w:outlineLvl w:val="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bookmarkStart w:id="810" w:name="_Toc3136"/>
            <w:r>
              <w:rPr>
                <w:rFonts w:hint="eastAsia" w:ascii="仿宋_GB2312" w:hAnsi="仿宋_GB2312" w:eastAsia="仿宋_GB2312" w:cs="仿宋_GB2312"/>
                <w:sz w:val="21"/>
                <w:szCs w:val="21"/>
              </w:rPr>
              <w:t>成品尺寸的检验用精确度为1.0mm的卷尺检验。</w:t>
            </w:r>
            <w:bookmarkStart w:id="811" w:name="_Hlt65398692"/>
            <w:bookmarkEnd w:id="811"/>
            <w:r>
              <w:rPr>
                <w:rFonts w:hint="eastAsia" w:ascii="仿宋_GB2312" w:hAnsi="仿宋_GB2312" w:eastAsia="仿宋_GB2312" w:cs="仿宋_GB2312"/>
                <w:sz w:val="21"/>
                <w:szCs w:val="21"/>
              </w:rPr>
              <w:t>各金属配件的检验用精度0.02mm的游标卡尺检验。形状和位置公差的检验按GB/T 3325-2017的规定。</w:t>
            </w:r>
            <w:bookmarkEnd w:id="810"/>
          </w:p>
          <w:p w14:paraId="54C61C97">
            <w:pPr>
              <w:pStyle w:val="434"/>
              <w:spacing w:beforeLines="0" w:afterLines="0" w:line="560" w:lineRule="exact"/>
              <w:rPr>
                <w:rFonts w:ascii="仿宋_GB2312" w:hAnsi="仿宋_GB2312" w:eastAsia="仿宋_GB2312" w:cs="仿宋_GB2312"/>
                <w:sz w:val="21"/>
                <w:szCs w:val="21"/>
              </w:rPr>
            </w:pPr>
            <w:bookmarkStart w:id="812" w:name="_Toc63652139"/>
            <w:bookmarkStart w:id="813" w:name="_Toc106683694"/>
            <w:bookmarkStart w:id="814" w:name="_Toc63650850"/>
            <w:bookmarkStart w:id="815" w:name="_Toc63484616"/>
            <w:bookmarkStart w:id="816" w:name="_Toc63652495"/>
            <w:bookmarkStart w:id="817" w:name="_Toc63651453"/>
            <w:bookmarkStart w:id="818" w:name="_Toc188694783"/>
            <w:bookmarkStart w:id="819" w:name="_Toc3109"/>
            <w:bookmarkStart w:id="820" w:name="_Toc63652635"/>
            <w:bookmarkStart w:id="821" w:name="_Toc63583302"/>
            <w:bookmarkStart w:id="822" w:name="_Toc63672428"/>
            <w:bookmarkStart w:id="823" w:name="_Toc63583198"/>
            <w:bookmarkStart w:id="824" w:name="_Toc235863429"/>
            <w:bookmarkStart w:id="825" w:name="_Toc63652237"/>
            <w:bookmarkStart w:id="826" w:name="_Toc63651591"/>
            <w:bookmarkStart w:id="827" w:name="_Toc63652040"/>
            <w:bookmarkStart w:id="828" w:name="_Toc63651223"/>
            <w:bookmarkStart w:id="829" w:name="_Toc63651869"/>
            <w:bookmarkStart w:id="830" w:name="_Toc63650644"/>
            <w:bookmarkStart w:id="831" w:name="_Toc63652388"/>
            <w:r>
              <w:rPr>
                <w:rFonts w:hint="eastAsia" w:ascii="仿宋_GB2312" w:hAnsi="仿宋_GB2312" w:eastAsia="仿宋_GB2312" w:cs="仿宋_GB2312"/>
                <w:sz w:val="21"/>
                <w:szCs w:val="21"/>
              </w:rPr>
              <w:t>理化性能检验</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472D74B5">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27.1</w:t>
            </w:r>
            <w:r>
              <w:rPr>
                <w:rFonts w:hint="eastAsia" w:ascii="仿宋_GB2312" w:hAnsi="仿宋_GB2312" w:eastAsia="仿宋_GB2312" w:cs="仿宋_GB2312"/>
                <w:sz w:val="21"/>
                <w:szCs w:val="21"/>
              </w:rPr>
              <w:t>碳素结构钢钢带性能应符合GB/T 11253-2019的规定。</w:t>
            </w:r>
          </w:p>
          <w:p w14:paraId="17C2F5AD">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27.2</w:t>
            </w:r>
            <w:r>
              <w:rPr>
                <w:rFonts w:hint="eastAsia" w:ascii="仿宋_GB2312" w:hAnsi="仿宋_GB2312" w:eastAsia="仿宋_GB2312" w:cs="仿宋_GB2312"/>
                <w:sz w:val="21"/>
                <w:szCs w:val="21"/>
              </w:rPr>
              <w:t>连续热镀锌钢板及钢带性能应符合GB/T 2518-2019的规定。</w:t>
            </w:r>
          </w:p>
          <w:p w14:paraId="02142293">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27.3</w:t>
            </w:r>
            <w:r>
              <w:rPr>
                <w:rFonts w:hint="eastAsia" w:ascii="仿宋_GB2312" w:hAnsi="仿宋_GB2312" w:eastAsia="仿宋_GB2312" w:cs="仿宋_GB2312"/>
                <w:sz w:val="21"/>
                <w:szCs w:val="21"/>
              </w:rPr>
              <w:t>炉体钢板和烟囱镀锌板板厚度的检验用精度0.01mm千分尺。</w:t>
            </w:r>
          </w:p>
          <w:p w14:paraId="338974C8">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27.4</w:t>
            </w:r>
            <w:r>
              <w:rPr>
                <w:rFonts w:hint="eastAsia" w:ascii="仿宋_GB2312" w:hAnsi="仿宋_GB2312" w:eastAsia="仿宋_GB2312" w:cs="仿宋_GB2312"/>
                <w:sz w:val="21"/>
                <w:szCs w:val="21"/>
              </w:rPr>
              <w:t>瓦楞纸箱质量检验按GB/T 4857.4-2008、GB/T 6545-1998的规定。</w:t>
            </w:r>
          </w:p>
          <w:p w14:paraId="0CE46B59">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27.5</w:t>
            </w:r>
            <w:r>
              <w:rPr>
                <w:rFonts w:hint="eastAsia" w:ascii="仿宋_GB2312" w:hAnsi="仿宋_GB2312" w:eastAsia="仿宋_GB2312" w:cs="仿宋_GB2312"/>
                <w:sz w:val="21"/>
                <w:szCs w:val="21"/>
              </w:rPr>
              <w:t>压敏胶粘带检验按GJB 3840-1999的规定。</w:t>
            </w:r>
          </w:p>
          <w:p w14:paraId="15F75A28">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27.6</w:t>
            </w:r>
            <w:r>
              <w:rPr>
                <w:rFonts w:hint="eastAsia" w:ascii="仿宋_GB2312" w:hAnsi="仿宋_GB2312" w:eastAsia="仿宋_GB2312" w:cs="仿宋_GB2312"/>
                <w:sz w:val="21"/>
                <w:szCs w:val="21"/>
              </w:rPr>
              <w:t>塑料打包带检验按QB/T 3811-1999的规定。</w:t>
            </w:r>
          </w:p>
          <w:p w14:paraId="04B9C049">
            <w:pPr>
              <w:pStyle w:val="434"/>
              <w:spacing w:beforeLines="0" w:afterLines="0" w:line="560" w:lineRule="exact"/>
              <w:rPr>
                <w:rFonts w:ascii="仿宋_GB2312" w:hAnsi="仿宋_GB2312" w:eastAsia="仿宋_GB2312" w:cs="仿宋_GB2312"/>
                <w:sz w:val="21"/>
                <w:szCs w:val="21"/>
              </w:rPr>
            </w:pPr>
            <w:bookmarkStart w:id="832" w:name="_Toc235863430"/>
            <w:bookmarkStart w:id="833" w:name="_Toc12556"/>
            <w:r>
              <w:rPr>
                <w:rFonts w:hint="eastAsia" w:ascii="仿宋_GB2312" w:hAnsi="仿宋_GB2312" w:eastAsia="仿宋_GB2312" w:cs="仿宋_GB2312"/>
                <w:sz w:val="21"/>
                <w:szCs w:val="21"/>
              </w:rPr>
              <w:t>标志与包装检验</w:t>
            </w:r>
            <w:bookmarkEnd w:id="832"/>
            <w:bookmarkEnd w:id="833"/>
          </w:p>
          <w:p w14:paraId="0953ACAB">
            <w:pPr>
              <w:pStyle w:val="269"/>
              <w:tabs>
                <w:tab w:val="center" w:pos="4201"/>
                <w:tab w:val="right" w:leader="dot" w:pos="9298"/>
              </w:tabs>
              <w:spacing w:line="56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标志与包装质量的检验按6.1和6.2的规定。</w:t>
            </w:r>
          </w:p>
          <w:bookmarkEnd w:id="768"/>
          <w:p w14:paraId="46762E81">
            <w:pPr>
              <w:pStyle w:val="536"/>
              <w:spacing w:beforeLines="50" w:afterLines="50" w:line="560" w:lineRule="exact"/>
              <w:rPr>
                <w:rFonts w:hAnsi="黑体" w:cs="黑体"/>
                <w:sz w:val="21"/>
                <w:szCs w:val="21"/>
              </w:rPr>
            </w:pPr>
            <w:bookmarkStart w:id="834" w:name="_Toc6726"/>
            <w:bookmarkStart w:id="835" w:name="_Toc195002051"/>
            <w:bookmarkStart w:id="836" w:name="_Toc207704010"/>
            <w:bookmarkStart w:id="837" w:name="_Toc318631139"/>
            <w:bookmarkStart w:id="838" w:name="_Toc234038985"/>
            <w:bookmarkStart w:id="839" w:name="_Toc215373076"/>
            <w:bookmarkStart w:id="840" w:name="_Toc216086059"/>
            <w:bookmarkStart w:id="841" w:name="_Toc208653375"/>
            <w:bookmarkStart w:id="842" w:name="_Toc194988270"/>
            <w:bookmarkStart w:id="843" w:name="_Toc148753680"/>
            <w:bookmarkStart w:id="844" w:name="_Toc207616466"/>
            <w:bookmarkStart w:id="845" w:name="_Toc216085743"/>
            <w:bookmarkStart w:id="846" w:name="_Toc194306320"/>
            <w:r>
              <w:rPr>
                <w:rFonts w:hint="eastAsia" w:hAnsi="黑体" w:cs="黑体"/>
                <w:sz w:val="21"/>
                <w:szCs w:val="21"/>
              </w:rPr>
              <w:t>检验规则</w:t>
            </w:r>
            <w:bookmarkEnd w:id="834"/>
            <w:bookmarkEnd w:id="835"/>
            <w:bookmarkEnd w:id="836"/>
            <w:bookmarkEnd w:id="837"/>
            <w:bookmarkEnd w:id="838"/>
            <w:bookmarkEnd w:id="839"/>
            <w:bookmarkEnd w:id="840"/>
            <w:bookmarkEnd w:id="841"/>
            <w:bookmarkEnd w:id="842"/>
            <w:bookmarkEnd w:id="843"/>
            <w:bookmarkEnd w:id="844"/>
            <w:bookmarkEnd w:id="845"/>
            <w:bookmarkEnd w:id="846"/>
            <w:r>
              <w:rPr>
                <w:rFonts w:hint="eastAsia" w:hAnsi="黑体" w:cs="黑体"/>
                <w:sz w:val="21"/>
                <w:szCs w:val="21"/>
              </w:rPr>
              <w:t xml:space="preserve"> </w:t>
            </w:r>
          </w:p>
          <w:p w14:paraId="7725A818">
            <w:pPr>
              <w:pStyle w:val="434"/>
              <w:spacing w:beforeLines="0" w:afterLines="0" w:line="560" w:lineRule="exact"/>
              <w:rPr>
                <w:rFonts w:ascii="仿宋_GB2312" w:hAnsi="仿宋_GB2312" w:eastAsia="仿宋_GB2312" w:cs="仿宋_GB2312"/>
                <w:sz w:val="21"/>
                <w:szCs w:val="21"/>
              </w:rPr>
            </w:pPr>
            <w:bookmarkStart w:id="847" w:name="_Toc235863432"/>
            <w:bookmarkStart w:id="848" w:name="_Toc17850"/>
            <w:bookmarkStart w:id="849" w:name="_Toc318631140"/>
            <w:r>
              <w:rPr>
                <w:rFonts w:hint="eastAsia" w:ascii="仿宋_GB2312" w:hAnsi="仿宋_GB2312" w:eastAsia="仿宋_GB2312" w:cs="仿宋_GB2312"/>
                <w:sz w:val="21"/>
                <w:szCs w:val="21"/>
              </w:rPr>
              <w:t>检验分类</w:t>
            </w:r>
            <w:bookmarkEnd w:id="847"/>
            <w:bookmarkEnd w:id="848"/>
          </w:p>
          <w:p w14:paraId="0877CEE8">
            <w:pPr>
              <w:spacing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本部分规定的检验分类如下：</w:t>
            </w:r>
          </w:p>
          <w:p w14:paraId="1F5167C0">
            <w:pPr>
              <w:spacing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a）首件检验；</w:t>
            </w:r>
          </w:p>
          <w:p w14:paraId="39D62001">
            <w:pPr>
              <w:spacing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b）质量一致性检验；</w:t>
            </w:r>
          </w:p>
          <w:p w14:paraId="7575C544">
            <w:pPr>
              <w:spacing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c）验收检验。</w:t>
            </w:r>
          </w:p>
          <w:p w14:paraId="0E1AA6E7">
            <w:pPr>
              <w:pStyle w:val="434"/>
              <w:spacing w:beforeLines="0" w:afterLines="0" w:line="560" w:lineRule="exact"/>
              <w:rPr>
                <w:rFonts w:ascii="仿宋_GB2312" w:hAnsi="仿宋_GB2312" w:eastAsia="仿宋_GB2312" w:cs="仿宋_GB2312"/>
                <w:sz w:val="21"/>
                <w:szCs w:val="21"/>
              </w:rPr>
            </w:pPr>
            <w:bookmarkStart w:id="850" w:name="_Toc294"/>
            <w:r>
              <w:rPr>
                <w:rFonts w:hint="eastAsia" w:ascii="仿宋_GB2312" w:hAnsi="仿宋_GB2312" w:eastAsia="仿宋_GB2312" w:cs="仿宋_GB2312"/>
                <w:sz w:val="21"/>
                <w:szCs w:val="21"/>
              </w:rPr>
              <w:t>首件检验</w:t>
            </w:r>
            <w:bookmarkEnd w:id="849"/>
            <w:bookmarkEnd w:id="850"/>
          </w:p>
          <w:p w14:paraId="20A0DA60">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31.1</w:t>
            </w:r>
            <w:r>
              <w:rPr>
                <w:rFonts w:hint="eastAsia" w:ascii="仿宋_GB2312" w:hAnsi="仿宋_GB2312" w:eastAsia="仿宋_GB2312" w:cs="仿宋_GB2312"/>
                <w:sz w:val="21"/>
                <w:szCs w:val="21"/>
              </w:rPr>
              <w:t>检验要求</w:t>
            </w:r>
          </w:p>
          <w:p w14:paraId="7928ED63">
            <w:pPr>
              <w:pStyle w:val="282"/>
              <w:numPr>
                <w:ilvl w:val="0"/>
                <w:numId w:val="0"/>
              </w:numPr>
              <w:spacing w:beforeLines="0" w:afterLines="0"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首件报样检验是在承制单位按合同批量投产之前，可由订购方或订购方指定的检验机构检验，并确认承制单位能否生产出符合本部分要求的产品，检验应包括以下两种类型：</w:t>
            </w:r>
          </w:p>
          <w:p w14:paraId="24BA5E89">
            <w:pPr>
              <w:pStyle w:val="269"/>
              <w:numPr>
                <w:ilvl w:val="0"/>
                <w:numId w:val="26"/>
              </w:numPr>
              <w:tabs>
                <w:tab w:val="left" w:pos="315"/>
                <w:tab w:val="clear" w:pos="1155"/>
              </w:tabs>
              <w:spacing w:line="560" w:lineRule="exact"/>
              <w:ind w:left="420" w:leftChars="200"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首件报样检验，在首次投产前，承制单位应持合同中签订的产品样品，到订购方或订购方指定的检验机构履行报样手续，报样符合本部分规定后才能进行生产。</w:t>
            </w:r>
          </w:p>
          <w:p w14:paraId="76EB674C">
            <w:pPr>
              <w:pStyle w:val="269"/>
              <w:numPr>
                <w:ilvl w:val="0"/>
                <w:numId w:val="26"/>
              </w:numPr>
              <w:tabs>
                <w:tab w:val="left" w:pos="420"/>
                <w:tab w:val="clear" w:pos="1155"/>
              </w:tabs>
              <w:spacing w:line="560" w:lineRule="exact"/>
              <w:ind w:left="420" w:leftChars="200"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首批产品检验，对承制单位首次生产，或曾生产过，但己两年以上未生产的产品，订购方或订购方指定的检验机构，对首批产品和半成品质量及工艺流程、设备及其他必要的项目进行检验。</w:t>
            </w:r>
          </w:p>
          <w:p w14:paraId="4EFBA3A6">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31.2</w:t>
            </w:r>
            <w:r>
              <w:rPr>
                <w:rFonts w:hint="eastAsia" w:ascii="仿宋_GB2312" w:hAnsi="仿宋_GB2312" w:eastAsia="仿宋_GB2312" w:cs="仿宋_GB2312"/>
                <w:sz w:val="21"/>
                <w:szCs w:val="21"/>
              </w:rPr>
              <w:t>检验项目</w:t>
            </w:r>
          </w:p>
          <w:p w14:paraId="6061596F">
            <w:pPr>
              <w:pStyle w:val="282"/>
              <w:numPr>
                <w:ilvl w:val="0"/>
                <w:numId w:val="0"/>
              </w:numPr>
              <w:spacing w:beforeLines="0" w:afterLines="0"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检验项目应符合表3规定。</w:t>
            </w:r>
          </w:p>
          <w:p w14:paraId="570A20FB">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31.3</w:t>
            </w:r>
            <w:r>
              <w:rPr>
                <w:rFonts w:hint="eastAsia" w:ascii="仿宋_GB2312" w:hAnsi="仿宋_GB2312" w:eastAsia="仿宋_GB2312" w:cs="仿宋_GB2312"/>
                <w:sz w:val="21"/>
                <w:szCs w:val="21"/>
              </w:rPr>
              <w:t>检验数量</w:t>
            </w:r>
          </w:p>
          <w:p w14:paraId="6599DE3C">
            <w:pPr>
              <w:pStyle w:val="269"/>
              <w:tabs>
                <w:tab w:val="center" w:pos="4201"/>
                <w:tab w:val="right" w:leader="dot" w:pos="9298"/>
              </w:tabs>
              <w:spacing w:line="560" w:lineRule="exact"/>
              <w:ind w:firstLine="640"/>
              <w:rPr>
                <w:rFonts w:ascii="仿宋_GB2312" w:hAnsi="仿宋_GB2312" w:eastAsia="仿宋_GB2312" w:cs="仿宋_GB2312"/>
                <w:sz w:val="21"/>
                <w:szCs w:val="21"/>
              </w:rPr>
            </w:pPr>
            <w:r>
              <w:rPr>
                <w:rFonts w:hint="eastAsia" w:ascii="仿宋_GB2312" w:hAnsi="仿宋_GB2312" w:eastAsia="仿宋_GB2312" w:cs="仿宋_GB2312"/>
                <w:sz w:val="21"/>
                <w:szCs w:val="21"/>
              </w:rPr>
              <w:t>首件报样检验数量为一台，原材料及配件理化性能检验按实际需要取样。</w:t>
            </w:r>
          </w:p>
          <w:p w14:paraId="3935C072">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31.4</w:t>
            </w:r>
            <w:r>
              <w:rPr>
                <w:rFonts w:hint="eastAsia" w:ascii="仿宋_GB2312" w:hAnsi="仿宋_GB2312" w:eastAsia="仿宋_GB2312" w:cs="仿宋_GB2312"/>
                <w:sz w:val="21"/>
                <w:szCs w:val="21"/>
              </w:rPr>
              <w:t>合格判定</w:t>
            </w:r>
          </w:p>
          <w:p w14:paraId="5CE71827">
            <w:pPr>
              <w:pStyle w:val="269"/>
              <w:tabs>
                <w:tab w:val="center" w:pos="4201"/>
                <w:tab w:val="right" w:leader="dot" w:pos="9298"/>
              </w:tabs>
              <w:spacing w:line="560" w:lineRule="exact"/>
              <w:ind w:firstLine="640"/>
              <w:rPr>
                <w:rFonts w:ascii="仿宋_GB2312" w:hAnsi="仿宋_GB2312" w:eastAsia="仿宋_GB2312" w:cs="仿宋_GB2312"/>
                <w:sz w:val="21"/>
                <w:szCs w:val="21"/>
              </w:rPr>
            </w:pPr>
            <w:r>
              <w:rPr>
                <w:rFonts w:hint="eastAsia" w:ascii="仿宋_GB2312" w:hAnsi="仿宋_GB2312" w:eastAsia="仿宋_GB2312" w:cs="仿宋_GB2312"/>
                <w:sz w:val="21"/>
                <w:szCs w:val="21"/>
              </w:rPr>
              <w:t>首件报样检验、首批产品检验全部符合表4合格品判定条件，判为合格品。首件报样检验不合格，允许修改后第二次报样，若仍不合格，判首件报样检验不合格。首件报样送检中理化性能不合格，可第二次报样复检，若仍有不合格项，判首件报样不合格。</w:t>
            </w:r>
          </w:p>
          <w:p w14:paraId="4D1A3CA9">
            <w:pPr>
              <w:pStyle w:val="434"/>
              <w:spacing w:beforeLines="0" w:afterLines="0" w:line="560" w:lineRule="exact"/>
              <w:rPr>
                <w:rFonts w:ascii="仿宋_GB2312" w:hAnsi="仿宋_GB2312" w:eastAsia="仿宋_GB2312" w:cs="仿宋_GB2312"/>
                <w:sz w:val="21"/>
                <w:szCs w:val="21"/>
              </w:rPr>
            </w:pPr>
            <w:bookmarkStart w:id="851" w:name="_Toc235863434"/>
            <w:bookmarkStart w:id="852" w:name="_Toc31742"/>
            <w:bookmarkStart w:id="853" w:name="_Toc45093655"/>
            <w:bookmarkStart w:id="854" w:name="_Toc47772813"/>
            <w:bookmarkStart w:id="855" w:name="_Toc44390616"/>
            <w:bookmarkStart w:id="856" w:name="_Toc43110487"/>
            <w:bookmarkStart w:id="857" w:name="_Toc36280910"/>
            <w:r>
              <w:rPr>
                <w:rFonts w:hint="eastAsia" w:ascii="仿宋_GB2312" w:hAnsi="仿宋_GB2312" w:eastAsia="仿宋_GB2312" w:cs="仿宋_GB2312"/>
                <w:sz w:val="21"/>
                <w:szCs w:val="21"/>
              </w:rPr>
              <w:t>质量一致性检验</w:t>
            </w:r>
            <w:bookmarkEnd w:id="851"/>
            <w:bookmarkEnd w:id="852"/>
          </w:p>
          <w:bookmarkEnd w:id="853"/>
          <w:bookmarkEnd w:id="854"/>
          <w:bookmarkEnd w:id="855"/>
          <w:bookmarkEnd w:id="856"/>
          <w:bookmarkEnd w:id="857"/>
          <w:p w14:paraId="23AF72F4">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32.1</w:t>
            </w:r>
            <w:r>
              <w:rPr>
                <w:rFonts w:hint="eastAsia" w:ascii="仿宋_GB2312" w:hAnsi="仿宋_GB2312" w:eastAsia="仿宋_GB2312" w:cs="仿宋_GB2312"/>
                <w:sz w:val="21"/>
                <w:szCs w:val="21"/>
              </w:rPr>
              <w:t>检验要求</w:t>
            </w:r>
          </w:p>
          <w:p w14:paraId="623A2A7D">
            <w:pPr>
              <w:pStyle w:val="269"/>
              <w:tabs>
                <w:tab w:val="center" w:pos="4201"/>
                <w:tab w:val="right" w:leader="dot" w:pos="9298"/>
              </w:tabs>
              <w:spacing w:line="560" w:lineRule="exact"/>
              <w:ind w:firstLine="640"/>
              <w:rPr>
                <w:rFonts w:ascii="仿宋_GB2312" w:hAnsi="仿宋_GB2312" w:eastAsia="仿宋_GB2312" w:cs="仿宋_GB2312"/>
                <w:sz w:val="21"/>
                <w:szCs w:val="21"/>
              </w:rPr>
            </w:pPr>
            <w:r>
              <w:rPr>
                <w:rFonts w:hint="eastAsia" w:ascii="仿宋_GB2312" w:hAnsi="仿宋_GB2312" w:eastAsia="仿宋_GB2312" w:cs="仿宋_GB2312"/>
                <w:sz w:val="21"/>
                <w:szCs w:val="21"/>
              </w:rPr>
              <w:t>承制方应在生产过程中应对半成品、成品逐个检验。原材料及配件理化性能应周期性检验。订购方或订购方指定的检验机构，可依据每批次生产周期，在产品生产过程中，按本部分的规定，对承制方的生产条件、在制品和成品质量进行检验。</w:t>
            </w:r>
          </w:p>
          <w:p w14:paraId="5AEDF8B0">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32.2</w:t>
            </w:r>
            <w:r>
              <w:rPr>
                <w:rFonts w:hint="eastAsia" w:ascii="仿宋_GB2312" w:hAnsi="仿宋_GB2312" w:eastAsia="仿宋_GB2312" w:cs="仿宋_GB2312"/>
                <w:sz w:val="21"/>
                <w:szCs w:val="21"/>
              </w:rPr>
              <w:t>检验项目</w:t>
            </w:r>
          </w:p>
          <w:p w14:paraId="25D865C5">
            <w:pPr>
              <w:pStyle w:val="269"/>
              <w:tabs>
                <w:tab w:val="center" w:pos="4201"/>
                <w:tab w:val="right" w:leader="dot" w:pos="9298"/>
              </w:tabs>
              <w:spacing w:line="560" w:lineRule="exact"/>
              <w:ind w:firstLine="640"/>
              <w:rPr>
                <w:rFonts w:ascii="仿宋_GB2312" w:hAnsi="仿宋_GB2312" w:eastAsia="仿宋_GB2312" w:cs="仿宋_GB2312"/>
                <w:sz w:val="21"/>
                <w:szCs w:val="21"/>
              </w:rPr>
            </w:pPr>
            <w:r>
              <w:rPr>
                <w:rFonts w:hint="eastAsia" w:ascii="仿宋_GB2312" w:hAnsi="仿宋_GB2312" w:eastAsia="仿宋_GB2312" w:cs="仿宋_GB2312"/>
                <w:sz w:val="21"/>
                <w:szCs w:val="21"/>
              </w:rPr>
              <w:t>检验项目见表3规定。</w:t>
            </w:r>
          </w:p>
          <w:p w14:paraId="100DE563">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32.3</w:t>
            </w:r>
            <w:r>
              <w:rPr>
                <w:rFonts w:hint="eastAsia" w:ascii="仿宋_GB2312" w:hAnsi="仿宋_GB2312" w:eastAsia="仿宋_GB2312" w:cs="仿宋_GB2312"/>
                <w:sz w:val="21"/>
                <w:szCs w:val="21"/>
              </w:rPr>
              <w:t>合格判定</w:t>
            </w:r>
          </w:p>
          <w:p w14:paraId="378664FC">
            <w:pPr>
              <w:pStyle w:val="269"/>
              <w:tabs>
                <w:tab w:val="center" w:pos="4201"/>
                <w:tab w:val="right" w:leader="dot" w:pos="9298"/>
              </w:tabs>
              <w:spacing w:line="560" w:lineRule="exact"/>
              <w:ind w:firstLine="640"/>
              <w:rPr>
                <w:rFonts w:ascii="仿宋_GB2312" w:hAnsi="仿宋_GB2312" w:eastAsia="仿宋_GB2312" w:cs="仿宋_GB2312"/>
                <w:sz w:val="21"/>
                <w:szCs w:val="21"/>
              </w:rPr>
            </w:pPr>
            <w:r>
              <w:rPr>
                <w:rFonts w:hint="eastAsia" w:ascii="仿宋_GB2312" w:hAnsi="仿宋_GB2312" w:eastAsia="仿宋_GB2312" w:cs="仿宋_GB2312"/>
                <w:sz w:val="21"/>
                <w:szCs w:val="21"/>
              </w:rPr>
              <w:t>产品全部符合表3合格品判定条件，判定该件产品为合格品。产品因有缺陷返修后经检验合格，判该件产品为合格品。</w:t>
            </w:r>
          </w:p>
          <w:p w14:paraId="1A9E1FC2">
            <w:pPr>
              <w:pStyle w:val="434"/>
              <w:spacing w:beforeLines="0" w:afterLines="0" w:line="560" w:lineRule="exact"/>
              <w:rPr>
                <w:rFonts w:ascii="仿宋_GB2312" w:hAnsi="仿宋_GB2312" w:eastAsia="仿宋_GB2312" w:cs="仿宋_GB2312"/>
                <w:sz w:val="21"/>
                <w:szCs w:val="21"/>
              </w:rPr>
            </w:pPr>
            <w:bookmarkStart w:id="858" w:name="_Toc144691109"/>
            <w:bookmarkStart w:id="859" w:name="_Toc131310064"/>
            <w:bookmarkStart w:id="860" w:name="_Toc197143618"/>
            <w:bookmarkStart w:id="861" w:name="_Toc148753685"/>
            <w:bookmarkStart w:id="862" w:name="_Toc113759736"/>
            <w:bookmarkStart w:id="863" w:name="_Toc113854408"/>
            <w:bookmarkStart w:id="864" w:name="_Toc4308"/>
            <w:bookmarkStart w:id="865" w:name="_Toc112733879"/>
            <w:bookmarkStart w:id="866" w:name="_Toc168807278"/>
            <w:bookmarkStart w:id="867" w:name="_Toc235863435"/>
            <w:r>
              <w:rPr>
                <w:rFonts w:hint="eastAsia" w:ascii="仿宋_GB2312" w:hAnsi="仿宋_GB2312" w:eastAsia="仿宋_GB2312" w:cs="仿宋_GB2312"/>
                <w:sz w:val="21"/>
                <w:szCs w:val="21"/>
              </w:rPr>
              <w:t>验收检验</w:t>
            </w:r>
            <w:bookmarkEnd w:id="858"/>
            <w:bookmarkEnd w:id="859"/>
            <w:bookmarkEnd w:id="860"/>
            <w:bookmarkEnd w:id="861"/>
            <w:bookmarkEnd w:id="862"/>
            <w:bookmarkEnd w:id="863"/>
            <w:bookmarkEnd w:id="864"/>
            <w:bookmarkEnd w:id="865"/>
            <w:bookmarkEnd w:id="866"/>
            <w:bookmarkEnd w:id="867"/>
          </w:p>
          <w:p w14:paraId="6EF9E211">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33.1</w:t>
            </w:r>
            <w:r>
              <w:rPr>
                <w:rFonts w:hint="eastAsia" w:ascii="仿宋_GB2312" w:hAnsi="仿宋_GB2312" w:eastAsia="仿宋_GB2312" w:cs="仿宋_GB2312"/>
                <w:sz w:val="21"/>
                <w:szCs w:val="21"/>
              </w:rPr>
              <w:t>检验要求</w:t>
            </w:r>
          </w:p>
          <w:p w14:paraId="0AF12811">
            <w:pPr>
              <w:pStyle w:val="269"/>
              <w:tabs>
                <w:tab w:val="center" w:pos="4201"/>
                <w:tab w:val="right" w:leader="dot" w:pos="9298"/>
              </w:tabs>
              <w:spacing w:line="560" w:lineRule="exact"/>
              <w:ind w:firstLine="640"/>
              <w:rPr>
                <w:rFonts w:ascii="仿宋_GB2312" w:hAnsi="仿宋_GB2312" w:eastAsia="仿宋_GB2312" w:cs="仿宋_GB2312"/>
                <w:sz w:val="21"/>
                <w:szCs w:val="21"/>
              </w:rPr>
            </w:pPr>
            <w:r>
              <w:rPr>
                <w:rFonts w:hint="eastAsia" w:ascii="仿宋_GB2312" w:hAnsi="仿宋_GB2312" w:eastAsia="仿宋_GB2312" w:cs="仿宋_GB2312"/>
                <w:sz w:val="21"/>
                <w:szCs w:val="21"/>
              </w:rPr>
              <w:t>承制方在产品出厂前，应按批次，相对集中的向订购方或订购方指定的检验机构报检。订购方或订购方指定的检验机构根据需要可对产品进行破坏性检验。</w:t>
            </w:r>
          </w:p>
          <w:p w14:paraId="3060208B">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33.2</w:t>
            </w:r>
            <w:r>
              <w:rPr>
                <w:rFonts w:hint="eastAsia" w:ascii="仿宋_GB2312" w:hAnsi="仿宋_GB2312" w:eastAsia="仿宋_GB2312" w:cs="仿宋_GB2312"/>
                <w:sz w:val="21"/>
                <w:szCs w:val="21"/>
              </w:rPr>
              <w:t>检验项目</w:t>
            </w:r>
          </w:p>
          <w:p w14:paraId="399D6132">
            <w:pPr>
              <w:pStyle w:val="269"/>
              <w:tabs>
                <w:tab w:val="center" w:pos="4201"/>
                <w:tab w:val="right" w:leader="dot" w:pos="9298"/>
              </w:tabs>
              <w:spacing w:line="560" w:lineRule="exact"/>
              <w:ind w:firstLine="640"/>
              <w:rPr>
                <w:rFonts w:ascii="仿宋_GB2312" w:hAnsi="仿宋_GB2312" w:eastAsia="仿宋_GB2312" w:cs="仿宋_GB2312"/>
                <w:sz w:val="21"/>
                <w:szCs w:val="21"/>
              </w:rPr>
            </w:pPr>
            <w:r>
              <w:rPr>
                <w:rFonts w:hint="eastAsia" w:ascii="仿宋_GB2312" w:hAnsi="仿宋_GB2312" w:eastAsia="仿宋_GB2312" w:cs="仿宋_GB2312"/>
                <w:sz w:val="21"/>
                <w:szCs w:val="21"/>
              </w:rPr>
              <w:t>检验项目见表3规定。</w:t>
            </w:r>
          </w:p>
          <w:p w14:paraId="1E4F0928">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33.3</w:t>
            </w:r>
            <w:r>
              <w:rPr>
                <w:rFonts w:hint="eastAsia" w:ascii="仿宋_GB2312" w:hAnsi="仿宋_GB2312" w:eastAsia="仿宋_GB2312" w:cs="仿宋_GB2312"/>
                <w:sz w:val="21"/>
                <w:szCs w:val="21"/>
              </w:rPr>
              <w:t>抽样方法与数量</w:t>
            </w:r>
          </w:p>
          <w:p w14:paraId="4D937C9F">
            <w:pPr>
              <w:pStyle w:val="282"/>
              <w:numPr>
                <w:ilvl w:val="0"/>
                <w:numId w:val="0"/>
              </w:numPr>
              <w:spacing w:beforeLines="0" w:afterLines="0"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抽样方法为随机抽样，检验数量为0.2%。原材料及配件理化性能的检验按实际需要取样。</w:t>
            </w:r>
          </w:p>
          <w:p w14:paraId="46CA2C67">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33.4</w:t>
            </w:r>
            <w:r>
              <w:rPr>
                <w:rFonts w:hint="eastAsia" w:ascii="仿宋_GB2312" w:hAnsi="仿宋_GB2312" w:eastAsia="仿宋_GB2312" w:cs="仿宋_GB2312"/>
                <w:sz w:val="21"/>
                <w:szCs w:val="21"/>
              </w:rPr>
              <w:t>合格判定</w:t>
            </w:r>
          </w:p>
          <w:p w14:paraId="169E663B">
            <w:pPr>
              <w:pStyle w:val="281"/>
              <w:numPr>
                <w:ilvl w:val="4"/>
                <w:numId w:val="0"/>
              </w:numPr>
              <w:spacing w:beforeLines="0" w:afterLines="0"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单件产品全部符合表3中合格品判定条件，判定该件产品为合格品，否则判定为不合格品。</w:t>
            </w:r>
          </w:p>
          <w:p w14:paraId="3281ABDB">
            <w:pPr>
              <w:pStyle w:val="281"/>
              <w:numPr>
                <w:ilvl w:val="4"/>
                <w:numId w:val="0"/>
              </w:numPr>
              <w:spacing w:beforeLines="0" w:afterLines="0" w:line="56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抽样产品全部符合表3中合格品判定条件，判定该批产品为合格。单项性能不合格，允许第二次加倍抽样复验，复验合格，判该批产品为合格，复验不合格，则判该批产品为不合格。</w:t>
            </w:r>
          </w:p>
          <w:p w14:paraId="1326C160">
            <w:pPr>
              <w:pStyle w:val="361"/>
              <w:keepNext w:val="0"/>
              <w:keepLines w:val="0"/>
              <w:pageBreakBefore w:val="0"/>
              <w:widowControl/>
              <w:tabs>
                <w:tab w:val="left" w:pos="360"/>
                <w:tab w:val="clear" w:pos="366"/>
              </w:tabs>
              <w:kinsoku/>
              <w:wordWrap/>
              <w:overflowPunct/>
              <w:topLinePunct w:val="0"/>
              <w:autoSpaceDE/>
              <w:autoSpaceDN/>
              <w:bidi w:val="0"/>
              <w:adjustRightInd/>
              <w:snapToGrid/>
              <w:spacing w:before="156" w:after="156"/>
              <w:ind w:left="0"/>
              <w:jc w:val="center"/>
              <w:textAlignment w:val="auto"/>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检验项目、要求和检验方法</w:t>
            </w:r>
          </w:p>
          <w:tbl>
            <w:tblPr>
              <w:tblStyle w:val="58"/>
              <w:tblW w:w="6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177"/>
              <w:gridCol w:w="1260"/>
              <w:gridCol w:w="26"/>
              <w:gridCol w:w="1534"/>
              <w:gridCol w:w="570"/>
              <w:gridCol w:w="713"/>
              <w:gridCol w:w="618"/>
            </w:tblGrid>
            <w:tr w14:paraId="5559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755" w:type="dxa"/>
                  <w:gridSpan w:val="2"/>
                  <w:tcBorders>
                    <w:top w:val="single" w:color="auto" w:sz="12" w:space="0"/>
                    <w:left w:val="single" w:color="auto" w:sz="12" w:space="0"/>
                    <w:bottom w:val="single" w:color="auto" w:sz="12" w:space="0"/>
                  </w:tcBorders>
                  <w:vAlign w:val="center"/>
                </w:tcPr>
                <w:p w14:paraId="217501FB">
                  <w:pPr>
                    <w:spacing w:line="240" w:lineRule="exact"/>
                    <w:ind w:left="-210" w:leftChars="-100" w:right="-210" w:rightChars="-100"/>
                    <w:jc w:val="center"/>
                    <w:rPr>
                      <w:rFonts w:ascii="黑体" w:hAnsi="黑体" w:eastAsia="黑体" w:cs="黑体"/>
                      <w:color w:val="000000"/>
                      <w:kern w:val="18"/>
                      <w:sz w:val="21"/>
                      <w:szCs w:val="21"/>
                    </w:rPr>
                  </w:pPr>
                  <w:r>
                    <w:rPr>
                      <w:rFonts w:hint="eastAsia" w:ascii="黑体" w:hAnsi="黑体" w:eastAsia="黑体" w:cs="黑体"/>
                      <w:color w:val="000000"/>
                      <w:kern w:val="18"/>
                      <w:sz w:val="21"/>
                      <w:szCs w:val="21"/>
                    </w:rPr>
                    <w:t>检验项目</w:t>
                  </w:r>
                </w:p>
              </w:tc>
              <w:tc>
                <w:tcPr>
                  <w:tcW w:w="1260" w:type="dxa"/>
                  <w:tcBorders>
                    <w:top w:val="single" w:color="auto" w:sz="12" w:space="0"/>
                    <w:bottom w:val="single" w:color="auto" w:sz="12" w:space="0"/>
                  </w:tcBorders>
                  <w:vAlign w:val="center"/>
                </w:tcPr>
                <w:p w14:paraId="1EE71A22">
                  <w:pPr>
                    <w:spacing w:line="240" w:lineRule="exact"/>
                    <w:ind w:left="-210" w:leftChars="-100" w:right="-210" w:rightChars="-100"/>
                    <w:jc w:val="center"/>
                    <w:rPr>
                      <w:rFonts w:ascii="黑体" w:hAnsi="黑体" w:eastAsia="黑体" w:cs="黑体"/>
                      <w:color w:val="000000"/>
                      <w:kern w:val="18"/>
                      <w:sz w:val="21"/>
                      <w:szCs w:val="21"/>
                    </w:rPr>
                  </w:pPr>
                  <w:r>
                    <w:rPr>
                      <w:rFonts w:hint="eastAsia" w:ascii="黑体" w:hAnsi="黑体" w:eastAsia="黑体" w:cs="黑体"/>
                      <w:color w:val="000000"/>
                      <w:kern w:val="18"/>
                      <w:sz w:val="21"/>
                      <w:szCs w:val="21"/>
                    </w:rPr>
                    <w:t>检验方法</w:t>
                  </w:r>
                </w:p>
              </w:tc>
              <w:tc>
                <w:tcPr>
                  <w:tcW w:w="1560" w:type="dxa"/>
                  <w:gridSpan w:val="2"/>
                  <w:tcBorders>
                    <w:top w:val="single" w:color="auto" w:sz="12" w:space="0"/>
                    <w:bottom w:val="single" w:color="auto" w:sz="12" w:space="0"/>
                  </w:tcBorders>
                  <w:vAlign w:val="center"/>
                </w:tcPr>
                <w:p w14:paraId="3126A52E">
                  <w:pPr>
                    <w:spacing w:line="240" w:lineRule="exact"/>
                    <w:ind w:left="-210" w:leftChars="-100" w:right="-210" w:rightChars="-100"/>
                    <w:jc w:val="center"/>
                    <w:rPr>
                      <w:rFonts w:ascii="黑体" w:hAnsi="黑体" w:eastAsia="黑体" w:cs="黑体"/>
                      <w:color w:val="000000"/>
                      <w:kern w:val="18"/>
                      <w:sz w:val="21"/>
                      <w:szCs w:val="21"/>
                    </w:rPr>
                  </w:pPr>
                  <w:r>
                    <w:rPr>
                      <w:rFonts w:hint="eastAsia" w:ascii="黑体" w:hAnsi="黑体" w:eastAsia="黑体" w:cs="黑体"/>
                      <w:color w:val="000000"/>
                      <w:kern w:val="18"/>
                      <w:sz w:val="21"/>
                      <w:szCs w:val="21"/>
                    </w:rPr>
                    <w:t>合格品判定规则</w:t>
                  </w:r>
                </w:p>
              </w:tc>
              <w:tc>
                <w:tcPr>
                  <w:tcW w:w="570" w:type="dxa"/>
                  <w:tcBorders>
                    <w:top w:val="single" w:color="auto" w:sz="12" w:space="0"/>
                    <w:bottom w:val="single" w:color="auto" w:sz="12" w:space="0"/>
                  </w:tcBorders>
                  <w:vAlign w:val="center"/>
                </w:tcPr>
                <w:p w14:paraId="2E369C39">
                  <w:pPr>
                    <w:spacing w:line="240" w:lineRule="exact"/>
                    <w:ind w:left="-210" w:leftChars="-100" w:right="-210" w:rightChars="-100"/>
                    <w:jc w:val="center"/>
                    <w:rPr>
                      <w:rFonts w:ascii="黑体" w:hAnsi="黑体" w:eastAsia="黑体" w:cs="黑体"/>
                      <w:color w:val="000000"/>
                      <w:kern w:val="18"/>
                      <w:sz w:val="21"/>
                      <w:szCs w:val="21"/>
                    </w:rPr>
                  </w:pPr>
                  <w:r>
                    <w:rPr>
                      <w:rFonts w:hint="eastAsia" w:ascii="黑体" w:hAnsi="黑体" w:eastAsia="黑体" w:cs="黑体"/>
                      <w:color w:val="000000"/>
                      <w:kern w:val="18"/>
                      <w:sz w:val="21"/>
                      <w:szCs w:val="21"/>
                    </w:rPr>
                    <w:t>首件检验</w:t>
                  </w:r>
                </w:p>
              </w:tc>
              <w:tc>
                <w:tcPr>
                  <w:tcW w:w="713" w:type="dxa"/>
                  <w:tcBorders>
                    <w:top w:val="single" w:color="auto" w:sz="12" w:space="0"/>
                    <w:bottom w:val="single" w:color="auto" w:sz="12" w:space="0"/>
                  </w:tcBorders>
                  <w:vAlign w:val="center"/>
                </w:tcPr>
                <w:p w14:paraId="2C679B46">
                  <w:pPr>
                    <w:spacing w:line="240" w:lineRule="exact"/>
                    <w:ind w:left="-210" w:leftChars="-100" w:right="-210" w:rightChars="-100"/>
                    <w:jc w:val="center"/>
                    <w:rPr>
                      <w:rFonts w:ascii="黑体" w:hAnsi="黑体" w:eastAsia="黑体" w:cs="黑体"/>
                      <w:color w:val="000000"/>
                      <w:kern w:val="18"/>
                      <w:sz w:val="21"/>
                      <w:szCs w:val="21"/>
                    </w:rPr>
                  </w:pPr>
                  <w:r>
                    <w:rPr>
                      <w:rFonts w:hint="eastAsia" w:ascii="黑体" w:hAnsi="黑体" w:eastAsia="黑体" w:cs="黑体"/>
                      <w:color w:val="000000"/>
                      <w:kern w:val="18"/>
                      <w:sz w:val="21"/>
                      <w:szCs w:val="21"/>
                    </w:rPr>
                    <w:t>质量一致性</w:t>
                  </w:r>
                </w:p>
                <w:p w14:paraId="5E73080B">
                  <w:pPr>
                    <w:spacing w:line="240" w:lineRule="exact"/>
                    <w:ind w:left="-210" w:leftChars="-100" w:right="-210" w:rightChars="-100"/>
                    <w:jc w:val="center"/>
                    <w:rPr>
                      <w:rFonts w:ascii="黑体" w:hAnsi="黑体" w:eastAsia="黑体" w:cs="黑体"/>
                      <w:color w:val="000000"/>
                      <w:kern w:val="18"/>
                      <w:sz w:val="21"/>
                      <w:szCs w:val="21"/>
                    </w:rPr>
                  </w:pPr>
                  <w:r>
                    <w:rPr>
                      <w:rFonts w:hint="eastAsia" w:ascii="黑体" w:hAnsi="黑体" w:eastAsia="黑体" w:cs="黑体"/>
                      <w:color w:val="000000"/>
                      <w:kern w:val="18"/>
                      <w:sz w:val="21"/>
                      <w:szCs w:val="21"/>
                    </w:rPr>
                    <w:t>检验</w:t>
                  </w:r>
                </w:p>
              </w:tc>
              <w:tc>
                <w:tcPr>
                  <w:tcW w:w="618" w:type="dxa"/>
                  <w:tcBorders>
                    <w:top w:val="single" w:color="auto" w:sz="12" w:space="0"/>
                    <w:bottom w:val="single" w:color="auto" w:sz="12" w:space="0"/>
                    <w:right w:val="single" w:color="auto" w:sz="12" w:space="0"/>
                  </w:tcBorders>
                  <w:vAlign w:val="center"/>
                </w:tcPr>
                <w:p w14:paraId="690F0FDD">
                  <w:pPr>
                    <w:spacing w:line="240" w:lineRule="exact"/>
                    <w:ind w:left="-210" w:leftChars="-100" w:right="-210" w:rightChars="-100"/>
                    <w:jc w:val="center"/>
                    <w:rPr>
                      <w:rFonts w:ascii="黑体" w:hAnsi="黑体" w:eastAsia="黑体" w:cs="黑体"/>
                      <w:color w:val="000000"/>
                      <w:kern w:val="18"/>
                      <w:sz w:val="21"/>
                      <w:szCs w:val="21"/>
                    </w:rPr>
                  </w:pPr>
                  <w:r>
                    <w:rPr>
                      <w:rFonts w:hint="eastAsia" w:ascii="黑体" w:hAnsi="黑体" w:eastAsia="黑体" w:cs="黑体"/>
                      <w:color w:val="000000"/>
                      <w:kern w:val="18"/>
                      <w:sz w:val="21"/>
                      <w:szCs w:val="21"/>
                    </w:rPr>
                    <w:t>验收检验</w:t>
                  </w:r>
                </w:p>
              </w:tc>
            </w:tr>
            <w:tr w14:paraId="3C6F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578" w:type="dxa"/>
                  <w:vMerge w:val="restart"/>
                  <w:tcBorders>
                    <w:top w:val="single" w:color="auto" w:sz="12" w:space="0"/>
                    <w:left w:val="single" w:color="auto" w:sz="12" w:space="0"/>
                  </w:tcBorders>
                  <w:vAlign w:val="center"/>
                </w:tcPr>
                <w:p w14:paraId="0531872B">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材</w:t>
                  </w:r>
                </w:p>
                <w:p w14:paraId="4BEC705A">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料</w:t>
                  </w:r>
                </w:p>
                <w:p w14:paraId="70C2BD13">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14:paraId="24684481">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配</w:t>
                  </w:r>
                </w:p>
                <w:p w14:paraId="74959440">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件</w:t>
                  </w:r>
                </w:p>
              </w:tc>
              <w:tc>
                <w:tcPr>
                  <w:tcW w:w="1177" w:type="dxa"/>
                  <w:tcBorders>
                    <w:top w:val="single" w:color="auto" w:sz="12" w:space="0"/>
                  </w:tcBorders>
                  <w:vAlign w:val="center"/>
                </w:tcPr>
                <w:p w14:paraId="5CF10ADD">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炉体材料性能</w:t>
                  </w:r>
                </w:p>
              </w:tc>
              <w:tc>
                <w:tcPr>
                  <w:tcW w:w="1286" w:type="dxa"/>
                  <w:gridSpan w:val="2"/>
                  <w:tcBorders>
                    <w:top w:val="single" w:color="auto" w:sz="12" w:space="0"/>
                  </w:tcBorders>
                  <w:vAlign w:val="center"/>
                </w:tcPr>
                <w:p w14:paraId="6227C1E9">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按4.4.1的规定</w:t>
                  </w:r>
                </w:p>
              </w:tc>
              <w:tc>
                <w:tcPr>
                  <w:tcW w:w="1534" w:type="dxa"/>
                  <w:vMerge w:val="restart"/>
                  <w:tcBorders>
                    <w:top w:val="single" w:color="auto" w:sz="12" w:space="0"/>
                  </w:tcBorders>
                  <w:vAlign w:val="center"/>
                </w:tcPr>
                <w:p w14:paraId="4E9C0064">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符合3.4.1表1的规定</w:t>
                  </w:r>
                </w:p>
              </w:tc>
              <w:tc>
                <w:tcPr>
                  <w:tcW w:w="570" w:type="dxa"/>
                  <w:tcBorders>
                    <w:top w:val="single" w:color="auto" w:sz="12" w:space="0"/>
                  </w:tcBorders>
                  <w:vAlign w:val="center"/>
                </w:tcPr>
                <w:p w14:paraId="5A20E252">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tcBorders>
                    <w:top w:val="single" w:color="auto" w:sz="12" w:space="0"/>
                  </w:tcBorders>
                  <w:vAlign w:val="center"/>
                </w:tcPr>
                <w:p w14:paraId="4733C9E4">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18" w:type="dxa"/>
                  <w:tcBorders>
                    <w:top w:val="single" w:color="auto" w:sz="12" w:space="0"/>
                    <w:right w:val="single" w:color="auto" w:sz="12" w:space="0"/>
                  </w:tcBorders>
                  <w:vAlign w:val="center"/>
                </w:tcPr>
                <w:p w14:paraId="1F42A44F">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14:paraId="3DDD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78" w:type="dxa"/>
                  <w:vMerge w:val="continue"/>
                  <w:tcBorders>
                    <w:left w:val="single" w:color="auto" w:sz="12" w:space="0"/>
                  </w:tcBorders>
                  <w:vAlign w:val="center"/>
                </w:tcPr>
                <w:p w14:paraId="7583E95F">
                  <w:pPr>
                    <w:spacing w:line="240" w:lineRule="exact"/>
                    <w:jc w:val="center"/>
                    <w:rPr>
                      <w:rFonts w:ascii="仿宋_GB2312" w:hAnsi="仿宋_GB2312" w:eastAsia="仿宋_GB2312" w:cs="仿宋_GB2312"/>
                      <w:color w:val="000000"/>
                      <w:sz w:val="21"/>
                      <w:szCs w:val="21"/>
                    </w:rPr>
                  </w:pPr>
                </w:p>
              </w:tc>
              <w:tc>
                <w:tcPr>
                  <w:tcW w:w="1177" w:type="dxa"/>
                  <w:tcBorders>
                    <w:bottom w:val="single" w:color="auto" w:sz="4" w:space="0"/>
                  </w:tcBorders>
                  <w:vAlign w:val="center"/>
                </w:tcPr>
                <w:p w14:paraId="5E58F9C4">
                  <w:pPr>
                    <w:pStyle w:val="36"/>
                    <w:snapToGrid/>
                    <w:spacing w:line="24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烟囱材料性能</w:t>
                  </w:r>
                </w:p>
              </w:tc>
              <w:tc>
                <w:tcPr>
                  <w:tcW w:w="1286" w:type="dxa"/>
                  <w:gridSpan w:val="2"/>
                  <w:vAlign w:val="center"/>
                </w:tcPr>
                <w:p w14:paraId="39BCC2DD">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按4.4.2的规定</w:t>
                  </w:r>
                </w:p>
              </w:tc>
              <w:tc>
                <w:tcPr>
                  <w:tcW w:w="1534" w:type="dxa"/>
                  <w:vMerge w:val="continue"/>
                  <w:vAlign w:val="center"/>
                </w:tcPr>
                <w:p w14:paraId="4174B2C5">
                  <w:pPr>
                    <w:spacing w:line="240" w:lineRule="exact"/>
                    <w:jc w:val="center"/>
                    <w:rPr>
                      <w:rFonts w:ascii="仿宋_GB2312" w:hAnsi="仿宋_GB2312" w:eastAsia="仿宋_GB2312" w:cs="仿宋_GB2312"/>
                      <w:color w:val="000000"/>
                      <w:sz w:val="21"/>
                      <w:szCs w:val="21"/>
                    </w:rPr>
                  </w:pPr>
                </w:p>
              </w:tc>
              <w:tc>
                <w:tcPr>
                  <w:tcW w:w="570" w:type="dxa"/>
                  <w:vAlign w:val="center"/>
                </w:tcPr>
                <w:p w14:paraId="2DA1A092">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vAlign w:val="center"/>
                </w:tcPr>
                <w:p w14:paraId="2AA911C2">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18" w:type="dxa"/>
                  <w:tcBorders>
                    <w:bottom w:val="single" w:color="auto" w:sz="4" w:space="0"/>
                    <w:right w:val="single" w:color="auto" w:sz="12" w:space="0"/>
                  </w:tcBorders>
                  <w:vAlign w:val="center"/>
                </w:tcPr>
                <w:p w14:paraId="663CA56D">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14:paraId="482E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78" w:type="dxa"/>
                  <w:vMerge w:val="continue"/>
                  <w:tcBorders>
                    <w:left w:val="single" w:color="auto" w:sz="12" w:space="0"/>
                  </w:tcBorders>
                  <w:vAlign w:val="center"/>
                </w:tcPr>
                <w:p w14:paraId="0C8A3D60">
                  <w:pPr>
                    <w:spacing w:line="240" w:lineRule="exact"/>
                    <w:jc w:val="center"/>
                    <w:rPr>
                      <w:rFonts w:ascii="仿宋_GB2312" w:hAnsi="仿宋_GB2312" w:eastAsia="仿宋_GB2312" w:cs="仿宋_GB2312"/>
                      <w:color w:val="000000"/>
                      <w:sz w:val="21"/>
                      <w:szCs w:val="21"/>
                    </w:rPr>
                  </w:pPr>
                </w:p>
              </w:tc>
              <w:tc>
                <w:tcPr>
                  <w:tcW w:w="1177" w:type="dxa"/>
                  <w:tcBorders>
                    <w:top w:val="single" w:color="auto" w:sz="4" w:space="0"/>
                  </w:tcBorders>
                  <w:vAlign w:val="center"/>
                </w:tcPr>
                <w:p w14:paraId="4F45A28D">
                  <w:pPr>
                    <w:pStyle w:val="36"/>
                    <w:snapToGrid/>
                    <w:spacing w:line="24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炉体钢板厚度</w:t>
                  </w:r>
                </w:p>
              </w:tc>
              <w:tc>
                <w:tcPr>
                  <w:tcW w:w="1286" w:type="dxa"/>
                  <w:gridSpan w:val="2"/>
                  <w:vMerge w:val="restart"/>
                  <w:vAlign w:val="center"/>
                </w:tcPr>
                <w:p w14:paraId="26ACDBC1">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按4.4.3的规定</w:t>
                  </w:r>
                </w:p>
              </w:tc>
              <w:tc>
                <w:tcPr>
                  <w:tcW w:w="1534" w:type="dxa"/>
                  <w:vMerge w:val="continue"/>
                  <w:vAlign w:val="center"/>
                </w:tcPr>
                <w:p w14:paraId="05C5BBA5">
                  <w:pPr>
                    <w:spacing w:line="240" w:lineRule="exact"/>
                    <w:jc w:val="center"/>
                    <w:rPr>
                      <w:rFonts w:ascii="仿宋_GB2312" w:hAnsi="仿宋_GB2312" w:eastAsia="仿宋_GB2312" w:cs="仿宋_GB2312"/>
                      <w:color w:val="000000"/>
                      <w:sz w:val="21"/>
                      <w:szCs w:val="21"/>
                    </w:rPr>
                  </w:pPr>
                </w:p>
              </w:tc>
              <w:tc>
                <w:tcPr>
                  <w:tcW w:w="570" w:type="dxa"/>
                  <w:vAlign w:val="center"/>
                </w:tcPr>
                <w:p w14:paraId="40CC1F5A">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vAlign w:val="center"/>
                </w:tcPr>
                <w:p w14:paraId="7C66845C">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18" w:type="dxa"/>
                  <w:tcBorders>
                    <w:top w:val="single" w:color="auto" w:sz="4" w:space="0"/>
                    <w:right w:val="single" w:color="auto" w:sz="12" w:space="0"/>
                  </w:tcBorders>
                  <w:vAlign w:val="center"/>
                </w:tcPr>
                <w:p w14:paraId="0598C9BC">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14:paraId="7DE9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578" w:type="dxa"/>
                  <w:vMerge w:val="continue"/>
                  <w:tcBorders>
                    <w:left w:val="single" w:color="auto" w:sz="12" w:space="0"/>
                  </w:tcBorders>
                  <w:vAlign w:val="center"/>
                </w:tcPr>
                <w:p w14:paraId="64AD5A29">
                  <w:pPr>
                    <w:spacing w:line="240" w:lineRule="exact"/>
                    <w:jc w:val="center"/>
                    <w:rPr>
                      <w:rFonts w:ascii="仿宋_GB2312" w:hAnsi="仿宋_GB2312" w:eastAsia="仿宋_GB2312" w:cs="仿宋_GB2312"/>
                      <w:color w:val="000000"/>
                      <w:sz w:val="21"/>
                      <w:szCs w:val="21"/>
                    </w:rPr>
                  </w:pPr>
                </w:p>
              </w:tc>
              <w:tc>
                <w:tcPr>
                  <w:tcW w:w="1177" w:type="dxa"/>
                  <w:vAlign w:val="center"/>
                </w:tcPr>
                <w:p w14:paraId="008A75C7">
                  <w:pPr>
                    <w:pStyle w:val="36"/>
                    <w:snapToGrid/>
                    <w:spacing w:line="24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烟囱镀锌板厚度</w:t>
                  </w:r>
                </w:p>
              </w:tc>
              <w:tc>
                <w:tcPr>
                  <w:tcW w:w="1286" w:type="dxa"/>
                  <w:gridSpan w:val="2"/>
                  <w:vMerge w:val="continue"/>
                  <w:vAlign w:val="center"/>
                </w:tcPr>
                <w:p w14:paraId="7B48C619">
                  <w:pPr>
                    <w:spacing w:line="240" w:lineRule="exact"/>
                    <w:jc w:val="center"/>
                    <w:rPr>
                      <w:rFonts w:ascii="仿宋_GB2312" w:hAnsi="仿宋_GB2312" w:eastAsia="仿宋_GB2312" w:cs="仿宋_GB2312"/>
                      <w:color w:val="000000"/>
                      <w:sz w:val="21"/>
                      <w:szCs w:val="21"/>
                    </w:rPr>
                  </w:pPr>
                </w:p>
              </w:tc>
              <w:tc>
                <w:tcPr>
                  <w:tcW w:w="1534" w:type="dxa"/>
                  <w:vMerge w:val="continue"/>
                  <w:vAlign w:val="center"/>
                </w:tcPr>
                <w:p w14:paraId="0A433102">
                  <w:pPr>
                    <w:spacing w:line="240" w:lineRule="exact"/>
                    <w:jc w:val="center"/>
                    <w:rPr>
                      <w:rFonts w:ascii="仿宋_GB2312" w:hAnsi="仿宋_GB2312" w:eastAsia="仿宋_GB2312" w:cs="仿宋_GB2312"/>
                      <w:color w:val="000000"/>
                      <w:sz w:val="21"/>
                      <w:szCs w:val="21"/>
                    </w:rPr>
                  </w:pPr>
                </w:p>
              </w:tc>
              <w:tc>
                <w:tcPr>
                  <w:tcW w:w="570" w:type="dxa"/>
                  <w:vAlign w:val="center"/>
                </w:tcPr>
                <w:p w14:paraId="22102BFA">
                  <w:pPr>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c>
                <w:tcPr>
                  <w:tcW w:w="713" w:type="dxa"/>
                  <w:vAlign w:val="center"/>
                </w:tcPr>
                <w:p w14:paraId="03358143">
                  <w:pPr>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c>
                <w:tcPr>
                  <w:tcW w:w="618" w:type="dxa"/>
                  <w:tcBorders>
                    <w:right w:val="single" w:color="auto" w:sz="12" w:space="0"/>
                  </w:tcBorders>
                  <w:vAlign w:val="center"/>
                </w:tcPr>
                <w:p w14:paraId="6FA1C640">
                  <w:pPr>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r>
            <w:tr w14:paraId="2093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78" w:type="dxa"/>
                  <w:vMerge w:val="restart"/>
                  <w:tcBorders>
                    <w:left w:val="single" w:color="auto" w:sz="12" w:space="0"/>
                  </w:tcBorders>
                  <w:vAlign w:val="center"/>
                </w:tcPr>
                <w:p w14:paraId="4AC8BA1E">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外观</w:t>
                  </w:r>
                </w:p>
                <w:p w14:paraId="3E1FBE9C">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质量</w:t>
                  </w:r>
                </w:p>
              </w:tc>
              <w:tc>
                <w:tcPr>
                  <w:tcW w:w="1177" w:type="dxa"/>
                  <w:vAlign w:val="center"/>
                </w:tcPr>
                <w:p w14:paraId="2F1EB29E">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成品主要尺寸</w:t>
                  </w:r>
                </w:p>
              </w:tc>
              <w:tc>
                <w:tcPr>
                  <w:tcW w:w="1286" w:type="dxa"/>
                  <w:gridSpan w:val="2"/>
                  <w:vAlign w:val="center"/>
                </w:tcPr>
                <w:p w14:paraId="1C959189">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按4.3的规定</w:t>
                  </w:r>
                </w:p>
              </w:tc>
              <w:tc>
                <w:tcPr>
                  <w:tcW w:w="1534" w:type="dxa"/>
                  <w:vAlign w:val="center"/>
                </w:tcPr>
                <w:p w14:paraId="64E8FE79">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符合表1的规定</w:t>
                  </w:r>
                </w:p>
              </w:tc>
              <w:tc>
                <w:tcPr>
                  <w:tcW w:w="570" w:type="dxa"/>
                  <w:vAlign w:val="center"/>
                </w:tcPr>
                <w:p w14:paraId="66436431">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vAlign w:val="center"/>
                </w:tcPr>
                <w:p w14:paraId="7BC57A8E">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18" w:type="dxa"/>
                  <w:tcBorders>
                    <w:right w:val="single" w:color="auto" w:sz="12" w:space="0"/>
                  </w:tcBorders>
                  <w:vAlign w:val="center"/>
                </w:tcPr>
                <w:p w14:paraId="1E04D94B">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14:paraId="7CBE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78" w:type="dxa"/>
                  <w:vMerge w:val="continue"/>
                  <w:tcBorders>
                    <w:left w:val="single" w:color="auto" w:sz="12" w:space="0"/>
                  </w:tcBorders>
                  <w:vAlign w:val="center"/>
                </w:tcPr>
                <w:p w14:paraId="0F772813">
                  <w:pPr>
                    <w:spacing w:line="240" w:lineRule="exact"/>
                    <w:jc w:val="center"/>
                    <w:rPr>
                      <w:rFonts w:ascii="仿宋_GB2312" w:hAnsi="仿宋_GB2312" w:eastAsia="仿宋_GB2312" w:cs="仿宋_GB2312"/>
                      <w:color w:val="000000"/>
                      <w:sz w:val="21"/>
                      <w:szCs w:val="21"/>
                    </w:rPr>
                  </w:pPr>
                </w:p>
              </w:tc>
              <w:tc>
                <w:tcPr>
                  <w:tcW w:w="1177" w:type="dxa"/>
                  <w:tcBorders>
                    <w:bottom w:val="single" w:color="auto" w:sz="4" w:space="0"/>
                  </w:tcBorders>
                  <w:vAlign w:val="center"/>
                </w:tcPr>
                <w:p w14:paraId="4B1072B5">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产品标志</w:t>
                  </w:r>
                </w:p>
              </w:tc>
              <w:tc>
                <w:tcPr>
                  <w:tcW w:w="1286" w:type="dxa"/>
                  <w:gridSpan w:val="2"/>
                  <w:vAlign w:val="center"/>
                </w:tcPr>
                <w:p w14:paraId="5F0DE77A">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目视检验</w:t>
                  </w:r>
                </w:p>
              </w:tc>
              <w:tc>
                <w:tcPr>
                  <w:tcW w:w="1534" w:type="dxa"/>
                  <w:tcBorders>
                    <w:bottom w:val="single" w:color="auto" w:sz="4" w:space="0"/>
                  </w:tcBorders>
                  <w:vAlign w:val="center"/>
                </w:tcPr>
                <w:p w14:paraId="0D16E3C6">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符合6.1.1的规定</w:t>
                  </w:r>
                </w:p>
              </w:tc>
              <w:tc>
                <w:tcPr>
                  <w:tcW w:w="570" w:type="dxa"/>
                  <w:vAlign w:val="center"/>
                </w:tcPr>
                <w:p w14:paraId="438AD3E5">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vAlign w:val="center"/>
                </w:tcPr>
                <w:p w14:paraId="6EB8A783">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18" w:type="dxa"/>
                  <w:tcBorders>
                    <w:bottom w:val="single" w:color="auto" w:sz="4" w:space="0"/>
                    <w:right w:val="single" w:color="auto" w:sz="12" w:space="0"/>
                  </w:tcBorders>
                  <w:vAlign w:val="center"/>
                </w:tcPr>
                <w:p w14:paraId="43368D07">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14:paraId="5042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78" w:type="dxa"/>
                  <w:vMerge w:val="restart"/>
                  <w:tcBorders>
                    <w:top w:val="single" w:color="auto" w:sz="4" w:space="0"/>
                    <w:left w:val="single" w:color="auto" w:sz="12" w:space="0"/>
                  </w:tcBorders>
                  <w:vAlign w:val="center"/>
                </w:tcPr>
                <w:p w14:paraId="1C888F56">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包装</w:t>
                  </w:r>
                </w:p>
              </w:tc>
              <w:tc>
                <w:tcPr>
                  <w:tcW w:w="1177" w:type="dxa"/>
                  <w:tcBorders>
                    <w:top w:val="single" w:color="auto" w:sz="4" w:space="0"/>
                  </w:tcBorders>
                  <w:vAlign w:val="center"/>
                </w:tcPr>
                <w:p w14:paraId="18B7474D">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瓦楞纸箱</w:t>
                  </w:r>
                </w:p>
              </w:tc>
              <w:tc>
                <w:tcPr>
                  <w:tcW w:w="1286" w:type="dxa"/>
                  <w:gridSpan w:val="2"/>
                  <w:tcBorders>
                    <w:top w:val="single" w:color="auto" w:sz="4" w:space="0"/>
                  </w:tcBorders>
                  <w:vAlign w:val="center"/>
                </w:tcPr>
                <w:p w14:paraId="0E502557">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按4.4.4的规定</w:t>
                  </w:r>
                </w:p>
              </w:tc>
              <w:tc>
                <w:tcPr>
                  <w:tcW w:w="1534" w:type="dxa"/>
                  <w:tcBorders>
                    <w:top w:val="single" w:color="auto" w:sz="4" w:space="0"/>
                  </w:tcBorders>
                  <w:vAlign w:val="center"/>
                </w:tcPr>
                <w:p w14:paraId="118D5052">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符合6.2.1和6.2.2的规定</w:t>
                  </w:r>
                </w:p>
              </w:tc>
              <w:tc>
                <w:tcPr>
                  <w:tcW w:w="570" w:type="dxa"/>
                  <w:vAlign w:val="center"/>
                </w:tcPr>
                <w:p w14:paraId="000FF09F">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vAlign w:val="center"/>
                </w:tcPr>
                <w:p w14:paraId="6365FB8B">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18" w:type="dxa"/>
                  <w:tcBorders>
                    <w:top w:val="single" w:color="auto" w:sz="4" w:space="0"/>
                    <w:right w:val="single" w:color="auto" w:sz="12" w:space="0"/>
                  </w:tcBorders>
                  <w:vAlign w:val="center"/>
                </w:tcPr>
                <w:p w14:paraId="0D4B0EE0">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14:paraId="1661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578" w:type="dxa"/>
                  <w:vMerge w:val="continue"/>
                  <w:tcBorders>
                    <w:left w:val="single" w:color="auto" w:sz="12" w:space="0"/>
                  </w:tcBorders>
                  <w:vAlign w:val="center"/>
                </w:tcPr>
                <w:p w14:paraId="44988E2B">
                  <w:pPr>
                    <w:spacing w:line="240" w:lineRule="exact"/>
                    <w:jc w:val="center"/>
                    <w:rPr>
                      <w:rFonts w:ascii="仿宋_GB2312" w:hAnsi="仿宋_GB2312" w:eastAsia="仿宋_GB2312" w:cs="仿宋_GB2312"/>
                      <w:color w:val="000000"/>
                      <w:sz w:val="21"/>
                      <w:szCs w:val="21"/>
                    </w:rPr>
                  </w:pPr>
                </w:p>
              </w:tc>
              <w:tc>
                <w:tcPr>
                  <w:tcW w:w="1177" w:type="dxa"/>
                  <w:vAlign w:val="center"/>
                </w:tcPr>
                <w:p w14:paraId="2C3C1F62">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压敏胶粘带</w:t>
                  </w:r>
                </w:p>
              </w:tc>
              <w:tc>
                <w:tcPr>
                  <w:tcW w:w="1286" w:type="dxa"/>
                  <w:gridSpan w:val="2"/>
                  <w:vAlign w:val="center"/>
                </w:tcPr>
                <w:p w14:paraId="13C2FD63">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按4.4.5的规定</w:t>
                  </w:r>
                </w:p>
              </w:tc>
              <w:tc>
                <w:tcPr>
                  <w:tcW w:w="1534" w:type="dxa"/>
                  <w:vAlign w:val="center"/>
                </w:tcPr>
                <w:p w14:paraId="54676CA2">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符合6.2.4的规定</w:t>
                  </w:r>
                </w:p>
              </w:tc>
              <w:tc>
                <w:tcPr>
                  <w:tcW w:w="570" w:type="dxa"/>
                </w:tcPr>
                <w:p w14:paraId="39E9D7C5">
                  <w:pPr>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c>
                <w:tcPr>
                  <w:tcW w:w="713" w:type="dxa"/>
                </w:tcPr>
                <w:p w14:paraId="266612D0">
                  <w:pPr>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c>
                <w:tcPr>
                  <w:tcW w:w="618" w:type="dxa"/>
                  <w:tcBorders>
                    <w:right w:val="single" w:color="auto" w:sz="12" w:space="0"/>
                  </w:tcBorders>
                </w:tcPr>
                <w:p w14:paraId="03062478">
                  <w:pPr>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r>
            <w:tr w14:paraId="18FB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578" w:type="dxa"/>
                  <w:vMerge w:val="continue"/>
                  <w:tcBorders>
                    <w:left w:val="single" w:color="auto" w:sz="12" w:space="0"/>
                  </w:tcBorders>
                  <w:vAlign w:val="center"/>
                </w:tcPr>
                <w:p w14:paraId="3A646706">
                  <w:pPr>
                    <w:spacing w:line="240" w:lineRule="exact"/>
                    <w:jc w:val="center"/>
                    <w:rPr>
                      <w:rFonts w:ascii="仿宋_GB2312" w:hAnsi="仿宋_GB2312" w:eastAsia="仿宋_GB2312" w:cs="仿宋_GB2312"/>
                      <w:color w:val="000000"/>
                      <w:sz w:val="21"/>
                      <w:szCs w:val="21"/>
                    </w:rPr>
                  </w:pPr>
                </w:p>
              </w:tc>
              <w:tc>
                <w:tcPr>
                  <w:tcW w:w="1177" w:type="dxa"/>
                  <w:vAlign w:val="center"/>
                </w:tcPr>
                <w:p w14:paraId="6D610803">
                  <w:pPr>
                    <w:pStyle w:val="36"/>
                    <w:snapToGrid/>
                    <w:spacing w:line="24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塑料打包带</w:t>
                  </w:r>
                </w:p>
              </w:tc>
              <w:tc>
                <w:tcPr>
                  <w:tcW w:w="1286" w:type="dxa"/>
                  <w:gridSpan w:val="2"/>
                  <w:vAlign w:val="center"/>
                </w:tcPr>
                <w:p w14:paraId="210C02B5">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按4.4.6的规定</w:t>
                  </w:r>
                </w:p>
              </w:tc>
              <w:tc>
                <w:tcPr>
                  <w:tcW w:w="1534" w:type="dxa"/>
                  <w:vAlign w:val="center"/>
                </w:tcPr>
                <w:p w14:paraId="6DA8483D">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符合6.2.5的规定</w:t>
                  </w:r>
                </w:p>
              </w:tc>
              <w:tc>
                <w:tcPr>
                  <w:tcW w:w="570" w:type="dxa"/>
                </w:tcPr>
                <w:p w14:paraId="20D35600">
                  <w:pPr>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c>
                <w:tcPr>
                  <w:tcW w:w="713" w:type="dxa"/>
                </w:tcPr>
                <w:p w14:paraId="30F4C8E2">
                  <w:pPr>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c>
                <w:tcPr>
                  <w:tcW w:w="618" w:type="dxa"/>
                  <w:tcBorders>
                    <w:right w:val="single" w:color="auto" w:sz="12" w:space="0"/>
                  </w:tcBorders>
                </w:tcPr>
                <w:p w14:paraId="14996F14">
                  <w:pPr>
                    <w:jc w:val="center"/>
                    <w:rPr>
                      <w:rFonts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r>
            <w:tr w14:paraId="3AA2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78" w:type="dxa"/>
                  <w:vMerge w:val="continue"/>
                  <w:tcBorders>
                    <w:left w:val="single" w:color="auto" w:sz="12" w:space="0"/>
                  </w:tcBorders>
                  <w:vAlign w:val="center"/>
                </w:tcPr>
                <w:p w14:paraId="74E59820">
                  <w:pPr>
                    <w:spacing w:line="240" w:lineRule="exact"/>
                    <w:jc w:val="center"/>
                    <w:rPr>
                      <w:rFonts w:ascii="仿宋_GB2312" w:hAnsi="仿宋_GB2312" w:eastAsia="仿宋_GB2312" w:cs="仿宋_GB2312"/>
                      <w:color w:val="000000"/>
                      <w:sz w:val="21"/>
                      <w:szCs w:val="21"/>
                    </w:rPr>
                  </w:pPr>
                </w:p>
              </w:tc>
              <w:tc>
                <w:tcPr>
                  <w:tcW w:w="1177" w:type="dxa"/>
                  <w:vAlign w:val="center"/>
                </w:tcPr>
                <w:p w14:paraId="13BF3FC9">
                  <w:pPr>
                    <w:pStyle w:val="36"/>
                    <w:snapToGrid/>
                    <w:spacing w:line="24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包装标志</w:t>
                  </w:r>
                </w:p>
              </w:tc>
              <w:tc>
                <w:tcPr>
                  <w:tcW w:w="1286" w:type="dxa"/>
                  <w:gridSpan w:val="2"/>
                  <w:vMerge w:val="restart"/>
                  <w:vAlign w:val="center"/>
                </w:tcPr>
                <w:p w14:paraId="455BE3B9">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目视检验</w:t>
                  </w:r>
                </w:p>
              </w:tc>
              <w:tc>
                <w:tcPr>
                  <w:tcW w:w="1534" w:type="dxa"/>
                  <w:vAlign w:val="center"/>
                </w:tcPr>
                <w:p w14:paraId="6CC986CF">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符合6.1.2的规定</w:t>
                  </w:r>
                </w:p>
              </w:tc>
              <w:tc>
                <w:tcPr>
                  <w:tcW w:w="570" w:type="dxa"/>
                  <w:vAlign w:val="center"/>
                </w:tcPr>
                <w:p w14:paraId="5FEF971F">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vAlign w:val="center"/>
                </w:tcPr>
                <w:p w14:paraId="28370B19">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18" w:type="dxa"/>
                  <w:tcBorders>
                    <w:right w:val="single" w:color="auto" w:sz="12" w:space="0"/>
                  </w:tcBorders>
                  <w:vAlign w:val="center"/>
                </w:tcPr>
                <w:p w14:paraId="42D0FE2B">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14:paraId="0C51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78" w:type="dxa"/>
                  <w:vMerge w:val="continue"/>
                  <w:tcBorders>
                    <w:left w:val="single" w:color="auto" w:sz="12" w:space="0"/>
                    <w:bottom w:val="single" w:color="auto" w:sz="4" w:space="0"/>
                  </w:tcBorders>
                  <w:vAlign w:val="center"/>
                </w:tcPr>
                <w:p w14:paraId="21CE3AA4">
                  <w:pPr>
                    <w:spacing w:line="240" w:lineRule="exact"/>
                    <w:jc w:val="center"/>
                    <w:rPr>
                      <w:rFonts w:ascii="仿宋_GB2312" w:hAnsi="仿宋_GB2312" w:eastAsia="仿宋_GB2312" w:cs="仿宋_GB2312"/>
                      <w:color w:val="000000"/>
                      <w:sz w:val="21"/>
                      <w:szCs w:val="21"/>
                    </w:rPr>
                  </w:pPr>
                </w:p>
              </w:tc>
              <w:tc>
                <w:tcPr>
                  <w:tcW w:w="1177" w:type="dxa"/>
                  <w:tcBorders>
                    <w:bottom w:val="single" w:color="auto" w:sz="4" w:space="0"/>
                  </w:tcBorders>
                  <w:vAlign w:val="center"/>
                </w:tcPr>
                <w:p w14:paraId="7D744FF3">
                  <w:pPr>
                    <w:pStyle w:val="36"/>
                    <w:snapToGrid/>
                    <w:spacing w:line="240" w:lineRule="exac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包装检验单</w:t>
                  </w:r>
                </w:p>
              </w:tc>
              <w:tc>
                <w:tcPr>
                  <w:tcW w:w="1286" w:type="dxa"/>
                  <w:gridSpan w:val="2"/>
                  <w:vMerge w:val="continue"/>
                  <w:tcBorders>
                    <w:bottom w:val="single" w:color="auto" w:sz="4" w:space="0"/>
                  </w:tcBorders>
                  <w:vAlign w:val="center"/>
                </w:tcPr>
                <w:p w14:paraId="173A6376">
                  <w:pPr>
                    <w:spacing w:line="240" w:lineRule="exact"/>
                    <w:jc w:val="center"/>
                    <w:rPr>
                      <w:rFonts w:ascii="仿宋_GB2312" w:hAnsi="仿宋_GB2312" w:eastAsia="仿宋_GB2312" w:cs="仿宋_GB2312"/>
                      <w:color w:val="000000"/>
                      <w:sz w:val="21"/>
                      <w:szCs w:val="21"/>
                    </w:rPr>
                  </w:pPr>
                </w:p>
              </w:tc>
              <w:tc>
                <w:tcPr>
                  <w:tcW w:w="1534" w:type="dxa"/>
                  <w:tcBorders>
                    <w:bottom w:val="single" w:color="auto" w:sz="4" w:space="0"/>
                  </w:tcBorders>
                  <w:vAlign w:val="center"/>
                </w:tcPr>
                <w:p w14:paraId="1DE8465E">
                  <w:pPr>
                    <w:spacing w:line="24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符合6.2.3的规定</w:t>
                  </w:r>
                </w:p>
              </w:tc>
              <w:tc>
                <w:tcPr>
                  <w:tcW w:w="570" w:type="dxa"/>
                  <w:tcBorders>
                    <w:bottom w:val="single" w:color="auto" w:sz="4" w:space="0"/>
                  </w:tcBorders>
                  <w:vAlign w:val="center"/>
                </w:tcPr>
                <w:p w14:paraId="0E83AB5D">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tcBorders>
                    <w:bottom w:val="single" w:color="auto" w:sz="4" w:space="0"/>
                  </w:tcBorders>
                  <w:vAlign w:val="center"/>
                </w:tcPr>
                <w:p w14:paraId="151A7BAC">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18" w:type="dxa"/>
                  <w:tcBorders>
                    <w:bottom w:val="single" w:color="auto" w:sz="4" w:space="0"/>
                    <w:right w:val="single" w:color="auto" w:sz="12" w:space="0"/>
                  </w:tcBorders>
                  <w:vAlign w:val="center"/>
                </w:tcPr>
                <w:p w14:paraId="04868A3F">
                  <w:pPr>
                    <w:spacing w:line="240" w:lineRule="exact"/>
                    <w:ind w:left="-105" w:leftChars="-50" w:right="-105" w:rightChars="-50"/>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14:paraId="5474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476" w:type="dxa"/>
                  <w:gridSpan w:val="8"/>
                  <w:tcBorders>
                    <w:left w:val="single" w:color="auto" w:sz="12" w:space="0"/>
                    <w:bottom w:val="single" w:color="auto" w:sz="12" w:space="0"/>
                    <w:right w:val="single" w:color="auto" w:sz="12" w:space="0"/>
                  </w:tcBorders>
                  <w:vAlign w:val="center"/>
                </w:tcPr>
                <w:p w14:paraId="10EF0ED3">
                  <w:pPr>
                    <w:spacing w:line="240" w:lineRule="exact"/>
                    <w:ind w:firstLine="420" w:firstLineChars="20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注：●必检项目；○选检项目；—不检项目。</w:t>
                  </w:r>
                </w:p>
              </w:tc>
            </w:tr>
          </w:tbl>
          <w:p w14:paraId="507544CD">
            <w:pPr>
              <w:pStyle w:val="536"/>
              <w:spacing w:before="312" w:after="312" w:line="560" w:lineRule="exact"/>
              <w:rPr>
                <w:rFonts w:hAnsi="黑体" w:cs="黑体"/>
                <w:sz w:val="21"/>
                <w:szCs w:val="21"/>
              </w:rPr>
            </w:pPr>
            <w:bookmarkStart w:id="868" w:name="_Toc23592"/>
            <w:bookmarkStart w:id="869" w:name="_Toc318631141"/>
            <w:r>
              <w:rPr>
                <w:rFonts w:hint="eastAsia" w:hAnsi="黑体" w:cs="黑体"/>
                <w:sz w:val="21"/>
                <w:szCs w:val="21"/>
              </w:rPr>
              <w:t>标志、包装、运输与贮存</w:t>
            </w:r>
            <w:bookmarkEnd w:id="868"/>
            <w:bookmarkEnd w:id="869"/>
            <w:r>
              <w:rPr>
                <w:rFonts w:hint="eastAsia" w:hAnsi="黑体" w:cs="黑体"/>
                <w:sz w:val="21"/>
                <w:szCs w:val="21"/>
              </w:rPr>
              <w:t xml:space="preserve"> </w:t>
            </w:r>
          </w:p>
          <w:p w14:paraId="335B9EEA">
            <w:pPr>
              <w:pStyle w:val="434"/>
              <w:spacing w:before="156" w:after="156" w:line="560" w:lineRule="exact"/>
              <w:rPr>
                <w:rFonts w:ascii="仿宋_GB2312" w:hAnsi="仿宋_GB2312" w:eastAsia="仿宋_GB2312" w:cs="仿宋_GB2312"/>
                <w:sz w:val="21"/>
                <w:szCs w:val="21"/>
              </w:rPr>
            </w:pPr>
            <w:bookmarkStart w:id="870" w:name="_Toc318631142"/>
            <w:bookmarkStart w:id="871" w:name="_Toc20182"/>
            <w:r>
              <w:rPr>
                <w:rFonts w:hint="eastAsia" w:ascii="仿宋_GB2312" w:hAnsi="仿宋_GB2312" w:eastAsia="仿宋_GB2312" w:cs="仿宋_GB2312"/>
                <w:sz w:val="21"/>
                <w:szCs w:val="21"/>
              </w:rPr>
              <w:t>标志</w:t>
            </w:r>
            <w:bookmarkEnd w:id="870"/>
            <w:bookmarkEnd w:id="871"/>
          </w:p>
          <w:p w14:paraId="7C0868AF">
            <w:pPr>
              <w:pStyle w:val="282"/>
              <w:numPr>
                <w:ilvl w:val="3"/>
                <w:numId w:val="0"/>
              </w:numPr>
              <w:spacing w:before="156" w:after="156" w:line="560" w:lineRule="exact"/>
              <w:rPr>
                <w:rFonts w:ascii="仿宋_GB2312" w:hAnsi="仿宋_GB2312" w:eastAsia="仿宋_GB2312" w:cs="仿宋_GB2312"/>
                <w:sz w:val="21"/>
                <w:szCs w:val="21"/>
              </w:rPr>
            </w:pPr>
            <w:r>
              <w:rPr>
                <w:rFonts w:hint="eastAsia" w:ascii="黑体" w:hAnsi="黑体" w:eastAsia="黑体"/>
                <w:sz w:val="21"/>
                <w:szCs w:val="21"/>
              </w:rPr>
              <w:drawing>
                <wp:anchor distT="0" distB="0" distL="114300" distR="114300" simplePos="0" relativeHeight="251696128" behindDoc="0" locked="0" layoutInCell="1" allowOverlap="1">
                  <wp:simplePos x="0" y="0"/>
                  <wp:positionH relativeFrom="column">
                    <wp:posOffset>3129915</wp:posOffset>
                  </wp:positionH>
                  <wp:positionV relativeFrom="paragraph">
                    <wp:posOffset>3265805</wp:posOffset>
                  </wp:positionV>
                  <wp:extent cx="1050290" cy="1146810"/>
                  <wp:effectExtent l="0" t="0" r="16510" b="15240"/>
                  <wp:wrapNone/>
                  <wp:docPr id="44" name="图片 75" descr="19316626177635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5" descr="193166261776350652"/>
                          <pic:cNvPicPr>
                            <a:picLocks noChangeAspect="1" noChangeArrowheads="1"/>
                          </pic:cNvPicPr>
                        </pic:nvPicPr>
                        <pic:blipFill>
                          <a:blip r:embed="rId28"/>
                          <a:srcRect/>
                          <a:stretch>
                            <a:fillRect/>
                          </a:stretch>
                        </pic:blipFill>
                        <pic:spPr>
                          <a:xfrm>
                            <a:off x="0" y="0"/>
                            <a:ext cx="1050290" cy="1146810"/>
                          </a:xfrm>
                          <a:prstGeom prst="rect">
                            <a:avLst/>
                          </a:prstGeom>
                          <a:noFill/>
                          <a:ln w="9525">
                            <a:noFill/>
                          </a:ln>
                        </pic:spPr>
                      </pic:pic>
                    </a:graphicData>
                  </a:graphic>
                </wp:anchor>
              </w:drawing>
            </w:r>
            <w:r>
              <w:rPr>
                <w:rFonts w:hint="eastAsia" w:ascii="仿宋_GB2312" w:hAnsi="仿宋_GB2312" w:eastAsia="仿宋_GB2312" w:cs="仿宋_GB2312"/>
                <w:sz w:val="21"/>
                <w:szCs w:val="21"/>
                <w:lang w:val="en-US" w:eastAsia="zh-CN"/>
              </w:rPr>
              <w:t>35.1</w:t>
            </w:r>
            <w:r>
              <w:rPr>
                <w:rFonts w:hint="eastAsia" w:ascii="仿宋_GB2312" w:hAnsi="仿宋_GB2312" w:eastAsia="仿宋_GB2312" w:cs="仿宋_GB2312"/>
                <w:sz w:val="21"/>
                <w:szCs w:val="21"/>
              </w:rPr>
              <w:t>纸箱外两正面均印刷黑色的产品名称、数量、质量、体积、生产年月、生产批号、调拨单位、采购单位和承制单位名称，两侧面印刷黑色的“救灾专用” 及“注意防潮”。其中产品名称、调拨单位、采购单位、承制单位名称、生产日期和“救灾专用”及“注意防潮”为黑体字，其他为宋体字。产品名称字体高度为80mm，，其他为字体高度为60mm，调拨单位、采购</w:t>
            </w:r>
            <w:r>
              <w:rPr>
                <w:rFonts w:hint="eastAsia" w:ascii="仿宋_GB2312" w:hAnsi="仿宋_GB2312" w:eastAsia="仿宋_GB2312" w:cs="仿宋_GB2312"/>
                <w:sz w:val="21"/>
                <w:szCs w:val="21"/>
                <w:lang w:val="en-US" w:eastAsia="zh-CN"/>
              </w:rPr>
              <w:t>及监制</w:t>
            </w:r>
            <w:r>
              <w:rPr>
                <w:rFonts w:hint="eastAsia" w:ascii="仿宋_GB2312" w:hAnsi="仿宋_GB2312" w:eastAsia="仿宋_GB2312" w:cs="仿宋_GB2312"/>
                <w:sz w:val="21"/>
                <w:szCs w:val="21"/>
              </w:rPr>
              <w:t>单位和承制单位名称字体大小可根据单位名称字数酌情选择。见图4。</w:t>
            </w:r>
          </w:p>
          <w:p w14:paraId="1CFB0524">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ascii="黑体" w:hAnsi="黑体" w:eastAsia="黑体"/>
                <w:sz w:val="21"/>
                <w:szCs w:val="21"/>
              </w:rPr>
            </w:pPr>
            <w:r>
              <w:rPr>
                <w:rFonts w:hint="eastAsia"/>
                <w:sz w:val="21"/>
                <w:szCs w:val="21"/>
              </w:rPr>
              <w:t xml:space="preserve">                </w:t>
            </w:r>
            <w:r>
              <w:rPr>
                <w:rFonts w:hint="eastAsia" w:ascii="黑体" w:hAnsi="黑体" w:eastAsia="黑体"/>
                <w:sz w:val="21"/>
                <w:szCs w:val="21"/>
              </w:rPr>
              <w:t>柴煤两用取暖炉</w:t>
            </w:r>
          </w:p>
          <w:p w14:paraId="50D40BFD">
            <w:pPr>
              <w:keepNext w:val="0"/>
              <w:keepLines w:val="0"/>
              <w:pageBreakBefore w:val="0"/>
              <w:widowControl w:val="0"/>
              <w:kinsoku/>
              <w:wordWrap/>
              <w:overflowPunct/>
              <w:topLinePunct w:val="0"/>
              <w:autoSpaceDE/>
              <w:autoSpaceDN/>
              <w:bidi w:val="0"/>
              <w:adjustRightInd/>
              <w:snapToGrid/>
              <w:spacing w:line="200" w:lineRule="exact"/>
              <w:ind w:firstLine="840" w:firstLineChars="400"/>
              <w:jc w:val="left"/>
              <w:textAlignment w:val="auto"/>
              <w:rPr>
                <w:rFonts w:ascii="黑体" w:hAnsi="黑体" w:eastAsia="黑体"/>
                <w:sz w:val="21"/>
                <w:szCs w:val="21"/>
              </w:rPr>
            </w:pPr>
            <w:r>
              <w:rPr>
                <w:rFonts w:hint="eastAsia" w:ascii="黑体" w:hAnsi="黑体" w:eastAsia="黑体"/>
                <w:sz w:val="21"/>
                <w:szCs w:val="21"/>
              </w:rPr>
              <w:t>数量：1台    重量：×× kg</w:t>
            </w:r>
          </w:p>
          <w:p w14:paraId="5BD760CB">
            <w:pPr>
              <w:keepNext w:val="0"/>
              <w:keepLines w:val="0"/>
              <w:pageBreakBefore w:val="0"/>
              <w:widowControl w:val="0"/>
              <w:kinsoku/>
              <w:wordWrap/>
              <w:overflowPunct/>
              <w:topLinePunct w:val="0"/>
              <w:autoSpaceDE/>
              <w:autoSpaceDN/>
              <w:bidi w:val="0"/>
              <w:adjustRightInd/>
              <w:snapToGrid/>
              <w:spacing w:line="200" w:lineRule="exact"/>
              <w:ind w:firstLine="630" w:firstLineChars="300"/>
              <w:jc w:val="left"/>
              <w:textAlignment w:val="auto"/>
              <w:rPr>
                <w:rFonts w:ascii="黑体" w:hAnsi="黑体" w:eastAsia="黑体"/>
                <w:sz w:val="21"/>
                <w:szCs w:val="21"/>
              </w:rPr>
            </w:pPr>
            <w:r>
              <w:rPr>
                <w:rFonts w:hint="eastAsia" w:ascii="黑体" w:hAnsi="黑体" w:eastAsia="黑体"/>
                <w:sz w:val="21"/>
                <w:szCs w:val="21"/>
              </w:rPr>
              <w:t>规格型号：650mm×400mm×610mm</w:t>
            </w:r>
          </w:p>
          <w:p w14:paraId="1C72D154">
            <w:pPr>
              <w:keepNext w:val="0"/>
              <w:keepLines w:val="0"/>
              <w:pageBreakBefore w:val="0"/>
              <w:widowControl w:val="0"/>
              <w:kinsoku/>
              <w:wordWrap/>
              <w:overflowPunct/>
              <w:topLinePunct w:val="0"/>
              <w:autoSpaceDE/>
              <w:autoSpaceDN/>
              <w:bidi w:val="0"/>
              <w:adjustRightInd/>
              <w:snapToGrid/>
              <w:spacing w:line="200" w:lineRule="exact"/>
              <w:ind w:firstLine="630" w:firstLineChars="300"/>
              <w:jc w:val="left"/>
              <w:textAlignment w:val="auto"/>
              <w:rPr>
                <w:rFonts w:ascii="黑体" w:hAnsi="黑体" w:eastAsia="黑体"/>
                <w:sz w:val="21"/>
                <w:szCs w:val="21"/>
              </w:rPr>
            </w:pPr>
            <w:r>
              <w:rPr>
                <w:rFonts w:hint="eastAsia" w:ascii="黑体" w:hAnsi="黑体" w:eastAsia="黑体"/>
                <w:sz w:val="21"/>
                <w:szCs w:val="21"/>
              </w:rPr>
              <w:t>包装体积：660mm×410mm×640mm</w:t>
            </w:r>
          </w:p>
          <w:p w14:paraId="25D9BD30">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黑体" w:hAnsi="黑体" w:eastAsia="黑体"/>
                <w:sz w:val="21"/>
                <w:szCs w:val="21"/>
                <w:lang w:eastAsia="zh-CN"/>
              </w:rPr>
            </w:pPr>
            <w:r>
              <w:rPr>
                <w:rFonts w:hint="eastAsia" w:ascii="黑体" w:hAnsi="黑体" w:eastAsia="黑体"/>
                <w:sz w:val="21"/>
                <w:szCs w:val="21"/>
              </w:rPr>
              <w:t xml:space="preserve">      生产批号</w:t>
            </w:r>
            <w:r>
              <w:rPr>
                <w:rFonts w:hint="eastAsia" w:ascii="黑体" w:hAnsi="黑体" w:eastAsia="黑体"/>
                <w:sz w:val="21"/>
                <w:szCs w:val="21"/>
                <w:lang w:eastAsia="zh-CN"/>
              </w:rPr>
              <w:t>：</w:t>
            </w:r>
            <w:r>
              <w:rPr>
                <w:rFonts w:hint="eastAsia" w:eastAsia="黑体"/>
                <w:kern w:val="21"/>
                <w:sz w:val="21"/>
                <w:szCs w:val="21"/>
              </w:rPr>
              <w:t>XXXXXX</w:t>
            </w:r>
          </w:p>
          <w:p w14:paraId="01D4D727">
            <w:pPr>
              <w:keepNext w:val="0"/>
              <w:keepLines w:val="0"/>
              <w:pageBreakBefore w:val="0"/>
              <w:widowControl w:val="0"/>
              <w:kinsoku/>
              <w:wordWrap/>
              <w:overflowPunct/>
              <w:topLinePunct w:val="0"/>
              <w:autoSpaceDE/>
              <w:autoSpaceDN/>
              <w:bidi w:val="0"/>
              <w:adjustRightInd/>
              <w:snapToGrid/>
              <w:spacing w:line="200" w:lineRule="exact"/>
              <w:ind w:left="120" w:leftChars="57"/>
              <w:jc w:val="left"/>
              <w:textAlignment w:val="auto"/>
              <w:rPr>
                <w:rFonts w:hint="eastAsia" w:eastAsia="黑体"/>
                <w:kern w:val="21"/>
                <w:sz w:val="21"/>
                <w:szCs w:val="21"/>
                <w:lang w:eastAsia="zh-CN"/>
              </w:rPr>
            </w:pPr>
            <w:r>
              <w:rPr>
                <w:rFonts w:hint="eastAsia" w:eastAsia="黑体"/>
                <w:kern w:val="21"/>
                <w:sz w:val="21"/>
                <w:szCs w:val="21"/>
              </w:rPr>
              <w:t xml:space="preserve">     调拨单位：</w:t>
            </w:r>
            <w:r>
              <w:rPr>
                <w:rFonts w:hint="eastAsia" w:eastAsia="黑体"/>
                <w:kern w:val="21"/>
                <w:sz w:val="21"/>
                <w:szCs w:val="21"/>
                <w:lang w:eastAsia="zh-CN"/>
              </w:rPr>
              <w:t>松原市</w:t>
            </w:r>
            <w:r>
              <w:rPr>
                <w:rFonts w:eastAsia="黑体"/>
                <w:kern w:val="21"/>
                <w:sz w:val="21"/>
                <w:szCs w:val="21"/>
              </w:rPr>
              <w:t>应急</w:t>
            </w:r>
            <w:r>
              <w:rPr>
                <w:rFonts w:hint="eastAsia" w:eastAsia="黑体"/>
                <w:kern w:val="21"/>
                <w:sz w:val="21"/>
                <w:szCs w:val="21"/>
              </w:rPr>
              <w:t>管理</w:t>
            </w:r>
            <w:r>
              <w:rPr>
                <w:rFonts w:hint="eastAsia" w:eastAsia="黑体"/>
                <w:kern w:val="21"/>
                <w:sz w:val="21"/>
                <w:szCs w:val="21"/>
                <w:lang w:eastAsia="zh-CN"/>
              </w:rPr>
              <w:t>局</w:t>
            </w:r>
          </w:p>
          <w:p w14:paraId="2433066F">
            <w:pPr>
              <w:keepNext w:val="0"/>
              <w:keepLines w:val="0"/>
              <w:pageBreakBefore w:val="0"/>
              <w:widowControl w:val="0"/>
              <w:kinsoku/>
              <w:wordWrap/>
              <w:overflowPunct/>
              <w:topLinePunct w:val="0"/>
              <w:autoSpaceDE/>
              <w:autoSpaceDN/>
              <w:bidi w:val="0"/>
              <w:adjustRightInd/>
              <w:snapToGrid/>
              <w:spacing w:line="200" w:lineRule="exact"/>
              <w:ind w:left="120" w:leftChars="57"/>
              <w:jc w:val="left"/>
              <w:textAlignment w:val="auto"/>
              <w:rPr>
                <w:rFonts w:eastAsia="黑体"/>
                <w:kern w:val="21"/>
                <w:sz w:val="21"/>
                <w:szCs w:val="21"/>
              </w:rPr>
            </w:pPr>
            <w:r>
              <w:rPr>
                <w:rFonts w:hint="eastAsia" w:eastAsia="黑体"/>
                <w:kern w:val="21"/>
                <w:sz w:val="21"/>
                <w:szCs w:val="21"/>
              </w:rPr>
              <w:t xml:space="preserve">     采购</w:t>
            </w:r>
            <w:r>
              <w:rPr>
                <w:rFonts w:hint="eastAsia" w:eastAsia="黑体"/>
                <w:kern w:val="21"/>
                <w:sz w:val="21"/>
                <w:szCs w:val="21"/>
                <w:lang w:val="en-US" w:eastAsia="zh-CN"/>
              </w:rPr>
              <w:t>及监制</w:t>
            </w:r>
            <w:r>
              <w:rPr>
                <w:rFonts w:hint="eastAsia" w:eastAsia="黑体"/>
                <w:kern w:val="21"/>
                <w:sz w:val="21"/>
                <w:szCs w:val="21"/>
              </w:rPr>
              <w:t>单位：</w:t>
            </w:r>
            <w:r>
              <w:rPr>
                <w:rFonts w:hint="eastAsia" w:eastAsia="黑体"/>
                <w:kern w:val="21"/>
                <w:sz w:val="21"/>
                <w:szCs w:val="21"/>
                <w:lang w:eastAsia="zh-CN"/>
              </w:rPr>
              <w:t>松原市</w:t>
            </w:r>
            <w:r>
              <w:rPr>
                <w:rFonts w:hint="eastAsia" w:eastAsia="黑体"/>
                <w:kern w:val="21"/>
                <w:sz w:val="21"/>
                <w:szCs w:val="21"/>
              </w:rPr>
              <w:t>粮食</w:t>
            </w:r>
            <w:r>
              <w:rPr>
                <w:rFonts w:hint="eastAsia" w:eastAsia="黑体"/>
                <w:kern w:val="21"/>
                <w:sz w:val="21"/>
                <w:szCs w:val="21"/>
                <w:lang w:eastAsia="zh-CN"/>
              </w:rPr>
              <w:t>和物资</w:t>
            </w:r>
            <w:r>
              <w:rPr>
                <w:rFonts w:hint="eastAsia" w:eastAsia="黑体"/>
                <w:kern w:val="21"/>
                <w:sz w:val="21"/>
                <w:szCs w:val="21"/>
              </w:rPr>
              <w:t>储备局</w:t>
            </w:r>
          </w:p>
          <w:p w14:paraId="3FB3AF6C">
            <w:pPr>
              <w:keepNext w:val="0"/>
              <w:keepLines w:val="0"/>
              <w:pageBreakBefore w:val="0"/>
              <w:widowControl w:val="0"/>
              <w:kinsoku/>
              <w:wordWrap/>
              <w:overflowPunct/>
              <w:topLinePunct w:val="0"/>
              <w:autoSpaceDE/>
              <w:autoSpaceDN/>
              <w:bidi w:val="0"/>
              <w:adjustRightInd/>
              <w:snapToGrid/>
              <w:spacing w:line="200" w:lineRule="exact"/>
              <w:ind w:left="120" w:leftChars="57"/>
              <w:jc w:val="left"/>
              <w:textAlignment w:val="auto"/>
              <w:rPr>
                <w:rFonts w:eastAsia="黑体"/>
                <w:kern w:val="21"/>
                <w:sz w:val="21"/>
                <w:szCs w:val="21"/>
              </w:rPr>
            </w:pPr>
            <w:r>
              <w:rPr>
                <w:rFonts w:hint="eastAsia" w:eastAsia="黑体"/>
                <w:kern w:val="21"/>
                <w:sz w:val="21"/>
                <w:szCs w:val="21"/>
              </w:rPr>
              <w:t xml:space="preserve">     承制单位：XXXXXX</w:t>
            </w:r>
          </w:p>
          <w:p w14:paraId="575DE29A">
            <w:pPr>
              <w:keepNext w:val="0"/>
              <w:keepLines w:val="0"/>
              <w:pageBreakBefore w:val="0"/>
              <w:widowControl w:val="0"/>
              <w:kinsoku/>
              <w:wordWrap/>
              <w:overflowPunct/>
              <w:topLinePunct w:val="0"/>
              <w:autoSpaceDE/>
              <w:autoSpaceDN/>
              <w:bidi w:val="0"/>
              <w:adjustRightInd/>
              <w:snapToGrid/>
              <w:spacing w:line="200" w:lineRule="exact"/>
              <w:ind w:left="120" w:leftChars="57"/>
              <w:jc w:val="left"/>
              <w:textAlignment w:val="auto"/>
              <w:rPr>
                <w:rFonts w:eastAsia="黑体"/>
                <w:kern w:val="21"/>
                <w:sz w:val="21"/>
                <w:szCs w:val="21"/>
              </w:rPr>
            </w:pPr>
            <w:r>
              <w:rPr>
                <w:rFonts w:hint="eastAsia" w:eastAsia="黑体"/>
                <w:kern w:val="21"/>
                <w:sz w:val="21"/>
                <w:szCs w:val="21"/>
              </w:rPr>
              <w:t xml:space="preserve">     生产日期：XXXXXX</w:t>
            </w:r>
          </w:p>
          <w:p w14:paraId="145AFEB4">
            <w:pPr>
              <w:ind w:left="120" w:leftChars="57"/>
              <w:jc w:val="left"/>
              <w:rPr>
                <w:rFonts w:eastAsia="黑体"/>
                <w:kern w:val="21"/>
                <w:sz w:val="21"/>
                <w:szCs w:val="21"/>
              </w:rPr>
            </w:pPr>
          </w:p>
          <w:p w14:paraId="3B3A31A5">
            <w:pPr>
              <w:ind w:firstLine="840" w:firstLineChars="400"/>
              <w:jc w:val="left"/>
              <w:rPr>
                <w:rFonts w:ascii="黑体" w:hAnsi="黑体" w:eastAsia="黑体" w:cs="黑体"/>
                <w:sz w:val="21"/>
                <w:szCs w:val="21"/>
              </w:rPr>
            </w:pPr>
            <w:r>
              <w:rPr>
                <w:rFonts w:hint="eastAsia" w:ascii="黑体" w:hAnsi="黑体" w:eastAsia="黑体" w:cs="黑体"/>
                <w:sz w:val="21"/>
                <w:szCs w:val="21"/>
              </w:rPr>
              <w:t xml:space="preserve">纸箱正面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 xml:space="preserve"> 纸箱侧面</w:t>
            </w:r>
          </w:p>
          <w:p w14:paraId="33ADA08A">
            <w:pPr>
              <w:pStyle w:val="537"/>
              <w:keepNext w:val="0"/>
              <w:keepLines w:val="0"/>
              <w:pageBreakBefore w:val="0"/>
              <w:widowControl/>
              <w:numPr>
                <w:ilvl w:val="0"/>
                <w:numId w:val="0"/>
              </w:numPr>
              <w:kinsoku/>
              <w:wordWrap/>
              <w:overflowPunct/>
              <w:topLinePunct w:val="0"/>
              <w:autoSpaceDE/>
              <w:autoSpaceDN/>
              <w:bidi w:val="0"/>
              <w:adjustRightInd/>
              <w:snapToGrid/>
              <w:spacing w:before="156" w:after="156"/>
              <w:ind w:leftChars="0" w:firstLine="2940" w:firstLineChars="1400"/>
              <w:jc w:val="both"/>
              <w:textAlignment w:val="auto"/>
              <w:rPr>
                <w:sz w:val="21"/>
                <w:szCs w:val="21"/>
              </w:rPr>
            </w:pPr>
            <w:r>
              <w:rPr>
                <w:rFonts w:hint="eastAsia"/>
                <w:sz w:val="21"/>
                <w:szCs w:val="21"/>
                <w:lang w:eastAsia="zh-CN"/>
              </w:rPr>
              <w:t>图</w:t>
            </w:r>
            <w:r>
              <w:rPr>
                <w:rFonts w:hint="eastAsia"/>
                <w:sz w:val="21"/>
                <w:szCs w:val="21"/>
                <w:lang w:val="en-US" w:eastAsia="zh-CN"/>
              </w:rPr>
              <w:t>4.</w:t>
            </w:r>
            <w:r>
              <w:rPr>
                <w:rFonts w:hint="eastAsia"/>
                <w:sz w:val="21"/>
                <w:szCs w:val="21"/>
              </w:rPr>
              <w:t>包装标志</w:t>
            </w:r>
          </w:p>
          <w:p w14:paraId="3567C048">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35.2</w:t>
            </w:r>
            <w:r>
              <w:rPr>
                <w:rFonts w:hint="eastAsia" w:ascii="仿宋_GB2312" w:hAnsi="仿宋_GB2312" w:eastAsia="仿宋_GB2312" w:cs="仿宋_GB2312"/>
                <w:sz w:val="21"/>
                <w:szCs w:val="21"/>
              </w:rPr>
              <w:t>印刷布局合理，字体大小适宜，字迹清晰。</w:t>
            </w:r>
          </w:p>
          <w:p w14:paraId="550B6A0A">
            <w:pPr>
              <w:pStyle w:val="434"/>
              <w:spacing w:beforeLines="0" w:afterLines="0" w:line="560" w:lineRule="exact"/>
              <w:rPr>
                <w:rFonts w:ascii="仿宋_GB2312" w:hAnsi="仿宋_GB2312" w:eastAsia="仿宋_GB2312" w:cs="仿宋_GB2312"/>
                <w:sz w:val="21"/>
                <w:szCs w:val="21"/>
              </w:rPr>
            </w:pPr>
            <w:bookmarkStart w:id="872" w:name="_Toc318631143"/>
            <w:bookmarkStart w:id="873" w:name="_Toc25146"/>
            <w:r>
              <w:rPr>
                <w:rFonts w:hint="eastAsia" w:ascii="仿宋_GB2312" w:hAnsi="仿宋_GB2312" w:eastAsia="仿宋_GB2312" w:cs="仿宋_GB2312"/>
                <w:sz w:val="21"/>
                <w:szCs w:val="21"/>
              </w:rPr>
              <w:t>包装</w:t>
            </w:r>
            <w:bookmarkEnd w:id="872"/>
            <w:bookmarkEnd w:id="873"/>
          </w:p>
          <w:p w14:paraId="3FFD3833">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36.1</w:t>
            </w:r>
            <w:r>
              <w:rPr>
                <w:rFonts w:hint="eastAsia" w:ascii="仿宋_GB2312" w:hAnsi="仿宋_GB2312" w:eastAsia="仿宋_GB2312" w:cs="仿宋_GB2312"/>
                <w:sz w:val="21"/>
                <w:szCs w:val="21"/>
              </w:rPr>
              <w:t>柴煤两用取暖炉，采用两边可提手的纸箱包装，底部加垫板。</w:t>
            </w:r>
          </w:p>
          <w:p w14:paraId="6C0DD755">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36.2</w:t>
            </w:r>
            <w:r>
              <w:rPr>
                <w:rFonts w:hint="eastAsia" w:ascii="仿宋_GB2312" w:hAnsi="仿宋_GB2312" w:eastAsia="仿宋_GB2312" w:cs="仿宋_GB2312"/>
                <w:sz w:val="21"/>
                <w:szCs w:val="21"/>
              </w:rPr>
              <w:t>每个纸箱内需附产品检验单一张，检验单样式见图5。</w:t>
            </w:r>
          </w:p>
          <w:tbl>
            <w:tblPr>
              <w:tblStyle w:val="58"/>
              <w:tblpPr w:leftFromText="180" w:rightFromText="180" w:vertAnchor="text" w:horzAnchor="margin" w:tblpXSpec="center" w:tblpY="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10"/>
            </w:tblGrid>
            <w:tr w14:paraId="5740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936" w:type="dxa"/>
                  <w:gridSpan w:val="2"/>
                  <w:tcBorders>
                    <w:top w:val="single" w:color="auto" w:sz="12" w:space="0"/>
                    <w:left w:val="single" w:color="auto" w:sz="12" w:space="0"/>
                    <w:bottom w:val="single" w:color="auto" w:sz="12" w:space="0"/>
                    <w:right w:val="single" w:color="auto" w:sz="12" w:space="0"/>
                  </w:tcBorders>
                  <w:vAlign w:val="center"/>
                </w:tcPr>
                <w:p w14:paraId="7C4BFA5A">
                  <w:pPr>
                    <w:spacing w:line="400" w:lineRule="exact"/>
                    <w:jc w:val="center"/>
                    <w:rPr>
                      <w:rFonts w:eastAsia="黑体"/>
                      <w:color w:val="000000"/>
                      <w:sz w:val="21"/>
                      <w:szCs w:val="21"/>
                    </w:rPr>
                  </w:pPr>
                  <w:r>
                    <w:rPr>
                      <w:rFonts w:eastAsia="黑体"/>
                      <w:color w:val="000000"/>
                      <w:sz w:val="21"/>
                      <w:szCs w:val="21"/>
                    </w:rPr>
                    <w:t>检</w:t>
                  </w:r>
                  <w:r>
                    <w:rPr>
                      <w:rFonts w:hint="eastAsia" w:eastAsia="黑体"/>
                      <w:color w:val="000000"/>
                      <w:sz w:val="21"/>
                      <w:szCs w:val="21"/>
                    </w:rPr>
                    <w:t xml:space="preserve"> </w:t>
                  </w:r>
                  <w:r>
                    <w:rPr>
                      <w:rFonts w:eastAsia="黑体"/>
                      <w:color w:val="000000"/>
                      <w:sz w:val="21"/>
                      <w:szCs w:val="21"/>
                    </w:rPr>
                    <w:t xml:space="preserve"> 验 </w:t>
                  </w:r>
                  <w:r>
                    <w:rPr>
                      <w:rFonts w:hint="eastAsia" w:eastAsia="黑体"/>
                      <w:color w:val="000000"/>
                      <w:sz w:val="21"/>
                      <w:szCs w:val="21"/>
                    </w:rPr>
                    <w:t xml:space="preserve"> </w:t>
                  </w:r>
                  <w:r>
                    <w:rPr>
                      <w:rFonts w:eastAsia="黑体"/>
                      <w:color w:val="000000"/>
                      <w:sz w:val="21"/>
                      <w:szCs w:val="21"/>
                    </w:rPr>
                    <w:t>单</w:t>
                  </w:r>
                </w:p>
              </w:tc>
            </w:tr>
            <w:tr w14:paraId="547B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26" w:type="dxa"/>
                  <w:tcBorders>
                    <w:top w:val="single" w:color="auto" w:sz="12" w:space="0"/>
                    <w:left w:val="single" w:color="auto" w:sz="12" w:space="0"/>
                  </w:tcBorders>
                  <w:vAlign w:val="center"/>
                </w:tcPr>
                <w:p w14:paraId="78A2ABFB">
                  <w:pPr>
                    <w:jc w:val="center"/>
                    <w:rPr>
                      <w:rFonts w:eastAsia="黑体"/>
                      <w:color w:val="000000"/>
                      <w:sz w:val="21"/>
                      <w:szCs w:val="21"/>
                    </w:rPr>
                  </w:pPr>
                  <w:r>
                    <w:rPr>
                      <w:rFonts w:eastAsia="黑体"/>
                      <w:color w:val="000000"/>
                      <w:sz w:val="21"/>
                      <w:szCs w:val="21"/>
                    </w:rPr>
                    <w:t>产品名称</w:t>
                  </w:r>
                </w:p>
              </w:tc>
              <w:tc>
                <w:tcPr>
                  <w:tcW w:w="2410" w:type="dxa"/>
                  <w:tcBorders>
                    <w:top w:val="single" w:color="auto" w:sz="12" w:space="0"/>
                    <w:right w:val="single" w:color="auto" w:sz="12" w:space="0"/>
                  </w:tcBorders>
                  <w:vAlign w:val="center"/>
                </w:tcPr>
                <w:p w14:paraId="4EF93D1D">
                  <w:pPr>
                    <w:jc w:val="center"/>
                    <w:rPr>
                      <w:sz w:val="21"/>
                      <w:szCs w:val="21"/>
                    </w:rPr>
                  </w:pPr>
                  <w:r>
                    <w:rPr>
                      <w:rFonts w:hint="eastAsia"/>
                      <w:sz w:val="21"/>
                      <w:szCs w:val="21"/>
                    </w:rPr>
                    <w:t>柴煤两用取暖炉</w:t>
                  </w:r>
                </w:p>
              </w:tc>
            </w:tr>
            <w:tr w14:paraId="6E69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left w:val="single" w:color="auto" w:sz="12" w:space="0"/>
                  </w:tcBorders>
                  <w:vAlign w:val="center"/>
                </w:tcPr>
                <w:p w14:paraId="6FCF6A51">
                  <w:pPr>
                    <w:jc w:val="center"/>
                    <w:rPr>
                      <w:rFonts w:eastAsia="黑体"/>
                      <w:color w:val="000000"/>
                      <w:sz w:val="21"/>
                      <w:szCs w:val="21"/>
                    </w:rPr>
                  </w:pPr>
                  <w:r>
                    <w:rPr>
                      <w:rFonts w:eastAsia="黑体"/>
                      <w:color w:val="000000"/>
                      <w:sz w:val="21"/>
                      <w:szCs w:val="21"/>
                    </w:rPr>
                    <w:t>品等</w:t>
                  </w:r>
                </w:p>
              </w:tc>
              <w:tc>
                <w:tcPr>
                  <w:tcW w:w="2410" w:type="dxa"/>
                  <w:tcBorders>
                    <w:right w:val="single" w:color="auto" w:sz="12" w:space="0"/>
                  </w:tcBorders>
                  <w:vAlign w:val="center"/>
                </w:tcPr>
                <w:p w14:paraId="060B4B34">
                  <w:pPr>
                    <w:jc w:val="center"/>
                    <w:rPr>
                      <w:sz w:val="21"/>
                      <w:szCs w:val="21"/>
                    </w:rPr>
                  </w:pPr>
                  <w:r>
                    <w:rPr>
                      <w:sz w:val="21"/>
                      <w:szCs w:val="21"/>
                    </w:rPr>
                    <w:t>合格品  1</w:t>
                  </w:r>
                  <w:r>
                    <w:rPr>
                      <w:rFonts w:hint="eastAsia"/>
                      <w:sz w:val="21"/>
                      <w:szCs w:val="21"/>
                    </w:rPr>
                    <w:t>台</w:t>
                  </w:r>
                </w:p>
              </w:tc>
            </w:tr>
            <w:tr w14:paraId="2F4C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left w:val="single" w:color="auto" w:sz="12" w:space="0"/>
                  </w:tcBorders>
                  <w:vAlign w:val="center"/>
                </w:tcPr>
                <w:p w14:paraId="1DDBCA1D">
                  <w:pPr>
                    <w:jc w:val="center"/>
                    <w:rPr>
                      <w:rFonts w:ascii="宋体" w:hAnsi="宋体"/>
                      <w:color w:val="000000"/>
                      <w:sz w:val="21"/>
                      <w:szCs w:val="21"/>
                    </w:rPr>
                  </w:pPr>
                  <w:r>
                    <w:rPr>
                      <w:rFonts w:eastAsia="黑体"/>
                      <w:color w:val="000000"/>
                      <w:sz w:val="21"/>
                      <w:szCs w:val="21"/>
                    </w:rPr>
                    <w:t>生产日期</w:t>
                  </w:r>
                </w:p>
              </w:tc>
              <w:tc>
                <w:tcPr>
                  <w:tcW w:w="2410" w:type="dxa"/>
                  <w:tcBorders>
                    <w:right w:val="single" w:color="auto" w:sz="12" w:space="0"/>
                  </w:tcBorders>
                  <w:vAlign w:val="center"/>
                </w:tcPr>
                <w:p w14:paraId="542171D4">
                  <w:pPr>
                    <w:jc w:val="center"/>
                    <w:rPr>
                      <w:color w:val="000000"/>
                      <w:sz w:val="21"/>
                      <w:szCs w:val="21"/>
                    </w:rPr>
                  </w:pPr>
                  <w:r>
                    <w:rPr>
                      <w:rFonts w:ascii="宋体" w:hAnsi="宋体"/>
                      <w:color w:val="000000"/>
                      <w:sz w:val="21"/>
                      <w:szCs w:val="21"/>
                    </w:rPr>
                    <w:t>年</w:t>
                  </w:r>
                  <w:r>
                    <w:rPr>
                      <w:rFonts w:hint="eastAsia" w:ascii="宋体" w:hAnsi="宋体"/>
                      <w:color w:val="000000"/>
                      <w:sz w:val="21"/>
                      <w:szCs w:val="21"/>
                    </w:rPr>
                    <w:t xml:space="preserve">   </w:t>
                  </w:r>
                  <w:r>
                    <w:rPr>
                      <w:color w:val="000000"/>
                      <w:sz w:val="21"/>
                      <w:szCs w:val="21"/>
                    </w:rPr>
                    <w:t>月</w:t>
                  </w:r>
                </w:p>
              </w:tc>
            </w:tr>
            <w:tr w14:paraId="2F1F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left w:val="single" w:color="auto" w:sz="12" w:space="0"/>
                  </w:tcBorders>
                  <w:vAlign w:val="center"/>
                </w:tcPr>
                <w:p w14:paraId="63413221">
                  <w:pPr>
                    <w:jc w:val="center"/>
                    <w:rPr>
                      <w:rFonts w:eastAsia="黑体"/>
                      <w:color w:val="000000"/>
                      <w:sz w:val="21"/>
                      <w:szCs w:val="21"/>
                    </w:rPr>
                  </w:pPr>
                  <w:r>
                    <w:rPr>
                      <w:rFonts w:eastAsia="黑体"/>
                      <w:color w:val="000000"/>
                      <w:sz w:val="21"/>
                      <w:szCs w:val="21"/>
                    </w:rPr>
                    <w:t>检验人员</w:t>
                  </w:r>
                </w:p>
              </w:tc>
              <w:tc>
                <w:tcPr>
                  <w:tcW w:w="2410" w:type="dxa"/>
                  <w:tcBorders>
                    <w:right w:val="single" w:color="auto" w:sz="12" w:space="0"/>
                  </w:tcBorders>
                  <w:vAlign w:val="center"/>
                </w:tcPr>
                <w:p w14:paraId="11C27801">
                  <w:pPr>
                    <w:jc w:val="center"/>
                    <w:rPr>
                      <w:color w:val="000000"/>
                      <w:sz w:val="21"/>
                      <w:szCs w:val="21"/>
                    </w:rPr>
                  </w:pPr>
                  <w:r>
                    <w:rPr>
                      <w:color w:val="000000"/>
                      <w:sz w:val="21"/>
                      <w:szCs w:val="21"/>
                    </w:rPr>
                    <w:t>（检验人员工号）</w:t>
                  </w:r>
                </w:p>
              </w:tc>
            </w:tr>
            <w:tr w14:paraId="0675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left w:val="single" w:color="auto" w:sz="12" w:space="0"/>
                    <w:bottom w:val="single" w:color="auto" w:sz="12" w:space="0"/>
                  </w:tcBorders>
                  <w:vAlign w:val="center"/>
                </w:tcPr>
                <w:p w14:paraId="049C58DC">
                  <w:pPr>
                    <w:jc w:val="center"/>
                    <w:rPr>
                      <w:rFonts w:eastAsia="黑体"/>
                      <w:color w:val="000000"/>
                      <w:sz w:val="21"/>
                      <w:szCs w:val="21"/>
                    </w:rPr>
                  </w:pPr>
                  <w:r>
                    <w:rPr>
                      <w:rFonts w:eastAsia="黑体"/>
                      <w:color w:val="000000"/>
                      <w:sz w:val="21"/>
                      <w:szCs w:val="21"/>
                    </w:rPr>
                    <w:t>承制单位名称</w:t>
                  </w:r>
                </w:p>
              </w:tc>
              <w:tc>
                <w:tcPr>
                  <w:tcW w:w="2410" w:type="dxa"/>
                  <w:tcBorders>
                    <w:bottom w:val="single" w:color="auto" w:sz="12" w:space="0"/>
                    <w:right w:val="single" w:color="auto" w:sz="12" w:space="0"/>
                  </w:tcBorders>
                  <w:vAlign w:val="center"/>
                </w:tcPr>
                <w:p w14:paraId="6DFA2749">
                  <w:pPr>
                    <w:jc w:val="center"/>
                    <w:rPr>
                      <w:color w:val="000000"/>
                      <w:sz w:val="21"/>
                      <w:szCs w:val="21"/>
                    </w:rPr>
                  </w:pPr>
                  <w:r>
                    <w:rPr>
                      <w:rFonts w:hint="eastAsia"/>
                      <w:color w:val="000000"/>
                      <w:sz w:val="21"/>
                      <w:szCs w:val="21"/>
                    </w:rPr>
                    <w:t>（单位全称）</w:t>
                  </w:r>
                </w:p>
              </w:tc>
            </w:tr>
          </w:tbl>
          <w:p w14:paraId="05EB9E00">
            <w:pPr>
              <w:pStyle w:val="269"/>
              <w:tabs>
                <w:tab w:val="center" w:pos="4201"/>
                <w:tab w:val="right" w:leader="dot" w:pos="9298"/>
              </w:tabs>
              <w:rPr>
                <w:sz w:val="21"/>
                <w:szCs w:val="21"/>
              </w:rPr>
            </w:pPr>
          </w:p>
          <w:p w14:paraId="6C2C581D">
            <w:pPr>
              <w:pStyle w:val="269"/>
              <w:tabs>
                <w:tab w:val="center" w:pos="4201"/>
                <w:tab w:val="right" w:leader="dot" w:pos="9298"/>
              </w:tabs>
              <w:rPr>
                <w:sz w:val="21"/>
                <w:szCs w:val="21"/>
              </w:rPr>
            </w:pPr>
          </w:p>
          <w:p w14:paraId="68E9FCBD">
            <w:pPr>
              <w:pStyle w:val="269"/>
              <w:tabs>
                <w:tab w:val="center" w:pos="4201"/>
                <w:tab w:val="right" w:leader="dot" w:pos="9298"/>
              </w:tabs>
              <w:rPr>
                <w:sz w:val="21"/>
                <w:szCs w:val="21"/>
              </w:rPr>
            </w:pPr>
          </w:p>
          <w:p w14:paraId="04B9C37D">
            <w:pPr>
              <w:pStyle w:val="269"/>
              <w:tabs>
                <w:tab w:val="center" w:pos="4201"/>
                <w:tab w:val="right" w:leader="dot" w:pos="9298"/>
              </w:tabs>
              <w:rPr>
                <w:sz w:val="21"/>
                <w:szCs w:val="21"/>
              </w:rPr>
            </w:pPr>
          </w:p>
          <w:p w14:paraId="225771EB">
            <w:pPr>
              <w:pStyle w:val="269"/>
              <w:tabs>
                <w:tab w:val="center" w:pos="4201"/>
                <w:tab w:val="right" w:leader="dot" w:pos="9298"/>
              </w:tabs>
              <w:rPr>
                <w:sz w:val="21"/>
                <w:szCs w:val="21"/>
              </w:rPr>
            </w:pPr>
          </w:p>
          <w:p w14:paraId="52273618">
            <w:pPr>
              <w:pStyle w:val="269"/>
              <w:tabs>
                <w:tab w:val="center" w:pos="4201"/>
                <w:tab w:val="right" w:leader="dot" w:pos="9298"/>
              </w:tabs>
              <w:rPr>
                <w:sz w:val="21"/>
                <w:szCs w:val="21"/>
              </w:rPr>
            </w:pPr>
          </w:p>
          <w:p w14:paraId="76F6436D">
            <w:pPr>
              <w:pStyle w:val="269"/>
              <w:tabs>
                <w:tab w:val="center" w:pos="4201"/>
                <w:tab w:val="right" w:leader="dot" w:pos="9298"/>
              </w:tabs>
              <w:rPr>
                <w:sz w:val="21"/>
                <w:szCs w:val="21"/>
              </w:rPr>
            </w:pPr>
          </w:p>
          <w:p w14:paraId="22286113">
            <w:pPr>
              <w:rPr>
                <w:sz w:val="21"/>
                <w:szCs w:val="21"/>
              </w:rPr>
            </w:pPr>
          </w:p>
          <w:p w14:paraId="1ED09476">
            <w:pPr>
              <w:pStyle w:val="269"/>
              <w:tabs>
                <w:tab w:val="center" w:pos="4201"/>
                <w:tab w:val="right" w:leader="dot" w:pos="9298"/>
              </w:tabs>
              <w:rPr>
                <w:sz w:val="21"/>
                <w:szCs w:val="21"/>
              </w:rPr>
            </w:pPr>
          </w:p>
          <w:p w14:paraId="588259EF">
            <w:pPr>
              <w:pStyle w:val="537"/>
              <w:numPr>
                <w:ilvl w:val="0"/>
                <w:numId w:val="0"/>
              </w:numPr>
              <w:spacing w:before="156" w:after="156"/>
              <w:ind w:firstLine="2520" w:firstLineChars="1200"/>
              <w:jc w:val="both"/>
              <w:rPr>
                <w:sz w:val="21"/>
                <w:szCs w:val="21"/>
              </w:rPr>
            </w:pPr>
            <w:r>
              <w:rPr>
                <w:rFonts w:hint="eastAsia"/>
                <w:sz w:val="21"/>
                <w:szCs w:val="21"/>
                <w:lang w:eastAsia="zh-CN"/>
              </w:rPr>
              <w:t>图</w:t>
            </w:r>
            <w:r>
              <w:rPr>
                <w:rFonts w:hint="eastAsia"/>
                <w:sz w:val="21"/>
                <w:szCs w:val="21"/>
                <w:lang w:val="en-US" w:eastAsia="zh-CN"/>
              </w:rPr>
              <w:t>5</w:t>
            </w:r>
            <w:r>
              <w:rPr>
                <w:rFonts w:hint="eastAsia"/>
                <w:sz w:val="21"/>
                <w:szCs w:val="21"/>
              </w:rPr>
              <w:t>检验单样式</w:t>
            </w:r>
          </w:p>
          <w:p w14:paraId="0045A280">
            <w:pPr>
              <w:pStyle w:val="282"/>
              <w:numPr>
                <w:ilvl w:val="3"/>
                <w:numId w:val="0"/>
              </w:numPr>
              <w:spacing w:beforeLines="0" w:afterLines="0" w:line="560" w:lineRule="exact"/>
              <w:rPr>
                <w:rFonts w:hint="eastAsia" w:ascii="仿宋_GB2312" w:hAnsi="仿宋_GB2312" w:eastAsia="仿宋_GB2312" w:cs="仿宋_GB2312"/>
                <w:sz w:val="21"/>
                <w:szCs w:val="21"/>
              </w:rPr>
            </w:pPr>
          </w:p>
          <w:p w14:paraId="6837453F">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36.3</w:t>
            </w:r>
            <w:r>
              <w:rPr>
                <w:rFonts w:hint="eastAsia" w:ascii="仿宋_GB2312" w:hAnsi="仿宋_GB2312" w:eastAsia="仿宋_GB2312" w:cs="仿宋_GB2312"/>
                <w:sz w:val="21"/>
                <w:szCs w:val="21"/>
              </w:rPr>
              <w:t>纸箱外尺寸为650mm×400mm×610mm（长×宽×高）。纸箱质量应符合表2的规定。</w:t>
            </w:r>
          </w:p>
          <w:p w14:paraId="282BE81E">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36.4</w:t>
            </w:r>
            <w:r>
              <w:rPr>
                <w:rFonts w:hint="eastAsia" w:ascii="仿宋_GB2312" w:hAnsi="仿宋_GB2312" w:eastAsia="仿宋_GB2312" w:cs="仿宋_GB2312"/>
                <w:sz w:val="21"/>
                <w:szCs w:val="21"/>
              </w:rPr>
              <w:t>对口纸箱上、下盖对接处需用60 mm宽的胶粘带封牢，粘贴胶粘带应下棱边不低于50 mm。胶粘带质量应符合GJB 3840－1999中Ⅰ型的规定。</w:t>
            </w:r>
          </w:p>
          <w:p w14:paraId="37A85975">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36.5</w:t>
            </w:r>
            <w:r>
              <w:rPr>
                <w:rFonts w:hint="eastAsia" w:ascii="仿宋_GB2312" w:hAnsi="仿宋_GB2312" w:eastAsia="仿宋_GB2312" w:cs="仿宋_GB2312"/>
                <w:sz w:val="21"/>
                <w:szCs w:val="21"/>
              </w:rPr>
              <w:t>捆箱用 PP12008 J塑料打包带捆成“井”字形，横竖互压，捆扎应严紧牢固。塑料打包带质量应符合QB/T 3811-1999中一等品的规定。</w:t>
            </w:r>
          </w:p>
          <w:p w14:paraId="4D6C3BCE">
            <w:pPr>
              <w:pStyle w:val="434"/>
              <w:spacing w:beforeLines="0" w:afterLines="0" w:line="560" w:lineRule="exact"/>
              <w:rPr>
                <w:rFonts w:ascii="仿宋_GB2312" w:hAnsi="仿宋_GB2312" w:eastAsia="仿宋_GB2312" w:cs="仿宋_GB2312"/>
                <w:sz w:val="21"/>
                <w:szCs w:val="21"/>
              </w:rPr>
            </w:pPr>
            <w:bookmarkStart w:id="874" w:name="_Toc26999"/>
            <w:bookmarkStart w:id="875" w:name="_Toc318631144"/>
            <w:r>
              <w:rPr>
                <w:rFonts w:hint="eastAsia" w:ascii="仿宋_GB2312" w:hAnsi="仿宋_GB2312" w:eastAsia="仿宋_GB2312" w:cs="仿宋_GB2312"/>
                <w:sz w:val="21"/>
                <w:szCs w:val="21"/>
              </w:rPr>
              <w:t>运输与贮存</w:t>
            </w:r>
            <w:bookmarkEnd w:id="874"/>
            <w:bookmarkEnd w:id="875"/>
          </w:p>
          <w:p w14:paraId="1FFD71A3">
            <w:pPr>
              <w:pStyle w:val="282"/>
              <w:numPr>
                <w:ilvl w:val="3"/>
                <w:numId w:val="0"/>
              </w:numPr>
              <w:spacing w:beforeLines="0" w:afterLines="0"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37.1</w:t>
            </w:r>
            <w:r>
              <w:rPr>
                <w:rFonts w:hint="eastAsia" w:ascii="仿宋_GB2312" w:hAnsi="仿宋_GB2312" w:eastAsia="仿宋_GB2312" w:cs="仿宋_GB2312"/>
                <w:sz w:val="21"/>
                <w:szCs w:val="21"/>
              </w:rPr>
              <w:t>包装箱在运输、贮存中严禁露天堆放。应注意防潮，不得日晒雨淋。搬运、装卸过程中严禁抛摔。</w:t>
            </w:r>
          </w:p>
          <w:p w14:paraId="6C511F4F">
            <w:pPr>
              <w:pStyle w:val="282"/>
              <w:numPr>
                <w:ilvl w:val="3"/>
                <w:numId w:val="0"/>
              </w:numPr>
              <w:spacing w:beforeLines="0" w:afterLines="0" w:line="560" w:lineRule="exact"/>
              <w:rPr>
                <w:sz w:val="21"/>
                <w:szCs w:val="21"/>
              </w:rPr>
            </w:pPr>
            <w:r>
              <w:rPr>
                <w:rFonts w:hint="eastAsia" w:ascii="仿宋_GB2312" w:hAnsi="仿宋_GB2312" w:eastAsia="仿宋_GB2312" w:cs="仿宋_GB2312"/>
                <w:sz w:val="21"/>
                <w:szCs w:val="21"/>
                <w:lang w:val="en-US" w:eastAsia="zh-CN"/>
              </w:rPr>
              <w:t>37.2</w:t>
            </w:r>
            <w:r>
              <w:rPr>
                <w:rFonts w:hint="eastAsia" w:ascii="仿宋_GB2312" w:hAnsi="仿宋_GB2312" w:eastAsia="仿宋_GB2312" w:cs="仿宋_GB2312"/>
                <w:sz w:val="21"/>
                <w:szCs w:val="21"/>
              </w:rPr>
              <w:t>包装箱贮存的环境温度为-20℃～+30℃，相对湿度不得大于80%。码垛高度不超过4层。</w:t>
            </w:r>
            <w:bookmarkStart w:id="876" w:name="_Toc318631145"/>
            <w:bookmarkEnd w:id="876"/>
          </w:p>
          <w:p w14:paraId="7B9E764C">
            <w:pPr>
              <w:pStyle w:val="269"/>
              <w:tabs>
                <w:tab w:val="center" w:pos="4201"/>
                <w:tab w:val="right" w:leader="dot" w:pos="9298"/>
              </w:tabs>
              <w:ind w:firstLine="0" w:firstLineChars="0"/>
              <w:jc w:val="center"/>
              <w:rPr>
                <w:rFonts w:hint="eastAsia" w:ascii="黑体" w:eastAsia="黑体"/>
                <w:bCs/>
                <w:sz w:val="21"/>
                <w:szCs w:val="21"/>
              </w:rPr>
            </w:pPr>
          </w:p>
          <w:p w14:paraId="583C9A6E">
            <w:pPr>
              <w:pStyle w:val="269"/>
              <w:tabs>
                <w:tab w:val="center" w:pos="4201"/>
                <w:tab w:val="right" w:leader="dot" w:pos="9298"/>
              </w:tabs>
              <w:ind w:firstLine="0" w:firstLineChars="0"/>
              <w:jc w:val="center"/>
              <w:rPr>
                <w:rFonts w:eastAsia="黑体"/>
                <w:sz w:val="21"/>
                <w:szCs w:val="21"/>
              </w:rPr>
            </w:pPr>
            <w:r>
              <w:rPr>
                <w:rFonts w:hint="eastAsia" w:ascii="黑体" w:eastAsia="黑体"/>
                <w:bCs/>
                <w:sz w:val="21"/>
                <w:szCs w:val="21"/>
              </w:rPr>
              <w:t>(规范性附录)</w:t>
            </w:r>
          </w:p>
          <w:p w14:paraId="209DC092">
            <w:pPr>
              <w:pStyle w:val="269"/>
              <w:tabs>
                <w:tab w:val="center" w:pos="4201"/>
                <w:tab w:val="right" w:leader="dot" w:pos="9298"/>
              </w:tabs>
              <w:ind w:firstLine="0" w:firstLineChars="0"/>
              <w:jc w:val="center"/>
              <w:rPr>
                <w:rFonts w:eastAsia="黑体"/>
                <w:sz w:val="21"/>
                <w:szCs w:val="21"/>
              </w:rPr>
            </w:pPr>
            <w:r>
              <w:rPr>
                <w:rFonts w:hint="eastAsia" w:eastAsia="黑体"/>
                <w:sz w:val="21"/>
                <w:szCs w:val="21"/>
              </w:rPr>
              <w:t>产品包装单</w:t>
            </w:r>
          </w:p>
          <w:p w14:paraId="5355F136">
            <w:pPr>
              <w:pStyle w:val="357"/>
              <w:tabs>
                <w:tab w:val="left" w:pos="360"/>
                <w:tab w:val="clear" w:pos="840"/>
              </w:tabs>
              <w:spacing w:before="312" w:after="312"/>
              <w:rPr>
                <w:rFonts w:ascii="仿宋_GB2312" w:hAnsi="仿宋_GB2312" w:eastAsia="仿宋_GB2312" w:cs="仿宋_GB2312"/>
                <w:sz w:val="21"/>
                <w:szCs w:val="21"/>
              </w:rPr>
            </w:pPr>
            <w:bookmarkStart w:id="877" w:name="_Toc318631146"/>
            <w:bookmarkStart w:id="878" w:name="_Toc17527"/>
            <w:bookmarkStart w:id="879" w:name="_Toc313278834"/>
            <w:r>
              <w:rPr>
                <w:rFonts w:hint="eastAsia" w:ascii="仿宋_GB2312" w:hAnsi="仿宋_GB2312" w:eastAsia="仿宋_GB2312" w:cs="仿宋_GB2312"/>
                <w:sz w:val="21"/>
                <w:szCs w:val="21"/>
              </w:rPr>
              <w:t>产品包装单见表A.1。</w:t>
            </w:r>
            <w:bookmarkEnd w:id="877"/>
            <w:bookmarkEnd w:id="878"/>
            <w:bookmarkEnd w:id="879"/>
          </w:p>
          <w:p w14:paraId="6DAEAE3E">
            <w:pPr>
              <w:pStyle w:val="544"/>
              <w:spacing w:before="156" w:after="156"/>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产品装箱清单</w:t>
            </w:r>
          </w:p>
          <w:tbl>
            <w:tblPr>
              <w:tblStyle w:val="58"/>
              <w:tblW w:w="65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9"/>
              <w:gridCol w:w="1933"/>
              <w:gridCol w:w="469"/>
              <w:gridCol w:w="469"/>
              <w:gridCol w:w="673"/>
              <w:gridCol w:w="2583"/>
            </w:tblGrid>
            <w:tr w14:paraId="03FC2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469" w:type="dxa"/>
                  <w:tcBorders>
                    <w:top w:val="single" w:color="auto" w:sz="12" w:space="0"/>
                    <w:bottom w:val="single" w:color="auto" w:sz="12" w:space="0"/>
                  </w:tcBorders>
                  <w:vAlign w:val="center"/>
                </w:tcPr>
                <w:p w14:paraId="5C1AECF8">
                  <w:pPr>
                    <w:jc w:val="center"/>
                    <w:rPr>
                      <w:rFonts w:ascii="黑体" w:hAnsi="黑体" w:eastAsia="黑体" w:cs="黑体"/>
                      <w:sz w:val="21"/>
                      <w:szCs w:val="21"/>
                    </w:rPr>
                  </w:pPr>
                  <w:r>
                    <w:rPr>
                      <w:rFonts w:hint="eastAsia" w:ascii="黑体" w:hAnsi="黑体" w:eastAsia="黑体" w:cs="黑体"/>
                      <w:sz w:val="21"/>
                      <w:szCs w:val="21"/>
                    </w:rPr>
                    <w:t>序号</w:t>
                  </w:r>
                </w:p>
              </w:tc>
              <w:tc>
                <w:tcPr>
                  <w:tcW w:w="1933" w:type="dxa"/>
                  <w:tcBorders>
                    <w:top w:val="single" w:color="auto" w:sz="12" w:space="0"/>
                    <w:bottom w:val="single" w:color="auto" w:sz="12" w:space="0"/>
                  </w:tcBorders>
                  <w:vAlign w:val="center"/>
                </w:tcPr>
                <w:p w14:paraId="542C8642">
                  <w:pPr>
                    <w:jc w:val="center"/>
                    <w:rPr>
                      <w:rFonts w:ascii="黑体" w:hAnsi="黑体" w:eastAsia="黑体" w:cs="黑体"/>
                      <w:sz w:val="21"/>
                      <w:szCs w:val="21"/>
                    </w:rPr>
                  </w:pPr>
                  <w:r>
                    <w:rPr>
                      <w:rFonts w:hint="eastAsia" w:ascii="黑体" w:hAnsi="黑体" w:eastAsia="黑体" w:cs="黑体"/>
                      <w:sz w:val="21"/>
                      <w:szCs w:val="21"/>
                    </w:rPr>
                    <w:t>零部件名称</w:t>
                  </w:r>
                </w:p>
              </w:tc>
              <w:tc>
                <w:tcPr>
                  <w:tcW w:w="469" w:type="dxa"/>
                  <w:tcBorders>
                    <w:top w:val="single" w:color="auto" w:sz="12" w:space="0"/>
                    <w:bottom w:val="single" w:color="auto" w:sz="12" w:space="0"/>
                  </w:tcBorders>
                  <w:vAlign w:val="center"/>
                </w:tcPr>
                <w:p w14:paraId="6B280433">
                  <w:pPr>
                    <w:jc w:val="center"/>
                    <w:rPr>
                      <w:rFonts w:ascii="黑体" w:hAnsi="黑体" w:eastAsia="黑体" w:cs="黑体"/>
                      <w:sz w:val="21"/>
                      <w:szCs w:val="21"/>
                    </w:rPr>
                  </w:pPr>
                  <w:r>
                    <w:rPr>
                      <w:rFonts w:hint="eastAsia" w:ascii="黑体" w:hAnsi="黑体" w:eastAsia="黑体" w:cs="黑体"/>
                      <w:sz w:val="21"/>
                      <w:szCs w:val="21"/>
                    </w:rPr>
                    <w:t>单位</w:t>
                  </w:r>
                </w:p>
              </w:tc>
              <w:tc>
                <w:tcPr>
                  <w:tcW w:w="469" w:type="dxa"/>
                  <w:tcBorders>
                    <w:top w:val="single" w:color="auto" w:sz="12" w:space="0"/>
                    <w:bottom w:val="single" w:color="auto" w:sz="12" w:space="0"/>
                  </w:tcBorders>
                  <w:vAlign w:val="center"/>
                </w:tcPr>
                <w:p w14:paraId="5520491A">
                  <w:pPr>
                    <w:jc w:val="center"/>
                    <w:rPr>
                      <w:rFonts w:ascii="黑体" w:hAnsi="黑体" w:eastAsia="黑体" w:cs="黑体"/>
                      <w:sz w:val="21"/>
                      <w:szCs w:val="21"/>
                    </w:rPr>
                  </w:pPr>
                  <w:r>
                    <w:rPr>
                      <w:rFonts w:hint="eastAsia" w:ascii="黑体" w:hAnsi="黑体" w:eastAsia="黑体" w:cs="黑体"/>
                      <w:sz w:val="21"/>
                      <w:szCs w:val="21"/>
                    </w:rPr>
                    <w:t>件数</w:t>
                  </w:r>
                </w:p>
              </w:tc>
              <w:tc>
                <w:tcPr>
                  <w:tcW w:w="673" w:type="dxa"/>
                  <w:tcBorders>
                    <w:top w:val="single" w:color="auto" w:sz="12" w:space="0"/>
                    <w:bottom w:val="single" w:color="auto" w:sz="12" w:space="0"/>
                  </w:tcBorders>
                  <w:vAlign w:val="center"/>
                </w:tcPr>
                <w:p w14:paraId="4863538E">
                  <w:pPr>
                    <w:jc w:val="center"/>
                    <w:rPr>
                      <w:rFonts w:ascii="黑体" w:hAnsi="黑体" w:eastAsia="黑体" w:cs="黑体"/>
                      <w:sz w:val="21"/>
                      <w:szCs w:val="21"/>
                    </w:rPr>
                  </w:pPr>
                  <w:r>
                    <w:rPr>
                      <w:rFonts w:hint="eastAsia" w:ascii="黑体" w:hAnsi="黑体" w:eastAsia="黑体" w:cs="黑体"/>
                      <w:sz w:val="21"/>
                      <w:szCs w:val="21"/>
                    </w:rPr>
                    <w:t>质  量</w:t>
                  </w:r>
                </w:p>
              </w:tc>
              <w:tc>
                <w:tcPr>
                  <w:tcW w:w="2583" w:type="dxa"/>
                  <w:tcBorders>
                    <w:top w:val="single" w:color="auto" w:sz="12" w:space="0"/>
                    <w:bottom w:val="single" w:color="auto" w:sz="12" w:space="0"/>
                  </w:tcBorders>
                  <w:vAlign w:val="center"/>
                </w:tcPr>
                <w:p w14:paraId="3DEFE36B">
                  <w:pPr>
                    <w:jc w:val="center"/>
                    <w:rPr>
                      <w:rFonts w:ascii="黑体" w:hAnsi="黑体" w:eastAsia="黑体" w:cs="黑体"/>
                      <w:sz w:val="21"/>
                      <w:szCs w:val="21"/>
                    </w:rPr>
                  </w:pPr>
                  <w:r>
                    <w:rPr>
                      <w:rFonts w:hint="eastAsia" w:ascii="黑体" w:hAnsi="黑体" w:eastAsia="黑体" w:cs="黑体"/>
                      <w:sz w:val="21"/>
                      <w:szCs w:val="21"/>
                    </w:rPr>
                    <w:t>包装标志</w:t>
                  </w:r>
                </w:p>
              </w:tc>
            </w:tr>
            <w:tr w14:paraId="461AC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469" w:type="dxa"/>
                  <w:tcBorders>
                    <w:top w:val="single" w:color="auto" w:sz="12" w:space="0"/>
                  </w:tcBorders>
                  <w:vAlign w:val="center"/>
                </w:tcPr>
                <w:p w14:paraId="1F2BB19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933" w:type="dxa"/>
                  <w:tcBorders>
                    <w:top w:val="single" w:color="auto" w:sz="12" w:space="0"/>
                  </w:tcBorders>
                  <w:vAlign w:val="center"/>
                </w:tcPr>
                <w:p w14:paraId="26E68BD6">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取暖炉</w:t>
                  </w:r>
                </w:p>
              </w:tc>
              <w:tc>
                <w:tcPr>
                  <w:tcW w:w="469" w:type="dxa"/>
                  <w:tcBorders>
                    <w:top w:val="single" w:color="auto" w:sz="12" w:space="0"/>
                  </w:tcBorders>
                  <w:vAlign w:val="center"/>
                </w:tcPr>
                <w:p w14:paraId="5C0E109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台</w:t>
                  </w:r>
                </w:p>
              </w:tc>
              <w:tc>
                <w:tcPr>
                  <w:tcW w:w="469" w:type="dxa"/>
                  <w:tcBorders>
                    <w:top w:val="single" w:color="auto" w:sz="12" w:space="0"/>
                  </w:tcBorders>
                  <w:vAlign w:val="center"/>
                </w:tcPr>
                <w:p w14:paraId="604EA37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3" w:type="dxa"/>
                  <w:vMerge w:val="restart"/>
                  <w:tcBorders>
                    <w:top w:val="single" w:color="auto" w:sz="12" w:space="0"/>
                  </w:tcBorders>
                  <w:vAlign w:val="center"/>
                </w:tcPr>
                <w:p w14:paraId="00F62EB4">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583" w:type="dxa"/>
                  <w:vMerge w:val="restart"/>
                  <w:tcBorders>
                    <w:top w:val="single" w:color="auto" w:sz="12" w:space="0"/>
                  </w:tcBorders>
                  <w:vAlign w:val="center"/>
                </w:tcPr>
                <w:p w14:paraId="0E4307CB">
                  <w:pPr>
                    <w:jc w:val="center"/>
                    <w:rPr>
                      <w:rFonts w:ascii="仿宋_GB2312" w:hAnsi="仿宋_GB2312" w:eastAsia="仿宋_GB2312" w:cs="仿宋_GB2312"/>
                      <w:sz w:val="21"/>
                      <w:szCs w:val="21"/>
                    </w:rPr>
                  </w:pPr>
                </w:p>
                <w:p w14:paraId="700BABEA">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柴煤两用取暖炉（烤箱）</w:t>
                  </w:r>
                </w:p>
                <w:p w14:paraId="3A115526">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数量：1套 重量：×× kg</w:t>
                  </w:r>
                </w:p>
                <w:p w14:paraId="61D65642">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规格型号：650mm×</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00mm×610mm</w:t>
                  </w:r>
                </w:p>
                <w:p w14:paraId="7E1F426B">
                  <w:pPr>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包装体积：660mm×410mm×640mm</w:t>
                  </w:r>
                </w:p>
                <w:p w14:paraId="61225D97">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生产批号：XXXXXX</w:t>
                  </w:r>
                </w:p>
                <w:p w14:paraId="136BA740">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调拨单位：松原市应急管理局</w:t>
                  </w:r>
                </w:p>
                <w:p w14:paraId="773E3020">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采购及监制单位：松原市粮食和物资储备局</w:t>
                  </w:r>
                </w:p>
                <w:p w14:paraId="5BD8F535">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承制单位：XXXXXX</w:t>
                  </w:r>
                </w:p>
                <w:p w14:paraId="3699A4D6">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生产日期：XXXXXX</w:t>
                  </w:r>
                </w:p>
              </w:tc>
            </w:tr>
            <w:tr w14:paraId="1A51D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41A20910">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933" w:type="dxa"/>
                  <w:vAlign w:val="center"/>
                </w:tcPr>
                <w:p w14:paraId="125655F5">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烟筒（50cm）</w:t>
                  </w:r>
                </w:p>
              </w:tc>
              <w:tc>
                <w:tcPr>
                  <w:tcW w:w="469" w:type="dxa"/>
                  <w:vAlign w:val="center"/>
                </w:tcPr>
                <w:p w14:paraId="178F336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节</w:t>
                  </w:r>
                </w:p>
              </w:tc>
              <w:tc>
                <w:tcPr>
                  <w:tcW w:w="469" w:type="dxa"/>
                  <w:vAlign w:val="center"/>
                </w:tcPr>
                <w:p w14:paraId="64EF9866">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73" w:type="dxa"/>
                  <w:vMerge w:val="continue"/>
                  <w:vAlign w:val="center"/>
                </w:tcPr>
                <w:p w14:paraId="64D08C1E">
                  <w:pPr>
                    <w:jc w:val="center"/>
                    <w:rPr>
                      <w:rFonts w:ascii="宋体" w:hAnsi="宋体"/>
                      <w:color w:val="FF0000"/>
                      <w:sz w:val="21"/>
                      <w:szCs w:val="21"/>
                    </w:rPr>
                  </w:pPr>
                </w:p>
              </w:tc>
              <w:tc>
                <w:tcPr>
                  <w:tcW w:w="2583" w:type="dxa"/>
                  <w:vMerge w:val="continue"/>
                  <w:vAlign w:val="center"/>
                </w:tcPr>
                <w:p w14:paraId="58A38AA5">
                  <w:pPr>
                    <w:jc w:val="center"/>
                    <w:rPr>
                      <w:rFonts w:ascii="宋体" w:hAnsi="宋体"/>
                      <w:color w:val="FF0000"/>
                      <w:sz w:val="21"/>
                      <w:szCs w:val="21"/>
                    </w:rPr>
                  </w:pPr>
                </w:p>
              </w:tc>
            </w:tr>
            <w:tr w14:paraId="1D201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50526916">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933" w:type="dxa"/>
                  <w:vAlign w:val="center"/>
                </w:tcPr>
                <w:p w14:paraId="48CACA54">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烟筒（40cm）</w:t>
                  </w:r>
                </w:p>
              </w:tc>
              <w:tc>
                <w:tcPr>
                  <w:tcW w:w="469" w:type="dxa"/>
                  <w:vAlign w:val="center"/>
                </w:tcPr>
                <w:p w14:paraId="5C908368">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节</w:t>
                  </w:r>
                </w:p>
              </w:tc>
              <w:tc>
                <w:tcPr>
                  <w:tcW w:w="469" w:type="dxa"/>
                  <w:vAlign w:val="center"/>
                </w:tcPr>
                <w:p w14:paraId="0306A547">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73" w:type="dxa"/>
                  <w:vMerge w:val="continue"/>
                  <w:vAlign w:val="center"/>
                </w:tcPr>
                <w:p w14:paraId="67ADE5D1">
                  <w:pPr>
                    <w:jc w:val="center"/>
                    <w:rPr>
                      <w:rFonts w:ascii="宋体" w:hAnsi="宋体"/>
                      <w:color w:val="FF0000"/>
                      <w:sz w:val="21"/>
                      <w:szCs w:val="21"/>
                    </w:rPr>
                  </w:pPr>
                </w:p>
              </w:tc>
              <w:tc>
                <w:tcPr>
                  <w:tcW w:w="2583" w:type="dxa"/>
                  <w:vMerge w:val="continue"/>
                  <w:vAlign w:val="center"/>
                </w:tcPr>
                <w:p w14:paraId="1C53996A">
                  <w:pPr>
                    <w:jc w:val="center"/>
                    <w:rPr>
                      <w:rFonts w:ascii="宋体" w:hAnsi="宋体"/>
                      <w:color w:val="FF0000"/>
                      <w:sz w:val="21"/>
                      <w:szCs w:val="21"/>
                    </w:rPr>
                  </w:pPr>
                </w:p>
              </w:tc>
            </w:tr>
            <w:tr w14:paraId="6751F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19C4EAF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933" w:type="dxa"/>
                  <w:vAlign w:val="center"/>
                </w:tcPr>
                <w:p w14:paraId="532D027C">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烟囱L型连接弯头</w:t>
                  </w:r>
                </w:p>
              </w:tc>
              <w:tc>
                <w:tcPr>
                  <w:tcW w:w="469" w:type="dxa"/>
                  <w:vAlign w:val="center"/>
                </w:tcPr>
                <w:p w14:paraId="02FBE056">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469" w:type="dxa"/>
                  <w:vAlign w:val="center"/>
                </w:tcPr>
                <w:p w14:paraId="4060D4A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73" w:type="dxa"/>
                  <w:vMerge w:val="continue"/>
                  <w:vAlign w:val="center"/>
                </w:tcPr>
                <w:p w14:paraId="5E47E8DA">
                  <w:pPr>
                    <w:jc w:val="center"/>
                    <w:rPr>
                      <w:rFonts w:ascii="宋体" w:hAnsi="宋体"/>
                      <w:color w:val="FF0000"/>
                      <w:sz w:val="21"/>
                      <w:szCs w:val="21"/>
                    </w:rPr>
                  </w:pPr>
                </w:p>
              </w:tc>
              <w:tc>
                <w:tcPr>
                  <w:tcW w:w="2583" w:type="dxa"/>
                  <w:vMerge w:val="continue"/>
                  <w:vAlign w:val="center"/>
                </w:tcPr>
                <w:p w14:paraId="79770BA5">
                  <w:pPr>
                    <w:jc w:val="center"/>
                    <w:rPr>
                      <w:rFonts w:ascii="宋体" w:hAnsi="宋体"/>
                      <w:color w:val="FF0000"/>
                      <w:sz w:val="21"/>
                      <w:szCs w:val="21"/>
                    </w:rPr>
                  </w:pPr>
                </w:p>
              </w:tc>
            </w:tr>
            <w:tr w14:paraId="6293B4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6BE102EF">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933" w:type="dxa"/>
                  <w:vAlign w:val="center"/>
                </w:tcPr>
                <w:p w14:paraId="766FEA4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烟囱T字型连接头</w:t>
                  </w:r>
                </w:p>
              </w:tc>
              <w:tc>
                <w:tcPr>
                  <w:tcW w:w="469" w:type="dxa"/>
                  <w:vAlign w:val="center"/>
                </w:tcPr>
                <w:p w14:paraId="096AA70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469" w:type="dxa"/>
                  <w:vAlign w:val="center"/>
                </w:tcPr>
                <w:p w14:paraId="24908B61">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3" w:type="dxa"/>
                  <w:vMerge w:val="continue"/>
                  <w:vAlign w:val="center"/>
                </w:tcPr>
                <w:p w14:paraId="2766079C">
                  <w:pPr>
                    <w:jc w:val="center"/>
                    <w:rPr>
                      <w:rFonts w:ascii="宋体" w:hAnsi="宋体"/>
                      <w:color w:val="FF0000"/>
                      <w:sz w:val="21"/>
                      <w:szCs w:val="21"/>
                    </w:rPr>
                  </w:pPr>
                </w:p>
              </w:tc>
              <w:tc>
                <w:tcPr>
                  <w:tcW w:w="2583" w:type="dxa"/>
                  <w:vMerge w:val="continue"/>
                  <w:vAlign w:val="center"/>
                </w:tcPr>
                <w:p w14:paraId="74180A99">
                  <w:pPr>
                    <w:jc w:val="center"/>
                    <w:rPr>
                      <w:rFonts w:ascii="宋体" w:hAnsi="宋体"/>
                      <w:color w:val="FF0000"/>
                      <w:sz w:val="21"/>
                      <w:szCs w:val="21"/>
                    </w:rPr>
                  </w:pPr>
                </w:p>
              </w:tc>
            </w:tr>
            <w:tr w14:paraId="00983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2CB275C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933" w:type="dxa"/>
                  <w:vAlign w:val="center"/>
                </w:tcPr>
                <w:p w14:paraId="43C34A98">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火钳</w:t>
                  </w:r>
                </w:p>
              </w:tc>
              <w:tc>
                <w:tcPr>
                  <w:tcW w:w="469" w:type="dxa"/>
                  <w:vAlign w:val="center"/>
                </w:tcPr>
                <w:p w14:paraId="2FCE84C6">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把</w:t>
                  </w:r>
                </w:p>
              </w:tc>
              <w:tc>
                <w:tcPr>
                  <w:tcW w:w="469" w:type="dxa"/>
                  <w:vAlign w:val="center"/>
                </w:tcPr>
                <w:p w14:paraId="667FAEE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3" w:type="dxa"/>
                  <w:vMerge w:val="continue"/>
                  <w:vAlign w:val="center"/>
                </w:tcPr>
                <w:p w14:paraId="5C6A24D5">
                  <w:pPr>
                    <w:jc w:val="center"/>
                    <w:rPr>
                      <w:rFonts w:ascii="宋体" w:hAnsi="宋体"/>
                      <w:color w:val="FF0000"/>
                      <w:sz w:val="21"/>
                      <w:szCs w:val="21"/>
                    </w:rPr>
                  </w:pPr>
                </w:p>
              </w:tc>
              <w:tc>
                <w:tcPr>
                  <w:tcW w:w="2583" w:type="dxa"/>
                  <w:vMerge w:val="continue"/>
                  <w:vAlign w:val="center"/>
                </w:tcPr>
                <w:p w14:paraId="1CBE72C8">
                  <w:pPr>
                    <w:jc w:val="center"/>
                    <w:rPr>
                      <w:rFonts w:ascii="宋体" w:hAnsi="宋体"/>
                      <w:color w:val="FF0000"/>
                      <w:sz w:val="21"/>
                      <w:szCs w:val="21"/>
                    </w:rPr>
                  </w:pPr>
                </w:p>
              </w:tc>
            </w:tr>
            <w:tr w14:paraId="4E793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521" w:hRule="atLeast"/>
                <w:jc w:val="center"/>
              </w:trPr>
              <w:tc>
                <w:tcPr>
                  <w:tcW w:w="469" w:type="dxa"/>
                  <w:vAlign w:val="center"/>
                </w:tcPr>
                <w:p w14:paraId="1780798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933" w:type="dxa"/>
                  <w:vAlign w:val="center"/>
                </w:tcPr>
                <w:p w14:paraId="2693B41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火钩</w:t>
                  </w:r>
                </w:p>
              </w:tc>
              <w:tc>
                <w:tcPr>
                  <w:tcW w:w="469" w:type="dxa"/>
                  <w:vAlign w:val="center"/>
                </w:tcPr>
                <w:p w14:paraId="6A3901E0">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把</w:t>
                  </w:r>
                </w:p>
              </w:tc>
              <w:tc>
                <w:tcPr>
                  <w:tcW w:w="469" w:type="dxa"/>
                  <w:vAlign w:val="center"/>
                </w:tcPr>
                <w:p w14:paraId="67BBB264">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3" w:type="dxa"/>
                  <w:vMerge w:val="continue"/>
                  <w:vAlign w:val="center"/>
                </w:tcPr>
                <w:p w14:paraId="068797B3">
                  <w:pPr>
                    <w:jc w:val="center"/>
                    <w:rPr>
                      <w:rFonts w:ascii="宋体" w:hAnsi="宋体"/>
                      <w:color w:val="FF0000"/>
                      <w:sz w:val="21"/>
                      <w:szCs w:val="21"/>
                    </w:rPr>
                  </w:pPr>
                </w:p>
              </w:tc>
              <w:tc>
                <w:tcPr>
                  <w:tcW w:w="2583" w:type="dxa"/>
                  <w:vMerge w:val="continue"/>
                  <w:vAlign w:val="center"/>
                </w:tcPr>
                <w:p w14:paraId="3F2645A0">
                  <w:pPr>
                    <w:jc w:val="center"/>
                    <w:rPr>
                      <w:rFonts w:ascii="宋体" w:hAnsi="宋体"/>
                      <w:color w:val="FF0000"/>
                      <w:sz w:val="21"/>
                      <w:szCs w:val="21"/>
                    </w:rPr>
                  </w:pPr>
                </w:p>
              </w:tc>
            </w:tr>
            <w:tr w14:paraId="0045A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3CDE25BB">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933" w:type="dxa"/>
                  <w:vAlign w:val="center"/>
                </w:tcPr>
                <w:p w14:paraId="567EAB0B">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煤铲</w:t>
                  </w:r>
                </w:p>
              </w:tc>
              <w:tc>
                <w:tcPr>
                  <w:tcW w:w="469" w:type="dxa"/>
                  <w:vAlign w:val="center"/>
                </w:tcPr>
                <w:p w14:paraId="1EFC9E74">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把</w:t>
                  </w:r>
                </w:p>
              </w:tc>
              <w:tc>
                <w:tcPr>
                  <w:tcW w:w="469" w:type="dxa"/>
                  <w:vAlign w:val="center"/>
                </w:tcPr>
                <w:p w14:paraId="23BC726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3" w:type="dxa"/>
                  <w:vMerge w:val="continue"/>
                  <w:vAlign w:val="center"/>
                </w:tcPr>
                <w:p w14:paraId="0EEB2B43">
                  <w:pPr>
                    <w:jc w:val="center"/>
                    <w:rPr>
                      <w:rFonts w:ascii="宋体" w:hAnsi="宋体"/>
                      <w:color w:val="FF0000"/>
                      <w:sz w:val="21"/>
                      <w:szCs w:val="21"/>
                    </w:rPr>
                  </w:pPr>
                </w:p>
              </w:tc>
              <w:tc>
                <w:tcPr>
                  <w:tcW w:w="2583" w:type="dxa"/>
                  <w:vMerge w:val="restart"/>
                  <w:vAlign w:val="center"/>
                </w:tcPr>
                <w:p w14:paraId="0F0DD88B">
                  <w:pPr>
                    <w:jc w:val="center"/>
                    <w:rPr>
                      <w:rFonts w:ascii="宋体" w:hAnsi="宋体"/>
                      <w:color w:val="FF0000"/>
                      <w:sz w:val="21"/>
                      <w:szCs w:val="21"/>
                    </w:rPr>
                  </w:pPr>
                </w:p>
              </w:tc>
            </w:tr>
            <w:tr w14:paraId="6F2AD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7F8476FF">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933" w:type="dxa"/>
                  <w:vAlign w:val="center"/>
                </w:tcPr>
                <w:p w14:paraId="7A3FF169">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捅条</w:t>
                  </w:r>
                </w:p>
              </w:tc>
              <w:tc>
                <w:tcPr>
                  <w:tcW w:w="469" w:type="dxa"/>
                  <w:vAlign w:val="center"/>
                </w:tcPr>
                <w:p w14:paraId="00F7EB27">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根</w:t>
                  </w:r>
                </w:p>
              </w:tc>
              <w:tc>
                <w:tcPr>
                  <w:tcW w:w="469" w:type="dxa"/>
                  <w:vAlign w:val="center"/>
                </w:tcPr>
                <w:p w14:paraId="2E323512">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3" w:type="dxa"/>
                  <w:vMerge w:val="continue"/>
                  <w:vAlign w:val="center"/>
                </w:tcPr>
                <w:p w14:paraId="2B42AE26">
                  <w:pPr>
                    <w:jc w:val="center"/>
                    <w:rPr>
                      <w:rFonts w:ascii="宋体" w:hAnsi="宋体"/>
                      <w:color w:val="FF0000"/>
                      <w:sz w:val="21"/>
                      <w:szCs w:val="21"/>
                    </w:rPr>
                  </w:pPr>
                </w:p>
              </w:tc>
              <w:tc>
                <w:tcPr>
                  <w:tcW w:w="2583" w:type="dxa"/>
                  <w:vMerge w:val="continue"/>
                  <w:vAlign w:val="center"/>
                </w:tcPr>
                <w:p w14:paraId="4A72959C">
                  <w:pPr>
                    <w:jc w:val="center"/>
                    <w:rPr>
                      <w:rFonts w:ascii="宋体" w:hAnsi="宋体"/>
                      <w:color w:val="FF0000"/>
                      <w:sz w:val="21"/>
                      <w:szCs w:val="21"/>
                    </w:rPr>
                  </w:pPr>
                </w:p>
              </w:tc>
            </w:tr>
            <w:tr w14:paraId="63AF1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04845B3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933" w:type="dxa"/>
                  <w:vAlign w:val="center"/>
                </w:tcPr>
                <w:p w14:paraId="450B493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灶台调节外盖</w:t>
                  </w:r>
                </w:p>
              </w:tc>
              <w:tc>
                <w:tcPr>
                  <w:tcW w:w="469" w:type="dxa"/>
                  <w:vAlign w:val="center"/>
                </w:tcPr>
                <w:p w14:paraId="69F83248">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469" w:type="dxa"/>
                  <w:vAlign w:val="center"/>
                </w:tcPr>
                <w:p w14:paraId="2E64FDC3">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673" w:type="dxa"/>
                  <w:vMerge w:val="continue"/>
                  <w:vAlign w:val="center"/>
                </w:tcPr>
                <w:p w14:paraId="1D7655B9">
                  <w:pPr>
                    <w:jc w:val="center"/>
                    <w:rPr>
                      <w:rFonts w:ascii="宋体" w:hAnsi="宋体"/>
                      <w:color w:val="FF0000"/>
                      <w:sz w:val="21"/>
                      <w:szCs w:val="21"/>
                    </w:rPr>
                  </w:pPr>
                </w:p>
              </w:tc>
              <w:tc>
                <w:tcPr>
                  <w:tcW w:w="2583" w:type="dxa"/>
                  <w:vMerge w:val="continue"/>
                  <w:vAlign w:val="center"/>
                </w:tcPr>
                <w:p w14:paraId="03E0F84C">
                  <w:pPr>
                    <w:jc w:val="center"/>
                    <w:rPr>
                      <w:rFonts w:ascii="宋体" w:hAnsi="宋体"/>
                      <w:color w:val="FF0000"/>
                      <w:sz w:val="21"/>
                      <w:szCs w:val="21"/>
                    </w:rPr>
                  </w:pPr>
                </w:p>
              </w:tc>
            </w:tr>
            <w:tr w14:paraId="26119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2E0F141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933" w:type="dxa"/>
                  <w:vAlign w:val="center"/>
                </w:tcPr>
                <w:p w14:paraId="3629FF2F">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封炉盖</w:t>
                  </w:r>
                </w:p>
              </w:tc>
              <w:tc>
                <w:tcPr>
                  <w:tcW w:w="469" w:type="dxa"/>
                  <w:vAlign w:val="center"/>
                </w:tcPr>
                <w:p w14:paraId="7B376EF1">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块</w:t>
                  </w:r>
                </w:p>
              </w:tc>
              <w:tc>
                <w:tcPr>
                  <w:tcW w:w="469" w:type="dxa"/>
                  <w:vAlign w:val="center"/>
                </w:tcPr>
                <w:p w14:paraId="72C6A34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3" w:type="dxa"/>
                  <w:vMerge w:val="continue"/>
                  <w:vAlign w:val="center"/>
                </w:tcPr>
                <w:p w14:paraId="49476A62">
                  <w:pPr>
                    <w:jc w:val="center"/>
                    <w:rPr>
                      <w:rFonts w:ascii="宋体" w:hAnsi="宋体"/>
                      <w:color w:val="FF0000"/>
                      <w:sz w:val="21"/>
                      <w:szCs w:val="21"/>
                    </w:rPr>
                  </w:pPr>
                </w:p>
              </w:tc>
              <w:tc>
                <w:tcPr>
                  <w:tcW w:w="2583" w:type="dxa"/>
                  <w:vMerge w:val="continue"/>
                  <w:vAlign w:val="center"/>
                </w:tcPr>
                <w:p w14:paraId="7809695A">
                  <w:pPr>
                    <w:jc w:val="center"/>
                    <w:rPr>
                      <w:rFonts w:ascii="宋体" w:hAnsi="宋体"/>
                      <w:color w:val="FF0000"/>
                      <w:sz w:val="21"/>
                      <w:szCs w:val="21"/>
                    </w:rPr>
                  </w:pPr>
                </w:p>
              </w:tc>
            </w:tr>
            <w:tr w14:paraId="243F0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69" w:type="dxa"/>
                  <w:vAlign w:val="center"/>
                </w:tcPr>
                <w:p w14:paraId="49863DD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1933" w:type="dxa"/>
                  <w:vAlign w:val="center"/>
                </w:tcPr>
                <w:p w14:paraId="42F8901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调节脚</w:t>
                  </w:r>
                </w:p>
              </w:tc>
              <w:tc>
                <w:tcPr>
                  <w:tcW w:w="469" w:type="dxa"/>
                  <w:vAlign w:val="center"/>
                </w:tcPr>
                <w:p w14:paraId="1AB96DD1">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469" w:type="dxa"/>
                  <w:vAlign w:val="center"/>
                </w:tcPr>
                <w:p w14:paraId="4FE0140F">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673" w:type="dxa"/>
                  <w:vMerge w:val="continue"/>
                  <w:vAlign w:val="center"/>
                </w:tcPr>
                <w:p w14:paraId="3B33A268">
                  <w:pPr>
                    <w:jc w:val="center"/>
                    <w:rPr>
                      <w:rFonts w:ascii="宋体" w:hAnsi="宋体"/>
                      <w:color w:val="FF0000"/>
                      <w:sz w:val="21"/>
                      <w:szCs w:val="21"/>
                    </w:rPr>
                  </w:pPr>
                </w:p>
              </w:tc>
              <w:tc>
                <w:tcPr>
                  <w:tcW w:w="2583" w:type="dxa"/>
                  <w:vMerge w:val="continue"/>
                  <w:vAlign w:val="center"/>
                </w:tcPr>
                <w:p w14:paraId="6A8377B5">
                  <w:pPr>
                    <w:jc w:val="center"/>
                    <w:rPr>
                      <w:rFonts w:ascii="宋体" w:hAnsi="宋体"/>
                      <w:color w:val="FF0000"/>
                      <w:sz w:val="21"/>
                      <w:szCs w:val="21"/>
                    </w:rPr>
                  </w:pPr>
                </w:p>
              </w:tc>
            </w:tr>
            <w:tr w14:paraId="0688D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469" w:type="dxa"/>
                  <w:vAlign w:val="center"/>
                </w:tcPr>
                <w:p w14:paraId="2496FAE8">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1933" w:type="dxa"/>
                  <w:vAlign w:val="center"/>
                </w:tcPr>
                <w:p w14:paraId="02F7007B">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使用维护说明书、合格证</w:t>
                  </w:r>
                </w:p>
              </w:tc>
              <w:tc>
                <w:tcPr>
                  <w:tcW w:w="469" w:type="dxa"/>
                  <w:vAlign w:val="center"/>
                </w:tcPr>
                <w:p w14:paraId="71870440">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套</w:t>
                  </w:r>
                </w:p>
              </w:tc>
              <w:tc>
                <w:tcPr>
                  <w:tcW w:w="469" w:type="dxa"/>
                  <w:vAlign w:val="center"/>
                </w:tcPr>
                <w:p w14:paraId="40D03B54">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3" w:type="dxa"/>
                  <w:vMerge w:val="continue"/>
                  <w:vAlign w:val="center"/>
                </w:tcPr>
                <w:p w14:paraId="5C310990">
                  <w:pPr>
                    <w:jc w:val="center"/>
                    <w:rPr>
                      <w:rFonts w:ascii="宋体" w:hAnsi="宋体"/>
                      <w:color w:val="FF0000"/>
                      <w:sz w:val="21"/>
                      <w:szCs w:val="21"/>
                    </w:rPr>
                  </w:pPr>
                </w:p>
              </w:tc>
              <w:tc>
                <w:tcPr>
                  <w:tcW w:w="2583" w:type="dxa"/>
                  <w:vMerge w:val="continue"/>
                  <w:vAlign w:val="center"/>
                </w:tcPr>
                <w:p w14:paraId="357AE3B5">
                  <w:pPr>
                    <w:jc w:val="center"/>
                    <w:rPr>
                      <w:rFonts w:ascii="宋体" w:hAnsi="宋体"/>
                      <w:color w:val="FF0000"/>
                      <w:sz w:val="21"/>
                      <w:szCs w:val="21"/>
                    </w:rPr>
                  </w:pPr>
                </w:p>
              </w:tc>
            </w:tr>
            <w:tr w14:paraId="3CEF85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78" w:hRule="atLeast"/>
                <w:jc w:val="center"/>
              </w:trPr>
              <w:tc>
                <w:tcPr>
                  <w:tcW w:w="469" w:type="dxa"/>
                  <w:vAlign w:val="center"/>
                </w:tcPr>
                <w:p w14:paraId="024B574A">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1933" w:type="dxa"/>
                  <w:vAlign w:val="center"/>
                </w:tcPr>
                <w:p w14:paraId="096E0EFD">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外包装纸箱</w:t>
                  </w:r>
                </w:p>
              </w:tc>
              <w:tc>
                <w:tcPr>
                  <w:tcW w:w="469" w:type="dxa"/>
                  <w:vAlign w:val="center"/>
                </w:tcPr>
                <w:p w14:paraId="2E501374">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469" w:type="dxa"/>
                  <w:tcBorders>
                    <w:top w:val="single" w:color="auto" w:sz="4" w:space="0"/>
                  </w:tcBorders>
                  <w:vAlign w:val="center"/>
                </w:tcPr>
                <w:p w14:paraId="695A0762">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73" w:type="dxa"/>
                  <w:vMerge w:val="continue"/>
                  <w:vAlign w:val="center"/>
                </w:tcPr>
                <w:p w14:paraId="4CAF9182">
                  <w:pPr>
                    <w:jc w:val="center"/>
                    <w:rPr>
                      <w:rFonts w:ascii="宋体" w:hAnsi="宋体"/>
                      <w:color w:val="FF0000"/>
                      <w:sz w:val="21"/>
                      <w:szCs w:val="21"/>
                    </w:rPr>
                  </w:pPr>
                </w:p>
              </w:tc>
              <w:tc>
                <w:tcPr>
                  <w:tcW w:w="2583" w:type="dxa"/>
                  <w:vMerge w:val="continue"/>
                  <w:vAlign w:val="center"/>
                </w:tcPr>
                <w:p w14:paraId="0DE22D72">
                  <w:pPr>
                    <w:jc w:val="center"/>
                    <w:rPr>
                      <w:rFonts w:ascii="宋体" w:hAnsi="宋体"/>
                      <w:color w:val="FF0000"/>
                      <w:sz w:val="21"/>
                      <w:szCs w:val="21"/>
                    </w:rPr>
                  </w:pPr>
                </w:p>
              </w:tc>
            </w:tr>
          </w:tbl>
          <w:p w14:paraId="628EB428">
            <w:pPr>
              <w:widowControl/>
              <w:jc w:val="left"/>
              <w:rPr>
                <w:sz w:val="21"/>
                <w:szCs w:val="21"/>
              </w:rPr>
            </w:pPr>
            <w:bookmarkStart w:id="880" w:name="_Toc318631147"/>
            <w:bookmarkEnd w:id="880"/>
          </w:p>
          <w:p w14:paraId="4467E754">
            <w:pPr>
              <w:pStyle w:val="269"/>
              <w:tabs>
                <w:tab w:val="center" w:pos="4201"/>
                <w:tab w:val="right" w:leader="dot" w:pos="9298"/>
              </w:tabs>
              <w:ind w:firstLine="0" w:firstLineChars="0"/>
              <w:jc w:val="center"/>
              <w:rPr>
                <w:rFonts w:eastAsia="黑体"/>
                <w:sz w:val="21"/>
                <w:szCs w:val="21"/>
              </w:rPr>
            </w:pPr>
            <w:r>
              <w:rPr>
                <w:rFonts w:hint="eastAsia" w:eastAsia="黑体"/>
                <w:sz w:val="21"/>
                <w:szCs w:val="21"/>
              </w:rPr>
              <w:t xml:space="preserve">   （规范性附录）</w:t>
            </w:r>
          </w:p>
          <w:p w14:paraId="0C6F97AC">
            <w:pPr>
              <w:jc w:val="center"/>
              <w:outlineLvl w:val="0"/>
              <w:rPr>
                <w:rFonts w:ascii="黑体" w:eastAsia="黑体"/>
                <w:bCs/>
                <w:sz w:val="21"/>
                <w:szCs w:val="21"/>
              </w:rPr>
            </w:pPr>
            <w:r>
              <w:rPr>
                <w:rFonts w:hint="eastAsia" w:ascii="黑体" w:eastAsia="黑体"/>
                <w:bCs/>
                <w:sz w:val="21"/>
                <w:szCs w:val="21"/>
              </w:rPr>
              <w:t xml:space="preserve">    </w:t>
            </w:r>
            <w:bookmarkStart w:id="881" w:name="_Toc642"/>
            <w:r>
              <w:rPr>
                <w:rFonts w:hint="eastAsia" w:ascii="黑体" w:eastAsia="黑体"/>
                <w:bCs/>
                <w:sz w:val="21"/>
                <w:szCs w:val="21"/>
              </w:rPr>
              <w:t>柴煤两用取暖炉使用说明书</w:t>
            </w:r>
            <w:bookmarkEnd w:id="881"/>
          </w:p>
          <w:p w14:paraId="5736B43B">
            <w:pPr>
              <w:pStyle w:val="357"/>
              <w:tabs>
                <w:tab w:val="left" w:pos="360"/>
                <w:tab w:val="clear" w:pos="840"/>
              </w:tabs>
              <w:spacing w:beforeLines="0" w:afterLines="0" w:line="560" w:lineRule="exact"/>
              <w:rPr>
                <w:rFonts w:ascii="仿宋_GB2312" w:hAnsi="仿宋_GB2312" w:eastAsia="仿宋_GB2312" w:cs="仿宋_GB2312"/>
                <w:sz w:val="21"/>
                <w:szCs w:val="21"/>
              </w:rPr>
            </w:pPr>
            <w:bookmarkStart w:id="882" w:name="_Toc14251"/>
            <w:r>
              <w:rPr>
                <w:rFonts w:hint="eastAsia" w:ascii="仿宋_GB2312" w:hAnsi="仿宋_GB2312" w:eastAsia="仿宋_GB2312" w:cs="仿宋_GB2312"/>
                <w:sz w:val="21"/>
                <w:szCs w:val="21"/>
              </w:rPr>
              <w:t>安装</w:t>
            </w:r>
            <w:bookmarkEnd w:id="882"/>
          </w:p>
          <w:p w14:paraId="415819C1">
            <w:pPr>
              <w:pStyle w:val="543"/>
              <w:spacing w:beforeLines="0" w:afterLines="0" w:line="560" w:lineRule="exact"/>
              <w:rPr>
                <w:rFonts w:ascii="仿宋_GB2312" w:hAnsi="仿宋_GB2312" w:eastAsia="仿宋_GB2312" w:cs="仿宋_GB2312"/>
                <w:sz w:val="21"/>
                <w:szCs w:val="21"/>
              </w:rPr>
            </w:pPr>
            <w:bookmarkStart w:id="883" w:name="_Toc29954"/>
            <w:r>
              <w:rPr>
                <w:rFonts w:hint="eastAsia" w:ascii="仿宋_GB2312" w:hAnsi="仿宋_GB2312" w:eastAsia="仿宋_GB2312" w:cs="仿宋_GB2312"/>
                <w:sz w:val="21"/>
                <w:szCs w:val="21"/>
              </w:rPr>
              <w:t>打开包装，取出说明书及产品包装单，清点各部件数量，并保留好包装物，以便撤收炉具时使用。</w:t>
            </w:r>
            <w:bookmarkEnd w:id="883"/>
          </w:p>
          <w:p w14:paraId="399E1E14">
            <w:pPr>
              <w:pStyle w:val="543"/>
              <w:spacing w:beforeLines="0" w:afterLines="0" w:line="560" w:lineRule="exact"/>
              <w:rPr>
                <w:rFonts w:ascii="仿宋_GB2312" w:hAnsi="仿宋_GB2312" w:eastAsia="仿宋_GB2312" w:cs="仿宋_GB2312"/>
                <w:sz w:val="21"/>
                <w:szCs w:val="21"/>
              </w:rPr>
            </w:pPr>
            <w:bookmarkStart w:id="884" w:name="_Toc26239"/>
            <w:r>
              <w:rPr>
                <w:rFonts w:hint="eastAsia" w:ascii="仿宋_GB2312" w:hAnsi="仿宋_GB2312" w:eastAsia="仿宋_GB2312" w:cs="仿宋_GB2312"/>
                <w:sz w:val="21"/>
                <w:szCs w:val="21"/>
              </w:rPr>
              <w:t>在帐篷或室内合适的位置先按放好炉具，安装炉底四个调节脚垫，并调节水平。</w:t>
            </w:r>
            <w:bookmarkEnd w:id="884"/>
          </w:p>
          <w:p w14:paraId="0AEB4636">
            <w:pPr>
              <w:pStyle w:val="543"/>
              <w:spacing w:beforeLines="0" w:afterLines="0" w:line="560" w:lineRule="exact"/>
              <w:rPr>
                <w:rFonts w:ascii="仿宋_GB2312" w:hAnsi="仿宋_GB2312" w:eastAsia="仿宋_GB2312" w:cs="仿宋_GB2312"/>
                <w:sz w:val="21"/>
                <w:szCs w:val="21"/>
              </w:rPr>
            </w:pPr>
            <w:bookmarkStart w:id="885" w:name="_Toc5552"/>
            <w:r>
              <w:rPr>
                <w:rFonts w:hint="eastAsia" w:ascii="仿宋_GB2312" w:hAnsi="仿宋_GB2312" w:eastAsia="仿宋_GB2312" w:cs="仿宋_GB2312"/>
                <w:sz w:val="21"/>
                <w:szCs w:val="21"/>
              </w:rPr>
              <w:t>取出三根50cm烟囱管连接在一起，用L型烟囱弯头垂直安装在炉具上的烟道口上。</w:t>
            </w:r>
            <w:bookmarkEnd w:id="885"/>
          </w:p>
          <w:p w14:paraId="48BA5036">
            <w:pPr>
              <w:pStyle w:val="543"/>
              <w:spacing w:beforeLines="0" w:afterLines="0" w:line="560" w:lineRule="exact"/>
              <w:rPr>
                <w:rFonts w:ascii="仿宋_GB2312" w:hAnsi="仿宋_GB2312" w:eastAsia="仿宋_GB2312" w:cs="仿宋_GB2312"/>
                <w:sz w:val="21"/>
                <w:szCs w:val="21"/>
              </w:rPr>
            </w:pPr>
            <w:bookmarkStart w:id="886" w:name="_Toc15505"/>
            <w:r>
              <w:rPr>
                <w:rFonts w:hint="eastAsia" w:ascii="仿宋_GB2312" w:hAnsi="仿宋_GB2312" w:eastAsia="仿宋_GB2312" w:cs="仿宋_GB2312"/>
                <w:sz w:val="21"/>
                <w:szCs w:val="21"/>
              </w:rPr>
              <w:t>取出三根40cm烟囱管，用L型烟囱弯头水平连接在垂直的烟囱上。另一段伸出帐篷的烟囱口，并调整烟囱与炉具的水平及垂直位置。烟囱与炉体配合使用后地面到烟筒中心高为2150㎜，用铁丝捆扎拉紧，固定在帐篷支架或房间内墙上。</w:t>
            </w:r>
            <w:bookmarkEnd w:id="886"/>
          </w:p>
          <w:p w14:paraId="4333642D">
            <w:pPr>
              <w:pStyle w:val="543"/>
              <w:spacing w:beforeLines="0" w:afterLines="0" w:line="560" w:lineRule="exact"/>
              <w:rPr>
                <w:rFonts w:ascii="仿宋_GB2312" w:hAnsi="仿宋_GB2312" w:eastAsia="仿宋_GB2312" w:cs="仿宋_GB2312"/>
                <w:sz w:val="21"/>
                <w:szCs w:val="21"/>
              </w:rPr>
            </w:pPr>
            <w:bookmarkStart w:id="887" w:name="_Toc11329"/>
            <w:r>
              <w:rPr>
                <w:rFonts w:hint="eastAsia" w:ascii="仿宋_GB2312" w:hAnsi="仿宋_GB2312" w:eastAsia="仿宋_GB2312" w:cs="仿宋_GB2312"/>
                <w:sz w:val="21"/>
                <w:szCs w:val="21"/>
              </w:rPr>
              <w:t>取出T型烟囱弯头安装在烟囱伸出帐篷烟囱口的外端，并调整烟囱口垂直向上，使燃烧烟充分垂直向上排出。成品图见图B。</w:t>
            </w:r>
            <w:bookmarkEnd w:id="887"/>
          </w:p>
          <w:p w14:paraId="175B4C22">
            <w:pPr>
              <w:pStyle w:val="269"/>
              <w:tabs>
                <w:tab w:val="center" w:pos="4201"/>
                <w:tab w:val="right" w:leader="dot" w:pos="9298"/>
              </w:tabs>
              <w:rPr>
                <w:rFonts w:hint="eastAsia" w:ascii="仿宋_GB2312" w:hAnsi="仿宋_GB2312" w:eastAsia="仿宋_GB2312" w:cs="仿宋_GB2312"/>
                <w:sz w:val="21"/>
                <w:szCs w:val="21"/>
              </w:rPr>
            </w:pPr>
            <w:r>
              <w:rPr>
                <w:sz w:val="21"/>
                <w:szCs w:val="21"/>
              </w:rPr>
              <w:drawing>
                <wp:anchor distT="0" distB="0" distL="114300" distR="114300" simplePos="0" relativeHeight="251694080" behindDoc="0" locked="0" layoutInCell="1" allowOverlap="1">
                  <wp:simplePos x="0" y="0"/>
                  <wp:positionH relativeFrom="column">
                    <wp:posOffset>130175</wp:posOffset>
                  </wp:positionH>
                  <wp:positionV relativeFrom="paragraph">
                    <wp:posOffset>32385</wp:posOffset>
                  </wp:positionV>
                  <wp:extent cx="1782445" cy="2021840"/>
                  <wp:effectExtent l="0" t="0" r="8255" b="16510"/>
                  <wp:wrapNone/>
                  <wp:docPr id="45" name="图片 15"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descr="55"/>
                          <pic:cNvPicPr>
                            <a:picLocks noChangeAspect="1"/>
                          </pic:cNvPicPr>
                        </pic:nvPicPr>
                        <pic:blipFill>
                          <a:blip r:embed="rId29"/>
                          <a:stretch>
                            <a:fillRect/>
                          </a:stretch>
                        </pic:blipFill>
                        <pic:spPr>
                          <a:xfrm>
                            <a:off x="0" y="0"/>
                            <a:ext cx="1782445" cy="2021840"/>
                          </a:xfrm>
                          <a:prstGeom prst="rect">
                            <a:avLst/>
                          </a:prstGeom>
                          <a:noFill/>
                          <a:ln>
                            <a:noFill/>
                          </a:ln>
                        </pic:spPr>
                      </pic:pic>
                    </a:graphicData>
                  </a:graphic>
                </wp:anchor>
              </w:drawing>
            </w:r>
            <w:r>
              <w:rPr>
                <w:sz w:val="21"/>
                <w:szCs w:val="21"/>
              </w:rPr>
              <w:drawing>
                <wp:anchor distT="0" distB="0" distL="114300" distR="114300" simplePos="0" relativeHeight="251695104" behindDoc="0" locked="0" layoutInCell="1" allowOverlap="1">
                  <wp:simplePos x="0" y="0"/>
                  <wp:positionH relativeFrom="column">
                    <wp:posOffset>2152650</wp:posOffset>
                  </wp:positionH>
                  <wp:positionV relativeFrom="paragraph">
                    <wp:posOffset>75565</wp:posOffset>
                  </wp:positionV>
                  <wp:extent cx="1824990" cy="1990725"/>
                  <wp:effectExtent l="0" t="0" r="3810" b="9525"/>
                  <wp:wrapNone/>
                  <wp:docPr id="46" name="图片 16" descr="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 descr="33-1"/>
                          <pic:cNvPicPr>
                            <a:picLocks noChangeAspect="1"/>
                          </pic:cNvPicPr>
                        </pic:nvPicPr>
                        <pic:blipFill>
                          <a:blip r:embed="rId30"/>
                          <a:stretch>
                            <a:fillRect/>
                          </a:stretch>
                        </pic:blipFill>
                        <pic:spPr>
                          <a:xfrm>
                            <a:off x="0" y="0"/>
                            <a:ext cx="1824990" cy="1990725"/>
                          </a:xfrm>
                          <a:prstGeom prst="rect">
                            <a:avLst/>
                          </a:prstGeom>
                          <a:noFill/>
                          <a:ln>
                            <a:noFill/>
                          </a:ln>
                        </pic:spPr>
                      </pic:pic>
                    </a:graphicData>
                  </a:graphic>
                </wp:anchor>
              </w:drawing>
            </w:r>
          </w:p>
          <w:p w14:paraId="07BE241B">
            <w:pPr>
              <w:rPr>
                <w:rFonts w:hint="eastAsia" w:ascii="仿宋_GB2312" w:hAnsi="仿宋_GB2312" w:eastAsia="仿宋_GB2312" w:cs="仿宋_GB2312"/>
                <w:sz w:val="21"/>
                <w:szCs w:val="21"/>
              </w:rPr>
            </w:pPr>
          </w:p>
          <w:p w14:paraId="4288409C">
            <w:pPr>
              <w:rPr>
                <w:rFonts w:hint="eastAsia" w:ascii="仿宋_GB2312" w:hAnsi="仿宋_GB2312" w:eastAsia="仿宋_GB2312" w:cs="仿宋_GB2312"/>
                <w:sz w:val="21"/>
                <w:szCs w:val="21"/>
              </w:rPr>
            </w:pPr>
          </w:p>
          <w:p w14:paraId="3C7296BE">
            <w:pPr>
              <w:rPr>
                <w:rFonts w:hint="eastAsia" w:ascii="仿宋_GB2312" w:hAnsi="仿宋_GB2312" w:eastAsia="仿宋_GB2312" w:cs="仿宋_GB2312"/>
                <w:sz w:val="21"/>
                <w:szCs w:val="21"/>
              </w:rPr>
            </w:pPr>
          </w:p>
          <w:p w14:paraId="0DBA92DC">
            <w:pPr>
              <w:rPr>
                <w:rFonts w:hint="eastAsia" w:ascii="仿宋_GB2312" w:hAnsi="仿宋_GB2312" w:eastAsia="仿宋_GB2312" w:cs="仿宋_GB2312"/>
                <w:sz w:val="21"/>
                <w:szCs w:val="21"/>
              </w:rPr>
            </w:pPr>
          </w:p>
          <w:p w14:paraId="46E63B40">
            <w:pPr>
              <w:pStyle w:val="543"/>
              <w:numPr>
                <w:ilvl w:val="0"/>
                <w:numId w:val="0"/>
              </w:numPr>
              <w:tabs>
                <w:tab w:val="clear" w:pos="360"/>
              </w:tabs>
              <w:spacing w:before="156" w:after="156" w:line="276" w:lineRule="auto"/>
              <w:textAlignment w:val="auto"/>
              <w:rPr>
                <w:rFonts w:ascii="Times New Roman" w:hAnsi="宋体" w:eastAsia="宋体"/>
                <w:bCs/>
                <w:color w:val="000000"/>
                <w:sz w:val="21"/>
                <w:szCs w:val="21"/>
              </w:rPr>
            </w:pPr>
          </w:p>
          <w:p w14:paraId="14617C27">
            <w:pPr>
              <w:pStyle w:val="269"/>
              <w:tabs>
                <w:tab w:val="center" w:pos="4809"/>
              </w:tabs>
              <w:rPr>
                <w:sz w:val="21"/>
                <w:szCs w:val="21"/>
              </w:rPr>
            </w:pPr>
            <w:r>
              <w:rPr>
                <w:sz w:val="21"/>
                <w:szCs w:val="21"/>
              </w:rPr>
              <w:tab/>
            </w:r>
          </w:p>
          <w:p w14:paraId="2979345F">
            <w:pPr>
              <w:pStyle w:val="269"/>
              <w:tabs>
                <w:tab w:val="center" w:pos="4201"/>
                <w:tab w:val="right" w:leader="dot" w:pos="9298"/>
              </w:tabs>
              <w:rPr>
                <w:sz w:val="21"/>
                <w:szCs w:val="21"/>
              </w:rPr>
            </w:pPr>
          </w:p>
          <w:p w14:paraId="60105851">
            <w:pPr>
              <w:pStyle w:val="269"/>
              <w:tabs>
                <w:tab w:val="center" w:pos="4201"/>
                <w:tab w:val="right" w:leader="dot" w:pos="9298"/>
              </w:tabs>
              <w:rPr>
                <w:sz w:val="21"/>
                <w:szCs w:val="21"/>
              </w:rPr>
            </w:pPr>
          </w:p>
          <w:p w14:paraId="291F5BE6">
            <w:pPr>
              <w:pStyle w:val="269"/>
              <w:tabs>
                <w:tab w:val="center" w:pos="4201"/>
                <w:tab w:val="right" w:leader="dot" w:pos="9298"/>
              </w:tabs>
              <w:rPr>
                <w:sz w:val="21"/>
                <w:szCs w:val="21"/>
              </w:rPr>
            </w:pPr>
          </w:p>
          <w:p w14:paraId="71F28D1F">
            <w:pPr>
              <w:pStyle w:val="269"/>
              <w:tabs>
                <w:tab w:val="center" w:pos="4201"/>
                <w:tab w:val="right" w:leader="dot" w:pos="9298"/>
              </w:tabs>
              <w:rPr>
                <w:sz w:val="21"/>
                <w:szCs w:val="21"/>
              </w:rPr>
            </w:pPr>
          </w:p>
          <w:p w14:paraId="0ABE5705">
            <w:pPr>
              <w:rPr>
                <w:sz w:val="21"/>
                <w:szCs w:val="21"/>
              </w:rPr>
            </w:pPr>
          </w:p>
          <w:p w14:paraId="540D60CA">
            <w:pPr>
              <w:pStyle w:val="269"/>
              <w:tabs>
                <w:tab w:val="center" w:pos="4201"/>
                <w:tab w:val="right" w:leader="dot" w:pos="9298"/>
              </w:tabs>
              <w:ind w:firstLine="0" w:firstLineChars="0"/>
              <w:jc w:val="center"/>
              <w:rPr>
                <w:rFonts w:ascii="黑体" w:hAnsi="黑体" w:eastAsia="黑体" w:cs="黑体"/>
                <w:sz w:val="21"/>
                <w:szCs w:val="21"/>
              </w:rPr>
            </w:pPr>
            <w:r>
              <w:rPr>
                <w:rFonts w:hint="eastAsia" w:ascii="黑体" w:hAnsi="黑体" w:eastAsia="黑体" w:cs="黑体"/>
                <w:sz w:val="21"/>
                <w:szCs w:val="21"/>
              </w:rPr>
              <w:t>图B1 成品图</w:t>
            </w:r>
          </w:p>
          <w:p w14:paraId="4C76B01B">
            <w:pPr>
              <w:pStyle w:val="357"/>
              <w:tabs>
                <w:tab w:val="left" w:pos="360"/>
                <w:tab w:val="clear" w:pos="840"/>
              </w:tabs>
              <w:spacing w:beforeLines="0" w:afterLines="0" w:line="560" w:lineRule="exact"/>
              <w:rPr>
                <w:rFonts w:ascii="仿宋_GB2312" w:hAnsi="仿宋_GB2312" w:eastAsia="仿宋_GB2312" w:cs="仿宋_GB2312"/>
                <w:sz w:val="21"/>
                <w:szCs w:val="21"/>
              </w:rPr>
            </w:pPr>
            <w:bookmarkStart w:id="888" w:name="_Toc27434"/>
            <w:r>
              <w:rPr>
                <w:rFonts w:hint="eastAsia" w:ascii="仿宋_GB2312" w:hAnsi="仿宋_GB2312" w:eastAsia="仿宋_GB2312" w:cs="仿宋_GB2312"/>
                <w:sz w:val="21"/>
                <w:szCs w:val="21"/>
              </w:rPr>
              <w:t>使用操作</w:t>
            </w:r>
            <w:bookmarkEnd w:id="888"/>
          </w:p>
          <w:p w14:paraId="50D8AC5A">
            <w:pPr>
              <w:pStyle w:val="543"/>
              <w:spacing w:beforeLines="0" w:afterLines="0" w:line="560" w:lineRule="exact"/>
              <w:rPr>
                <w:rFonts w:ascii="仿宋_GB2312" w:hAnsi="仿宋_GB2312" w:eastAsia="仿宋_GB2312" w:cs="仿宋_GB2312"/>
                <w:sz w:val="21"/>
                <w:szCs w:val="21"/>
              </w:rPr>
            </w:pPr>
            <w:bookmarkStart w:id="889" w:name="_Toc5040"/>
            <w:r>
              <w:rPr>
                <w:rFonts w:hint="eastAsia" w:ascii="仿宋_GB2312" w:hAnsi="仿宋_GB2312" w:eastAsia="仿宋_GB2312" w:cs="仿宋_GB2312"/>
                <w:sz w:val="21"/>
                <w:szCs w:val="21"/>
              </w:rPr>
              <w:t>点火时请先打开炉面盖板。</w:t>
            </w:r>
            <w:bookmarkEnd w:id="889"/>
          </w:p>
          <w:p w14:paraId="7DC1EAC0">
            <w:pPr>
              <w:pStyle w:val="543"/>
              <w:spacing w:beforeLines="0" w:afterLines="0" w:line="560" w:lineRule="exact"/>
              <w:rPr>
                <w:rFonts w:ascii="仿宋_GB2312" w:hAnsi="仿宋_GB2312" w:eastAsia="仿宋_GB2312" w:cs="仿宋_GB2312"/>
                <w:sz w:val="21"/>
                <w:szCs w:val="21"/>
              </w:rPr>
            </w:pPr>
            <w:bookmarkStart w:id="890" w:name="_Toc31945"/>
            <w:r>
              <w:rPr>
                <w:rFonts w:hint="eastAsia" w:ascii="仿宋_GB2312" w:hAnsi="仿宋_GB2312" w:eastAsia="仿宋_GB2312" w:cs="仿宋_GB2312"/>
                <w:sz w:val="21"/>
                <w:szCs w:val="21"/>
              </w:rPr>
              <w:t>准备好引火干草（废纸）若干，打开加柴口、通风口。</w:t>
            </w:r>
            <w:bookmarkEnd w:id="890"/>
          </w:p>
          <w:p w14:paraId="5D02C120">
            <w:pPr>
              <w:pStyle w:val="543"/>
              <w:spacing w:beforeLines="0" w:afterLines="0" w:line="560" w:lineRule="exact"/>
              <w:rPr>
                <w:rFonts w:ascii="仿宋_GB2312" w:hAnsi="仿宋_GB2312" w:eastAsia="仿宋_GB2312" w:cs="仿宋_GB2312"/>
                <w:sz w:val="21"/>
                <w:szCs w:val="21"/>
              </w:rPr>
            </w:pPr>
            <w:bookmarkStart w:id="891" w:name="_Toc8752"/>
            <w:r>
              <w:rPr>
                <w:rFonts w:hint="eastAsia" w:ascii="仿宋_GB2312" w:hAnsi="仿宋_GB2312" w:eastAsia="仿宋_GB2312" w:cs="仿宋_GB2312"/>
                <w:sz w:val="21"/>
                <w:szCs w:val="21"/>
              </w:rPr>
              <w:t>将干草（废纸）引燃置于炉膛内,待火势充分燃起,关闭加柴口。</w:t>
            </w:r>
            <w:bookmarkEnd w:id="891"/>
          </w:p>
          <w:p w14:paraId="48128DC1">
            <w:pPr>
              <w:pStyle w:val="543"/>
              <w:spacing w:beforeLines="0" w:afterLines="0" w:line="560" w:lineRule="exact"/>
              <w:rPr>
                <w:rFonts w:ascii="仿宋_GB2312" w:hAnsi="仿宋_GB2312" w:eastAsia="仿宋_GB2312" w:cs="仿宋_GB2312"/>
                <w:sz w:val="21"/>
                <w:szCs w:val="21"/>
              </w:rPr>
            </w:pPr>
            <w:bookmarkStart w:id="892" w:name="_Toc13785"/>
            <w:r>
              <w:rPr>
                <w:rFonts w:hint="eastAsia" w:ascii="仿宋_GB2312" w:hAnsi="仿宋_GB2312" w:eastAsia="仿宋_GB2312" w:cs="仿宋_GB2312"/>
                <w:sz w:val="21"/>
                <w:szCs w:val="21"/>
              </w:rPr>
              <w:t>或将少量木柴引燃炉膛内，待火势充分燃烧起火苗变大后，加上准备好的煤碳、干牛粪、柴、草、农作物秸杆、蜂窝煤致炉膛1/3位置，关闭加柴口。</w:t>
            </w:r>
            <w:bookmarkEnd w:id="892"/>
          </w:p>
          <w:p w14:paraId="6759C6DB">
            <w:pPr>
              <w:pStyle w:val="543"/>
              <w:spacing w:beforeLines="0" w:afterLines="0" w:line="560" w:lineRule="exact"/>
              <w:rPr>
                <w:rFonts w:ascii="仿宋_GB2312" w:hAnsi="仿宋_GB2312" w:eastAsia="仿宋_GB2312" w:cs="仿宋_GB2312"/>
                <w:sz w:val="21"/>
                <w:szCs w:val="21"/>
              </w:rPr>
            </w:pPr>
            <w:bookmarkStart w:id="893" w:name="_Toc15732"/>
            <w:r>
              <w:rPr>
                <w:rFonts w:hint="eastAsia" w:ascii="仿宋_GB2312" w:hAnsi="仿宋_GB2312" w:eastAsia="仿宋_GB2312" w:cs="仿宋_GB2312"/>
                <w:sz w:val="21"/>
                <w:szCs w:val="21"/>
              </w:rPr>
              <w:t>根据使用要求可利用通风口开关调节火力大小或封火处理。</w:t>
            </w:r>
            <w:bookmarkEnd w:id="893"/>
          </w:p>
          <w:p w14:paraId="0CF36612">
            <w:pPr>
              <w:pStyle w:val="543"/>
              <w:spacing w:beforeLines="0" w:afterLines="0" w:line="560" w:lineRule="exact"/>
              <w:rPr>
                <w:rFonts w:ascii="仿宋_GB2312" w:hAnsi="仿宋_GB2312" w:eastAsia="仿宋_GB2312" w:cs="仿宋_GB2312"/>
                <w:sz w:val="21"/>
                <w:szCs w:val="21"/>
              </w:rPr>
            </w:pPr>
            <w:bookmarkStart w:id="894" w:name="_Toc13391"/>
            <w:r>
              <w:rPr>
                <w:rFonts w:hint="eastAsia" w:ascii="仿宋_GB2312" w:hAnsi="仿宋_GB2312" w:eastAsia="仿宋_GB2312" w:cs="仿宋_GB2312"/>
                <w:sz w:val="21"/>
                <w:szCs w:val="21"/>
              </w:rPr>
              <w:t>灶口上的调节盖根据锅具尺寸任意选择大小外盖。</w:t>
            </w:r>
            <w:bookmarkEnd w:id="894"/>
          </w:p>
          <w:p w14:paraId="44309250">
            <w:pPr>
              <w:pStyle w:val="543"/>
              <w:spacing w:beforeLines="0" w:afterLines="0" w:line="560" w:lineRule="exact"/>
              <w:rPr>
                <w:rFonts w:ascii="仿宋_GB2312" w:hAnsi="仿宋_GB2312" w:eastAsia="仿宋_GB2312" w:cs="仿宋_GB2312"/>
                <w:sz w:val="21"/>
                <w:szCs w:val="21"/>
              </w:rPr>
            </w:pPr>
            <w:bookmarkStart w:id="895" w:name="_Toc26219"/>
            <w:r>
              <w:rPr>
                <w:rFonts w:hint="eastAsia" w:ascii="仿宋_GB2312" w:hAnsi="仿宋_GB2312" w:eastAsia="仿宋_GB2312" w:cs="仿宋_GB2312"/>
                <w:sz w:val="21"/>
                <w:szCs w:val="21"/>
              </w:rPr>
              <w:t>使用干牛粪、柴、草、农作物秸杆等作为燃料时，取出烧煤炉芯。</w:t>
            </w:r>
            <w:bookmarkEnd w:id="895"/>
          </w:p>
          <w:p w14:paraId="0FE61CD0">
            <w:pPr>
              <w:pStyle w:val="543"/>
              <w:spacing w:beforeLines="0" w:afterLines="0" w:line="560" w:lineRule="exact"/>
              <w:rPr>
                <w:rFonts w:ascii="仿宋_GB2312" w:hAnsi="仿宋_GB2312" w:eastAsia="仿宋_GB2312" w:cs="仿宋_GB2312"/>
                <w:sz w:val="21"/>
                <w:szCs w:val="21"/>
              </w:rPr>
            </w:pPr>
            <w:bookmarkStart w:id="896" w:name="_Toc3331"/>
            <w:r>
              <w:rPr>
                <w:rFonts w:hint="eastAsia" w:ascii="仿宋_GB2312" w:hAnsi="仿宋_GB2312" w:eastAsia="仿宋_GB2312" w:cs="仿宋_GB2312"/>
                <w:sz w:val="21"/>
                <w:szCs w:val="21"/>
              </w:rPr>
              <w:t>使用蜂窝煤、散煤、块煤等燃料时，放入烧煤炉芯。</w:t>
            </w:r>
            <w:bookmarkEnd w:id="896"/>
          </w:p>
          <w:p w14:paraId="4826F4AF">
            <w:pPr>
              <w:pStyle w:val="543"/>
              <w:spacing w:beforeLines="0" w:afterLines="0" w:line="560" w:lineRule="exact"/>
              <w:rPr>
                <w:rFonts w:ascii="仿宋_GB2312" w:hAnsi="仿宋_GB2312" w:eastAsia="仿宋_GB2312" w:cs="仿宋_GB2312"/>
                <w:sz w:val="21"/>
                <w:szCs w:val="21"/>
              </w:rPr>
            </w:pPr>
            <w:bookmarkStart w:id="897" w:name="_Toc8098"/>
            <w:r>
              <w:rPr>
                <w:rFonts w:hint="eastAsia" w:ascii="仿宋_GB2312" w:hAnsi="仿宋_GB2312" w:eastAsia="仿宋_GB2312" w:cs="仿宋_GB2312"/>
                <w:sz w:val="21"/>
                <w:szCs w:val="21"/>
              </w:rPr>
              <w:t>清理煤灰时把掏炉拉杆（炉排）前后推拉，煤灰自动掉落。</w:t>
            </w:r>
            <w:bookmarkEnd w:id="897"/>
          </w:p>
          <w:p w14:paraId="29988193">
            <w:pPr>
              <w:pStyle w:val="543"/>
              <w:spacing w:beforeLines="0" w:afterLines="0" w:line="560" w:lineRule="exact"/>
              <w:rPr>
                <w:rFonts w:ascii="仿宋_GB2312" w:hAnsi="仿宋_GB2312" w:eastAsia="仿宋_GB2312" w:cs="仿宋_GB2312"/>
                <w:sz w:val="21"/>
                <w:szCs w:val="21"/>
              </w:rPr>
            </w:pPr>
            <w:bookmarkStart w:id="898" w:name="_Toc23809"/>
            <w:r>
              <w:rPr>
                <w:rFonts w:hint="eastAsia" w:ascii="仿宋_GB2312" w:hAnsi="仿宋_GB2312" w:eastAsia="仿宋_GB2312" w:cs="仿宋_GB2312"/>
                <w:sz w:val="21"/>
                <w:szCs w:val="21"/>
              </w:rPr>
              <w:t>燃烧周期及燃料的添加量要根据室外的气象条件、室温要求和燃料质量等因素而定。表B1提供的数据可供参考。</w:t>
            </w:r>
            <w:bookmarkEnd w:id="898"/>
          </w:p>
          <w:tbl>
            <w:tblPr>
              <w:tblStyle w:val="58"/>
              <w:tblpPr w:leftFromText="180" w:rightFromText="180" w:vertAnchor="text" w:horzAnchor="page" w:tblpX="108" w:tblpY="621"/>
              <w:tblOverlap w:val="never"/>
              <w:tblW w:w="64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440"/>
              <w:gridCol w:w="4046"/>
            </w:tblGrid>
            <w:tr w14:paraId="5D464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13" w:type="dxa"/>
                  <w:tcBorders>
                    <w:top w:val="single" w:color="auto" w:sz="12" w:space="0"/>
                    <w:bottom w:val="single" w:color="auto" w:sz="12" w:space="0"/>
                  </w:tcBorders>
                  <w:vAlign w:val="center"/>
                </w:tcPr>
                <w:p w14:paraId="17DAABA5">
                  <w:pPr>
                    <w:spacing w:line="440" w:lineRule="exact"/>
                    <w:jc w:val="center"/>
                    <w:rPr>
                      <w:rFonts w:ascii="黑体" w:hAnsi="黑体" w:eastAsia="黑体" w:cs="黑体"/>
                      <w:sz w:val="21"/>
                      <w:szCs w:val="21"/>
                    </w:rPr>
                  </w:pPr>
                  <w:r>
                    <w:rPr>
                      <w:rFonts w:hint="eastAsia" w:ascii="黑体" w:hAnsi="黑体" w:eastAsia="黑体" w:cs="黑体"/>
                      <w:sz w:val="21"/>
                      <w:szCs w:val="21"/>
                    </w:rPr>
                    <w:t>项 目</w:t>
                  </w:r>
                </w:p>
              </w:tc>
              <w:tc>
                <w:tcPr>
                  <w:tcW w:w="1440" w:type="dxa"/>
                  <w:tcBorders>
                    <w:top w:val="single" w:color="auto" w:sz="12" w:space="0"/>
                    <w:bottom w:val="single" w:color="auto" w:sz="12" w:space="0"/>
                  </w:tcBorders>
                  <w:vAlign w:val="center"/>
                </w:tcPr>
                <w:p w14:paraId="41164089">
                  <w:pPr>
                    <w:spacing w:line="440" w:lineRule="exact"/>
                    <w:jc w:val="center"/>
                    <w:rPr>
                      <w:rFonts w:ascii="黑体" w:hAnsi="黑体" w:eastAsia="黑体" w:cs="黑体"/>
                      <w:sz w:val="21"/>
                      <w:szCs w:val="21"/>
                    </w:rPr>
                  </w:pPr>
                  <w:r>
                    <w:rPr>
                      <w:rFonts w:hint="eastAsia" w:ascii="黑体" w:hAnsi="黑体" w:eastAsia="黑体" w:cs="黑体"/>
                      <w:sz w:val="21"/>
                      <w:szCs w:val="21"/>
                    </w:rPr>
                    <w:t>燃烧周期（h）</w:t>
                  </w:r>
                </w:p>
              </w:tc>
              <w:tc>
                <w:tcPr>
                  <w:tcW w:w="4046" w:type="dxa"/>
                  <w:tcBorders>
                    <w:top w:val="single" w:color="auto" w:sz="12" w:space="0"/>
                    <w:bottom w:val="single" w:color="auto" w:sz="12" w:space="0"/>
                  </w:tcBorders>
                  <w:vAlign w:val="center"/>
                </w:tcPr>
                <w:p w14:paraId="129E22AE">
                  <w:pPr>
                    <w:spacing w:line="440" w:lineRule="exact"/>
                    <w:jc w:val="center"/>
                    <w:rPr>
                      <w:rFonts w:ascii="黑体" w:hAnsi="黑体" w:eastAsia="黑体" w:cs="黑体"/>
                      <w:sz w:val="21"/>
                      <w:szCs w:val="21"/>
                    </w:rPr>
                  </w:pPr>
                  <w:r>
                    <w:rPr>
                      <w:rFonts w:hint="eastAsia" w:ascii="黑体" w:hAnsi="黑体" w:eastAsia="黑体" w:cs="黑体"/>
                      <w:sz w:val="21"/>
                      <w:szCs w:val="21"/>
                    </w:rPr>
                    <w:t>添加量（㎏）</w:t>
                  </w:r>
                </w:p>
              </w:tc>
            </w:tr>
            <w:tr w14:paraId="5FBFE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013" w:type="dxa"/>
                  <w:tcBorders>
                    <w:top w:val="single" w:color="auto" w:sz="12" w:space="0"/>
                  </w:tcBorders>
                  <w:vAlign w:val="center"/>
                </w:tcPr>
                <w:p w14:paraId="745CA5DF">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无烟煤</w:t>
                  </w:r>
                </w:p>
              </w:tc>
              <w:tc>
                <w:tcPr>
                  <w:tcW w:w="1440" w:type="dxa"/>
                  <w:tcBorders>
                    <w:top w:val="single" w:color="auto" w:sz="12" w:space="0"/>
                  </w:tcBorders>
                  <w:vAlign w:val="center"/>
                </w:tcPr>
                <w:p w14:paraId="7BDCBAEE">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4046" w:type="dxa"/>
                  <w:tcBorders>
                    <w:top w:val="single" w:color="auto" w:sz="12" w:space="0"/>
                  </w:tcBorders>
                  <w:vAlign w:val="center"/>
                </w:tcPr>
                <w:p w14:paraId="33302D37">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3-6</w:t>
                  </w:r>
                </w:p>
              </w:tc>
            </w:tr>
            <w:tr w14:paraId="43BA2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13" w:type="dxa"/>
                  <w:vAlign w:val="center"/>
                </w:tcPr>
                <w:p w14:paraId="3B9321FA">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烟  煤</w:t>
                  </w:r>
                </w:p>
              </w:tc>
              <w:tc>
                <w:tcPr>
                  <w:tcW w:w="1440" w:type="dxa"/>
                  <w:vAlign w:val="center"/>
                </w:tcPr>
                <w:p w14:paraId="6158C73C">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1-1.5</w:t>
                  </w:r>
                </w:p>
              </w:tc>
              <w:tc>
                <w:tcPr>
                  <w:tcW w:w="4046" w:type="dxa"/>
                  <w:vAlign w:val="center"/>
                </w:tcPr>
                <w:p w14:paraId="27673975">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2-3</w:t>
                  </w:r>
                </w:p>
              </w:tc>
            </w:tr>
            <w:tr w14:paraId="2B0882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13" w:type="dxa"/>
                  <w:vAlign w:val="center"/>
                </w:tcPr>
                <w:p w14:paraId="7C0F8920">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褐  煤</w:t>
                  </w:r>
                </w:p>
              </w:tc>
              <w:tc>
                <w:tcPr>
                  <w:tcW w:w="1440" w:type="dxa"/>
                  <w:vAlign w:val="center"/>
                </w:tcPr>
                <w:p w14:paraId="6E0A535F">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0.5-1</w:t>
                  </w:r>
                </w:p>
              </w:tc>
              <w:tc>
                <w:tcPr>
                  <w:tcW w:w="4046" w:type="dxa"/>
                  <w:vAlign w:val="center"/>
                </w:tcPr>
                <w:p w14:paraId="59902A24">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2-3</w:t>
                  </w:r>
                </w:p>
              </w:tc>
            </w:tr>
            <w:tr w14:paraId="3B50E6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13" w:type="dxa"/>
                  <w:vAlign w:val="center"/>
                </w:tcPr>
                <w:p w14:paraId="45B61D97">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木  柴</w:t>
                  </w:r>
                </w:p>
              </w:tc>
              <w:tc>
                <w:tcPr>
                  <w:tcW w:w="1440" w:type="dxa"/>
                  <w:vAlign w:val="center"/>
                </w:tcPr>
                <w:p w14:paraId="0CF3C838">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0.3-0.5</w:t>
                  </w:r>
                </w:p>
              </w:tc>
              <w:tc>
                <w:tcPr>
                  <w:tcW w:w="4046" w:type="dxa"/>
                  <w:vAlign w:val="center"/>
                </w:tcPr>
                <w:p w14:paraId="388BDB97">
                  <w:pPr>
                    <w:spacing w:line="4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r>
          </w:tbl>
          <w:p w14:paraId="7FA0EF61">
            <w:pPr>
              <w:pStyle w:val="269"/>
              <w:tabs>
                <w:tab w:val="center" w:pos="4201"/>
                <w:tab w:val="right" w:leader="dot" w:pos="9298"/>
              </w:tabs>
              <w:ind w:firstLine="480"/>
              <w:jc w:val="center"/>
              <w:rPr>
                <w:rFonts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表 B1</w:t>
            </w:r>
            <w:r>
              <w:rPr>
                <w:rFonts w:hint="eastAsia" w:ascii="方正小标宋简体" w:hAnsi="方正小标宋简体" w:eastAsia="方正小标宋简体" w:cs="方正小标宋简体"/>
                <w:kern w:val="21"/>
                <w:sz w:val="21"/>
                <w:szCs w:val="21"/>
              </w:rPr>
              <w:t>燃料的燃烧周期及添加量</w:t>
            </w:r>
          </w:p>
          <w:p w14:paraId="0F71B36C">
            <w:pPr>
              <w:pStyle w:val="357"/>
              <w:tabs>
                <w:tab w:val="left" w:pos="360"/>
                <w:tab w:val="clear" w:pos="840"/>
              </w:tabs>
              <w:spacing w:beforeLines="0" w:afterLines="0" w:line="560" w:lineRule="exact"/>
              <w:rPr>
                <w:rFonts w:ascii="仿宋_GB2312" w:hAnsi="仿宋_GB2312" w:eastAsia="仿宋_GB2312" w:cs="仿宋_GB2312"/>
                <w:sz w:val="21"/>
                <w:szCs w:val="21"/>
              </w:rPr>
            </w:pPr>
            <w:bookmarkStart w:id="899" w:name="_Toc27622"/>
            <w:r>
              <w:rPr>
                <w:rFonts w:hint="eastAsia" w:ascii="仿宋_GB2312" w:hAnsi="仿宋_GB2312" w:eastAsia="仿宋_GB2312" w:cs="仿宋_GB2312"/>
                <w:sz w:val="21"/>
                <w:szCs w:val="21"/>
              </w:rPr>
              <w:t>封火操作</w:t>
            </w:r>
            <w:bookmarkEnd w:id="899"/>
          </w:p>
          <w:p w14:paraId="62698A8A">
            <w:pPr>
              <w:pStyle w:val="543"/>
              <w:spacing w:beforeLines="0" w:afterLines="0" w:line="560" w:lineRule="exact"/>
              <w:rPr>
                <w:rFonts w:ascii="仿宋_GB2312" w:hAnsi="仿宋_GB2312" w:eastAsia="仿宋_GB2312" w:cs="仿宋_GB2312"/>
                <w:sz w:val="21"/>
                <w:szCs w:val="21"/>
              </w:rPr>
            </w:pPr>
            <w:bookmarkStart w:id="900" w:name="_Toc13855"/>
            <w:r>
              <w:rPr>
                <w:rFonts w:hint="eastAsia" w:ascii="仿宋_GB2312" w:hAnsi="仿宋_GB2312" w:eastAsia="仿宋_GB2312" w:cs="仿宋_GB2312"/>
                <w:sz w:val="21"/>
                <w:szCs w:val="21"/>
              </w:rPr>
              <w:t>封火前一小时内不要添加燃料，等炉芯温度下降</w:t>
            </w:r>
            <w:bookmarkEnd w:id="900"/>
          </w:p>
          <w:p w14:paraId="68AD0F4F">
            <w:pPr>
              <w:pStyle w:val="269"/>
              <w:rPr>
                <w:sz w:val="21"/>
                <w:szCs w:val="21"/>
              </w:rPr>
            </w:pPr>
          </w:p>
          <w:p w14:paraId="7E09B75A">
            <w:pPr>
              <w:pStyle w:val="543"/>
              <w:spacing w:beforeLines="0" w:afterLines="0" w:line="560" w:lineRule="exact"/>
              <w:rPr>
                <w:rFonts w:ascii="仿宋_GB2312" w:hAnsi="仿宋_GB2312" w:eastAsia="仿宋_GB2312" w:cs="仿宋_GB2312"/>
                <w:sz w:val="21"/>
                <w:szCs w:val="21"/>
              </w:rPr>
            </w:pPr>
            <w:bookmarkStart w:id="901" w:name="_Toc20198"/>
            <w:r>
              <w:rPr>
                <w:rFonts w:hint="eastAsia" w:ascii="仿宋_GB2312" w:hAnsi="仿宋_GB2312" w:eastAsia="仿宋_GB2312" w:cs="仿宋_GB2312"/>
                <w:sz w:val="21"/>
                <w:szCs w:val="21"/>
              </w:rPr>
              <w:t>推拉炉箅子拉杆，让燃料降至炉芯1/3位置时，在炉芯里填满燃料并盖上封火盖。</w:t>
            </w:r>
            <w:bookmarkEnd w:id="901"/>
          </w:p>
          <w:p w14:paraId="2CFB7A9C">
            <w:pPr>
              <w:pStyle w:val="543"/>
              <w:spacing w:beforeLines="0" w:afterLines="0" w:line="560" w:lineRule="exact"/>
              <w:rPr>
                <w:rFonts w:ascii="仿宋_GB2312" w:hAnsi="仿宋_GB2312" w:eastAsia="仿宋_GB2312" w:cs="仿宋_GB2312"/>
                <w:sz w:val="21"/>
                <w:szCs w:val="21"/>
              </w:rPr>
            </w:pPr>
            <w:bookmarkStart w:id="902" w:name="_Toc18853"/>
            <w:r>
              <w:rPr>
                <w:rFonts w:hint="eastAsia" w:ascii="仿宋_GB2312" w:hAnsi="仿宋_GB2312" w:eastAsia="仿宋_GB2312" w:cs="仿宋_GB2312"/>
                <w:sz w:val="21"/>
                <w:szCs w:val="21"/>
              </w:rPr>
              <w:t>关闭通风口、加柴口、炉灰抽屉，盖好炉面板调节口。封火完毕。</w:t>
            </w:r>
            <w:bookmarkEnd w:id="902"/>
          </w:p>
          <w:p w14:paraId="4631DECF">
            <w:pPr>
              <w:pStyle w:val="543"/>
              <w:spacing w:beforeLines="0" w:afterLines="0" w:line="560" w:lineRule="exact"/>
              <w:rPr>
                <w:rFonts w:ascii="仿宋_GB2312" w:hAnsi="仿宋_GB2312" w:eastAsia="仿宋_GB2312" w:cs="仿宋_GB2312"/>
                <w:sz w:val="21"/>
                <w:szCs w:val="21"/>
              </w:rPr>
            </w:pPr>
            <w:bookmarkStart w:id="903" w:name="_Toc18398"/>
            <w:r>
              <w:rPr>
                <w:rFonts w:hint="eastAsia" w:ascii="仿宋_GB2312" w:hAnsi="仿宋_GB2312" w:eastAsia="仿宋_GB2312" w:cs="仿宋_GB2312"/>
                <w:sz w:val="21"/>
                <w:szCs w:val="21"/>
              </w:rPr>
              <w:t>再次使用时，打开通风口、加柴口、炉灰抽屉、炉面板调节口，轻微推拉炉箅子拉杆保持通风，等待10分钟左右继续使用。</w:t>
            </w:r>
            <w:bookmarkEnd w:id="903"/>
          </w:p>
          <w:p w14:paraId="0E1996F3">
            <w:pPr>
              <w:pStyle w:val="357"/>
              <w:tabs>
                <w:tab w:val="left" w:pos="360"/>
                <w:tab w:val="clear" w:pos="840"/>
              </w:tabs>
              <w:spacing w:beforeLines="0" w:afterLines="0" w:line="560" w:lineRule="exact"/>
              <w:rPr>
                <w:rFonts w:ascii="仿宋_GB2312" w:hAnsi="仿宋_GB2312" w:eastAsia="仿宋_GB2312" w:cs="仿宋_GB2312"/>
                <w:sz w:val="21"/>
                <w:szCs w:val="21"/>
              </w:rPr>
            </w:pPr>
            <w:bookmarkStart w:id="904" w:name="_Toc2245"/>
            <w:r>
              <w:rPr>
                <w:rFonts w:hint="eastAsia" w:ascii="仿宋_GB2312" w:hAnsi="仿宋_GB2312" w:eastAsia="仿宋_GB2312" w:cs="仿宋_GB2312"/>
                <w:sz w:val="21"/>
                <w:szCs w:val="21"/>
              </w:rPr>
              <w:t>操作注意事项：</w:t>
            </w:r>
            <w:bookmarkEnd w:id="904"/>
          </w:p>
          <w:p w14:paraId="297F46EA">
            <w:pPr>
              <w:pStyle w:val="543"/>
              <w:spacing w:beforeLines="0" w:afterLines="0" w:line="560" w:lineRule="exact"/>
              <w:rPr>
                <w:rFonts w:ascii="仿宋_GB2312" w:hAnsi="仿宋_GB2312" w:eastAsia="仿宋_GB2312" w:cs="仿宋_GB2312"/>
                <w:sz w:val="21"/>
                <w:szCs w:val="21"/>
              </w:rPr>
            </w:pPr>
            <w:bookmarkStart w:id="905" w:name="_Toc16013"/>
            <w:r>
              <w:rPr>
                <w:rFonts w:hint="eastAsia" w:ascii="仿宋_GB2312" w:hAnsi="仿宋_GB2312" w:eastAsia="仿宋_GB2312" w:cs="仿宋_GB2312"/>
                <w:sz w:val="21"/>
                <w:szCs w:val="21"/>
              </w:rPr>
              <w:t>取暖炉运行过程中，炉体最高温度达200℃以上，人体不得直接触碰炉体或烟筒，以防烫伤。</w:t>
            </w:r>
            <w:bookmarkEnd w:id="905"/>
          </w:p>
          <w:p w14:paraId="2A2374D0">
            <w:pPr>
              <w:pStyle w:val="543"/>
              <w:spacing w:beforeLines="0" w:afterLines="0" w:line="560" w:lineRule="exact"/>
              <w:rPr>
                <w:rFonts w:ascii="仿宋_GB2312" w:hAnsi="仿宋_GB2312" w:eastAsia="仿宋_GB2312" w:cs="仿宋_GB2312"/>
                <w:sz w:val="21"/>
                <w:szCs w:val="21"/>
              </w:rPr>
            </w:pPr>
            <w:bookmarkStart w:id="906" w:name="_Toc29230"/>
            <w:r>
              <w:rPr>
                <w:rFonts w:hint="eastAsia" w:ascii="仿宋_GB2312" w:hAnsi="仿宋_GB2312" w:eastAsia="仿宋_GB2312" w:cs="仿宋_GB2312"/>
                <w:sz w:val="21"/>
                <w:szCs w:val="21"/>
              </w:rPr>
              <w:t>取暖炉正常运行时，请不要用硬物敲击炉面。严禁移动取暖炉。</w:t>
            </w:r>
            <w:bookmarkEnd w:id="906"/>
          </w:p>
          <w:p w14:paraId="5B643F73">
            <w:pPr>
              <w:pStyle w:val="543"/>
              <w:spacing w:beforeLines="0" w:afterLines="0" w:line="560" w:lineRule="exact"/>
              <w:rPr>
                <w:rFonts w:ascii="仿宋_GB2312" w:hAnsi="仿宋_GB2312" w:eastAsia="仿宋_GB2312" w:cs="仿宋_GB2312"/>
                <w:sz w:val="21"/>
                <w:szCs w:val="21"/>
              </w:rPr>
            </w:pPr>
            <w:bookmarkStart w:id="907" w:name="_Toc23823"/>
            <w:r>
              <w:rPr>
                <w:rFonts w:hint="eastAsia" w:ascii="仿宋_GB2312" w:hAnsi="仿宋_GB2312" w:eastAsia="仿宋_GB2312" w:cs="仿宋_GB2312"/>
                <w:sz w:val="21"/>
                <w:szCs w:val="21"/>
              </w:rPr>
              <w:t>不得用汽油、酒精倒入炉内点火，以防引起火灾。</w:t>
            </w:r>
            <w:bookmarkEnd w:id="907"/>
          </w:p>
          <w:p w14:paraId="7D7FCDF2">
            <w:pPr>
              <w:pStyle w:val="543"/>
              <w:spacing w:beforeLines="0" w:afterLines="0" w:line="560" w:lineRule="exact"/>
              <w:rPr>
                <w:rFonts w:ascii="仿宋_GB2312" w:hAnsi="仿宋_GB2312" w:eastAsia="仿宋_GB2312" w:cs="仿宋_GB2312"/>
                <w:sz w:val="21"/>
                <w:szCs w:val="21"/>
              </w:rPr>
            </w:pPr>
            <w:bookmarkStart w:id="908" w:name="_Toc15632"/>
            <w:r>
              <w:rPr>
                <w:rFonts w:hint="eastAsia" w:ascii="仿宋_GB2312" w:hAnsi="仿宋_GB2312" w:eastAsia="仿宋_GB2312" w:cs="仿宋_GB2312"/>
                <w:sz w:val="21"/>
                <w:szCs w:val="21"/>
              </w:rPr>
              <w:t>在燃烧周期内，应尽量少打开炉盖，以防冷空气大量进入炉内，影响燃烧，减少向室内排放烟气。</w:t>
            </w:r>
            <w:bookmarkEnd w:id="908"/>
          </w:p>
          <w:p w14:paraId="30A67BB0">
            <w:pPr>
              <w:pStyle w:val="543"/>
              <w:spacing w:beforeLines="0" w:afterLines="0" w:line="560" w:lineRule="exact"/>
              <w:rPr>
                <w:rFonts w:ascii="仿宋_GB2312" w:hAnsi="仿宋_GB2312" w:eastAsia="仿宋_GB2312" w:cs="仿宋_GB2312"/>
                <w:sz w:val="21"/>
                <w:szCs w:val="21"/>
              </w:rPr>
            </w:pPr>
            <w:bookmarkStart w:id="909" w:name="_Toc25936"/>
            <w:r>
              <w:rPr>
                <w:rFonts w:hint="eastAsia" w:ascii="仿宋_GB2312" w:hAnsi="仿宋_GB2312" w:eastAsia="仿宋_GB2312" w:cs="仿宋_GB2312"/>
                <w:sz w:val="21"/>
                <w:szCs w:val="21"/>
              </w:rPr>
              <w:t>使用时注意保持帐篷或房间的通风，如遇烟筒漏烟，要及时更换或修补、密封。封火时在地面上适量泼点水，防止煤气中毒，减少发生不必要的意外。</w:t>
            </w:r>
            <w:bookmarkEnd w:id="909"/>
          </w:p>
          <w:p w14:paraId="7278C4AA">
            <w:pPr>
              <w:pStyle w:val="357"/>
              <w:tabs>
                <w:tab w:val="left" w:pos="360"/>
                <w:tab w:val="clear" w:pos="840"/>
              </w:tabs>
              <w:spacing w:beforeLines="0" w:afterLines="0" w:line="560" w:lineRule="exact"/>
              <w:rPr>
                <w:rFonts w:ascii="仿宋_GB2312" w:hAnsi="仿宋_GB2312" w:eastAsia="仿宋_GB2312" w:cs="仿宋_GB2312"/>
                <w:sz w:val="21"/>
                <w:szCs w:val="21"/>
              </w:rPr>
            </w:pPr>
            <w:bookmarkStart w:id="910" w:name="_Toc21819"/>
            <w:r>
              <w:rPr>
                <w:rFonts w:hint="eastAsia" w:ascii="仿宋_GB2312" w:hAnsi="仿宋_GB2312" w:eastAsia="仿宋_GB2312" w:cs="仿宋_GB2312"/>
                <w:sz w:val="21"/>
                <w:szCs w:val="21"/>
              </w:rPr>
              <w:t>清洗操作</w:t>
            </w:r>
            <w:bookmarkEnd w:id="910"/>
          </w:p>
          <w:p w14:paraId="479ECA3F">
            <w:pPr>
              <w:pStyle w:val="543"/>
              <w:spacing w:beforeLines="0" w:afterLines="0" w:line="560" w:lineRule="exact"/>
              <w:rPr>
                <w:rFonts w:ascii="仿宋_GB2312" w:hAnsi="仿宋_GB2312" w:eastAsia="仿宋_GB2312" w:cs="仿宋_GB2312"/>
                <w:sz w:val="21"/>
                <w:szCs w:val="21"/>
              </w:rPr>
            </w:pPr>
            <w:bookmarkStart w:id="911" w:name="_Toc18216"/>
            <w:r>
              <w:rPr>
                <w:rFonts w:hint="eastAsia" w:ascii="仿宋_GB2312" w:hAnsi="仿宋_GB2312" w:eastAsia="仿宋_GB2312" w:cs="仿宋_GB2312"/>
                <w:sz w:val="21"/>
                <w:szCs w:val="21"/>
              </w:rPr>
              <w:t>用软纺织品湿抹布擦拭灶台面或底座附着的灰尘。</w:t>
            </w:r>
            <w:bookmarkEnd w:id="911"/>
          </w:p>
          <w:p w14:paraId="0734DDD6">
            <w:pPr>
              <w:pStyle w:val="543"/>
              <w:spacing w:beforeLines="0" w:afterLines="0" w:line="560" w:lineRule="exact"/>
              <w:rPr>
                <w:rFonts w:ascii="仿宋_GB2312" w:hAnsi="仿宋_GB2312" w:eastAsia="仿宋_GB2312" w:cs="仿宋_GB2312"/>
                <w:sz w:val="21"/>
                <w:szCs w:val="21"/>
              </w:rPr>
            </w:pPr>
            <w:bookmarkStart w:id="912" w:name="_Toc31046"/>
            <w:r>
              <w:rPr>
                <w:rFonts w:hint="eastAsia" w:ascii="仿宋_GB2312" w:hAnsi="仿宋_GB2312" w:eastAsia="仿宋_GB2312" w:cs="仿宋_GB2312"/>
                <w:sz w:val="21"/>
                <w:szCs w:val="21"/>
              </w:rPr>
              <w:t>禁止使用砂纸及钢丝球擦洗灶台面及炉体表面。</w:t>
            </w:r>
            <w:bookmarkEnd w:id="912"/>
          </w:p>
          <w:p w14:paraId="29625791">
            <w:pPr>
              <w:pStyle w:val="357"/>
              <w:tabs>
                <w:tab w:val="left" w:pos="360"/>
                <w:tab w:val="clear" w:pos="840"/>
              </w:tabs>
              <w:spacing w:beforeLines="0" w:afterLines="0" w:line="560" w:lineRule="exact"/>
              <w:rPr>
                <w:rFonts w:ascii="仿宋_GB2312" w:hAnsi="仿宋_GB2312" w:eastAsia="仿宋_GB2312" w:cs="仿宋_GB2312"/>
                <w:sz w:val="21"/>
                <w:szCs w:val="21"/>
              </w:rPr>
            </w:pPr>
            <w:bookmarkStart w:id="913" w:name="_Toc9325"/>
            <w:r>
              <w:rPr>
                <w:rFonts w:hint="eastAsia" w:ascii="仿宋_GB2312" w:hAnsi="仿宋_GB2312" w:eastAsia="仿宋_GB2312" w:cs="仿宋_GB2312"/>
                <w:sz w:val="21"/>
                <w:szCs w:val="21"/>
              </w:rPr>
              <w:t>撤收操作</w:t>
            </w:r>
            <w:bookmarkEnd w:id="913"/>
          </w:p>
          <w:p w14:paraId="3AAC290C">
            <w:pPr>
              <w:pStyle w:val="543"/>
              <w:spacing w:beforeLines="0" w:afterLines="0" w:line="560" w:lineRule="exact"/>
              <w:rPr>
                <w:rFonts w:ascii="仿宋_GB2312" w:hAnsi="仿宋_GB2312" w:eastAsia="仿宋_GB2312" w:cs="仿宋_GB2312"/>
                <w:sz w:val="21"/>
                <w:szCs w:val="21"/>
              </w:rPr>
            </w:pPr>
            <w:bookmarkStart w:id="914" w:name="_Toc4833"/>
            <w:r>
              <w:rPr>
                <w:rFonts w:hint="eastAsia" w:ascii="仿宋_GB2312" w:hAnsi="仿宋_GB2312" w:eastAsia="仿宋_GB2312" w:cs="仿宋_GB2312"/>
                <w:sz w:val="21"/>
                <w:szCs w:val="21"/>
              </w:rPr>
              <w:t>炉具的撤收过程与安装相反,撤收时参照安装的方法、步骤反序进行即可。</w:t>
            </w:r>
            <w:bookmarkEnd w:id="914"/>
          </w:p>
          <w:p w14:paraId="385D1DDB">
            <w:pPr>
              <w:pStyle w:val="543"/>
              <w:spacing w:beforeLines="0" w:afterLines="0" w:line="560" w:lineRule="exact"/>
              <w:rPr>
                <w:rFonts w:ascii="仿宋_GB2312" w:hAnsi="仿宋_GB2312" w:eastAsia="仿宋_GB2312" w:cs="仿宋_GB2312"/>
                <w:sz w:val="21"/>
                <w:szCs w:val="21"/>
              </w:rPr>
            </w:pPr>
            <w:bookmarkStart w:id="915" w:name="_Toc6780"/>
            <w:r>
              <w:rPr>
                <w:rFonts w:hint="eastAsia" w:ascii="仿宋_GB2312" w:hAnsi="仿宋_GB2312" w:eastAsia="仿宋_GB2312" w:cs="仿宋_GB2312"/>
                <w:sz w:val="21"/>
                <w:szCs w:val="21"/>
              </w:rPr>
              <w:t>撤收前一定要把炉具擦拭干净，并晾干后放入包装箱内。</w:t>
            </w:r>
            <w:bookmarkEnd w:id="915"/>
          </w:p>
          <w:p w14:paraId="79B9A059">
            <w:pPr>
              <w:pStyle w:val="543"/>
              <w:spacing w:beforeLines="0" w:afterLines="0" w:line="560" w:lineRule="exact"/>
              <w:rPr>
                <w:rFonts w:ascii="仿宋_GB2312" w:hAnsi="仿宋_GB2312" w:eastAsia="仿宋_GB2312" w:cs="仿宋_GB2312"/>
                <w:sz w:val="21"/>
                <w:szCs w:val="21"/>
              </w:rPr>
            </w:pPr>
            <w:bookmarkStart w:id="916" w:name="_Toc25275"/>
            <w:r>
              <w:rPr>
                <w:rFonts w:hint="eastAsia" w:ascii="仿宋_GB2312" w:hAnsi="仿宋_GB2312" w:eastAsia="仿宋_GB2312" w:cs="仿宋_GB2312"/>
                <w:sz w:val="21"/>
                <w:szCs w:val="21"/>
              </w:rPr>
              <w:t>各零配件按产品包装单清点无误后，依次放入包装箱内。</w:t>
            </w:r>
            <w:bookmarkEnd w:id="916"/>
          </w:p>
          <w:p w14:paraId="599E6E29">
            <w:pPr>
              <w:pStyle w:val="543"/>
              <w:spacing w:beforeLines="0" w:afterLines="0" w:line="560" w:lineRule="exact"/>
              <w:rPr>
                <w:rFonts w:ascii="仿宋_GB2312" w:hAnsi="仿宋_GB2312" w:eastAsia="仿宋_GB2312" w:cs="仿宋_GB2312"/>
                <w:sz w:val="21"/>
                <w:szCs w:val="21"/>
              </w:rPr>
            </w:pPr>
            <w:bookmarkStart w:id="917" w:name="_Toc9469"/>
            <w:r>
              <w:rPr>
                <w:rFonts w:hint="eastAsia" w:ascii="仿宋_GB2312" w:hAnsi="仿宋_GB2312" w:eastAsia="仿宋_GB2312" w:cs="仿宋_GB2312"/>
                <w:sz w:val="21"/>
                <w:szCs w:val="21"/>
              </w:rPr>
              <w:t>将使用说明书、配套配件等一起放入炉体内。</w:t>
            </w:r>
            <w:bookmarkEnd w:id="917"/>
          </w:p>
          <w:p w14:paraId="1A24E6A4">
            <w:pPr>
              <w:pStyle w:val="543"/>
              <w:spacing w:beforeLines="0" w:afterLines="0" w:line="560" w:lineRule="exact"/>
              <w:rPr>
                <w:rFonts w:ascii="仿宋_GB2312" w:hAnsi="仿宋_GB2312" w:eastAsia="仿宋_GB2312" w:cs="仿宋_GB2312"/>
                <w:sz w:val="21"/>
                <w:szCs w:val="21"/>
              </w:rPr>
            </w:pPr>
            <w:bookmarkStart w:id="918" w:name="_Toc9386"/>
            <w:r>
              <w:rPr>
                <w:rFonts w:hint="eastAsia" w:ascii="仿宋_GB2312" w:hAnsi="仿宋_GB2312" w:eastAsia="仿宋_GB2312" w:cs="仿宋_GB2312"/>
                <w:sz w:val="21"/>
                <w:szCs w:val="21"/>
              </w:rPr>
              <w:t>取暖炉应存放在干燥、通风、无腐蚀性气体污染的房间或仓库内，堆码高度不得超过4层，最底一层底部距离地面20cm以上。</w:t>
            </w:r>
            <w:bookmarkEnd w:id="918"/>
          </w:p>
          <w:p w14:paraId="2916FE72">
            <w:pPr>
              <w:pStyle w:val="357"/>
              <w:tabs>
                <w:tab w:val="left" w:pos="360"/>
                <w:tab w:val="clear" w:pos="840"/>
              </w:tabs>
              <w:spacing w:beforeLines="0" w:afterLines="0" w:line="560" w:lineRule="exact"/>
              <w:rPr>
                <w:rFonts w:ascii="仿宋_GB2312" w:hAnsi="仿宋_GB2312" w:eastAsia="仿宋_GB2312" w:cs="仿宋_GB2312"/>
                <w:sz w:val="21"/>
                <w:szCs w:val="21"/>
              </w:rPr>
            </w:pPr>
            <w:bookmarkStart w:id="919" w:name="_Toc19450"/>
            <w:r>
              <w:rPr>
                <w:rFonts w:hint="eastAsia" w:ascii="仿宋_GB2312" w:hAnsi="仿宋_GB2312" w:eastAsia="仿宋_GB2312" w:cs="仿宋_GB2312"/>
                <w:sz w:val="21"/>
                <w:szCs w:val="21"/>
              </w:rPr>
              <w:t>维护保养</w:t>
            </w:r>
            <w:bookmarkEnd w:id="919"/>
          </w:p>
          <w:p w14:paraId="7535FB7A">
            <w:pPr>
              <w:pStyle w:val="543"/>
              <w:spacing w:beforeLines="0" w:afterLines="0" w:line="560" w:lineRule="exact"/>
              <w:rPr>
                <w:rFonts w:ascii="仿宋_GB2312" w:hAnsi="仿宋_GB2312" w:eastAsia="仿宋_GB2312" w:cs="仿宋_GB2312"/>
                <w:sz w:val="21"/>
                <w:szCs w:val="21"/>
              </w:rPr>
            </w:pPr>
            <w:bookmarkStart w:id="920" w:name="_Toc13810"/>
            <w:r>
              <w:rPr>
                <w:rFonts w:hint="eastAsia" w:ascii="仿宋_GB2312" w:hAnsi="仿宋_GB2312" w:eastAsia="仿宋_GB2312" w:cs="仿宋_GB2312"/>
                <w:sz w:val="21"/>
                <w:szCs w:val="21"/>
              </w:rPr>
              <w:t>保持取暖炉表面清洁，清除家庭用取暖设备周围0.5m范围内的易燃物。</w:t>
            </w:r>
            <w:bookmarkEnd w:id="920"/>
          </w:p>
          <w:p w14:paraId="6D2D6EA1">
            <w:pPr>
              <w:pStyle w:val="543"/>
              <w:spacing w:beforeLines="0" w:afterLines="0" w:line="560" w:lineRule="exact"/>
              <w:rPr>
                <w:rFonts w:ascii="仿宋_GB2312" w:hAnsi="仿宋_GB2312" w:eastAsia="仿宋_GB2312" w:cs="仿宋_GB2312"/>
                <w:sz w:val="21"/>
                <w:szCs w:val="21"/>
              </w:rPr>
            </w:pPr>
            <w:bookmarkStart w:id="921" w:name="_Toc8065"/>
            <w:r>
              <w:rPr>
                <w:rFonts w:hint="eastAsia" w:ascii="仿宋_GB2312" w:hAnsi="仿宋_GB2312" w:eastAsia="仿宋_GB2312" w:cs="仿宋_GB2312"/>
                <w:sz w:val="21"/>
                <w:szCs w:val="21"/>
              </w:rPr>
              <w:t>检查排烟三通出口是否朝主导风向，一旦返烟，应及时调整。</w:t>
            </w:r>
            <w:bookmarkEnd w:id="921"/>
          </w:p>
          <w:p w14:paraId="6B7782C5">
            <w:pPr>
              <w:pStyle w:val="543"/>
              <w:spacing w:beforeLines="0" w:afterLines="0" w:line="560" w:lineRule="exact"/>
              <w:rPr>
                <w:rFonts w:ascii="仿宋_GB2312" w:hAnsi="仿宋_GB2312" w:eastAsia="仿宋_GB2312" w:cs="仿宋_GB2312"/>
                <w:sz w:val="21"/>
                <w:szCs w:val="21"/>
              </w:rPr>
            </w:pPr>
            <w:bookmarkStart w:id="922" w:name="_Toc22237"/>
            <w:r>
              <w:rPr>
                <w:rFonts w:hint="eastAsia" w:ascii="仿宋_GB2312" w:hAnsi="仿宋_GB2312" w:eastAsia="仿宋_GB2312" w:cs="仿宋_GB2312"/>
                <w:sz w:val="21"/>
                <w:szCs w:val="21"/>
              </w:rPr>
              <w:t>清除炉膛内的煤矸石。</w:t>
            </w:r>
            <w:bookmarkEnd w:id="922"/>
          </w:p>
          <w:p w14:paraId="7947E87D">
            <w:pPr>
              <w:pStyle w:val="543"/>
              <w:spacing w:beforeLines="0" w:afterLines="0" w:line="560" w:lineRule="exact"/>
              <w:rPr>
                <w:rFonts w:ascii="宋体" w:hAnsi="宋体" w:eastAsia="宋体" w:cs="Arial"/>
                <w:color w:val="000000"/>
                <w:kern w:val="0"/>
                <w:sz w:val="21"/>
                <w:szCs w:val="21"/>
              </w:rPr>
            </w:pPr>
            <w:bookmarkStart w:id="923" w:name="_Toc21855"/>
            <w:r>
              <w:rPr>
                <w:rFonts w:hint="eastAsia" w:ascii="仿宋_GB2312" w:hAnsi="仿宋_GB2312" w:eastAsia="仿宋_GB2312" w:cs="仿宋_GB2312"/>
                <w:sz w:val="21"/>
                <w:szCs w:val="21"/>
              </w:rPr>
              <w:t>应定期清除烟筒内壁积灰，以保持其良好的传热效果。使用无烟煤，15天清灰一次；使用烟煤或木柴7天清灰一次。</w:t>
            </w:r>
            <w:bookmarkEnd w:id="923"/>
          </w:p>
        </w:tc>
        <w:tc>
          <w:tcPr>
            <w:tcW w:w="900" w:type="dxa"/>
            <w:vAlign w:val="center"/>
          </w:tcPr>
          <w:p w14:paraId="7B6CF072">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w:t>
            </w:r>
            <w:r>
              <w:rPr>
                <w:rFonts w:hint="eastAsia" w:ascii="宋体" w:hAnsi="宋体" w:cs="Arial"/>
                <w:color w:val="000000"/>
                <w:kern w:val="0"/>
                <w:sz w:val="24"/>
                <w:szCs w:val="24"/>
                <w:lang w:val="en-US" w:eastAsia="zh-CN"/>
              </w:rPr>
              <w:t>5</w:t>
            </w:r>
            <w:r>
              <w:rPr>
                <w:rFonts w:hint="eastAsia" w:ascii="宋体" w:hAnsi="宋体" w:eastAsia="宋体" w:cs="Arial"/>
                <w:color w:val="000000"/>
                <w:kern w:val="0"/>
                <w:sz w:val="24"/>
                <w:szCs w:val="24"/>
                <w:lang w:val="en-US" w:eastAsia="zh-CN"/>
              </w:rPr>
              <w:t>0台</w:t>
            </w:r>
          </w:p>
        </w:tc>
        <w:tc>
          <w:tcPr>
            <w:tcW w:w="778" w:type="dxa"/>
            <w:vAlign w:val="center"/>
          </w:tcPr>
          <w:p w14:paraId="0FFC3ED9">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680</w:t>
            </w:r>
          </w:p>
        </w:tc>
        <w:tc>
          <w:tcPr>
            <w:tcW w:w="1050" w:type="dxa"/>
            <w:vAlign w:val="center"/>
          </w:tcPr>
          <w:p w14:paraId="2415727E">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102000</w:t>
            </w:r>
          </w:p>
        </w:tc>
      </w:tr>
      <w:tr w14:paraId="440DDE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68" w:type="dxa"/>
            <w:tcBorders>
              <w:bottom w:val="single" w:color="auto" w:sz="4" w:space="0"/>
            </w:tcBorders>
            <w:vAlign w:val="center"/>
          </w:tcPr>
          <w:p w14:paraId="03536C11">
            <w:pPr>
              <w:keepLines w:val="0"/>
              <w:pageBreakBefore w:val="0"/>
              <w:topLinePunct w:val="0"/>
              <w:bidi w:val="0"/>
              <w:snapToGrid w:val="0"/>
              <w:spacing w:line="240" w:lineRule="auto"/>
              <w:jc w:val="center"/>
              <w:rPr>
                <w:rFonts w:hint="eastAsia" w:ascii="宋体" w:hAnsi="宋体" w:eastAsia="宋体" w:cs="Arial"/>
                <w:color w:val="000000"/>
                <w:kern w:val="0"/>
                <w:sz w:val="32"/>
                <w:szCs w:val="32"/>
              </w:rPr>
            </w:pPr>
          </w:p>
        </w:tc>
        <w:tc>
          <w:tcPr>
            <w:tcW w:w="695" w:type="dxa"/>
            <w:tcBorders>
              <w:bottom w:val="single" w:color="auto" w:sz="4" w:space="0"/>
            </w:tcBorders>
            <w:vAlign w:val="center"/>
          </w:tcPr>
          <w:p w14:paraId="2975B16E">
            <w:pPr>
              <w:keepLines w:val="0"/>
              <w:pageBreakBefore w:val="0"/>
              <w:topLinePunct w:val="0"/>
              <w:bidi w:val="0"/>
              <w:snapToGrid w:val="0"/>
              <w:spacing w:line="240" w:lineRule="auto"/>
              <w:jc w:val="center"/>
              <w:rPr>
                <w:rFonts w:hint="eastAsia" w:ascii="宋体" w:hAnsi="宋体" w:eastAsia="宋体" w:cs="Arial"/>
                <w:color w:val="000000"/>
                <w:kern w:val="0"/>
                <w:sz w:val="32"/>
                <w:szCs w:val="32"/>
                <w:lang w:eastAsia="zh-CN"/>
              </w:rPr>
            </w:pPr>
            <w:r>
              <w:rPr>
                <w:rFonts w:hint="eastAsia" w:ascii="宋体" w:hAnsi="宋体" w:eastAsia="宋体" w:cs="Arial"/>
                <w:color w:val="000000"/>
                <w:kern w:val="0"/>
                <w:sz w:val="32"/>
                <w:szCs w:val="32"/>
                <w:lang w:eastAsia="zh-CN"/>
              </w:rPr>
              <w:t>发电机</w:t>
            </w:r>
          </w:p>
        </w:tc>
        <w:tc>
          <w:tcPr>
            <w:tcW w:w="6791" w:type="dxa"/>
            <w:vAlign w:val="center"/>
          </w:tcPr>
          <w:p w14:paraId="0B27FB4B">
            <w:pPr>
              <w:rPr>
                <w:rFonts w:hint="eastAsia" w:ascii="宋体" w:hAnsi="宋体" w:eastAsia="宋体"/>
                <w:sz w:val="21"/>
                <w:szCs w:val="21"/>
              </w:rPr>
            </w:pPr>
            <w:r>
              <w:rPr>
                <w:rFonts w:hint="eastAsia" w:ascii="宋体" w:hAnsi="宋体" w:eastAsia="宋体"/>
                <w:sz w:val="21"/>
                <w:szCs w:val="21"/>
              </w:rPr>
              <w:t>1、额定功率：≥10kw</w:t>
            </w:r>
          </w:p>
          <w:p w14:paraId="1E11B75D">
            <w:pPr>
              <w:rPr>
                <w:rFonts w:hint="eastAsia" w:ascii="宋体" w:hAnsi="宋体" w:eastAsia="宋体"/>
                <w:sz w:val="21"/>
                <w:szCs w:val="21"/>
              </w:rPr>
            </w:pPr>
            <w:r>
              <w:rPr>
                <w:rFonts w:hint="eastAsia" w:ascii="宋体" w:hAnsi="宋体" w:eastAsia="宋体"/>
                <w:sz w:val="21"/>
                <w:szCs w:val="21"/>
              </w:rPr>
              <w:t>2、最大功率：≥10.5kw</w:t>
            </w:r>
          </w:p>
          <w:p w14:paraId="2A52B9B3">
            <w:pPr>
              <w:rPr>
                <w:rFonts w:hint="eastAsia" w:ascii="宋体" w:hAnsi="宋体" w:eastAsia="宋体"/>
                <w:sz w:val="21"/>
                <w:szCs w:val="21"/>
              </w:rPr>
            </w:pPr>
            <w:r>
              <w:rPr>
                <w:rFonts w:hint="eastAsia" w:ascii="宋体" w:hAnsi="宋体" w:eastAsia="宋体"/>
                <w:sz w:val="21"/>
                <w:szCs w:val="21"/>
              </w:rPr>
              <w:t>3、励磁方式：AVR电压自动调节</w:t>
            </w:r>
          </w:p>
          <w:p w14:paraId="1E4B9421">
            <w:pPr>
              <w:rPr>
                <w:rFonts w:ascii="宋体" w:hAnsi="宋体" w:eastAsia="宋体"/>
                <w:sz w:val="21"/>
                <w:szCs w:val="21"/>
              </w:rPr>
            </w:pPr>
            <w:r>
              <w:rPr>
                <w:rFonts w:hint="eastAsia" w:ascii="宋体" w:hAnsi="宋体" w:eastAsia="宋体"/>
                <w:sz w:val="21"/>
                <w:szCs w:val="21"/>
              </w:rPr>
              <w:t>4、相数：单三相等功率</w:t>
            </w:r>
          </w:p>
          <w:p w14:paraId="54CFAC2D">
            <w:pPr>
              <w:rPr>
                <w:rFonts w:hint="eastAsia" w:ascii="宋体" w:hAnsi="宋体" w:eastAsia="宋体"/>
                <w:sz w:val="21"/>
                <w:szCs w:val="21"/>
              </w:rPr>
            </w:pPr>
            <w:r>
              <w:rPr>
                <w:rFonts w:hint="eastAsia" w:ascii="宋体" w:hAnsi="宋体" w:eastAsia="宋体"/>
                <w:sz w:val="21"/>
                <w:szCs w:val="21"/>
              </w:rPr>
              <w:t>5、额定电压 :230v/400V，频率 ：50(Hz)</w:t>
            </w:r>
          </w:p>
          <w:p w14:paraId="41CCA8E2">
            <w:pPr>
              <w:rPr>
                <w:rFonts w:hint="eastAsia" w:ascii="宋体" w:hAnsi="宋体" w:eastAsia="宋体"/>
                <w:sz w:val="21"/>
                <w:szCs w:val="21"/>
              </w:rPr>
            </w:pPr>
            <w:r>
              <w:rPr>
                <w:rFonts w:hint="eastAsia" w:ascii="宋体" w:hAnsi="宋体" w:eastAsia="宋体"/>
                <w:sz w:val="21"/>
                <w:szCs w:val="21"/>
              </w:rPr>
              <w:t xml:space="preserve">6、额定电流： ≥42.7/18.4A </w:t>
            </w:r>
          </w:p>
          <w:p w14:paraId="1152DACD">
            <w:pPr>
              <w:rPr>
                <w:rFonts w:hint="eastAsia" w:ascii="宋体" w:hAnsi="宋体" w:eastAsia="宋体"/>
                <w:sz w:val="21"/>
                <w:szCs w:val="21"/>
              </w:rPr>
            </w:pPr>
            <w:r>
              <w:rPr>
                <w:rFonts w:hint="eastAsia" w:ascii="宋体" w:hAnsi="宋体" w:eastAsia="宋体"/>
                <w:sz w:val="21"/>
                <w:szCs w:val="21"/>
              </w:rPr>
              <w:t>7、电机材质：全铜线</w:t>
            </w:r>
          </w:p>
          <w:p w14:paraId="7ED05D44">
            <w:pPr>
              <w:rPr>
                <w:rFonts w:hint="eastAsia" w:ascii="宋体" w:hAnsi="宋体" w:eastAsia="宋体"/>
                <w:sz w:val="21"/>
                <w:szCs w:val="21"/>
              </w:rPr>
            </w:pPr>
            <w:r>
              <w:rPr>
                <w:rFonts w:hint="eastAsia" w:ascii="宋体" w:hAnsi="宋体" w:eastAsia="宋体"/>
                <w:sz w:val="21"/>
                <w:szCs w:val="21"/>
              </w:rPr>
              <w:t>8、发动机型式：双缸、四冲程、风冷</w:t>
            </w:r>
          </w:p>
          <w:p w14:paraId="7EBCE2AF">
            <w:pPr>
              <w:rPr>
                <w:rFonts w:ascii="宋体" w:hAnsi="宋体" w:eastAsia="宋体"/>
                <w:sz w:val="21"/>
                <w:szCs w:val="21"/>
              </w:rPr>
            </w:pPr>
            <w:r>
              <w:rPr>
                <w:rFonts w:hint="eastAsia" w:ascii="宋体" w:hAnsi="宋体" w:eastAsia="宋体"/>
                <w:sz w:val="21"/>
                <w:szCs w:val="21"/>
              </w:rPr>
              <w:t>9、排气量（cc）：≥713</w:t>
            </w:r>
          </w:p>
          <w:p w14:paraId="57D11CCB">
            <w:pPr>
              <w:rPr>
                <w:rFonts w:hint="eastAsia" w:ascii="宋体" w:hAnsi="宋体" w:eastAsia="宋体"/>
                <w:sz w:val="21"/>
                <w:szCs w:val="21"/>
              </w:rPr>
            </w:pPr>
            <w:r>
              <w:rPr>
                <w:rFonts w:hint="eastAsia" w:ascii="宋体" w:hAnsi="宋体" w:eastAsia="宋体"/>
                <w:sz w:val="21"/>
                <w:szCs w:val="21"/>
              </w:rPr>
              <w:t>10、动力净输出功率(kw/rpm)：≥16.5/3600</w:t>
            </w:r>
          </w:p>
          <w:p w14:paraId="63779E24">
            <w:pPr>
              <w:rPr>
                <w:rFonts w:hint="eastAsia" w:ascii="宋体" w:hAnsi="宋体" w:eastAsia="宋体"/>
                <w:sz w:val="21"/>
                <w:szCs w:val="21"/>
              </w:rPr>
            </w:pPr>
            <w:r>
              <w:rPr>
                <w:rFonts w:hint="eastAsia" w:ascii="宋体" w:hAnsi="宋体" w:eastAsia="宋体"/>
                <w:sz w:val="21"/>
                <w:szCs w:val="21"/>
              </w:rPr>
              <w:t xml:space="preserve">11、启动方式：电启动 </w:t>
            </w:r>
          </w:p>
          <w:p w14:paraId="64192BD1">
            <w:pPr>
              <w:rPr>
                <w:rFonts w:hint="eastAsia" w:ascii="宋体" w:hAnsi="宋体" w:eastAsia="宋体"/>
                <w:sz w:val="21"/>
                <w:szCs w:val="21"/>
              </w:rPr>
            </w:pPr>
            <w:r>
              <w:rPr>
                <w:rFonts w:hint="eastAsia" w:ascii="宋体" w:hAnsi="宋体" w:eastAsia="宋体"/>
                <w:sz w:val="21"/>
                <w:szCs w:val="21"/>
              </w:rPr>
              <w:t xml:space="preserve">12、燃油箱容量(L)：≥25 </w:t>
            </w:r>
          </w:p>
          <w:p w14:paraId="2F498338">
            <w:pPr>
              <w:rPr>
                <w:rFonts w:hint="eastAsia" w:ascii="宋体" w:hAnsi="宋体" w:eastAsia="宋体"/>
                <w:sz w:val="21"/>
                <w:szCs w:val="21"/>
              </w:rPr>
            </w:pPr>
            <w:r>
              <w:rPr>
                <w:rFonts w:hint="eastAsia" w:ascii="宋体" w:hAnsi="宋体" w:eastAsia="宋体"/>
                <w:sz w:val="21"/>
                <w:szCs w:val="21"/>
              </w:rPr>
              <w:t>13、燃料型号：92#以上无铅汽油</w:t>
            </w:r>
          </w:p>
          <w:p w14:paraId="21234094">
            <w:pPr>
              <w:rPr>
                <w:rFonts w:ascii="宋体" w:hAnsi="宋体" w:eastAsia="宋体"/>
                <w:sz w:val="21"/>
                <w:szCs w:val="21"/>
              </w:rPr>
            </w:pPr>
            <w:r>
              <w:rPr>
                <w:rFonts w:hint="eastAsia" w:ascii="宋体" w:hAnsi="宋体" w:eastAsia="宋体"/>
                <w:sz w:val="21"/>
                <w:szCs w:val="21"/>
              </w:rPr>
              <w:t>14、噪音等级：≤77.8db\7m</w:t>
            </w:r>
          </w:p>
          <w:p w14:paraId="078E4E44">
            <w:pPr>
              <w:rPr>
                <w:rFonts w:hint="eastAsia" w:ascii="宋体" w:hAnsi="宋体" w:eastAsia="宋体"/>
                <w:sz w:val="21"/>
                <w:szCs w:val="21"/>
              </w:rPr>
            </w:pPr>
            <w:r>
              <w:rPr>
                <w:rFonts w:hint="eastAsia" w:ascii="宋体" w:hAnsi="宋体" w:eastAsia="宋体"/>
                <w:sz w:val="21"/>
                <w:szCs w:val="21"/>
              </w:rPr>
              <w:t>15、可连续工作时间：≥8 h</w:t>
            </w:r>
          </w:p>
          <w:p w14:paraId="1AF04A6A">
            <w:pPr>
              <w:rPr>
                <w:rFonts w:hint="eastAsia" w:ascii="宋体" w:hAnsi="宋体" w:eastAsia="宋体"/>
                <w:sz w:val="21"/>
                <w:szCs w:val="21"/>
              </w:rPr>
            </w:pPr>
            <w:r>
              <w:rPr>
                <w:rFonts w:hint="eastAsia" w:ascii="宋体" w:hAnsi="宋体" w:eastAsia="宋体"/>
                <w:sz w:val="21"/>
                <w:szCs w:val="21"/>
              </w:rPr>
              <w:t>16、机油报警器：有</w:t>
            </w:r>
          </w:p>
          <w:p w14:paraId="7CDE1693">
            <w:pPr>
              <w:rPr>
                <w:rFonts w:hint="eastAsia" w:ascii="宋体" w:hAnsi="宋体" w:eastAsia="宋体"/>
                <w:sz w:val="21"/>
                <w:szCs w:val="21"/>
              </w:rPr>
            </w:pPr>
            <w:r>
              <w:rPr>
                <w:rFonts w:hint="eastAsia" w:ascii="宋体" w:hAnsi="宋体" w:eastAsia="宋体"/>
                <w:sz w:val="21"/>
                <w:szCs w:val="21"/>
              </w:rPr>
              <w:t>17、燃油指示表：有</w:t>
            </w:r>
          </w:p>
          <w:p w14:paraId="6C788AEF">
            <w:pPr>
              <w:rPr>
                <w:rFonts w:hint="eastAsia" w:ascii="宋体" w:hAnsi="宋体" w:eastAsia="宋体"/>
                <w:sz w:val="21"/>
                <w:szCs w:val="21"/>
              </w:rPr>
            </w:pPr>
            <w:r>
              <w:rPr>
                <w:rFonts w:hint="eastAsia" w:ascii="宋体" w:hAnsi="宋体" w:eastAsia="宋体"/>
                <w:sz w:val="21"/>
                <w:szCs w:val="21"/>
              </w:rPr>
              <w:t>18、数显表：显示电压\时间\频率</w:t>
            </w:r>
          </w:p>
          <w:p w14:paraId="5DF40A68">
            <w:pPr>
              <w:rPr>
                <w:rFonts w:hint="eastAsia" w:ascii="宋体" w:hAnsi="宋体" w:eastAsia="宋体"/>
                <w:sz w:val="21"/>
                <w:szCs w:val="21"/>
              </w:rPr>
            </w:pPr>
            <w:r>
              <w:rPr>
                <w:rFonts w:hint="eastAsia" w:ascii="宋体" w:hAnsi="宋体" w:eastAsia="宋体"/>
                <w:sz w:val="21"/>
                <w:szCs w:val="21"/>
              </w:rPr>
              <w:t>19、移动脚轮：2个定轮，2个转轮</w:t>
            </w:r>
          </w:p>
          <w:p w14:paraId="04F2E5D3">
            <w:pPr>
              <w:rPr>
                <w:rFonts w:hint="eastAsia" w:ascii="宋体" w:hAnsi="宋体" w:eastAsia="宋体"/>
                <w:sz w:val="21"/>
                <w:szCs w:val="21"/>
              </w:rPr>
            </w:pPr>
            <w:r>
              <w:rPr>
                <w:rFonts w:hint="eastAsia" w:ascii="宋体" w:hAnsi="宋体" w:eastAsia="宋体"/>
                <w:sz w:val="21"/>
                <w:szCs w:val="21"/>
              </w:rPr>
              <w:t>20、净重≤160（Kg）</w:t>
            </w:r>
          </w:p>
          <w:p w14:paraId="07FB3E19">
            <w:pPr>
              <w:rPr>
                <w:rFonts w:ascii="宋体" w:hAnsi="宋体" w:eastAsia="宋体"/>
                <w:sz w:val="21"/>
                <w:szCs w:val="21"/>
              </w:rPr>
            </w:pPr>
            <w:r>
              <w:rPr>
                <w:rFonts w:ascii="宋体" w:hAnsi="宋体" w:eastAsia="宋体"/>
                <w:sz w:val="21"/>
                <w:szCs w:val="21"/>
              </w:rPr>
              <w:t>21、发电机组装有数显电压表，可显示电压，频率，机组运行时间。</w:t>
            </w:r>
          </w:p>
          <w:p w14:paraId="2B4640FA">
            <w:pPr>
              <w:rPr>
                <w:rFonts w:hint="eastAsia" w:ascii="宋体" w:hAnsi="宋体" w:eastAsia="宋体"/>
                <w:sz w:val="21"/>
                <w:szCs w:val="21"/>
              </w:rPr>
            </w:pPr>
            <w:r>
              <w:rPr>
                <w:rFonts w:ascii="宋体" w:hAnsi="宋体" w:eastAsia="宋体"/>
                <w:sz w:val="21"/>
                <w:szCs w:val="21"/>
              </w:rPr>
              <w:t>2</w:t>
            </w:r>
            <w:r>
              <w:rPr>
                <w:rFonts w:hint="eastAsia" w:ascii="宋体" w:hAnsi="宋体" w:eastAsia="宋体"/>
                <w:sz w:val="21"/>
                <w:szCs w:val="21"/>
              </w:rPr>
              <w:t>2</w:t>
            </w:r>
            <w:r>
              <w:rPr>
                <w:rFonts w:ascii="宋体" w:hAnsi="宋体" w:eastAsia="宋体"/>
                <w:sz w:val="21"/>
                <w:szCs w:val="21"/>
              </w:rPr>
              <w:t>、制造厂家须通过IS09001质量管理体系认证、ISO14001环境管理体系认证、ISO45001职业健康安全管理体系认证</w:t>
            </w:r>
          </w:p>
          <w:p w14:paraId="08E298FC">
            <w:pPr>
              <w:rPr>
                <w:rFonts w:ascii="宋体" w:hAnsi="宋体" w:eastAsia="宋体"/>
                <w:sz w:val="21"/>
                <w:szCs w:val="21"/>
                <w:highlight w:val="red"/>
              </w:rPr>
            </w:pPr>
          </w:p>
          <w:p w14:paraId="2CEE86EC">
            <w:pPr>
              <w:keepLines w:val="0"/>
              <w:pageBreakBefore w:val="0"/>
              <w:topLinePunct w:val="0"/>
              <w:bidi w:val="0"/>
              <w:snapToGrid w:val="0"/>
              <w:spacing w:line="240" w:lineRule="auto"/>
              <w:jc w:val="both"/>
              <w:rPr>
                <w:rFonts w:ascii="宋体" w:hAnsi="宋体" w:eastAsia="宋体" w:cs="Arial"/>
                <w:color w:val="000000"/>
                <w:kern w:val="0"/>
                <w:sz w:val="21"/>
                <w:szCs w:val="21"/>
              </w:rPr>
            </w:pPr>
          </w:p>
        </w:tc>
        <w:tc>
          <w:tcPr>
            <w:tcW w:w="900" w:type="dxa"/>
            <w:vAlign w:val="center"/>
          </w:tcPr>
          <w:p w14:paraId="1FDB93F4">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140</w:t>
            </w:r>
            <w:r>
              <w:rPr>
                <w:rFonts w:hint="eastAsia" w:ascii="宋体" w:hAnsi="宋体" w:eastAsia="宋体" w:cs="Arial"/>
                <w:color w:val="000000"/>
                <w:kern w:val="0"/>
                <w:sz w:val="24"/>
                <w:szCs w:val="24"/>
                <w:lang w:val="en-US" w:eastAsia="zh-CN"/>
              </w:rPr>
              <w:t>台</w:t>
            </w:r>
          </w:p>
        </w:tc>
        <w:tc>
          <w:tcPr>
            <w:tcW w:w="778" w:type="dxa"/>
            <w:vAlign w:val="center"/>
          </w:tcPr>
          <w:p w14:paraId="787B3C84">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51</w:t>
            </w:r>
            <w:r>
              <w:rPr>
                <w:rFonts w:hint="eastAsia" w:ascii="宋体" w:hAnsi="宋体" w:cs="Arial"/>
                <w:color w:val="000000"/>
                <w:kern w:val="0"/>
                <w:sz w:val="24"/>
                <w:szCs w:val="24"/>
                <w:lang w:val="en-US" w:eastAsia="zh-CN"/>
              </w:rPr>
              <w:t>00</w:t>
            </w:r>
          </w:p>
        </w:tc>
        <w:tc>
          <w:tcPr>
            <w:tcW w:w="1050" w:type="dxa"/>
            <w:vAlign w:val="center"/>
          </w:tcPr>
          <w:p w14:paraId="4252AF9E">
            <w:pPr>
              <w:keepLines w:val="0"/>
              <w:pageBreakBefore w:val="0"/>
              <w:topLinePunct w:val="0"/>
              <w:bidi w:val="0"/>
              <w:snapToGrid w:val="0"/>
              <w:spacing w:line="240" w:lineRule="auto"/>
              <w:jc w:val="center"/>
              <w:rPr>
                <w:rFonts w:hint="default" w:ascii="宋体" w:hAnsi="宋体" w:eastAsia="宋体" w:cs="Arial"/>
                <w:color w:val="000000"/>
                <w:kern w:val="0"/>
                <w:sz w:val="24"/>
                <w:szCs w:val="24"/>
                <w:lang w:val="en-US" w:eastAsia="zh-CN"/>
              </w:rPr>
            </w:pPr>
            <w:r>
              <w:rPr>
                <w:rFonts w:hint="eastAsia" w:ascii="宋体" w:hAnsi="宋体" w:cs="Arial"/>
                <w:color w:val="000000"/>
                <w:kern w:val="0"/>
                <w:sz w:val="24"/>
                <w:szCs w:val="24"/>
                <w:lang w:val="en-US" w:eastAsia="zh-CN"/>
              </w:rPr>
              <w:t>714000</w:t>
            </w:r>
          </w:p>
        </w:tc>
      </w:tr>
      <w:tr w14:paraId="438E7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668" w:type="dxa"/>
            <w:tcBorders>
              <w:top w:val="single" w:color="auto" w:sz="4" w:space="0"/>
              <w:left w:val="single" w:color="auto" w:sz="4" w:space="0"/>
              <w:bottom w:val="single" w:color="auto" w:sz="4" w:space="0"/>
              <w:right w:val="single" w:color="auto" w:sz="4" w:space="0"/>
            </w:tcBorders>
            <w:vAlign w:val="center"/>
          </w:tcPr>
          <w:p w14:paraId="638EB4CC">
            <w:pPr>
              <w:keepLines w:val="0"/>
              <w:pageBreakBefore w:val="0"/>
              <w:topLinePunct w:val="0"/>
              <w:bidi w:val="0"/>
              <w:snapToGrid w:val="0"/>
              <w:spacing w:line="240" w:lineRule="auto"/>
              <w:jc w:val="center"/>
              <w:rPr>
                <w:rFonts w:hint="eastAsia" w:ascii="宋体" w:hAnsi="宋体" w:eastAsia="宋体" w:cs="Arial"/>
                <w:color w:val="000000"/>
                <w:kern w:val="0"/>
                <w:sz w:val="32"/>
                <w:szCs w:val="32"/>
                <w:lang w:eastAsia="zh-CN"/>
              </w:rPr>
            </w:pPr>
            <w:r>
              <w:rPr>
                <w:rFonts w:hint="eastAsia" w:ascii="宋体" w:hAnsi="宋体" w:eastAsia="宋体" w:cs="Arial"/>
                <w:color w:val="000000"/>
                <w:kern w:val="0"/>
                <w:sz w:val="32"/>
                <w:szCs w:val="32"/>
                <w:lang w:eastAsia="zh-CN"/>
              </w:rPr>
              <w:t>总计</w:t>
            </w:r>
          </w:p>
        </w:tc>
        <w:tc>
          <w:tcPr>
            <w:tcW w:w="695" w:type="dxa"/>
            <w:tcBorders>
              <w:top w:val="single" w:color="auto" w:sz="4" w:space="0"/>
              <w:left w:val="single" w:color="auto" w:sz="4" w:space="0"/>
              <w:bottom w:val="single" w:color="auto" w:sz="4" w:space="0"/>
              <w:right w:val="single" w:color="auto" w:sz="4" w:space="0"/>
            </w:tcBorders>
            <w:vAlign w:val="center"/>
          </w:tcPr>
          <w:p w14:paraId="5D7EDF4E">
            <w:pPr>
              <w:keepLines w:val="0"/>
              <w:pageBreakBefore w:val="0"/>
              <w:topLinePunct w:val="0"/>
              <w:bidi w:val="0"/>
              <w:snapToGrid w:val="0"/>
              <w:spacing w:line="240" w:lineRule="auto"/>
              <w:jc w:val="center"/>
              <w:rPr>
                <w:rFonts w:hint="eastAsia" w:ascii="宋体" w:hAnsi="宋体" w:eastAsia="宋体" w:cs="Arial"/>
                <w:color w:val="000000"/>
                <w:kern w:val="0"/>
                <w:sz w:val="32"/>
                <w:szCs w:val="32"/>
                <w:lang w:eastAsia="zh-CN"/>
              </w:rPr>
            </w:pPr>
          </w:p>
        </w:tc>
        <w:tc>
          <w:tcPr>
            <w:tcW w:w="6791" w:type="dxa"/>
            <w:tcBorders>
              <w:left w:val="single" w:color="auto" w:sz="4" w:space="0"/>
            </w:tcBorders>
            <w:vAlign w:val="center"/>
          </w:tcPr>
          <w:p w14:paraId="7BF51DA1">
            <w:pPr>
              <w:keepLines w:val="0"/>
              <w:pageBreakBefore w:val="0"/>
              <w:topLinePunct w:val="0"/>
              <w:bidi w:val="0"/>
              <w:snapToGrid w:val="0"/>
              <w:spacing w:line="240" w:lineRule="auto"/>
              <w:jc w:val="both"/>
              <w:rPr>
                <w:rFonts w:ascii="宋体" w:hAnsi="宋体" w:eastAsia="宋体" w:cs="Arial"/>
                <w:color w:val="000000"/>
                <w:kern w:val="0"/>
                <w:sz w:val="21"/>
                <w:szCs w:val="21"/>
              </w:rPr>
            </w:pPr>
          </w:p>
        </w:tc>
        <w:tc>
          <w:tcPr>
            <w:tcW w:w="900" w:type="dxa"/>
            <w:vAlign w:val="center"/>
          </w:tcPr>
          <w:p w14:paraId="227D9F18">
            <w:pPr>
              <w:keepLines w:val="0"/>
              <w:pageBreakBefore w:val="0"/>
              <w:topLinePunct w:val="0"/>
              <w:bidi w:val="0"/>
              <w:snapToGrid w:val="0"/>
              <w:spacing w:line="240" w:lineRule="auto"/>
              <w:jc w:val="center"/>
              <w:rPr>
                <w:rFonts w:hint="eastAsia" w:ascii="宋体" w:hAnsi="宋体" w:eastAsia="宋体" w:cs="Arial"/>
                <w:color w:val="000000"/>
                <w:kern w:val="0"/>
                <w:sz w:val="32"/>
                <w:szCs w:val="32"/>
                <w:lang w:val="en-US" w:eastAsia="zh-CN"/>
              </w:rPr>
            </w:pPr>
          </w:p>
        </w:tc>
        <w:tc>
          <w:tcPr>
            <w:tcW w:w="778" w:type="dxa"/>
            <w:vAlign w:val="center"/>
          </w:tcPr>
          <w:p w14:paraId="431F16EC">
            <w:pPr>
              <w:keepLines w:val="0"/>
              <w:pageBreakBefore w:val="0"/>
              <w:topLinePunct w:val="0"/>
              <w:bidi w:val="0"/>
              <w:snapToGrid w:val="0"/>
              <w:spacing w:line="240" w:lineRule="auto"/>
              <w:jc w:val="center"/>
              <w:rPr>
                <w:rFonts w:hint="eastAsia" w:ascii="宋体" w:hAnsi="宋体" w:eastAsia="宋体" w:cs="Arial"/>
                <w:color w:val="000000"/>
                <w:kern w:val="0"/>
                <w:sz w:val="32"/>
                <w:szCs w:val="32"/>
                <w:lang w:val="en-US" w:eastAsia="zh-CN"/>
              </w:rPr>
            </w:pPr>
          </w:p>
        </w:tc>
        <w:tc>
          <w:tcPr>
            <w:tcW w:w="1050" w:type="dxa"/>
            <w:vAlign w:val="center"/>
          </w:tcPr>
          <w:p w14:paraId="1C4E3C3A">
            <w:pPr>
              <w:keepLines w:val="0"/>
              <w:pageBreakBefore w:val="0"/>
              <w:topLinePunct w:val="0"/>
              <w:bidi w:val="0"/>
              <w:snapToGrid w:val="0"/>
              <w:spacing w:line="240" w:lineRule="auto"/>
              <w:jc w:val="center"/>
              <w:rPr>
                <w:rFonts w:hint="default" w:ascii="宋体" w:hAnsi="宋体" w:eastAsia="宋体" w:cs="Arial"/>
                <w:color w:val="000000"/>
                <w:kern w:val="0"/>
                <w:sz w:val="32"/>
                <w:szCs w:val="32"/>
                <w:lang w:val="en-US" w:eastAsia="zh-CN"/>
              </w:rPr>
            </w:pPr>
            <w:r>
              <w:rPr>
                <w:rFonts w:hint="eastAsia" w:ascii="宋体" w:hAnsi="宋体" w:cs="Arial"/>
                <w:color w:val="000000"/>
                <w:kern w:val="0"/>
                <w:sz w:val="22"/>
                <w:szCs w:val="22"/>
                <w:lang w:val="en-US" w:eastAsia="zh-CN"/>
              </w:rPr>
              <w:t>1036000</w:t>
            </w:r>
          </w:p>
        </w:tc>
      </w:tr>
      <w:tr w14:paraId="41F7D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10882" w:type="dxa"/>
            <w:gridSpan w:val="6"/>
            <w:tcBorders>
              <w:top w:val="single" w:color="auto" w:sz="4" w:space="0"/>
              <w:left w:val="single" w:color="auto" w:sz="4" w:space="0"/>
              <w:bottom w:val="single" w:color="auto" w:sz="4" w:space="0"/>
            </w:tcBorders>
            <w:vAlign w:val="center"/>
          </w:tcPr>
          <w:p w14:paraId="6A149049">
            <w:pPr>
              <w:keepLines w:val="0"/>
              <w:pageBreakBefore w:val="0"/>
              <w:topLinePunct w:val="0"/>
              <w:bidi w:val="0"/>
              <w:snapToGrid w:val="0"/>
              <w:spacing w:line="240" w:lineRule="auto"/>
              <w:jc w:val="left"/>
              <w:rPr>
                <w:rFonts w:hint="eastAsia" w:ascii="宋体" w:hAnsi="宋体" w:cs="Arial"/>
                <w:color w:val="000000"/>
                <w:kern w:val="0"/>
                <w:sz w:val="24"/>
                <w:szCs w:val="24"/>
                <w:lang w:val="en-US" w:eastAsia="zh-CN"/>
              </w:rPr>
            </w:pPr>
            <w:r>
              <w:rPr>
                <w:rFonts w:hint="eastAsia" w:ascii="宋体" w:hAnsi="宋体" w:eastAsia="宋体" w:cs="Arial"/>
                <w:color w:val="000000"/>
                <w:kern w:val="0"/>
                <w:sz w:val="24"/>
                <w:szCs w:val="24"/>
                <w:lang w:eastAsia="zh-CN"/>
              </w:rPr>
              <w:t>注：</w:t>
            </w:r>
            <w:r>
              <w:rPr>
                <w:rFonts w:hint="eastAsia" w:ascii="宋体" w:hAnsi="宋体" w:cs="Arial"/>
                <w:color w:val="000000"/>
                <w:kern w:val="0"/>
                <w:sz w:val="24"/>
                <w:szCs w:val="24"/>
                <w:lang w:val="en-US" w:eastAsia="zh-CN"/>
              </w:rPr>
              <w:t>1、以上参数为实质性指标，需全部满足；</w:t>
            </w:r>
          </w:p>
          <w:p w14:paraId="65D134F0">
            <w:pPr>
              <w:pStyle w:val="2"/>
              <w:rPr>
                <w:rFonts w:hint="eastAsia" w:ascii="宋体" w:hAnsi="宋体" w:eastAsia="宋体" w:cs="Arial"/>
                <w:color w:val="000000"/>
                <w:kern w:val="0"/>
                <w:sz w:val="22"/>
                <w:szCs w:val="22"/>
                <w:lang w:val="en-US" w:eastAsia="zh-CN"/>
              </w:rPr>
            </w:pPr>
            <w:r>
              <w:rPr>
                <w:rFonts w:hint="eastAsia" w:ascii="宋体" w:hAnsi="宋体" w:cs="Arial"/>
                <w:color w:val="000000"/>
                <w:kern w:val="0"/>
                <w:sz w:val="24"/>
                <w:szCs w:val="24"/>
                <w:lang w:val="en-US" w:eastAsia="zh-CN"/>
              </w:rPr>
              <w:t xml:space="preserve">    2、</w:t>
            </w:r>
            <w:r>
              <w:rPr>
                <w:rFonts w:hint="eastAsia" w:ascii="宋体" w:hAnsi="宋体" w:eastAsia="宋体" w:cs="Arial"/>
                <w:color w:val="000000"/>
                <w:kern w:val="0"/>
                <w:sz w:val="24"/>
                <w:szCs w:val="24"/>
                <w:lang w:val="en-US" w:eastAsia="zh-CN"/>
              </w:rPr>
              <w:t>货物设计、材料、制造、包装、运输、装卸、摆放、调试合格交付使用之前及保修期内保修服务与备用物件等所有其他有关各项的含税费用由</w:t>
            </w:r>
            <w:r>
              <w:rPr>
                <w:rFonts w:hint="eastAsia" w:ascii="宋体" w:hAnsi="宋体" w:cs="Arial"/>
                <w:color w:val="000000"/>
                <w:kern w:val="0"/>
                <w:sz w:val="24"/>
                <w:szCs w:val="24"/>
                <w:highlight w:val="none"/>
                <w:lang w:val="en-US" w:eastAsia="zh-CN"/>
              </w:rPr>
              <w:t>中标</w:t>
            </w:r>
            <w:r>
              <w:rPr>
                <w:rFonts w:hint="eastAsia" w:ascii="宋体" w:hAnsi="宋体" w:eastAsia="宋体" w:cs="Arial"/>
                <w:color w:val="000000"/>
                <w:kern w:val="0"/>
                <w:sz w:val="24"/>
                <w:szCs w:val="24"/>
                <w:highlight w:val="none"/>
                <w:lang w:val="en-US" w:eastAsia="zh-CN"/>
              </w:rPr>
              <w:t>方</w:t>
            </w:r>
            <w:r>
              <w:rPr>
                <w:rFonts w:hint="eastAsia" w:ascii="宋体" w:hAnsi="宋体" w:eastAsia="宋体" w:cs="Arial"/>
                <w:color w:val="000000"/>
                <w:kern w:val="0"/>
                <w:sz w:val="24"/>
                <w:szCs w:val="24"/>
                <w:lang w:val="en-US" w:eastAsia="zh-CN"/>
              </w:rPr>
              <w:t xml:space="preserve">支付  </w:t>
            </w:r>
          </w:p>
        </w:tc>
      </w:tr>
    </w:tbl>
    <w:p w14:paraId="2E46251C">
      <w:pPr>
        <w:pStyle w:val="4"/>
        <w:spacing w:before="0" w:after="0" w:line="700" w:lineRule="exact"/>
        <w:rPr>
          <w:rFonts w:hint="eastAsia" w:ascii="黑体" w:hAnsi="黑体"/>
        </w:rPr>
      </w:pPr>
    </w:p>
    <w:p w14:paraId="49F13E09">
      <w:pPr>
        <w:rPr>
          <w:rFonts w:hint="eastAsia" w:ascii="黑体" w:hAnsi="黑体"/>
        </w:rPr>
      </w:pPr>
    </w:p>
    <w:p w14:paraId="03F55ABD">
      <w:pPr>
        <w:pStyle w:val="4"/>
        <w:spacing w:before="0" w:after="0" w:line="700" w:lineRule="exact"/>
        <w:rPr>
          <w:rFonts w:ascii="黑体" w:hAnsi="黑体"/>
        </w:rPr>
      </w:pPr>
      <w:bookmarkStart w:id="924" w:name="_Toc10758"/>
      <w:r>
        <w:rPr>
          <w:rFonts w:hint="eastAsia" w:ascii="黑体" w:hAnsi="黑体"/>
          <w:lang w:eastAsia="zh-CN"/>
        </w:rPr>
        <w:t>二</w:t>
      </w:r>
      <w:r>
        <w:rPr>
          <w:rFonts w:ascii="黑体" w:hAnsi="黑体"/>
        </w:rPr>
        <w:t>、</w:t>
      </w:r>
      <w:r>
        <w:rPr>
          <w:rFonts w:hint="eastAsia" w:ascii="黑体" w:hAnsi="黑体"/>
        </w:rPr>
        <w:t>售后服务要求</w:t>
      </w:r>
      <w:bookmarkEnd w:id="924"/>
    </w:p>
    <w:p w14:paraId="61D3D444">
      <w:pPr>
        <w:pStyle w:val="4"/>
        <w:keepNext/>
        <w:keepLines/>
        <w:pageBreakBefore w:val="0"/>
        <w:widowControl w:val="0"/>
        <w:kinsoku/>
        <w:wordWrap/>
        <w:overflowPunct/>
        <w:topLinePunct w:val="0"/>
        <w:autoSpaceDE/>
        <w:autoSpaceDN/>
        <w:bidi w:val="0"/>
        <w:adjustRightInd/>
        <w:snapToGrid/>
        <w:spacing w:before="0" w:after="0" w:line="700" w:lineRule="exact"/>
        <w:ind w:firstLine="560" w:firstLineChars="200"/>
        <w:textAlignment w:val="auto"/>
        <w:rPr>
          <w:rFonts w:hint="eastAsia" w:ascii="仿宋" w:hAnsi="仿宋" w:eastAsia="仿宋" w:cs="仿宋"/>
          <w:b w:val="0"/>
          <w:bCs w:val="0"/>
          <w:sz w:val="28"/>
          <w:szCs w:val="28"/>
          <w:u w:val="single"/>
          <w:lang w:val="zh-CN"/>
        </w:rPr>
      </w:pPr>
      <w:bookmarkStart w:id="925" w:name="_Toc26368"/>
      <w:r>
        <w:rPr>
          <w:rFonts w:hint="eastAsia" w:ascii="仿宋" w:hAnsi="仿宋" w:eastAsia="仿宋" w:cs="仿宋"/>
          <w:b w:val="0"/>
          <w:bCs w:val="0"/>
          <w:sz w:val="28"/>
          <w:szCs w:val="28"/>
          <w:lang w:val="zh-CN"/>
        </w:rPr>
        <w:t>1.本项目质保期为：</w:t>
      </w:r>
      <w:r>
        <w:rPr>
          <w:rFonts w:hint="eastAsia" w:ascii="仿宋" w:hAnsi="仿宋" w:eastAsia="仿宋" w:cs="仿宋"/>
          <w:b w:val="0"/>
          <w:bCs w:val="0"/>
          <w:sz w:val="28"/>
          <w:szCs w:val="28"/>
          <w:u w:val="single"/>
          <w:lang w:val="zh-CN"/>
        </w:rPr>
        <w:t>折叠床、取暖炉、发电机6年,棉褥、棉被5 年。</w:t>
      </w:r>
      <w:bookmarkEnd w:id="925"/>
    </w:p>
    <w:p w14:paraId="3B9F08C2">
      <w:pPr>
        <w:pStyle w:val="4"/>
        <w:keepNext/>
        <w:keepLines/>
        <w:pageBreakBefore w:val="0"/>
        <w:widowControl w:val="0"/>
        <w:kinsoku/>
        <w:wordWrap/>
        <w:overflowPunct/>
        <w:topLinePunct w:val="0"/>
        <w:autoSpaceDE/>
        <w:autoSpaceDN/>
        <w:bidi w:val="0"/>
        <w:adjustRightInd/>
        <w:snapToGrid/>
        <w:spacing w:before="0" w:after="0" w:line="700" w:lineRule="exact"/>
        <w:ind w:firstLine="560" w:firstLineChars="200"/>
        <w:textAlignment w:val="auto"/>
        <w:rPr>
          <w:rFonts w:hint="eastAsia" w:ascii="仿宋" w:hAnsi="仿宋" w:eastAsia="仿宋" w:cs="仿宋"/>
          <w:b w:val="0"/>
          <w:bCs w:val="0"/>
          <w:sz w:val="28"/>
          <w:szCs w:val="28"/>
          <w:lang w:val="zh-CN"/>
        </w:rPr>
      </w:pPr>
      <w:bookmarkStart w:id="926" w:name="_Toc27050"/>
      <w:r>
        <w:rPr>
          <w:rFonts w:hint="eastAsia" w:ascii="仿宋" w:hAnsi="仿宋" w:eastAsia="仿宋" w:cs="仿宋"/>
          <w:b w:val="0"/>
          <w:bCs w:val="0"/>
          <w:sz w:val="28"/>
          <w:szCs w:val="28"/>
          <w:lang w:val="zh-CN"/>
        </w:rPr>
        <w:t>2.质保期内项目标的物出现质量问题的，中标（或成交）人在接到通知后 24 小时内响应到场，负责免费维修或更换。</w:t>
      </w:r>
      <w:bookmarkEnd w:id="926"/>
    </w:p>
    <w:p w14:paraId="031F3AEA">
      <w:pPr>
        <w:pStyle w:val="4"/>
        <w:keepNext/>
        <w:keepLines/>
        <w:pageBreakBefore w:val="0"/>
        <w:widowControl w:val="0"/>
        <w:kinsoku/>
        <w:wordWrap/>
        <w:overflowPunct/>
        <w:topLinePunct w:val="0"/>
        <w:autoSpaceDE/>
        <w:autoSpaceDN/>
        <w:bidi w:val="0"/>
        <w:adjustRightInd/>
        <w:snapToGrid/>
        <w:spacing w:before="0" w:after="0" w:line="700" w:lineRule="exact"/>
        <w:ind w:firstLine="560" w:firstLineChars="200"/>
        <w:textAlignment w:val="auto"/>
        <w:rPr>
          <w:rFonts w:hint="eastAsia" w:ascii="仿宋" w:hAnsi="仿宋" w:eastAsia="仿宋" w:cs="仿宋"/>
          <w:b w:val="0"/>
          <w:bCs w:val="0"/>
          <w:sz w:val="28"/>
          <w:szCs w:val="28"/>
          <w:lang w:val="zh-CN"/>
        </w:rPr>
      </w:pPr>
      <w:bookmarkStart w:id="927" w:name="_Toc9032"/>
      <w:r>
        <w:rPr>
          <w:rFonts w:hint="eastAsia" w:ascii="仿宋" w:hAnsi="仿宋" w:eastAsia="仿宋" w:cs="仿宋"/>
          <w:b w:val="0"/>
          <w:bCs w:val="0"/>
          <w:sz w:val="28"/>
          <w:szCs w:val="28"/>
          <w:lang w:val="zh-CN"/>
        </w:rPr>
        <w:t>3.如货物经乙方 2 次维修仍不能达到合同约定的质量标准，视为乙方未能按时交货。</w:t>
      </w:r>
      <w:bookmarkEnd w:id="927"/>
    </w:p>
    <w:p w14:paraId="5D2DF135">
      <w:pPr>
        <w:pStyle w:val="4"/>
        <w:keepNext/>
        <w:keepLines/>
        <w:pageBreakBefore w:val="0"/>
        <w:widowControl w:val="0"/>
        <w:kinsoku/>
        <w:wordWrap/>
        <w:overflowPunct/>
        <w:topLinePunct w:val="0"/>
        <w:autoSpaceDE/>
        <w:autoSpaceDN/>
        <w:bidi w:val="0"/>
        <w:adjustRightInd/>
        <w:snapToGrid/>
        <w:spacing w:before="0" w:after="0" w:line="700" w:lineRule="exact"/>
        <w:ind w:firstLine="560" w:firstLineChars="200"/>
        <w:textAlignment w:val="auto"/>
        <w:rPr>
          <w:rFonts w:hint="eastAsia" w:ascii="仿宋" w:hAnsi="仿宋" w:eastAsia="仿宋" w:cs="仿宋"/>
          <w:b w:val="0"/>
          <w:bCs w:val="0"/>
          <w:sz w:val="28"/>
          <w:szCs w:val="28"/>
          <w:lang w:val="zh-CN"/>
        </w:rPr>
      </w:pPr>
      <w:bookmarkStart w:id="928" w:name="_Toc9931"/>
      <w:r>
        <w:rPr>
          <w:rFonts w:hint="eastAsia" w:ascii="仿宋" w:hAnsi="仿宋" w:eastAsia="仿宋" w:cs="仿宋"/>
          <w:b w:val="0"/>
          <w:bCs w:val="0"/>
          <w:sz w:val="28"/>
          <w:szCs w:val="28"/>
          <w:lang w:val="zh-CN"/>
        </w:rPr>
        <w:t>4.中标（或成交）人须设24小时售后维修服务电话，负责解答采购人在使用过程中遇到的问题，及时提出解决问题的建议和操作方法。</w:t>
      </w:r>
      <w:bookmarkEnd w:id="928"/>
    </w:p>
    <w:p w14:paraId="67E551F0">
      <w:pPr>
        <w:pStyle w:val="4"/>
        <w:keepNext/>
        <w:keepLines/>
        <w:pageBreakBefore w:val="0"/>
        <w:widowControl w:val="0"/>
        <w:kinsoku/>
        <w:wordWrap/>
        <w:overflowPunct/>
        <w:topLinePunct w:val="0"/>
        <w:autoSpaceDE/>
        <w:autoSpaceDN/>
        <w:bidi w:val="0"/>
        <w:adjustRightInd/>
        <w:snapToGrid/>
        <w:spacing w:before="0" w:after="0" w:line="700" w:lineRule="exact"/>
        <w:ind w:firstLine="560" w:firstLineChars="200"/>
        <w:textAlignment w:val="auto"/>
        <w:rPr>
          <w:rFonts w:hint="eastAsia" w:ascii="仿宋" w:hAnsi="仿宋" w:eastAsia="仿宋" w:cs="仿宋"/>
          <w:b w:val="0"/>
          <w:bCs w:val="0"/>
          <w:sz w:val="28"/>
          <w:szCs w:val="28"/>
          <w:lang w:val="zh-CN"/>
        </w:rPr>
      </w:pPr>
      <w:bookmarkStart w:id="929" w:name="_Toc27548"/>
      <w:r>
        <w:rPr>
          <w:rFonts w:hint="eastAsia" w:ascii="仿宋" w:hAnsi="仿宋" w:eastAsia="仿宋" w:cs="仿宋"/>
          <w:b w:val="0"/>
          <w:bCs w:val="0"/>
          <w:sz w:val="28"/>
          <w:szCs w:val="28"/>
          <w:lang w:val="zh-CN"/>
        </w:rPr>
        <w:t>5.如标的物使用复杂，中标（或成交）人必须给予免费培训，直到采购人能够熟练使用为止。</w:t>
      </w:r>
      <w:bookmarkEnd w:id="929"/>
    </w:p>
    <w:p w14:paraId="7B6988C6">
      <w:pPr>
        <w:pStyle w:val="4"/>
        <w:spacing w:before="0" w:after="0" w:line="700" w:lineRule="exact"/>
        <w:rPr>
          <w:rFonts w:hint="eastAsia" w:ascii="黑体" w:hAnsi="黑体"/>
        </w:rPr>
      </w:pPr>
      <w:bookmarkStart w:id="930" w:name="_Toc19920"/>
      <w:r>
        <w:rPr>
          <w:rFonts w:hint="eastAsia" w:ascii="黑体" w:hAnsi="黑体"/>
          <w:lang w:eastAsia="zh-CN"/>
        </w:rPr>
        <w:t>三</w:t>
      </w:r>
      <w:r>
        <w:rPr>
          <w:rFonts w:hint="eastAsia" w:ascii="黑体" w:hAnsi="黑体"/>
        </w:rPr>
        <w:t>、验收标准要求</w:t>
      </w:r>
      <w:bookmarkEnd w:id="930"/>
    </w:p>
    <w:p w14:paraId="4D9CDC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kern w:val="2"/>
          <w:sz w:val="28"/>
          <w:szCs w:val="28"/>
          <w:lang w:val="zh-CN" w:eastAsia="zh-CN" w:bidi="ar-SA"/>
        </w:rPr>
      </w:pPr>
      <w:r>
        <w:rPr>
          <w:rFonts w:hint="eastAsia" w:ascii="仿宋" w:hAnsi="仿宋" w:eastAsia="仿宋" w:cs="仿宋"/>
          <w:b w:val="0"/>
          <w:bCs w:val="0"/>
          <w:kern w:val="2"/>
          <w:sz w:val="28"/>
          <w:szCs w:val="28"/>
          <w:lang w:val="zh-CN" w:eastAsia="zh-CN" w:bidi="ar-SA"/>
        </w:rPr>
        <w:t>按招标文件要求和投标承诺验收（甲方委托第三方检测机构进行检验），交付使用同时供货方应提交下列文件：按招标文件提供本项目要求的相关检验报告或证书、制造厂商出具的质量检验证书、产品合格证（复印件加盖投标人公章）。</w:t>
      </w:r>
    </w:p>
    <w:p w14:paraId="678291D3">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Times New Roman"/>
          <w:b/>
          <w:bCs/>
          <w:kern w:val="2"/>
          <w:sz w:val="32"/>
          <w:szCs w:val="32"/>
          <w:lang w:val="en-US" w:eastAsia="zh-CN" w:bidi="ar-SA"/>
        </w:rPr>
      </w:pPr>
      <w:r>
        <w:rPr>
          <w:rFonts w:hint="eastAsia" w:ascii="黑体" w:hAnsi="黑体" w:eastAsia="黑体" w:cs="Times New Roman"/>
          <w:b/>
          <w:bCs/>
          <w:kern w:val="2"/>
          <w:sz w:val="32"/>
          <w:szCs w:val="32"/>
          <w:lang w:val="en-US" w:eastAsia="zh-CN" w:bidi="ar-SA"/>
        </w:rPr>
        <w:t>四、执行质量标准</w:t>
      </w:r>
    </w:p>
    <w:p w14:paraId="0E6C7B5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供应商提供产品须符合国家（行业、地方及其他）</w:t>
      </w:r>
      <w:r>
        <w:rPr>
          <w:rFonts w:hint="eastAsia" w:ascii="仿宋" w:hAnsi="仿宋" w:eastAsia="仿宋" w:cs="仿宋"/>
          <w:sz w:val="28"/>
          <w:szCs w:val="28"/>
          <w:u w:val="single"/>
        </w:rPr>
        <w:t xml:space="preserve">  行业  </w:t>
      </w:r>
      <w:r>
        <w:rPr>
          <w:rFonts w:hint="eastAsia" w:ascii="仿宋" w:hAnsi="仿宋" w:eastAsia="仿宋" w:cs="仿宋"/>
          <w:sz w:val="28"/>
          <w:szCs w:val="28"/>
        </w:rPr>
        <w:t>标准。</w:t>
      </w:r>
    </w:p>
    <w:p w14:paraId="36486CA4">
      <w:pPr>
        <w:spacing w:line="720" w:lineRule="exact"/>
        <w:rPr>
          <w:rFonts w:hint="eastAsia" w:ascii="黑体" w:hAnsi="黑体" w:eastAsia="黑体" w:cs="Times New Roman"/>
          <w:b/>
          <w:bCs/>
          <w:kern w:val="2"/>
          <w:sz w:val="32"/>
          <w:szCs w:val="32"/>
          <w:lang w:val="en-US" w:eastAsia="zh-CN" w:bidi="ar-SA"/>
        </w:rPr>
      </w:pPr>
      <w:r>
        <w:rPr>
          <w:rFonts w:hint="eastAsia" w:ascii="黑体" w:hAnsi="黑体" w:eastAsia="黑体" w:cs="Times New Roman"/>
          <w:b/>
          <w:bCs/>
          <w:kern w:val="2"/>
          <w:sz w:val="32"/>
          <w:szCs w:val="32"/>
          <w:lang w:val="en-US" w:eastAsia="zh-CN" w:bidi="ar-SA"/>
        </w:rPr>
        <w:t>五、其他要求</w:t>
      </w:r>
    </w:p>
    <w:p w14:paraId="519680E0">
      <w:pPr>
        <w:spacing w:line="7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（一）供货期限：合同签订生效后10 日内</w:t>
      </w:r>
    </w:p>
    <w:p w14:paraId="47EAD1AD">
      <w:pPr>
        <w:spacing w:line="7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（二）供货地点：松原市粮食和物资储备中心</w:t>
      </w:r>
    </w:p>
    <w:p w14:paraId="206375C5">
      <w:pPr>
        <w:spacing w:line="72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（三）付款方式：</w:t>
      </w:r>
    </w:p>
    <w:p w14:paraId="6B594CFC">
      <w:pPr>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1、结算货币：</w:t>
      </w:r>
      <w:r>
        <w:rPr>
          <w:rFonts w:hint="eastAsia" w:ascii="仿宋" w:hAnsi="仿宋" w:eastAsia="仿宋" w:cs="仿宋"/>
          <w:sz w:val="28"/>
          <w:szCs w:val="28"/>
          <w:u w:val="single"/>
        </w:rPr>
        <w:t xml:space="preserve">  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p>
    <w:p w14:paraId="5D670F85">
      <w:pPr>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2、一次性付款：</w:t>
      </w:r>
      <w:r>
        <w:rPr>
          <w:rFonts w:hint="eastAsia" w:ascii="仿宋" w:hAnsi="仿宋" w:eastAsia="仿宋" w:cs="仿宋"/>
          <w:sz w:val="28"/>
          <w:szCs w:val="28"/>
          <w:u w:val="single"/>
        </w:rPr>
        <w:t>采购货物验收合格后30日内付款</w:t>
      </w:r>
      <w:r>
        <w:rPr>
          <w:rFonts w:hint="eastAsia" w:ascii="仿宋" w:hAnsi="仿宋" w:eastAsia="仿宋" w:cs="仿宋"/>
          <w:sz w:val="28"/>
          <w:szCs w:val="28"/>
        </w:rPr>
        <w:t xml:space="preserve">                    </w:t>
      </w:r>
    </w:p>
    <w:p w14:paraId="7E1A0F8C">
      <w:pPr>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3、其他要求：供</w:t>
      </w:r>
      <w:r>
        <w:rPr>
          <w:rFonts w:hint="eastAsia" w:ascii="仿宋" w:hAnsi="仿宋" w:eastAsia="仿宋" w:cs="仿宋"/>
          <w:sz w:val="28"/>
          <w:szCs w:val="28"/>
          <w:lang w:val="en-US" w:eastAsia="zh-CN"/>
        </w:rPr>
        <w:t>货</w:t>
      </w:r>
      <w:r>
        <w:rPr>
          <w:rFonts w:hint="eastAsia" w:ascii="仿宋" w:hAnsi="仿宋" w:eastAsia="仿宋" w:cs="仿宋"/>
          <w:sz w:val="28"/>
          <w:szCs w:val="28"/>
        </w:rPr>
        <w:t>方交货时应提交销售发票（发票抬头格式：需方单位名称）</w:t>
      </w:r>
    </w:p>
    <w:p w14:paraId="7A16336B">
      <w:pPr>
        <w:keepNext w:val="0"/>
        <w:keepLines w:val="0"/>
        <w:pageBreakBefore w:val="0"/>
        <w:widowControl w:val="0"/>
        <w:kinsoku/>
        <w:wordWrap/>
        <w:overflowPunct/>
        <w:topLinePunct w:val="0"/>
        <w:autoSpaceDE/>
        <w:autoSpaceDN/>
        <w:bidi w:val="0"/>
        <w:adjustRightInd/>
        <w:snapToGrid/>
        <w:spacing w:line="7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、财政付款：政府采购项目资金支付程序，按照国家有关财政资金支付管理的规定执行。</w:t>
      </w:r>
    </w:p>
    <w:p w14:paraId="33D3B6CE">
      <w:pPr>
        <w:spacing w:line="700" w:lineRule="exact"/>
        <w:ind w:firstLine="482" w:firstLineChars="200"/>
        <w:rPr>
          <w:rFonts w:ascii="宋体" w:hAnsi="宋体"/>
          <w:b/>
          <w:bCs/>
          <w:sz w:val="24"/>
        </w:rPr>
      </w:pPr>
      <w:r>
        <w:rPr>
          <w:rFonts w:hint="eastAsia" w:ascii="宋体" w:hAnsi="宋体"/>
          <w:b/>
          <w:bCs/>
          <w:sz w:val="24"/>
        </w:rPr>
        <w:t>说明：1、以上打</w:t>
      </w:r>
      <w:r>
        <w:rPr>
          <w:rFonts w:ascii="宋体" w:hAnsi="宋体"/>
          <w:b/>
          <w:bCs/>
          <w:sz w:val="24"/>
        </w:rPr>
        <w:t>“</w:t>
      </w:r>
      <w:r>
        <w:rPr>
          <w:rFonts w:hint="eastAsia" w:ascii="宋体" w:hAnsi="宋体"/>
          <w:b/>
          <w:bCs/>
          <w:sz w:val="24"/>
        </w:rPr>
        <w:t>■</w:t>
      </w:r>
      <w:r>
        <w:rPr>
          <w:rFonts w:ascii="宋体" w:hAnsi="宋体"/>
          <w:b/>
          <w:bCs/>
          <w:sz w:val="24"/>
        </w:rPr>
        <w:t>”</w:t>
      </w:r>
      <w:r>
        <w:rPr>
          <w:rFonts w:hint="eastAsia" w:ascii="宋体" w:hAnsi="宋体"/>
          <w:b/>
          <w:bCs/>
          <w:sz w:val="24"/>
        </w:rPr>
        <w:t>符号</w:t>
      </w:r>
      <w:r>
        <w:rPr>
          <w:rFonts w:ascii="宋体" w:hAnsi="宋体"/>
          <w:b/>
          <w:bCs/>
          <w:sz w:val="24"/>
        </w:rPr>
        <w:t>的为</w:t>
      </w:r>
      <w:r>
        <w:rPr>
          <w:rFonts w:hint="eastAsia" w:ascii="宋体" w:hAnsi="宋体"/>
          <w:b/>
          <w:bCs/>
          <w:sz w:val="24"/>
        </w:rPr>
        <w:t>本次招标项目的</w:t>
      </w:r>
      <w:r>
        <w:rPr>
          <w:rFonts w:ascii="宋体" w:hAnsi="宋体"/>
          <w:b/>
          <w:bCs/>
          <w:sz w:val="24"/>
        </w:rPr>
        <w:t>核心产品；</w:t>
      </w:r>
      <w:r>
        <w:rPr>
          <w:rFonts w:hint="eastAsia" w:ascii="宋体" w:hAnsi="宋体"/>
          <w:b/>
          <w:bCs/>
          <w:sz w:val="24"/>
          <w:highlight w:val="none"/>
          <w:lang w:eastAsia="zh-CN"/>
        </w:rPr>
        <w:t>本章内容均为实质</w:t>
      </w:r>
      <w:r>
        <w:rPr>
          <w:rFonts w:hint="eastAsia" w:ascii="宋体" w:hAnsi="宋体"/>
          <w:b/>
          <w:bCs/>
          <w:sz w:val="24"/>
          <w:highlight w:val="none"/>
          <w:lang w:val="en-US" w:eastAsia="zh-CN"/>
        </w:rPr>
        <w:t>性指标</w:t>
      </w:r>
      <w:r>
        <w:rPr>
          <w:rFonts w:hint="eastAsia" w:ascii="宋体" w:hAnsi="宋体"/>
          <w:b/>
          <w:bCs/>
          <w:sz w:val="24"/>
        </w:rPr>
        <w:t>，不允许有负偏离，</w:t>
      </w:r>
      <w:r>
        <w:rPr>
          <w:rFonts w:ascii="宋体" w:hAnsi="宋体"/>
          <w:b/>
          <w:bCs/>
          <w:sz w:val="24"/>
        </w:rPr>
        <w:t>有任意一项负偏离的，</w:t>
      </w:r>
      <w:r>
        <w:rPr>
          <w:rFonts w:hint="eastAsia" w:ascii="宋体" w:hAnsi="宋体"/>
          <w:b/>
          <w:bCs/>
          <w:sz w:val="24"/>
        </w:rPr>
        <w:t>投标文件</w:t>
      </w:r>
      <w:r>
        <w:rPr>
          <w:rFonts w:ascii="宋体" w:hAnsi="宋体"/>
          <w:b/>
          <w:bCs/>
          <w:sz w:val="24"/>
        </w:rPr>
        <w:t>作无效处理</w:t>
      </w:r>
      <w:r>
        <w:rPr>
          <w:rFonts w:hint="eastAsia" w:ascii="宋体" w:hAnsi="宋体"/>
          <w:b/>
          <w:bCs/>
          <w:sz w:val="24"/>
        </w:rPr>
        <w:t>。</w:t>
      </w:r>
    </w:p>
    <w:p w14:paraId="1388408E">
      <w:pPr>
        <w:spacing w:line="500" w:lineRule="exact"/>
        <w:ind w:firstLine="482" w:firstLineChars="200"/>
        <w:rPr>
          <w:rFonts w:ascii="宋体" w:hAnsi="宋体"/>
          <w:b/>
          <w:bCs/>
          <w:sz w:val="24"/>
        </w:rPr>
      </w:pPr>
    </w:p>
    <w:p w14:paraId="471A9F6E">
      <w:pPr>
        <w:spacing w:line="500" w:lineRule="exact"/>
        <w:ind w:firstLine="482" w:firstLineChars="200"/>
        <w:rPr>
          <w:rFonts w:ascii="宋体" w:hAnsi="宋体"/>
          <w:b/>
          <w:bCs/>
          <w:sz w:val="24"/>
        </w:rPr>
      </w:pPr>
    </w:p>
    <w:p w14:paraId="5AF54157">
      <w:pPr>
        <w:spacing w:line="500" w:lineRule="exact"/>
        <w:ind w:firstLine="482" w:firstLineChars="200"/>
        <w:rPr>
          <w:rFonts w:ascii="宋体" w:hAnsi="宋体"/>
          <w:b/>
          <w:bCs/>
          <w:sz w:val="24"/>
        </w:rPr>
      </w:pPr>
    </w:p>
    <w:p w14:paraId="653518CF">
      <w:pPr>
        <w:spacing w:line="500" w:lineRule="exact"/>
        <w:ind w:firstLine="482" w:firstLineChars="200"/>
        <w:rPr>
          <w:rFonts w:ascii="宋体" w:hAnsi="宋体"/>
          <w:b/>
          <w:bCs/>
          <w:sz w:val="24"/>
        </w:rPr>
      </w:pPr>
    </w:p>
    <w:p w14:paraId="527E9B75">
      <w:pPr>
        <w:spacing w:line="500" w:lineRule="exact"/>
        <w:ind w:firstLine="482" w:firstLineChars="200"/>
        <w:rPr>
          <w:rFonts w:ascii="宋体" w:hAnsi="宋体"/>
          <w:b/>
          <w:bCs/>
          <w:sz w:val="24"/>
        </w:rPr>
      </w:pPr>
    </w:p>
    <w:p w14:paraId="2E7A6757">
      <w:pPr>
        <w:spacing w:line="500" w:lineRule="exact"/>
        <w:ind w:firstLine="482" w:firstLineChars="200"/>
        <w:rPr>
          <w:rFonts w:ascii="宋体" w:hAnsi="宋体"/>
          <w:b/>
          <w:bCs/>
          <w:sz w:val="24"/>
        </w:rPr>
      </w:pPr>
    </w:p>
    <w:p w14:paraId="4FE43701">
      <w:pPr>
        <w:spacing w:line="500" w:lineRule="exact"/>
        <w:ind w:firstLine="482" w:firstLineChars="200"/>
        <w:rPr>
          <w:rFonts w:ascii="宋体" w:hAnsi="宋体"/>
          <w:b/>
          <w:bCs/>
          <w:sz w:val="24"/>
        </w:rPr>
      </w:pPr>
    </w:p>
    <w:p w14:paraId="5ADB740C">
      <w:pPr>
        <w:spacing w:line="500" w:lineRule="exact"/>
        <w:ind w:firstLine="482" w:firstLineChars="200"/>
        <w:rPr>
          <w:rFonts w:ascii="宋体" w:hAnsi="宋体"/>
          <w:b/>
          <w:bCs/>
          <w:sz w:val="24"/>
        </w:rPr>
      </w:pPr>
    </w:p>
    <w:p w14:paraId="2661DAF8">
      <w:pPr>
        <w:spacing w:line="500" w:lineRule="exact"/>
        <w:rPr>
          <w:rFonts w:ascii="黑体" w:hAnsi="黑体" w:eastAsia="黑体"/>
          <w:b/>
          <w:bCs/>
          <w:kern w:val="44"/>
          <w:sz w:val="44"/>
          <w:szCs w:val="44"/>
          <w:lang w:val="zh-CN"/>
        </w:rPr>
      </w:pPr>
    </w:p>
    <w:p w14:paraId="7A6FB133">
      <w:pPr>
        <w:rPr>
          <w:rFonts w:hint="eastAsia" w:ascii="黑体" w:hAnsi="黑体" w:eastAsia="黑体"/>
          <w:sz w:val="44"/>
          <w:szCs w:val="44"/>
        </w:rPr>
      </w:pPr>
      <w:r>
        <w:rPr>
          <w:rFonts w:hint="eastAsia" w:ascii="黑体" w:hAnsi="黑体" w:eastAsia="黑体"/>
          <w:sz w:val="44"/>
          <w:szCs w:val="44"/>
        </w:rPr>
        <w:br w:type="page"/>
      </w:r>
    </w:p>
    <w:p w14:paraId="1B3E619B">
      <w:pPr>
        <w:pStyle w:val="54"/>
        <w:rPr>
          <w:rFonts w:ascii="黑体" w:hAnsi="黑体" w:eastAsia="黑体"/>
          <w:sz w:val="44"/>
          <w:szCs w:val="44"/>
        </w:rPr>
      </w:pPr>
      <w:bookmarkStart w:id="931" w:name="_Toc31018"/>
      <w:r>
        <w:rPr>
          <w:rFonts w:hint="eastAsia" w:ascii="黑体" w:hAnsi="黑体" w:eastAsia="黑体"/>
          <w:sz w:val="44"/>
          <w:szCs w:val="44"/>
        </w:rPr>
        <w:t>第六章  评标办法</w:t>
      </w:r>
      <w:bookmarkEnd w:id="931"/>
      <w:bookmarkStart w:id="932" w:name="_Hlt101846155"/>
      <w:bookmarkEnd w:id="932"/>
      <w:bookmarkStart w:id="933" w:name="_Toc217446097"/>
      <w:bookmarkStart w:id="934" w:name="_Toc208849007"/>
      <w:bookmarkStart w:id="935" w:name="_Toc183682415"/>
      <w:bookmarkStart w:id="936" w:name="_Toc183582280"/>
    </w:p>
    <w:p w14:paraId="4DF0E2FC">
      <w:pPr>
        <w:pStyle w:val="4"/>
        <w:spacing w:line="240" w:lineRule="atLeast"/>
        <w:rPr>
          <w:rFonts w:ascii="黑体" w:hAnsi="黑体"/>
        </w:rPr>
      </w:pPr>
      <w:bookmarkStart w:id="937" w:name="_Toc5480"/>
      <w:r>
        <w:rPr>
          <w:rFonts w:hint="eastAsia" w:ascii="黑体" w:hAnsi="黑体"/>
        </w:rPr>
        <w:t>一、 总则</w:t>
      </w:r>
      <w:bookmarkEnd w:id="933"/>
      <w:bookmarkEnd w:id="934"/>
      <w:bookmarkEnd w:id="935"/>
      <w:bookmarkEnd w:id="936"/>
      <w:bookmarkEnd w:id="937"/>
    </w:p>
    <w:p w14:paraId="2894556D">
      <w:pPr>
        <w:spacing w:line="500" w:lineRule="exact"/>
        <w:ind w:firstLine="560" w:firstLineChars="200"/>
        <w:rPr>
          <w:rFonts w:ascii="宋体" w:hAnsi="宋体"/>
          <w:sz w:val="28"/>
          <w:szCs w:val="28"/>
        </w:rPr>
      </w:pPr>
      <w:r>
        <w:rPr>
          <w:rFonts w:hint="eastAsia" w:ascii="宋体" w:hAnsi="宋体"/>
          <w:sz w:val="28"/>
          <w:szCs w:val="28"/>
        </w:rPr>
        <w:t>（一）根据《中华人民共和国政府采购法》、《中华人民共和国政府采购法实施条例》、《政府采购货物和服务招标投标管理办法》等法律制度，结合采购项目特点制定本评标办法。</w:t>
      </w:r>
    </w:p>
    <w:p w14:paraId="3CD9B771">
      <w:pPr>
        <w:spacing w:line="500" w:lineRule="exact"/>
        <w:ind w:firstLine="560" w:firstLineChars="200"/>
        <w:rPr>
          <w:rFonts w:ascii="宋体" w:hAnsi="宋体"/>
          <w:sz w:val="28"/>
          <w:szCs w:val="28"/>
        </w:rPr>
      </w:pPr>
      <w:r>
        <w:rPr>
          <w:rFonts w:hint="eastAsia" w:ascii="宋体" w:hAnsi="宋体"/>
          <w:sz w:val="28"/>
          <w:szCs w:val="28"/>
        </w:rPr>
        <w:t>（二）</w:t>
      </w:r>
      <w:r>
        <w:rPr>
          <w:rFonts w:hint="eastAsia" w:ascii="宋体" w:hAnsi="宋体"/>
          <w:bCs/>
          <w:sz w:val="28"/>
          <w:szCs w:val="28"/>
        </w:rPr>
        <w:t>评标工作由招标人负责组织，具体评标事务由招标人依法组建的评标委员会负责。评标委员会由采购人代表和专家组成。</w:t>
      </w:r>
    </w:p>
    <w:p w14:paraId="1F43C61F">
      <w:pPr>
        <w:spacing w:line="500" w:lineRule="exact"/>
        <w:ind w:firstLine="560" w:firstLineChars="200"/>
        <w:rPr>
          <w:rFonts w:ascii="宋体" w:hAnsi="宋体"/>
          <w:sz w:val="28"/>
          <w:szCs w:val="28"/>
        </w:rPr>
      </w:pPr>
      <w:r>
        <w:rPr>
          <w:rFonts w:hint="eastAsia" w:ascii="宋体" w:hAnsi="宋体"/>
          <w:sz w:val="28"/>
          <w:szCs w:val="28"/>
        </w:rPr>
        <w:t>（三）评标工作应遵循公平、公正、科学及择优的原则，并以相同的评标程序和标准对待所有的投标人。</w:t>
      </w:r>
    </w:p>
    <w:p w14:paraId="29D3F5D4">
      <w:pPr>
        <w:spacing w:line="500" w:lineRule="exact"/>
        <w:ind w:firstLine="560" w:firstLineChars="200"/>
        <w:rPr>
          <w:rFonts w:ascii="宋体" w:hAnsi="宋体"/>
          <w:sz w:val="28"/>
          <w:szCs w:val="28"/>
        </w:rPr>
      </w:pPr>
      <w:r>
        <w:rPr>
          <w:rFonts w:hint="eastAsia" w:ascii="宋体" w:hAnsi="宋体"/>
          <w:sz w:val="28"/>
          <w:szCs w:val="28"/>
        </w:rPr>
        <w:t>（四）评标委员会按照招标文件规定的评标方法和标准进行评标，并独立履行下列职责：</w:t>
      </w:r>
    </w:p>
    <w:p w14:paraId="01C2DFA1">
      <w:pPr>
        <w:spacing w:line="500" w:lineRule="exact"/>
        <w:ind w:firstLine="560" w:firstLineChars="200"/>
        <w:rPr>
          <w:rFonts w:ascii="宋体" w:hAnsi="宋体"/>
          <w:sz w:val="28"/>
          <w:szCs w:val="28"/>
        </w:rPr>
      </w:pPr>
      <w:bookmarkStart w:id="938" w:name="_Toc217446098"/>
      <w:r>
        <w:rPr>
          <w:rFonts w:hint="eastAsia" w:ascii="宋体" w:hAnsi="宋体"/>
          <w:sz w:val="28"/>
          <w:szCs w:val="28"/>
        </w:rPr>
        <w:t>1、审查招标文件内容是否违反国家有关强制性规定或者招标文件存在歧义、重大缺陷；</w:t>
      </w:r>
    </w:p>
    <w:p w14:paraId="2DF1B98E">
      <w:pPr>
        <w:spacing w:line="500" w:lineRule="exact"/>
        <w:ind w:firstLine="560" w:firstLineChars="200"/>
        <w:rPr>
          <w:rFonts w:ascii="宋体" w:hAnsi="宋体"/>
          <w:sz w:val="28"/>
          <w:szCs w:val="28"/>
        </w:rPr>
      </w:pPr>
      <w:r>
        <w:rPr>
          <w:rFonts w:hint="eastAsia" w:ascii="宋体" w:hAnsi="宋体"/>
          <w:sz w:val="28"/>
          <w:szCs w:val="28"/>
        </w:rPr>
        <w:t>2、审查投标人投标文件是否满足招标文件要求，并作出公正评价；</w:t>
      </w:r>
    </w:p>
    <w:p w14:paraId="01746B47">
      <w:pPr>
        <w:spacing w:line="500" w:lineRule="exact"/>
        <w:ind w:firstLine="560" w:firstLineChars="200"/>
        <w:rPr>
          <w:rFonts w:ascii="宋体" w:hAnsi="宋体"/>
          <w:sz w:val="28"/>
          <w:szCs w:val="28"/>
        </w:rPr>
      </w:pPr>
      <w:r>
        <w:rPr>
          <w:rFonts w:hint="eastAsia" w:ascii="宋体" w:hAnsi="宋体"/>
          <w:sz w:val="28"/>
          <w:szCs w:val="28"/>
        </w:rPr>
        <w:t>3、根据需要要求投标人对投标文件有关事项作出澄清、说明或者纠正；</w:t>
      </w:r>
    </w:p>
    <w:p w14:paraId="02771585">
      <w:pPr>
        <w:spacing w:line="500" w:lineRule="exact"/>
        <w:ind w:firstLine="560" w:firstLineChars="200"/>
        <w:rPr>
          <w:rFonts w:ascii="宋体" w:hAnsi="宋体"/>
          <w:sz w:val="28"/>
          <w:szCs w:val="28"/>
        </w:rPr>
      </w:pPr>
      <w:r>
        <w:rPr>
          <w:rFonts w:hint="eastAsia" w:ascii="宋体" w:hAnsi="宋体"/>
          <w:sz w:val="28"/>
          <w:szCs w:val="28"/>
        </w:rPr>
        <w:t>4、推荐中标候选人名单，或者受采购人委托确定中标人；</w:t>
      </w:r>
    </w:p>
    <w:p w14:paraId="7ED12829">
      <w:pPr>
        <w:spacing w:line="500" w:lineRule="exact"/>
        <w:ind w:firstLine="560" w:firstLineChars="200"/>
        <w:rPr>
          <w:rFonts w:ascii="宋体" w:hAnsi="宋体"/>
          <w:sz w:val="28"/>
          <w:szCs w:val="28"/>
        </w:rPr>
      </w:pPr>
      <w:r>
        <w:rPr>
          <w:rFonts w:hint="eastAsia" w:ascii="宋体" w:hAnsi="宋体"/>
          <w:sz w:val="28"/>
          <w:szCs w:val="28"/>
        </w:rPr>
        <w:t>5、起草评标报告并进行签署。</w:t>
      </w:r>
    </w:p>
    <w:p w14:paraId="562EE72B">
      <w:pPr>
        <w:spacing w:line="500" w:lineRule="exact"/>
        <w:ind w:firstLine="560" w:firstLineChars="200"/>
        <w:rPr>
          <w:rFonts w:ascii="宋体" w:hAnsi="宋体"/>
          <w:sz w:val="28"/>
          <w:szCs w:val="28"/>
        </w:rPr>
      </w:pPr>
      <w:r>
        <w:rPr>
          <w:rFonts w:hint="eastAsia" w:ascii="宋体" w:hAnsi="宋体"/>
          <w:sz w:val="28"/>
          <w:szCs w:val="28"/>
        </w:rPr>
        <w:t>6、向招标采购单位、财政部门或者其他监督部门报告非法干预评标工作的行为；</w:t>
      </w:r>
    </w:p>
    <w:p w14:paraId="6CC46B0E">
      <w:pPr>
        <w:spacing w:line="500" w:lineRule="exact"/>
        <w:ind w:firstLine="560" w:firstLineChars="200"/>
        <w:rPr>
          <w:rFonts w:ascii="宋体" w:hAnsi="宋体"/>
          <w:sz w:val="28"/>
          <w:szCs w:val="28"/>
        </w:rPr>
      </w:pPr>
      <w:r>
        <w:rPr>
          <w:rFonts w:hint="eastAsia" w:ascii="宋体" w:hAnsi="宋体"/>
          <w:sz w:val="28"/>
          <w:szCs w:val="28"/>
        </w:rPr>
        <w:t>7、法律、法规和规章规定的其他职责。</w:t>
      </w:r>
    </w:p>
    <w:p w14:paraId="7401B29E">
      <w:pPr>
        <w:spacing w:line="500" w:lineRule="exact"/>
        <w:ind w:firstLine="560" w:firstLineChars="200"/>
        <w:rPr>
          <w:rFonts w:ascii="宋体" w:hAnsi="宋体"/>
          <w:sz w:val="28"/>
          <w:szCs w:val="28"/>
        </w:rPr>
      </w:pPr>
      <w:r>
        <w:rPr>
          <w:rFonts w:hint="eastAsia" w:ascii="宋体" w:hAnsi="宋体"/>
          <w:sz w:val="28"/>
          <w:szCs w:val="28"/>
        </w:rPr>
        <w:t>（五）评审过程独立、保密</w:t>
      </w:r>
      <w:r>
        <w:rPr>
          <w:rFonts w:hint="eastAsia" w:ascii="宋体" w:hAnsi="宋体"/>
          <w:sz w:val="28"/>
          <w:szCs w:val="28"/>
          <w:lang w:eastAsia="zh-CN"/>
        </w:rPr>
        <w:t>。</w:t>
      </w:r>
      <w:r>
        <w:rPr>
          <w:rFonts w:hint="eastAsia" w:ascii="宋体" w:hAnsi="宋体"/>
          <w:sz w:val="28"/>
          <w:szCs w:val="28"/>
        </w:rPr>
        <w:t>投标人非法干预评标过程的行为将导致其投标文件作为无效处理。</w:t>
      </w:r>
    </w:p>
    <w:p w14:paraId="06DC046F">
      <w:pPr>
        <w:spacing w:line="500" w:lineRule="exact"/>
        <w:ind w:firstLine="560" w:firstLineChars="200"/>
        <w:rPr>
          <w:rFonts w:ascii="宋体" w:hAnsi="宋体"/>
          <w:sz w:val="28"/>
          <w:szCs w:val="28"/>
        </w:rPr>
      </w:pPr>
      <w:r>
        <w:rPr>
          <w:rFonts w:hint="eastAsia" w:ascii="宋体" w:hAnsi="宋体"/>
          <w:sz w:val="28"/>
          <w:szCs w:val="28"/>
        </w:rPr>
        <w:t>（六）评标委员会评价投标文件的响应性，对于投标人而言，除评标委员会要求其澄清、说明或者纠正而提供的资料外，仅依据投标文件本身的内容，不寻求其他外部证据。</w:t>
      </w:r>
    </w:p>
    <w:p w14:paraId="0346DDF0">
      <w:pPr>
        <w:spacing w:line="500" w:lineRule="exact"/>
        <w:ind w:firstLine="560" w:firstLineChars="200"/>
        <w:rPr>
          <w:rFonts w:ascii="宋体" w:hAnsi="宋体"/>
          <w:sz w:val="28"/>
          <w:szCs w:val="28"/>
        </w:rPr>
      </w:pPr>
      <w:r>
        <w:rPr>
          <w:rFonts w:hint="eastAsia" w:ascii="宋体" w:hAnsi="宋体"/>
          <w:sz w:val="28"/>
          <w:szCs w:val="28"/>
        </w:rPr>
        <w:t>（七）评标委员会成员存在下列利害关系之一的，应当主动申请回避：</w:t>
      </w:r>
    </w:p>
    <w:p w14:paraId="13D1DDA6">
      <w:pPr>
        <w:spacing w:line="500" w:lineRule="exact"/>
        <w:ind w:firstLine="560" w:firstLineChars="200"/>
        <w:rPr>
          <w:rFonts w:ascii="宋体" w:hAnsi="宋体"/>
          <w:sz w:val="28"/>
          <w:szCs w:val="28"/>
        </w:rPr>
      </w:pPr>
      <w:r>
        <w:rPr>
          <w:rFonts w:hint="eastAsia" w:ascii="宋体" w:hAnsi="宋体"/>
          <w:sz w:val="28"/>
          <w:szCs w:val="28"/>
        </w:rPr>
        <w:t>①参加采购活动前3年内与投标人存在劳动关系；</w:t>
      </w:r>
    </w:p>
    <w:p w14:paraId="7F56C25A">
      <w:pPr>
        <w:spacing w:line="500" w:lineRule="exact"/>
        <w:ind w:firstLine="560" w:firstLineChars="200"/>
        <w:rPr>
          <w:rFonts w:ascii="宋体" w:hAnsi="宋体"/>
          <w:sz w:val="28"/>
          <w:szCs w:val="28"/>
        </w:rPr>
      </w:pPr>
      <w:r>
        <w:rPr>
          <w:rFonts w:hint="eastAsia" w:ascii="宋体" w:hAnsi="宋体"/>
          <w:sz w:val="28"/>
          <w:szCs w:val="28"/>
        </w:rPr>
        <w:t>②参加采购活动前3年内担任投标人的董事、监事；</w:t>
      </w:r>
    </w:p>
    <w:p w14:paraId="738E243D">
      <w:pPr>
        <w:spacing w:line="500" w:lineRule="exact"/>
        <w:ind w:firstLine="560" w:firstLineChars="200"/>
        <w:rPr>
          <w:rFonts w:ascii="宋体" w:hAnsi="宋体"/>
          <w:sz w:val="28"/>
          <w:szCs w:val="28"/>
        </w:rPr>
      </w:pPr>
      <w:r>
        <w:rPr>
          <w:rFonts w:hint="eastAsia" w:ascii="宋体" w:hAnsi="宋体"/>
          <w:sz w:val="28"/>
          <w:szCs w:val="28"/>
        </w:rPr>
        <w:t>③参加采购活动前3年内是投标人的控股股东或者实际控制人；</w:t>
      </w:r>
    </w:p>
    <w:p w14:paraId="27636CD2">
      <w:pPr>
        <w:spacing w:line="500" w:lineRule="exact"/>
        <w:ind w:firstLine="560" w:firstLineChars="200"/>
        <w:rPr>
          <w:rFonts w:ascii="宋体" w:hAnsi="宋体"/>
          <w:sz w:val="28"/>
          <w:szCs w:val="28"/>
        </w:rPr>
      </w:pPr>
      <w:r>
        <w:rPr>
          <w:rFonts w:hint="eastAsia" w:ascii="宋体" w:hAnsi="宋体"/>
          <w:sz w:val="28"/>
          <w:szCs w:val="28"/>
        </w:rPr>
        <w:t>④与投标人的法定代表人或者负责人有夫妻、直系血亲、三代以内旁系血亲或者近姻亲关系；</w:t>
      </w:r>
    </w:p>
    <w:p w14:paraId="3A030E54">
      <w:pPr>
        <w:spacing w:line="500" w:lineRule="exact"/>
        <w:ind w:firstLine="560" w:firstLineChars="200"/>
        <w:rPr>
          <w:rFonts w:ascii="宋体" w:hAnsi="宋体"/>
          <w:sz w:val="28"/>
          <w:szCs w:val="28"/>
        </w:rPr>
      </w:pPr>
      <w:r>
        <w:rPr>
          <w:rFonts w:hint="eastAsia" w:ascii="宋体" w:hAnsi="宋体"/>
          <w:sz w:val="28"/>
          <w:szCs w:val="28"/>
        </w:rPr>
        <w:t>⑤参加采购人组织的需求论证或者为采购项目提供整体设计、规范编制或者项目管理等前期咨询工作的；</w:t>
      </w:r>
    </w:p>
    <w:p w14:paraId="083DA044">
      <w:pPr>
        <w:spacing w:line="500" w:lineRule="exact"/>
        <w:ind w:firstLine="560" w:firstLineChars="200"/>
        <w:rPr>
          <w:rFonts w:ascii="宋体" w:hAnsi="宋体"/>
          <w:sz w:val="28"/>
          <w:szCs w:val="28"/>
        </w:rPr>
      </w:pPr>
      <w:r>
        <w:rPr>
          <w:rFonts w:hint="eastAsia" w:ascii="宋体" w:hAnsi="宋体"/>
          <w:sz w:val="28"/>
          <w:szCs w:val="28"/>
        </w:rPr>
        <w:t>投标人认为评标委员会成员与其他投标人有利害关系的，可以向采购代理</w:t>
      </w:r>
      <w:r>
        <w:rPr>
          <w:rFonts w:ascii="宋体" w:hAnsi="宋体"/>
          <w:sz w:val="28"/>
          <w:szCs w:val="28"/>
        </w:rPr>
        <w:t>机构</w:t>
      </w:r>
      <w:r>
        <w:rPr>
          <w:rFonts w:hint="eastAsia" w:ascii="宋体" w:hAnsi="宋体"/>
          <w:sz w:val="28"/>
          <w:szCs w:val="28"/>
        </w:rPr>
        <w:t>书面提出回避申请，并说明理由。情况属实或有本招标文件规定</w:t>
      </w:r>
      <w:r>
        <w:rPr>
          <w:rFonts w:ascii="宋体" w:hAnsi="宋体"/>
          <w:sz w:val="28"/>
          <w:szCs w:val="28"/>
        </w:rPr>
        <w:t>情形</w:t>
      </w:r>
      <w:r>
        <w:rPr>
          <w:rFonts w:hint="eastAsia" w:ascii="宋体" w:hAnsi="宋体"/>
          <w:sz w:val="28"/>
          <w:szCs w:val="28"/>
        </w:rPr>
        <w:t>或法律法律</w:t>
      </w:r>
      <w:r>
        <w:rPr>
          <w:rFonts w:ascii="宋体" w:hAnsi="宋体"/>
          <w:sz w:val="28"/>
          <w:szCs w:val="28"/>
        </w:rPr>
        <w:t>等文件</w:t>
      </w:r>
      <w:r>
        <w:rPr>
          <w:rFonts w:hint="eastAsia" w:ascii="宋体" w:hAnsi="宋体"/>
          <w:sz w:val="28"/>
          <w:szCs w:val="28"/>
        </w:rPr>
        <w:t>规定应当</w:t>
      </w:r>
      <w:r>
        <w:rPr>
          <w:rFonts w:ascii="宋体" w:hAnsi="宋体"/>
          <w:sz w:val="28"/>
          <w:szCs w:val="28"/>
        </w:rPr>
        <w:t>回避</w:t>
      </w:r>
      <w:r>
        <w:rPr>
          <w:rFonts w:hint="eastAsia" w:ascii="宋体" w:hAnsi="宋体"/>
          <w:sz w:val="28"/>
          <w:szCs w:val="28"/>
        </w:rPr>
        <w:t>的被申请人应当回避。</w:t>
      </w:r>
    </w:p>
    <w:p w14:paraId="70CA6D42">
      <w:pPr>
        <w:spacing w:line="500" w:lineRule="exact"/>
        <w:ind w:firstLine="560" w:firstLineChars="200"/>
        <w:rPr>
          <w:rFonts w:ascii="宋体" w:hAnsi="宋体"/>
          <w:sz w:val="28"/>
          <w:szCs w:val="28"/>
        </w:rPr>
      </w:pPr>
      <w:r>
        <w:rPr>
          <w:rFonts w:hint="eastAsia" w:ascii="宋体" w:hAnsi="宋体"/>
          <w:sz w:val="28"/>
          <w:szCs w:val="28"/>
        </w:rPr>
        <w:t>（八</w:t>
      </w:r>
      <w:r>
        <w:rPr>
          <w:rFonts w:ascii="宋体" w:hAnsi="宋体"/>
          <w:sz w:val="28"/>
          <w:szCs w:val="28"/>
        </w:rPr>
        <w:t>）</w:t>
      </w:r>
      <w:r>
        <w:rPr>
          <w:rFonts w:hint="eastAsia" w:ascii="宋体" w:hAnsi="宋体"/>
          <w:sz w:val="28"/>
          <w:szCs w:val="28"/>
        </w:rPr>
        <w:t>评标委员会在评标之前，应由评标委员会民主推选组长。组长由评标专家担任，采购人代表不得担任组长，组长主要负责协调评标成员之间的事务性工作、与采购人代表或采购代理机构交涉相关事宜、</w:t>
      </w:r>
      <w:r>
        <w:rPr>
          <w:rFonts w:hint="eastAsia" w:ascii="宋体" w:hAnsi="宋体"/>
          <w:color w:val="FF0000"/>
          <w:sz w:val="28"/>
          <w:szCs w:val="28"/>
        </w:rPr>
        <w:t>执笔撰写评标报告</w:t>
      </w:r>
      <w:r>
        <w:rPr>
          <w:rFonts w:hint="eastAsia" w:ascii="宋体" w:hAnsi="宋体"/>
          <w:sz w:val="28"/>
          <w:szCs w:val="28"/>
        </w:rPr>
        <w:t>等。组长与其他成员的法定职责、权利和义务相同，且不得影响和干涉其他成员依法独立评标。</w:t>
      </w:r>
    </w:p>
    <w:p w14:paraId="4F5B275F">
      <w:pPr>
        <w:pStyle w:val="4"/>
        <w:spacing w:line="240" w:lineRule="atLeast"/>
        <w:rPr>
          <w:rFonts w:ascii="黑体" w:hAnsi="黑体"/>
        </w:rPr>
      </w:pPr>
      <w:bookmarkStart w:id="939" w:name="_Toc26944"/>
      <w:r>
        <w:rPr>
          <w:rFonts w:hint="eastAsia" w:ascii="黑体" w:hAnsi="黑体"/>
        </w:rPr>
        <w:t>二、评标方法</w:t>
      </w:r>
      <w:bookmarkEnd w:id="939"/>
    </w:p>
    <w:p w14:paraId="6ECC4737">
      <w:pPr>
        <w:spacing w:line="500" w:lineRule="exact"/>
        <w:ind w:firstLine="560" w:firstLineChars="200"/>
        <w:rPr>
          <w:rFonts w:ascii="宋体" w:hAnsi="宋体"/>
          <w:sz w:val="32"/>
          <w:szCs w:val="32"/>
        </w:rPr>
      </w:pPr>
      <w:r>
        <w:rPr>
          <w:rFonts w:hint="eastAsia" w:ascii="宋体" w:hAnsi="宋体"/>
          <w:sz w:val="28"/>
          <w:szCs w:val="28"/>
        </w:rPr>
        <w:t>本项目评标方法为：</w:t>
      </w:r>
      <w:r>
        <w:rPr>
          <w:rFonts w:hint="eastAsia" w:ascii="宋体" w:hAnsi="宋体"/>
          <w:b/>
          <w:color w:val="FF0000"/>
          <w:sz w:val="32"/>
          <w:szCs w:val="32"/>
        </w:rPr>
        <w:t>最低评标价法</w:t>
      </w:r>
      <w:r>
        <w:rPr>
          <w:rFonts w:hint="eastAsia" w:ascii="宋体" w:hAnsi="宋体"/>
          <w:b/>
          <w:sz w:val="32"/>
          <w:szCs w:val="32"/>
        </w:rPr>
        <w:t>。</w:t>
      </w:r>
    </w:p>
    <w:p w14:paraId="1FD551D1">
      <w:pPr>
        <w:pStyle w:val="4"/>
        <w:spacing w:line="240" w:lineRule="atLeast"/>
        <w:rPr>
          <w:rFonts w:ascii="黑体" w:hAnsi="黑体"/>
        </w:rPr>
      </w:pPr>
      <w:bookmarkStart w:id="940" w:name="_Toc10674"/>
      <w:r>
        <w:rPr>
          <w:rFonts w:hint="eastAsia" w:ascii="黑体" w:hAnsi="黑体"/>
        </w:rPr>
        <w:t>三、 评标程序</w:t>
      </w:r>
      <w:bookmarkEnd w:id="938"/>
      <w:bookmarkEnd w:id="940"/>
    </w:p>
    <w:p w14:paraId="244ED50F">
      <w:pPr>
        <w:spacing w:line="500" w:lineRule="exact"/>
        <w:ind w:firstLine="560" w:firstLineChars="200"/>
        <w:rPr>
          <w:rFonts w:ascii="宋体" w:hAnsi="宋体"/>
          <w:sz w:val="28"/>
          <w:szCs w:val="28"/>
        </w:rPr>
      </w:pPr>
      <w:bookmarkStart w:id="941" w:name="_Toc217446103"/>
      <w:bookmarkStart w:id="942" w:name="_Toc217446099"/>
      <w:r>
        <w:rPr>
          <w:rFonts w:hint="eastAsia" w:ascii="宋体" w:hAnsi="宋体"/>
          <w:sz w:val="28"/>
          <w:szCs w:val="28"/>
        </w:rPr>
        <w:t>（一）审查招标文件和停止评标。</w:t>
      </w:r>
    </w:p>
    <w:p w14:paraId="57C0A4DA">
      <w:pPr>
        <w:spacing w:line="500" w:lineRule="exact"/>
        <w:ind w:firstLine="560" w:firstLineChars="200"/>
        <w:rPr>
          <w:rFonts w:ascii="宋体" w:hAnsi="宋体"/>
          <w:sz w:val="28"/>
          <w:szCs w:val="28"/>
        </w:rPr>
      </w:pPr>
      <w:bookmarkStart w:id="943" w:name="OLE_LINK31"/>
      <w:r>
        <w:rPr>
          <w:rFonts w:hint="eastAsia" w:ascii="宋体" w:hAnsi="宋体"/>
          <w:sz w:val="28"/>
          <w:szCs w:val="28"/>
        </w:rPr>
        <w:t>1、评标委员会正式评标前，应当对招标文件进行审查，内容主要包括招标文件中投标人符合性条件要求、采购项目技术、服务和商务要求、评标方法和标准以及政府采购合同主要条款等。</w:t>
      </w:r>
    </w:p>
    <w:bookmarkEnd w:id="943"/>
    <w:p w14:paraId="2B33D57F">
      <w:pPr>
        <w:spacing w:line="500" w:lineRule="exact"/>
        <w:ind w:firstLine="560" w:firstLineChars="200"/>
        <w:rPr>
          <w:rFonts w:ascii="宋体" w:hAnsi="宋体"/>
          <w:sz w:val="28"/>
          <w:szCs w:val="28"/>
        </w:rPr>
      </w:pPr>
      <w:r>
        <w:rPr>
          <w:rFonts w:hint="eastAsia" w:ascii="宋体" w:hAnsi="宋体"/>
          <w:sz w:val="28"/>
          <w:szCs w:val="28"/>
        </w:rPr>
        <w:t>2、招标文件有下列情形之一的，评标委员会应当停止评标：</w:t>
      </w:r>
    </w:p>
    <w:p w14:paraId="0C0B7279">
      <w:pPr>
        <w:spacing w:line="500" w:lineRule="exact"/>
        <w:ind w:firstLine="560" w:firstLineChars="200"/>
        <w:rPr>
          <w:rFonts w:ascii="宋体" w:hAnsi="宋体"/>
          <w:sz w:val="28"/>
          <w:szCs w:val="28"/>
        </w:rPr>
      </w:pPr>
      <w:r>
        <w:rPr>
          <w:rFonts w:hint="eastAsia" w:ascii="宋体" w:hAnsi="宋体"/>
          <w:sz w:val="28"/>
          <w:szCs w:val="28"/>
        </w:rPr>
        <w:t>（1）招标文件的规定存在重大缺陷的；</w:t>
      </w:r>
    </w:p>
    <w:p w14:paraId="029908E0">
      <w:pPr>
        <w:spacing w:line="500" w:lineRule="exact"/>
        <w:ind w:firstLine="560" w:firstLineChars="200"/>
        <w:rPr>
          <w:rFonts w:ascii="宋体" w:hAnsi="宋体"/>
          <w:sz w:val="28"/>
          <w:szCs w:val="28"/>
        </w:rPr>
      </w:pPr>
      <w:r>
        <w:rPr>
          <w:rFonts w:hint="eastAsia" w:ascii="宋体" w:hAnsi="宋体"/>
          <w:sz w:val="28"/>
          <w:szCs w:val="28"/>
        </w:rPr>
        <w:t>（2）招标文件明显以不合理条件对投标人实行差别待遇或者歧视待遇的；</w:t>
      </w:r>
    </w:p>
    <w:p w14:paraId="5A132408">
      <w:pPr>
        <w:spacing w:line="500" w:lineRule="exact"/>
        <w:ind w:firstLine="560" w:firstLineChars="200"/>
        <w:rPr>
          <w:rFonts w:ascii="宋体" w:hAnsi="宋体"/>
          <w:sz w:val="28"/>
          <w:szCs w:val="28"/>
        </w:rPr>
      </w:pPr>
      <w:r>
        <w:rPr>
          <w:rFonts w:hint="eastAsia" w:ascii="宋体" w:hAnsi="宋体"/>
          <w:sz w:val="28"/>
          <w:szCs w:val="28"/>
        </w:rPr>
        <w:t>（3）招标文件规定的评标方法是综合评分法、最低评标价法之外的评标方法，或者虽然名称为综合评分法、最低评标价法，但实际上不符合国家规定；</w:t>
      </w:r>
    </w:p>
    <w:p w14:paraId="4857C9DB">
      <w:pPr>
        <w:spacing w:line="500" w:lineRule="exact"/>
        <w:ind w:firstLine="560" w:firstLineChars="200"/>
        <w:rPr>
          <w:rFonts w:ascii="宋体" w:hAnsi="宋体"/>
          <w:sz w:val="28"/>
          <w:szCs w:val="28"/>
        </w:rPr>
      </w:pPr>
      <w:r>
        <w:rPr>
          <w:rFonts w:hint="eastAsia" w:ascii="宋体" w:hAnsi="宋体"/>
          <w:sz w:val="28"/>
          <w:szCs w:val="28"/>
        </w:rPr>
        <w:t>（4）招标文件将投标人的资格条件列为评分因素的；</w:t>
      </w:r>
    </w:p>
    <w:p w14:paraId="4DE9DD6F">
      <w:pPr>
        <w:spacing w:line="500" w:lineRule="exact"/>
        <w:ind w:firstLine="560" w:firstLineChars="200"/>
        <w:rPr>
          <w:rFonts w:ascii="宋体" w:hAnsi="宋体"/>
          <w:sz w:val="28"/>
          <w:szCs w:val="28"/>
        </w:rPr>
      </w:pPr>
      <w:r>
        <w:rPr>
          <w:rFonts w:hint="eastAsia" w:ascii="宋体" w:hAnsi="宋体"/>
          <w:sz w:val="28"/>
          <w:szCs w:val="28"/>
        </w:rPr>
        <w:t>（5）招标文件有违反国家其他有关强制性规定的情形。</w:t>
      </w:r>
    </w:p>
    <w:p w14:paraId="4068B940">
      <w:pPr>
        <w:spacing w:line="5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、评标过程中有下列情形之一的，评标委员会成员可以停止评标：</w:t>
      </w:r>
    </w:p>
    <w:p w14:paraId="4A86510D">
      <w:pPr>
        <w:spacing w:line="500" w:lineRule="exact"/>
        <w:ind w:firstLine="560" w:firstLineChars="200"/>
        <w:rPr>
          <w:rFonts w:ascii="宋体" w:hAnsi="宋体"/>
          <w:sz w:val="28"/>
          <w:szCs w:val="28"/>
        </w:rPr>
      </w:pPr>
      <w:r>
        <w:rPr>
          <w:rFonts w:hint="eastAsia" w:ascii="宋体" w:hAnsi="宋体"/>
          <w:sz w:val="28"/>
          <w:szCs w:val="28"/>
        </w:rPr>
        <w:t>（1）招标采购单位未提供必要的与采购项目有关的政策制度文件或者采购文件，继续评标将导致违法或者错误评标的；</w:t>
      </w:r>
    </w:p>
    <w:p w14:paraId="51C5DED2">
      <w:pPr>
        <w:spacing w:line="500" w:lineRule="exact"/>
        <w:ind w:firstLine="560" w:firstLineChars="200"/>
        <w:rPr>
          <w:rFonts w:ascii="宋体" w:hAnsi="宋体"/>
          <w:sz w:val="28"/>
          <w:szCs w:val="28"/>
        </w:rPr>
      </w:pPr>
      <w:r>
        <w:rPr>
          <w:rFonts w:hint="eastAsia" w:ascii="宋体" w:hAnsi="宋体"/>
          <w:sz w:val="28"/>
          <w:szCs w:val="28"/>
        </w:rPr>
        <w:t>（2）有关单位和个人非法干预评标委员会依法独立评标的；</w:t>
      </w:r>
    </w:p>
    <w:p w14:paraId="1AA6D910">
      <w:pPr>
        <w:spacing w:line="500" w:lineRule="exact"/>
        <w:ind w:firstLine="560" w:firstLineChars="200"/>
        <w:rPr>
          <w:rFonts w:ascii="宋体" w:hAnsi="宋体"/>
          <w:sz w:val="28"/>
          <w:szCs w:val="28"/>
        </w:rPr>
      </w:pPr>
      <w:r>
        <w:rPr>
          <w:rFonts w:hint="eastAsia" w:ascii="宋体" w:hAnsi="宋体"/>
          <w:sz w:val="28"/>
          <w:szCs w:val="28"/>
        </w:rPr>
        <w:t>（3）其他导致评标委员会无法正常履职的情形。</w:t>
      </w:r>
    </w:p>
    <w:p w14:paraId="6ED9E81A">
      <w:pPr>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、出现本条规定应当停止评标或者可以停止评标情形的，评标委员会成员应当向招标采购单位书面说明情况。除本条规定的情形外，评标委员会成员不得以任何方式和理由停止评标。</w:t>
      </w:r>
    </w:p>
    <w:p w14:paraId="3A79BDF5">
      <w:pPr>
        <w:spacing w:line="500" w:lineRule="exact"/>
        <w:ind w:firstLine="560" w:firstLineChars="200"/>
        <w:rPr>
          <w:rFonts w:ascii="宋体" w:hAnsi="宋体"/>
          <w:sz w:val="28"/>
          <w:szCs w:val="28"/>
        </w:rPr>
      </w:pPr>
      <w:r>
        <w:rPr>
          <w:rFonts w:hint="eastAsia" w:ascii="宋体" w:hAnsi="宋体"/>
          <w:sz w:val="28"/>
          <w:szCs w:val="28"/>
        </w:rPr>
        <w:t>（二）符合性审查。</w:t>
      </w:r>
    </w:p>
    <w:p w14:paraId="6D2F24FB">
      <w:pPr>
        <w:spacing w:line="500" w:lineRule="exact"/>
        <w:ind w:firstLine="560" w:firstLineChars="200"/>
        <w:rPr>
          <w:rFonts w:ascii="宋体" w:hAnsi="宋体"/>
          <w:sz w:val="28"/>
          <w:szCs w:val="28"/>
        </w:rPr>
      </w:pPr>
      <w:bookmarkStart w:id="944" w:name="OLE_LINK33"/>
      <w:bookmarkStart w:id="945" w:name="OLE_LINK32"/>
      <w:r>
        <w:rPr>
          <w:rFonts w:hint="eastAsia" w:ascii="宋体" w:hAnsi="宋体"/>
          <w:sz w:val="28"/>
          <w:szCs w:val="28"/>
        </w:rPr>
        <w:t>1</w:t>
      </w:r>
      <w:bookmarkEnd w:id="944"/>
      <w:bookmarkEnd w:id="945"/>
      <w:r>
        <w:rPr>
          <w:rFonts w:hint="eastAsia" w:ascii="宋体" w:hAnsi="宋体"/>
          <w:sz w:val="28"/>
          <w:szCs w:val="28"/>
        </w:rPr>
        <w:t>、评标委员会依据招标文件的实质性要求，对符合资格的投标文件进行审查，以确定其是否满足招标文件的实质性要求。</w:t>
      </w:r>
    </w:p>
    <w:p w14:paraId="3D033F7C">
      <w:pPr>
        <w:spacing w:line="500" w:lineRule="exact"/>
        <w:ind w:firstLine="560" w:firstLineChars="200"/>
        <w:rPr>
          <w:rFonts w:ascii="宋体"/>
          <w:sz w:val="28"/>
          <w:szCs w:val="28"/>
        </w:rPr>
      </w:pPr>
      <w:r>
        <w:rPr>
          <w:rFonts w:hint="eastAsia" w:ascii="宋体" w:hAnsi="宋体"/>
          <w:sz w:val="28"/>
          <w:szCs w:val="28"/>
        </w:rPr>
        <w:t>2、</w:t>
      </w:r>
      <w:r>
        <w:rPr>
          <w:rFonts w:hint="eastAsia" w:ascii="宋体" w:hAnsi="宋体"/>
          <w:color w:val="auto"/>
          <w:sz w:val="28"/>
          <w:szCs w:val="28"/>
        </w:rPr>
        <w:t>评标委员会对投标文件签署、盖章及其他有关事项进行符合性检查过程中，评判投</w:t>
      </w:r>
      <w:r>
        <w:rPr>
          <w:rFonts w:hint="eastAsia" w:ascii="宋体" w:hAnsi="宋体"/>
          <w:sz w:val="28"/>
          <w:szCs w:val="28"/>
        </w:rPr>
        <w:t>标文件是否满足招标文件的实质性要求，必须以招标文件的明确规定作为依据，否则，不能对投标文件作为无效处理。</w:t>
      </w:r>
    </w:p>
    <w:p w14:paraId="617420FC">
      <w:pPr>
        <w:spacing w:line="500" w:lineRule="exact"/>
        <w:ind w:firstLine="560" w:firstLineChars="200"/>
        <w:rPr>
          <w:rFonts w:ascii="宋体" w:hAnsi="宋体"/>
          <w:sz w:val="28"/>
          <w:szCs w:val="28"/>
        </w:rPr>
      </w:pPr>
      <w:r>
        <w:rPr>
          <w:rFonts w:hint="eastAsia" w:ascii="宋体" w:hAnsi="宋体"/>
          <w:sz w:val="28"/>
          <w:szCs w:val="28"/>
        </w:rPr>
        <w:t>3、除政府采购法律制度规定的情形外，本项目投标人或者其投标文件有下列情形之一的，作为无效处理：</w:t>
      </w:r>
    </w:p>
    <w:p w14:paraId="36AB3141">
      <w:pPr>
        <w:spacing w:line="50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）投标文件组成明显不符合招标文件的规定要求，影响评标委员会评判的；</w:t>
      </w:r>
    </w:p>
    <w:p w14:paraId="4E9A44CC">
      <w:pPr>
        <w:spacing w:line="50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）投标文件的格式、语言、计量单位、报价货币、知识产权、投标有效期等不符合招标文件的规定，影响评标委员会评判的；</w:t>
      </w:r>
    </w:p>
    <w:p w14:paraId="0F4E49AA">
      <w:pPr>
        <w:spacing w:line="500" w:lineRule="exact"/>
        <w:ind w:firstLine="530" w:firstLineChars="200"/>
        <w:rPr>
          <w:rFonts w:ascii="宋体" w:hAnsi="宋体"/>
          <w:w w:val="90"/>
          <w:sz w:val="28"/>
          <w:szCs w:val="28"/>
        </w:rPr>
      </w:pPr>
      <w:r>
        <w:rPr>
          <w:rFonts w:hint="eastAsia" w:ascii="宋体" w:hAnsi="宋体"/>
          <w:spacing w:val="1"/>
          <w:w w:val="94"/>
          <w:kern w:val="0"/>
          <w:sz w:val="28"/>
          <w:szCs w:val="28"/>
          <w:fitText w:val="7812" w:id="345728062"/>
        </w:rPr>
        <w:t>（</w:t>
      </w:r>
      <w:r>
        <w:rPr>
          <w:rFonts w:hint="eastAsia" w:ascii="宋体" w:hAnsi="宋体"/>
          <w:spacing w:val="1"/>
          <w:w w:val="94"/>
          <w:kern w:val="0"/>
          <w:sz w:val="28"/>
          <w:szCs w:val="28"/>
          <w:fitText w:val="7812" w:id="345728062"/>
          <w:lang w:val="en-US" w:eastAsia="zh-CN"/>
        </w:rPr>
        <w:t>3</w:t>
      </w:r>
      <w:r>
        <w:rPr>
          <w:rFonts w:hint="eastAsia" w:ascii="宋体" w:hAnsi="宋体"/>
          <w:spacing w:val="1"/>
          <w:w w:val="94"/>
          <w:kern w:val="0"/>
          <w:sz w:val="28"/>
          <w:szCs w:val="28"/>
          <w:fitText w:val="7812" w:id="345728062"/>
        </w:rPr>
        <w:t>）投标报价不符合招标文件规定的价格标底和其他报价规定的</w:t>
      </w:r>
      <w:r>
        <w:rPr>
          <w:rFonts w:hint="eastAsia" w:ascii="宋体" w:hAnsi="宋体"/>
          <w:spacing w:val="4"/>
          <w:w w:val="94"/>
          <w:kern w:val="0"/>
          <w:sz w:val="28"/>
          <w:szCs w:val="28"/>
          <w:fitText w:val="7812" w:id="345728062"/>
        </w:rPr>
        <w:t>；</w:t>
      </w:r>
    </w:p>
    <w:p w14:paraId="1A058C7D">
      <w:pPr>
        <w:spacing w:line="50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14:paraId="76921499">
      <w:pPr>
        <w:spacing w:line="50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）技术、服务应答内容没有完全响应招标文件的实质性要求的；</w:t>
      </w:r>
    </w:p>
    <w:p w14:paraId="551A152B">
      <w:pPr>
        <w:spacing w:line="50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6</w:t>
      </w:r>
      <w:r>
        <w:rPr>
          <w:rFonts w:hint="eastAsia" w:ascii="宋体" w:hAnsi="宋体"/>
          <w:sz w:val="28"/>
          <w:szCs w:val="28"/>
        </w:rPr>
        <w:t>）招标文件有明确要求，但投标文件未载明或者载明的采购项目履约时间、方式、数量与招标文件要求不一致的。</w:t>
      </w:r>
    </w:p>
    <w:p w14:paraId="54773B82">
      <w:pPr>
        <w:spacing w:line="50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7</w:t>
      </w:r>
      <w:r>
        <w:rPr>
          <w:rFonts w:hint="eastAsia" w:ascii="宋体" w:hAnsi="宋体"/>
          <w:sz w:val="28"/>
          <w:szCs w:val="28"/>
        </w:rPr>
        <w:t>）其他与招标文件要求不符的</w:t>
      </w:r>
    </w:p>
    <w:p w14:paraId="4AFE4DB0">
      <w:pPr>
        <w:spacing w:line="360" w:lineRule="auto"/>
        <w:ind w:firstLine="560" w:firstLineChars="200"/>
        <w:rPr>
          <w:rFonts w:ascii="宋体" w:hAnsi="宋体"/>
          <w:b/>
          <w:sz w:val="24"/>
        </w:rPr>
      </w:pPr>
      <w:r>
        <w:rPr>
          <w:rFonts w:hint="eastAsia" w:ascii="宋体" w:hAnsi="宋体"/>
          <w:sz w:val="28"/>
          <w:szCs w:val="28"/>
        </w:rPr>
        <w:t>（三）比较与评价。</w:t>
      </w:r>
    </w:p>
    <w:p w14:paraId="358706B9">
      <w:pPr>
        <w:spacing w:line="500" w:lineRule="exact"/>
        <w:ind w:firstLine="560" w:firstLineChars="200"/>
        <w:rPr>
          <w:rFonts w:ascii="宋体" w:hAnsi="宋体"/>
          <w:sz w:val="28"/>
          <w:szCs w:val="28"/>
        </w:rPr>
      </w:pPr>
      <w:r>
        <w:rPr>
          <w:rFonts w:hint="eastAsia" w:ascii="宋体" w:hAnsi="宋体"/>
          <w:sz w:val="28"/>
          <w:szCs w:val="28"/>
        </w:rPr>
        <w:t>（1）按招标文件中规定的评标方法和标准，对未作无效处理的投标文件进行技术、服务、商务等方面评估，综合比较与评价。</w:t>
      </w:r>
    </w:p>
    <w:p w14:paraId="0778E42A">
      <w:pPr>
        <w:spacing w:line="500" w:lineRule="exact"/>
        <w:ind w:firstLine="560" w:firstLineChars="200"/>
        <w:rPr>
          <w:rFonts w:ascii="宋体" w:hAnsi="宋体"/>
          <w:sz w:val="28"/>
          <w:szCs w:val="28"/>
        </w:rPr>
      </w:pPr>
      <w:r>
        <w:rPr>
          <w:rFonts w:hint="eastAsia" w:ascii="宋体" w:hAnsi="宋体"/>
          <w:sz w:val="28"/>
          <w:szCs w:val="28"/>
        </w:rPr>
        <w:t>（2）因落实政府采购政策进行价格调整的，以调整后的价格计算评标基准价和投标报价。</w:t>
      </w:r>
    </w:p>
    <w:p w14:paraId="6479BD15">
      <w:pPr>
        <w:spacing w:line="500" w:lineRule="exact"/>
        <w:ind w:firstLine="560" w:firstLineChars="200"/>
        <w:rPr>
          <w:rFonts w:ascii="宋体" w:hAnsi="宋体"/>
          <w:sz w:val="28"/>
          <w:szCs w:val="28"/>
        </w:rPr>
      </w:pPr>
      <w:r>
        <w:rPr>
          <w:rFonts w:hint="eastAsia" w:ascii="宋体" w:hAnsi="宋体"/>
          <w:sz w:val="28"/>
          <w:szCs w:val="28"/>
        </w:rPr>
        <w:t>（四）复核。</w:t>
      </w:r>
    </w:p>
    <w:p w14:paraId="29553900">
      <w:pPr>
        <w:spacing w:line="500" w:lineRule="exact"/>
        <w:ind w:firstLine="560" w:firstLineChars="200"/>
        <w:rPr>
          <w:rFonts w:ascii="宋体" w:hAnsi="宋体"/>
          <w:sz w:val="28"/>
          <w:szCs w:val="28"/>
        </w:rPr>
      </w:pPr>
      <w:r>
        <w:rPr>
          <w:rFonts w:hint="eastAsia" w:ascii="宋体" w:hAnsi="宋体"/>
          <w:sz w:val="28"/>
          <w:szCs w:val="28"/>
        </w:rPr>
        <w:t>评分汇总结束后，评标委员会应当进行复核，特别要对拟推荐为中标候选人的、报价最低的、投标文件被认定为无效的进行重点复核，并填写《评审结果复核情况表》。</w:t>
      </w:r>
    </w:p>
    <w:p w14:paraId="252F3031">
      <w:pPr>
        <w:spacing w:line="500" w:lineRule="exact"/>
        <w:ind w:firstLine="560" w:firstLineChars="200"/>
        <w:rPr>
          <w:rFonts w:ascii="宋体" w:hAnsi="宋体"/>
          <w:sz w:val="28"/>
          <w:szCs w:val="28"/>
        </w:rPr>
      </w:pPr>
      <w:r>
        <w:rPr>
          <w:rFonts w:hint="eastAsia" w:ascii="宋体" w:hAnsi="宋体"/>
          <w:sz w:val="28"/>
          <w:szCs w:val="28"/>
        </w:rPr>
        <w:t>（五）推荐中标候选人。</w:t>
      </w:r>
    </w:p>
    <w:p w14:paraId="4D2577E2">
      <w:pPr>
        <w:spacing w:line="500" w:lineRule="exact"/>
        <w:ind w:firstLine="560" w:firstLineChars="200"/>
        <w:rPr>
          <w:rFonts w:ascii="宋体" w:hAnsi="宋体"/>
          <w:color w:val="FF0000"/>
          <w:sz w:val="28"/>
          <w:szCs w:val="28"/>
        </w:rPr>
      </w:pPr>
      <w:r>
        <w:rPr>
          <w:rFonts w:hint="eastAsia" w:ascii="宋体" w:hAnsi="宋体"/>
          <w:sz w:val="28"/>
          <w:szCs w:val="28"/>
        </w:rPr>
        <w:t>中标候选人数量应当根据招标文件的规定确定，但必须按顺序排列中标候选人。</w:t>
      </w:r>
      <w:r>
        <w:rPr>
          <w:rFonts w:hint="eastAsia" w:ascii="宋体" w:hAnsi="宋体"/>
          <w:color w:val="FF0000"/>
          <w:sz w:val="28"/>
          <w:szCs w:val="28"/>
        </w:rPr>
        <w:t>采用最低评标价法的，评标结果按投标报价由低到高顺序排列。投标报价相同的并列。投标文件满足招标文件全部实质性要求且投标报价最低的投标人为中标候选人。采用综合评分法的，评标结果按评标后得分由高到低顺序排列。得分相同的，按投标报价由低到高顺序排列。得分且投标报价相同的并列。投标文件满足招标文件全部实质性要求且按照评标因素的量化指标评标得分最高的投标人为中标候选人。</w:t>
      </w:r>
    </w:p>
    <w:p w14:paraId="1D638AB3">
      <w:pPr>
        <w:spacing w:line="500" w:lineRule="exact"/>
        <w:ind w:firstLine="560" w:firstLineChars="200"/>
        <w:rPr>
          <w:rFonts w:ascii="宋体" w:hAnsi="宋体"/>
          <w:sz w:val="28"/>
          <w:szCs w:val="28"/>
        </w:rPr>
      </w:pPr>
      <w:r>
        <w:rPr>
          <w:rFonts w:hint="eastAsia" w:ascii="宋体" w:hAnsi="宋体"/>
          <w:sz w:val="28"/>
          <w:szCs w:val="28"/>
        </w:rPr>
        <w:t>（六）出具评标报告。评标委员会推荐中标候选人后，应当向招标采购单位出具评标报告。评标委员会成员应当在评标报告中签字确认，对评标过程和结果有不同意见的，应当在评标报告中写明并说明理由。签字但不写明不同意见或者不说明理由的，视同无意见。拒不签字又不另行书面说明其不同意见和理由的，视同同意评标结果。</w:t>
      </w:r>
    </w:p>
    <w:p w14:paraId="5DD87703">
      <w:pPr>
        <w:spacing w:line="500" w:lineRule="exact"/>
        <w:ind w:firstLine="560" w:firstLineChars="200"/>
        <w:rPr>
          <w:rFonts w:ascii="宋体" w:hAnsi="宋体"/>
          <w:sz w:val="28"/>
          <w:szCs w:val="28"/>
        </w:rPr>
      </w:pPr>
      <w:r>
        <w:rPr>
          <w:rFonts w:hint="eastAsia" w:ascii="宋体" w:hAnsi="宋体"/>
          <w:sz w:val="28"/>
          <w:szCs w:val="28"/>
        </w:rPr>
        <w:t>（七）评标争议处理规则。评标委员会成员在评标过程中，对于符合性检查、对投标人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14:paraId="55CFD9D4">
      <w:pPr>
        <w:spacing w:line="500" w:lineRule="exact"/>
        <w:ind w:firstLine="560" w:firstLineChars="200"/>
        <w:rPr>
          <w:rFonts w:ascii="宋体" w:hAnsi="宋体"/>
          <w:sz w:val="28"/>
          <w:szCs w:val="28"/>
        </w:rPr>
      </w:pPr>
      <w:r>
        <w:rPr>
          <w:rFonts w:hint="eastAsia" w:ascii="宋体" w:hAnsi="宋体"/>
          <w:sz w:val="28"/>
          <w:szCs w:val="28"/>
        </w:rPr>
        <w:t>（八）澄清、说明或者纠正。</w:t>
      </w:r>
    </w:p>
    <w:p w14:paraId="352281D0">
      <w:pPr>
        <w:spacing w:line="500" w:lineRule="exact"/>
        <w:ind w:firstLine="560" w:firstLineChars="200"/>
        <w:rPr>
          <w:rFonts w:ascii="宋体" w:hAnsi="宋体"/>
          <w:sz w:val="28"/>
          <w:szCs w:val="28"/>
        </w:rPr>
      </w:pPr>
      <w:r>
        <w:rPr>
          <w:rFonts w:hint="eastAsia" w:ascii="宋体" w:hAnsi="宋体"/>
          <w:sz w:val="28"/>
          <w:szCs w:val="28"/>
        </w:rPr>
        <w:t>1、在评标过程中，评标委员会对投标文件中含义不明确、同类问题表述不一致或者有明显文字和计算错误的内容，应当以书面形式（须由评标委员会全体成员签字）要求投标人作出必要的书面澄清、说明或者纠正，并给予投标人必要的反馈时间。</w:t>
      </w:r>
    </w:p>
    <w:p w14:paraId="2DE9EE6E">
      <w:pPr>
        <w:spacing w:line="500" w:lineRule="exact"/>
        <w:ind w:firstLine="560" w:firstLineChars="200"/>
        <w:rPr>
          <w:rFonts w:ascii="宋体" w:hAnsi="宋体"/>
          <w:sz w:val="28"/>
          <w:szCs w:val="28"/>
        </w:rPr>
      </w:pPr>
      <w:r>
        <w:rPr>
          <w:rFonts w:hint="eastAsia" w:ascii="宋体" w:hAnsi="宋体"/>
          <w:sz w:val="28"/>
          <w:szCs w:val="28"/>
        </w:rPr>
        <w:t>2、投标人应当书面澄清、说明或者纠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纠正不影响投标文件的效力，有效的澄清、说明或者纠正材料，是投标文件的组成部分。</w:t>
      </w:r>
    </w:p>
    <w:p w14:paraId="16BD3DB1">
      <w:pPr>
        <w:spacing w:line="500" w:lineRule="exact"/>
        <w:ind w:firstLine="560" w:firstLineChars="200"/>
        <w:rPr>
          <w:rFonts w:ascii="宋体" w:hAnsi="宋体"/>
          <w:sz w:val="28"/>
          <w:szCs w:val="28"/>
        </w:rPr>
      </w:pPr>
      <w:r>
        <w:rPr>
          <w:rFonts w:hint="eastAsia" w:ascii="宋体" w:hAnsi="宋体"/>
          <w:sz w:val="28"/>
          <w:szCs w:val="28"/>
        </w:rPr>
        <w:t>3、澄清、说明或者纠正应当具备投标文件基本符合采购文件要求、不超出招标文件的范围、不实质改变投标文件的内容、不影响投标人公平竞争。本项目下列内容不得澄清：</w:t>
      </w:r>
    </w:p>
    <w:p w14:paraId="4C423FB4">
      <w:pPr>
        <w:spacing w:line="500" w:lineRule="exact"/>
        <w:ind w:firstLine="560" w:firstLineChars="200"/>
        <w:rPr>
          <w:rFonts w:ascii="宋体" w:hAnsi="宋体"/>
          <w:sz w:val="28"/>
          <w:szCs w:val="28"/>
        </w:rPr>
      </w:pPr>
      <w:r>
        <w:rPr>
          <w:rFonts w:hint="eastAsia" w:ascii="宋体" w:hAnsi="宋体"/>
          <w:sz w:val="28"/>
          <w:szCs w:val="28"/>
        </w:rPr>
        <w:t>（1）开标时未宣读的投标价格、价格折扣和招标文件允许提供的备选投标方案等实质内容；</w:t>
      </w:r>
    </w:p>
    <w:p w14:paraId="540CF3AA">
      <w:pPr>
        <w:spacing w:line="500" w:lineRule="exact"/>
        <w:ind w:firstLine="560" w:firstLineChars="200"/>
        <w:rPr>
          <w:rFonts w:ascii="宋体" w:hAnsi="宋体"/>
          <w:sz w:val="28"/>
          <w:szCs w:val="28"/>
        </w:rPr>
      </w:pPr>
      <w:r>
        <w:rPr>
          <w:rFonts w:hint="eastAsia" w:ascii="宋体" w:hAnsi="宋体"/>
          <w:sz w:val="28"/>
          <w:szCs w:val="28"/>
        </w:rPr>
        <w:t>（2）投标人投标文件中不响应招标文件规定的技术参数指标和商务应答；</w:t>
      </w:r>
    </w:p>
    <w:p w14:paraId="49031AF9">
      <w:pPr>
        <w:spacing w:line="500" w:lineRule="exact"/>
        <w:ind w:firstLine="560" w:firstLineChars="200"/>
        <w:rPr>
          <w:rFonts w:ascii="宋体" w:hAnsi="宋体"/>
          <w:sz w:val="28"/>
          <w:szCs w:val="28"/>
        </w:rPr>
      </w:pPr>
      <w:r>
        <w:rPr>
          <w:rFonts w:hint="eastAsia" w:ascii="宋体" w:hAnsi="宋体"/>
          <w:sz w:val="28"/>
          <w:szCs w:val="28"/>
        </w:rPr>
        <w:t>（3）投标人投标文件中未提供的证明其是否符合招标文件资格性、符合性规定要求的相关材料。</w:t>
      </w:r>
    </w:p>
    <w:p w14:paraId="7EE7D2F6">
      <w:pPr>
        <w:spacing w:line="500" w:lineRule="exact"/>
        <w:ind w:firstLine="560" w:firstLineChars="200"/>
        <w:rPr>
          <w:rFonts w:ascii="宋体" w:hAnsi="宋体"/>
          <w:sz w:val="28"/>
          <w:szCs w:val="28"/>
        </w:rPr>
      </w:pPr>
      <w:r>
        <w:rPr>
          <w:rFonts w:hint="eastAsia" w:ascii="宋体" w:hAnsi="宋体"/>
          <w:sz w:val="28"/>
          <w:szCs w:val="28"/>
        </w:rPr>
        <w:t>4、本项目采购过程中，投标文件出现下列情况的，不需要投标人澄清、说明或者纠正，按照以下原则处理：</w:t>
      </w:r>
    </w:p>
    <w:p w14:paraId="273481AC">
      <w:pPr>
        <w:spacing w:line="500" w:lineRule="exact"/>
        <w:ind w:firstLine="560" w:firstLineChars="200"/>
        <w:rPr>
          <w:rFonts w:ascii="宋体" w:hAnsi="宋体"/>
          <w:sz w:val="28"/>
          <w:szCs w:val="28"/>
        </w:rPr>
      </w:pPr>
      <w:r>
        <w:rPr>
          <w:rFonts w:hint="eastAsia" w:ascii="宋体" w:hAnsi="宋体"/>
          <w:sz w:val="28"/>
          <w:szCs w:val="28"/>
        </w:rPr>
        <w:t>（1）投标文件的大写金额和小写金额不一致的，以大写金额为准，但大写金额出现文字错误，导致金额无法判断的除外；</w:t>
      </w:r>
    </w:p>
    <w:p w14:paraId="12F59EC5">
      <w:pPr>
        <w:spacing w:line="500" w:lineRule="exact"/>
        <w:ind w:firstLine="560" w:firstLineChars="200"/>
        <w:rPr>
          <w:rFonts w:ascii="宋体" w:hAnsi="宋体"/>
          <w:sz w:val="28"/>
          <w:szCs w:val="28"/>
        </w:rPr>
      </w:pPr>
      <w:r>
        <w:rPr>
          <w:rFonts w:hint="eastAsia" w:ascii="宋体" w:hAnsi="宋体"/>
          <w:sz w:val="28"/>
          <w:szCs w:val="28"/>
        </w:rPr>
        <w:t>（2）总价金额与按单价汇总金额不一致的，以单价汇总金额计算结果为准，但是单价金额出现计算错误、明显人为工作失误的除外；</w:t>
      </w:r>
    </w:p>
    <w:p w14:paraId="63E7DD95">
      <w:pPr>
        <w:spacing w:line="500" w:lineRule="exact"/>
        <w:ind w:firstLine="560" w:firstLineChars="200"/>
        <w:rPr>
          <w:rFonts w:ascii="宋体" w:hAnsi="宋体"/>
          <w:sz w:val="28"/>
          <w:szCs w:val="28"/>
        </w:rPr>
      </w:pPr>
      <w:r>
        <w:rPr>
          <w:rFonts w:hint="eastAsia" w:ascii="宋体" w:hAnsi="宋体"/>
          <w:sz w:val="28"/>
          <w:szCs w:val="28"/>
        </w:rPr>
        <w:t>（3）单价金额小数点有明显错位的，应以总价为准，并修改单价；</w:t>
      </w:r>
    </w:p>
    <w:p w14:paraId="505478A4">
      <w:pPr>
        <w:spacing w:line="500" w:lineRule="exact"/>
        <w:ind w:firstLine="560" w:firstLineChars="200"/>
        <w:rPr>
          <w:rFonts w:ascii="宋体" w:hAnsi="宋体"/>
          <w:sz w:val="28"/>
          <w:szCs w:val="28"/>
        </w:rPr>
      </w:pPr>
      <w:r>
        <w:rPr>
          <w:rFonts w:hint="eastAsia" w:ascii="宋体" w:hAnsi="宋体"/>
          <w:sz w:val="28"/>
          <w:szCs w:val="28"/>
        </w:rPr>
        <w:t>（4）对不同语言文本投标文件的解释发生异议的，以中文文本为准。</w:t>
      </w:r>
    </w:p>
    <w:p w14:paraId="44234CC6">
      <w:pPr>
        <w:spacing w:line="500" w:lineRule="exact"/>
        <w:ind w:firstLine="560" w:firstLineChars="200"/>
        <w:rPr>
          <w:rFonts w:ascii="宋体" w:hAnsi="宋体"/>
          <w:sz w:val="28"/>
          <w:szCs w:val="28"/>
        </w:rPr>
      </w:pPr>
      <w:r>
        <w:rPr>
          <w:rFonts w:hint="eastAsia" w:ascii="宋体" w:hAnsi="宋体"/>
          <w:sz w:val="28"/>
          <w:szCs w:val="28"/>
        </w:rPr>
        <w:t>出现本条第（2）项规定情形，单价汇总金额比总价金额高，且超过政府采购预算或者本项目最高限价的，投标人投标文件应作为无效处理；单价汇总金额比总价金额高，但未超过政府采购预算或者本项目最高限价的，应以单价汇总金额作为价格评分依据。</w:t>
      </w:r>
    </w:p>
    <w:p w14:paraId="06D74D06">
      <w:pPr>
        <w:spacing w:line="500" w:lineRule="exact"/>
        <w:ind w:firstLine="562" w:firstLineChars="200"/>
        <w:rPr>
          <w:rFonts w:ascii="宋体" w:hAnsi="宋体"/>
          <w:b/>
          <w:sz w:val="28"/>
          <w:szCs w:val="28"/>
        </w:rPr>
      </w:pPr>
      <w:r>
        <w:rPr>
          <w:rFonts w:hint="eastAsia" w:ascii="宋体" w:hAnsi="宋体"/>
          <w:b/>
          <w:sz w:val="28"/>
          <w:szCs w:val="28"/>
        </w:rPr>
        <w:t>注：评标委员会成员应当积极履行澄清、说明或者纠正的职责，不得将应当澄清、说明或者纠正的投标文件作无效处理。</w:t>
      </w:r>
    </w:p>
    <w:p w14:paraId="0D7D8916">
      <w:pPr>
        <w:spacing w:line="500" w:lineRule="exact"/>
        <w:ind w:firstLine="560" w:firstLineChars="200"/>
        <w:rPr>
          <w:rFonts w:ascii="宋体" w:hAnsi="宋体"/>
          <w:sz w:val="28"/>
          <w:szCs w:val="28"/>
        </w:rPr>
      </w:pPr>
      <w:r>
        <w:rPr>
          <w:rFonts w:hint="eastAsia" w:ascii="宋体" w:hAnsi="宋体"/>
          <w:sz w:val="28"/>
          <w:szCs w:val="28"/>
        </w:rPr>
        <w:t>（九）不正当</w:t>
      </w:r>
      <w:r>
        <w:rPr>
          <w:rFonts w:ascii="宋体" w:hAnsi="宋体"/>
          <w:sz w:val="28"/>
          <w:szCs w:val="28"/>
        </w:rPr>
        <w:t>竞争</w:t>
      </w:r>
      <w:r>
        <w:rPr>
          <w:rFonts w:hint="eastAsia" w:ascii="宋体" w:hAnsi="宋体"/>
          <w:sz w:val="28"/>
          <w:szCs w:val="28"/>
        </w:rPr>
        <w:t>预防措施</w:t>
      </w:r>
    </w:p>
    <w:p w14:paraId="3DBE9DA6">
      <w:pPr>
        <w:autoSpaceDE w:val="0"/>
        <w:autoSpaceDN w:val="0"/>
        <w:adjustRightIn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w:t>
      </w:r>
      <w:r>
        <w:rPr>
          <w:rFonts w:hint="eastAsia" w:ascii="宋体" w:hAnsi="宋体" w:cs="宋体"/>
          <w:kern w:val="0"/>
          <w:sz w:val="28"/>
          <w:szCs w:val="28"/>
        </w:rPr>
        <w:t>在评审过程中，</w:t>
      </w:r>
      <w:r>
        <w:rPr>
          <w:rFonts w:hint="eastAsia" w:ascii="宋体" w:hAnsi="宋体"/>
          <w:sz w:val="28"/>
          <w:szCs w:val="28"/>
        </w:rPr>
        <w:t>投标人</w:t>
      </w:r>
      <w:r>
        <w:rPr>
          <w:rFonts w:hint="eastAsia" w:ascii="宋体" w:hAnsi="宋体" w:cs="宋体"/>
          <w:kern w:val="0"/>
          <w:sz w:val="28"/>
          <w:szCs w:val="28"/>
        </w:rPr>
        <w:t>报价低于采购预算50%或者低于其他有效</w:t>
      </w:r>
      <w:r>
        <w:rPr>
          <w:rFonts w:hint="eastAsia" w:ascii="宋体" w:hAnsi="宋体"/>
          <w:sz w:val="28"/>
          <w:szCs w:val="28"/>
        </w:rPr>
        <w:t>投标人</w:t>
      </w:r>
      <w:r>
        <w:rPr>
          <w:rFonts w:hint="eastAsia" w:ascii="宋体" w:hAnsi="宋体" w:cs="宋体"/>
          <w:kern w:val="0"/>
          <w:sz w:val="28"/>
          <w:szCs w:val="28"/>
        </w:rPr>
        <w:t>报价算术平均价40%，</w:t>
      </w:r>
      <w:r>
        <w:rPr>
          <w:rFonts w:hint="eastAsia" w:ascii="宋体" w:hAnsi="宋体"/>
          <w:sz w:val="28"/>
          <w:szCs w:val="28"/>
        </w:rPr>
        <w:t>投标人</w:t>
      </w:r>
      <w:r>
        <w:rPr>
          <w:rFonts w:hint="eastAsia" w:ascii="宋体" w:hAnsi="宋体" w:cs="宋体"/>
          <w:kern w:val="0"/>
          <w:sz w:val="28"/>
          <w:szCs w:val="28"/>
        </w:rPr>
        <w:t>应现场提供成本构成书面说明，并提交相关证明材料。书面说明应当按照国家财务会计制度的规定要求，逐项就</w:t>
      </w:r>
      <w:r>
        <w:rPr>
          <w:rFonts w:hint="eastAsia" w:ascii="宋体" w:hAnsi="宋体"/>
          <w:sz w:val="28"/>
          <w:szCs w:val="28"/>
        </w:rPr>
        <w:t>投标人</w:t>
      </w:r>
      <w:r>
        <w:rPr>
          <w:rFonts w:hint="eastAsia" w:ascii="宋体" w:hAnsi="宋体" w:cs="宋体"/>
          <w:kern w:val="0"/>
          <w:sz w:val="28"/>
          <w:szCs w:val="28"/>
        </w:rPr>
        <w:t>提供的货物主营业务成本、税金及附加、销售费用、管理费用、财务费用等成本构成事项详细陈述。</w:t>
      </w:r>
    </w:p>
    <w:p w14:paraId="6DCBCEF0">
      <w:pPr>
        <w:autoSpaceDE w:val="0"/>
        <w:autoSpaceDN w:val="0"/>
        <w:adjustRightIn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2</w:t>
      </w:r>
      <w:r>
        <w:rPr>
          <w:rFonts w:ascii="宋体" w:hAnsi="宋体" w:cs="宋体"/>
          <w:kern w:val="0"/>
          <w:sz w:val="28"/>
          <w:szCs w:val="28"/>
        </w:rPr>
        <w:t>、</w:t>
      </w:r>
      <w:r>
        <w:rPr>
          <w:rFonts w:hint="eastAsia" w:ascii="宋体" w:hAnsi="宋体"/>
          <w:sz w:val="28"/>
          <w:szCs w:val="28"/>
        </w:rPr>
        <w:t>投标人</w:t>
      </w:r>
      <w:r>
        <w:rPr>
          <w:rFonts w:hint="eastAsia" w:ascii="宋体" w:hAnsi="宋体" w:cs="宋体"/>
          <w:kern w:val="0"/>
          <w:sz w:val="28"/>
          <w:szCs w:val="28"/>
        </w:rPr>
        <w:t>书面说明应当签字确认或者加盖公章，否则无效。</w:t>
      </w:r>
    </w:p>
    <w:p w14:paraId="796FF185">
      <w:pPr>
        <w:spacing w:line="500" w:lineRule="exact"/>
        <w:ind w:firstLine="560" w:firstLineChars="200"/>
        <w:rPr>
          <w:rFonts w:ascii="宋体" w:hAnsi="宋体"/>
          <w:sz w:val="28"/>
          <w:szCs w:val="28"/>
        </w:rPr>
      </w:pPr>
      <w:r>
        <w:rPr>
          <w:rFonts w:hint="eastAsia" w:ascii="宋体" w:hAnsi="宋体" w:cs="宋体"/>
          <w:kern w:val="0"/>
          <w:sz w:val="28"/>
          <w:szCs w:val="28"/>
        </w:rPr>
        <w:t>3</w:t>
      </w:r>
      <w:r>
        <w:rPr>
          <w:rFonts w:ascii="宋体" w:hAnsi="宋体" w:cs="宋体"/>
          <w:kern w:val="0"/>
          <w:sz w:val="28"/>
          <w:szCs w:val="28"/>
        </w:rPr>
        <w:t>、</w:t>
      </w:r>
      <w:r>
        <w:rPr>
          <w:rFonts w:hint="eastAsia" w:ascii="宋体" w:hAnsi="宋体"/>
          <w:sz w:val="28"/>
          <w:szCs w:val="28"/>
        </w:rPr>
        <w:t>投标人</w:t>
      </w:r>
      <w:r>
        <w:rPr>
          <w:rFonts w:hint="eastAsia" w:ascii="宋体" w:hAnsi="宋体" w:cs="宋体"/>
          <w:kern w:val="0"/>
          <w:sz w:val="28"/>
          <w:szCs w:val="28"/>
        </w:rPr>
        <w:t>现场提供书面说明后，评标委员会应当结合招标项目招标需求、专业实际情况、</w:t>
      </w:r>
      <w:r>
        <w:rPr>
          <w:rFonts w:hint="eastAsia" w:ascii="宋体" w:hAnsi="宋体"/>
          <w:sz w:val="28"/>
          <w:szCs w:val="28"/>
        </w:rPr>
        <w:t>投标人</w:t>
      </w:r>
      <w:r>
        <w:rPr>
          <w:rFonts w:hint="eastAsia" w:ascii="宋体" w:hAnsi="宋体" w:cs="宋体"/>
          <w:kern w:val="0"/>
          <w:sz w:val="28"/>
          <w:szCs w:val="28"/>
        </w:rPr>
        <w:t>财务状况报告、与其他</w:t>
      </w:r>
      <w:r>
        <w:rPr>
          <w:rFonts w:hint="eastAsia" w:ascii="宋体" w:hAnsi="宋体"/>
          <w:sz w:val="28"/>
          <w:szCs w:val="28"/>
        </w:rPr>
        <w:t>投标人</w:t>
      </w:r>
      <w:r>
        <w:rPr>
          <w:rFonts w:hint="eastAsia" w:ascii="宋体" w:hAnsi="宋体" w:cs="宋体"/>
          <w:kern w:val="0"/>
          <w:sz w:val="28"/>
          <w:szCs w:val="28"/>
        </w:rPr>
        <w:t>比较情况等就</w:t>
      </w:r>
      <w:r>
        <w:rPr>
          <w:rFonts w:hint="eastAsia" w:ascii="宋体" w:hAnsi="宋体"/>
          <w:sz w:val="28"/>
          <w:szCs w:val="28"/>
        </w:rPr>
        <w:t>投标人</w:t>
      </w:r>
      <w:r>
        <w:rPr>
          <w:rFonts w:hint="eastAsia" w:ascii="宋体" w:hAnsi="宋体" w:cs="宋体"/>
          <w:kern w:val="0"/>
          <w:sz w:val="28"/>
          <w:szCs w:val="28"/>
        </w:rPr>
        <w:t>书面说明进行审查评价。</w:t>
      </w:r>
      <w:r>
        <w:rPr>
          <w:rFonts w:hint="eastAsia" w:ascii="宋体" w:hAnsi="宋体"/>
          <w:sz w:val="28"/>
          <w:szCs w:val="28"/>
        </w:rPr>
        <w:t>投标人</w:t>
      </w:r>
      <w:r>
        <w:rPr>
          <w:rFonts w:hint="eastAsia" w:ascii="宋体" w:hAnsi="宋体" w:cs="宋体"/>
          <w:kern w:val="0"/>
          <w:sz w:val="28"/>
          <w:szCs w:val="28"/>
        </w:rPr>
        <w:t>拒绝或者变相拒绝提供有效书面说明或者书面说明不能证明其报价合理性的，评标委员会应当将其投标文件作为无效投标处理。</w:t>
      </w:r>
    </w:p>
    <w:p w14:paraId="08859EF5">
      <w:pPr>
        <w:pStyle w:val="4"/>
        <w:spacing w:line="240" w:lineRule="atLeast"/>
        <w:rPr>
          <w:rFonts w:ascii="黑体" w:hAnsi="黑体"/>
        </w:rPr>
      </w:pPr>
      <w:bookmarkStart w:id="946" w:name="_Toc21340"/>
      <w:r>
        <w:rPr>
          <w:rFonts w:hint="eastAsia" w:ascii="黑体" w:hAnsi="黑体"/>
        </w:rPr>
        <w:t>四、</w:t>
      </w:r>
      <w:bookmarkEnd w:id="941"/>
      <w:bookmarkStart w:id="947" w:name="_Toc472517938"/>
      <w:bookmarkStart w:id="948" w:name="_Toc217446060"/>
      <w:r>
        <w:rPr>
          <w:rFonts w:hint="eastAsia" w:ascii="黑体" w:hAnsi="黑体"/>
        </w:rPr>
        <w:t>废 标</w:t>
      </w:r>
      <w:bookmarkEnd w:id="946"/>
      <w:bookmarkEnd w:id="947"/>
    </w:p>
    <w:p w14:paraId="1E4AC3A0">
      <w:pPr>
        <w:spacing w:line="500" w:lineRule="exact"/>
        <w:ind w:firstLine="560" w:firstLineChars="200"/>
        <w:rPr>
          <w:rFonts w:ascii="宋体" w:hAnsi="宋体"/>
          <w:sz w:val="28"/>
          <w:szCs w:val="28"/>
        </w:rPr>
      </w:pPr>
      <w:r>
        <w:rPr>
          <w:rFonts w:hint="eastAsia" w:ascii="宋体" w:hAnsi="宋体"/>
          <w:sz w:val="28"/>
          <w:szCs w:val="28"/>
        </w:rPr>
        <w:t>本次政府采购活动中，出现政府采购有关法律规定废标情形的，由评标委员会作出废标决定。</w:t>
      </w:r>
    </w:p>
    <w:p w14:paraId="6F864ADE">
      <w:pPr>
        <w:pStyle w:val="4"/>
        <w:spacing w:line="240" w:lineRule="atLeast"/>
        <w:rPr>
          <w:rFonts w:ascii="黑体" w:hAnsi="黑体"/>
        </w:rPr>
      </w:pPr>
      <w:bookmarkStart w:id="949" w:name="_Toc30865"/>
      <w:r>
        <w:rPr>
          <w:rFonts w:hint="eastAsia" w:ascii="黑体" w:hAnsi="黑体"/>
          <w:lang w:val="en-US" w:eastAsia="zh-CN"/>
        </w:rPr>
        <w:t>五</w:t>
      </w:r>
      <w:r>
        <w:rPr>
          <w:rFonts w:hint="eastAsia" w:ascii="黑体" w:hAnsi="黑体"/>
        </w:rPr>
        <w:t>、定标</w:t>
      </w:r>
      <w:bookmarkEnd w:id="949"/>
    </w:p>
    <w:p w14:paraId="3F5D9A9F">
      <w:pPr>
        <w:spacing w:line="5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定标原则：本项目根据评委会推荐的中标候选人名单，按顺序确定中标人。</w:t>
      </w:r>
    </w:p>
    <w:p w14:paraId="2AF47B4A">
      <w:pPr>
        <w:spacing w:line="500" w:lineRule="exact"/>
        <w:ind w:firstLine="560" w:firstLineChars="200"/>
        <w:rPr>
          <w:rFonts w:ascii="宋体" w:hAnsi="宋体"/>
          <w:sz w:val="28"/>
          <w:szCs w:val="28"/>
        </w:rPr>
      </w:pPr>
      <w:r>
        <w:rPr>
          <w:rFonts w:hint="eastAsia" w:ascii="宋体" w:hAnsi="宋体"/>
          <w:sz w:val="28"/>
          <w:szCs w:val="28"/>
        </w:rPr>
        <w:t>（二）定标程序</w:t>
      </w:r>
    </w:p>
    <w:p w14:paraId="48C6F82D">
      <w:pPr>
        <w:spacing w:line="5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 评委会将评标情况写出书面报告，推荐3名中标候选人，按照综合得分高低标明排列顺序。综合得分相同的，按投标报价由低到高顺序排列。得分且投标报价相同的，按技术指标优劣顺序排列。</w:t>
      </w:r>
    </w:p>
    <w:p w14:paraId="6A2B5429">
      <w:pPr>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、评委会按照采购人的委托，现场确定中标人，并由采购人代表现场确认。</w:t>
      </w:r>
    </w:p>
    <w:p w14:paraId="6E794D47">
      <w:pPr>
        <w:spacing w:line="5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、中标人确定后，招标人2个工作日内在发布招标公告的相同</w:t>
      </w:r>
      <w:r>
        <w:rPr>
          <w:rFonts w:hint="eastAsia"/>
          <w:highlight w:val="yellow"/>
        </w:rPr>
        <w:t>网站</w:t>
      </w:r>
      <w:r>
        <w:rPr>
          <w:rFonts w:hint="eastAsia" w:ascii="宋体" w:hAnsi="宋体"/>
          <w:sz w:val="28"/>
          <w:szCs w:val="28"/>
        </w:rPr>
        <w:t>上发布中标公告，公告期1天，并向中标人发出中标通知书。</w:t>
      </w:r>
    </w:p>
    <w:p w14:paraId="6D8D9781">
      <w:pPr>
        <w:spacing w:line="500" w:lineRule="exact"/>
        <w:ind w:firstLine="560" w:firstLineChars="200"/>
        <w:rPr>
          <w:rFonts w:ascii="宋体" w:hAnsi="宋体"/>
          <w:sz w:val="28"/>
          <w:szCs w:val="28"/>
        </w:rPr>
      </w:pPr>
      <w:r>
        <w:rPr>
          <w:rFonts w:hint="eastAsia" w:ascii="宋体" w:hAnsi="宋体"/>
          <w:sz w:val="28"/>
          <w:szCs w:val="28"/>
        </w:rPr>
        <w:t>4、招标采购单位不退回投标人投标文件和其他投标资料。</w:t>
      </w:r>
      <w:bookmarkEnd w:id="942"/>
      <w:bookmarkEnd w:id="948"/>
    </w:p>
    <w:p w14:paraId="360F38E8">
      <w:pPr>
        <w:pStyle w:val="54"/>
        <w:rPr>
          <w:rFonts w:ascii="黑体" w:hAnsi="黑体" w:eastAsia="黑体"/>
          <w:sz w:val="44"/>
          <w:szCs w:val="44"/>
        </w:rPr>
      </w:pPr>
      <w:bookmarkStart w:id="950" w:name="_Toc14536"/>
      <w:r>
        <w:rPr>
          <w:rFonts w:hint="eastAsia" w:ascii="黑体" w:hAnsi="黑体" w:eastAsia="黑体"/>
          <w:sz w:val="44"/>
          <w:szCs w:val="44"/>
        </w:rPr>
        <w:t>第七章  合同主要条款</w:t>
      </w:r>
      <w:bookmarkEnd w:id="950"/>
    </w:p>
    <w:p w14:paraId="4890690E">
      <w:pPr>
        <w:spacing w:line="500" w:lineRule="exact"/>
        <w:rPr>
          <w:rFonts w:ascii="宋体" w:hAnsi="宋体"/>
          <w:sz w:val="24"/>
        </w:rPr>
      </w:pPr>
    </w:p>
    <w:p w14:paraId="42483EE2">
      <w:pPr>
        <w:pStyle w:val="2"/>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D2AE448">
      <w:pPr>
        <w:pStyle w:val="2"/>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6421198">
      <w:pPr>
        <w:rPr>
          <w:rFonts w:ascii="宋体" w:hAnsi="宋体" w:cs="宋体"/>
          <w:b/>
          <w:bCs/>
          <w:spacing w:val="-20"/>
          <w:kern w:val="44"/>
          <w:sz w:val="40"/>
          <w:szCs w:val="40"/>
        </w:rPr>
      </w:pPr>
    </w:p>
    <w:p w14:paraId="5A8A83B0">
      <w:pPr>
        <w:rPr>
          <w:rFonts w:ascii="宋体" w:hAnsi="宋体" w:cs="宋体"/>
          <w:b/>
          <w:bCs/>
          <w:spacing w:val="-20"/>
          <w:kern w:val="44"/>
          <w:sz w:val="40"/>
          <w:szCs w:val="40"/>
        </w:rPr>
      </w:pPr>
    </w:p>
    <w:p w14:paraId="221942AA">
      <w:pPr>
        <w:rPr>
          <w:rFonts w:ascii="宋体" w:hAnsi="宋体" w:cs="宋体"/>
          <w:b/>
          <w:bCs/>
          <w:spacing w:val="-20"/>
          <w:kern w:val="44"/>
          <w:sz w:val="40"/>
          <w:szCs w:val="40"/>
        </w:rPr>
      </w:pPr>
    </w:p>
    <w:p w14:paraId="500C6011">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7E47D2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1F5B173B">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0149A053">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B062566">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7666915"/>
    <w:p w14:paraId="6C8F608D">
      <w:pPr>
        <w:rPr>
          <w:rFonts w:eastAsia="黑体"/>
          <w:sz w:val="44"/>
          <w:szCs w:val="44"/>
        </w:rPr>
      </w:pPr>
      <w:r>
        <w:rPr>
          <w:rFonts w:eastAsia="黑体"/>
          <w:sz w:val="44"/>
          <w:szCs w:val="44"/>
        </w:rPr>
        <w:br w:type="page"/>
      </w:r>
    </w:p>
    <w:p w14:paraId="24DF59C0">
      <w:pPr>
        <w:rPr>
          <w:rFonts w:eastAsia="黑体"/>
          <w:sz w:val="44"/>
          <w:szCs w:val="44"/>
        </w:rPr>
      </w:pPr>
    </w:p>
    <w:p w14:paraId="53347C81">
      <w:pPr>
        <w:rPr>
          <w:rFonts w:eastAsia="黑体"/>
          <w:sz w:val="44"/>
          <w:szCs w:val="44"/>
        </w:rPr>
      </w:pPr>
    </w:p>
    <w:p w14:paraId="5989A603">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BA7156C">
      <w:pPr>
        <w:ind w:firstLine="640" w:firstLineChars="200"/>
        <w:rPr>
          <w:rFonts w:hint="eastAsia" w:ascii="仿宋_GB2312" w:hAnsi="仿宋_GB2312" w:eastAsia="仿宋_GB2312" w:cs="仿宋_GB2312"/>
          <w:sz w:val="32"/>
          <w:szCs w:val="32"/>
          <w:lang w:val="en-US" w:eastAsia="zh-CN"/>
        </w:rPr>
      </w:pPr>
    </w:p>
    <w:p w14:paraId="7463CDC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00BCB9E9">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52C1C50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9099F9B">
      <w:pPr>
        <w:ind w:firstLine="880" w:firstLineChars="200"/>
        <w:jc w:val="both"/>
        <w:rPr>
          <w:rFonts w:eastAsia="黑体"/>
          <w:sz w:val="44"/>
          <w:szCs w:val="4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CE1A8B6">
      <w:pPr>
        <w:pStyle w:val="4"/>
        <w:adjustRightInd w:val="0"/>
        <w:snapToGrid w:val="0"/>
        <w:spacing w:beforeLines="0" w:line="400" w:lineRule="exact"/>
        <w:jc w:val="center"/>
        <w:rPr>
          <w:rFonts w:hint="eastAsia" w:ascii="黑体" w:hAnsi="黑体" w:eastAsia="黑体"/>
          <w:sz w:val="28"/>
          <w:szCs w:val="28"/>
        </w:rPr>
      </w:pPr>
      <w:bookmarkStart w:id="951" w:name="_Toc22209"/>
    </w:p>
    <w:p w14:paraId="110B6152">
      <w:pPr>
        <w:pStyle w:val="4"/>
        <w:adjustRightInd w:val="0"/>
        <w:snapToGrid w:val="0"/>
        <w:spacing w:beforeLines="0" w:line="400" w:lineRule="exact"/>
        <w:jc w:val="center"/>
        <w:rPr>
          <w:rFonts w:hint="eastAsia" w:ascii="黑体" w:hAnsi="华文中宋" w:eastAsia="黑体"/>
          <w:b w:val="0"/>
          <w:bCs w:val="0"/>
          <w:sz w:val="28"/>
          <w:szCs w:val="28"/>
        </w:rPr>
      </w:pPr>
      <w:bookmarkStart w:id="952" w:name="_Toc25932"/>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951"/>
      <w:bookmarkEnd w:id="952"/>
    </w:p>
    <w:p w14:paraId="16D79D39">
      <w:pPr>
        <w:pStyle w:val="4"/>
        <w:adjustRightInd w:val="0"/>
        <w:snapToGrid w:val="0"/>
        <w:spacing w:beforeLines="0" w:line="400" w:lineRule="exact"/>
        <w:jc w:val="center"/>
        <w:rPr>
          <w:rFonts w:hint="eastAsia" w:ascii="黑体" w:hAnsi="华文中宋" w:eastAsia="黑体"/>
          <w:b w:val="0"/>
          <w:bCs w:val="0"/>
          <w:sz w:val="28"/>
          <w:szCs w:val="28"/>
        </w:rPr>
      </w:pPr>
    </w:p>
    <w:p w14:paraId="1EAFCA1E">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59C78FD9">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75E10BE">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554FE3AB">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3D211F6F">
      <w:pPr>
        <w:spacing w:beforeLines="0" w:line="400" w:lineRule="exact"/>
        <w:rPr>
          <w:rFonts w:hint="default" w:eastAsia="宋体"/>
          <w:lang w:val="en-US" w:eastAsia="zh-CN"/>
        </w:rPr>
      </w:pPr>
    </w:p>
    <w:p w14:paraId="5928327F">
      <w:pPr>
        <w:pStyle w:val="2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1CF0EE74">
      <w:pPr>
        <w:numPr>
          <w:ilvl w:val="0"/>
          <w:numId w:val="2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4B5E0042">
      <w:pPr>
        <w:pStyle w:val="23"/>
        <w:numPr>
          <w:ilvl w:val="0"/>
          <w:numId w:val="28"/>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489F10EC">
      <w:pPr>
        <w:pStyle w:val="2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29FAA60">
      <w:pPr>
        <w:pStyle w:val="2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2F6F0BB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E2AC012">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3230B2F2">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30CBA7C">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C8F117B">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2F00E52">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6367F761">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9787996">
      <w:pPr>
        <w:pStyle w:val="7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F965758">
      <w:pPr>
        <w:pStyle w:val="7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50F92F50">
      <w:pPr>
        <w:pStyle w:val="7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11BEDFD">
      <w:pPr>
        <w:pStyle w:val="7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B8C82F3">
      <w:pPr>
        <w:pStyle w:val="7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55FAECF3">
      <w:pPr>
        <w:pStyle w:val="7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593A35DD">
      <w:pPr>
        <w:pStyle w:val="7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42A508AC">
      <w:pPr>
        <w:pStyle w:val="7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3388CA88">
      <w:pPr>
        <w:pStyle w:val="7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099B0111">
      <w:pPr>
        <w:pStyle w:val="7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2E95B4B7">
      <w:pPr>
        <w:pStyle w:val="76"/>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47E25E7F">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CFC3E14">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4670C4F">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D68B5B">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3888C5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9752210">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828D72B">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267B0C47">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E11D953">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490D2CD1">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3453CF1">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6E09069">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44B0ADCB">
      <w:pPr>
        <w:pStyle w:val="7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8539CED">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61E6A8C0">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3EB0E843">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72930B0">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51798A2D">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37C059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2B960B4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C5EC09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E08173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5A104C3C">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B0C71E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30F3AB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4ADD032">
      <w:pPr>
        <w:pStyle w:val="7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0F1811FA">
      <w:pPr>
        <w:pStyle w:val="76"/>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50AE8A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0EA0C39">
      <w:pPr>
        <w:pStyle w:val="76"/>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0E521C0D">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5A79BC60">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AA765B7">
      <w:pPr>
        <w:numPr>
          <w:ilvl w:val="0"/>
          <w:numId w:val="27"/>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2B5F5C5">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023E954">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3A8718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A292CD1">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F7F0CD0">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0C2FB1F">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C113675">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0E5A6510">
      <w:pPr>
        <w:pStyle w:val="501"/>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4E6E1ECC">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CF23F62">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4B2F5B3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41DF4959">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47F8C7D">
      <w:pPr>
        <w:numPr>
          <w:ilvl w:val="0"/>
          <w:numId w:val="27"/>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7BB60B07">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A78641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4E9EA0C">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8CB911D">
      <w:pPr>
        <w:pStyle w:val="76"/>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4B03BDA6">
      <w:pPr>
        <w:pStyle w:val="76"/>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23980EF2">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299651A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755E210D">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1C135382">
      <w:pPr>
        <w:numPr>
          <w:ilvl w:val="0"/>
          <w:numId w:val="27"/>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5028726C">
      <w:pPr>
        <w:numPr>
          <w:ilvl w:val="0"/>
          <w:numId w:val="29"/>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77464478">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53442FF1">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EBF0BC5">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333952D">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37890F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1A60F4">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595888FF">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21EAC8E8">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2CDED3B2">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A8277EB">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14F678A9">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762D0C4">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34C7C12F">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BDD13AA">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61DEE89E">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917B3F8">
      <w:pPr>
        <w:pStyle w:val="76"/>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6A0D76E">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46200DD3">
      <w:pPr>
        <w:numPr>
          <w:ilvl w:val="0"/>
          <w:numId w:val="2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314A75F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5C2D2BE2">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0421A04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2036AF6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5590273">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32FEA8E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582C5598">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26D53CB">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79EA53EA">
      <w:pPr>
        <w:pStyle w:val="7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5BDC37FE">
      <w:pPr>
        <w:numPr>
          <w:ilvl w:val="0"/>
          <w:numId w:val="2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7C0F6D35">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4C40B1C4">
      <w:pPr>
        <w:numPr>
          <w:ilvl w:val="0"/>
          <w:numId w:val="27"/>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02B1B04F">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81036F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94E2DDD">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E64B281">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69E1BC80">
      <w:pPr>
        <w:pStyle w:val="501"/>
        <w:spacing w:beforeLines="0" w:line="400" w:lineRule="exact"/>
      </w:pPr>
    </w:p>
    <w:p w14:paraId="5535297C">
      <w:pPr>
        <w:pStyle w:val="4"/>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FC96503">
      <w:pPr>
        <w:rPr>
          <w:rFonts w:hint="eastAsia"/>
        </w:rPr>
      </w:pPr>
      <w:r>
        <w:rPr>
          <w:rFonts w:hint="eastAsia"/>
        </w:rPr>
        <w:br w:type="page"/>
      </w:r>
    </w:p>
    <w:p w14:paraId="34FA284F">
      <w:pPr>
        <w:pStyle w:val="501"/>
        <w:rPr>
          <w:rFonts w:hint="eastAsia"/>
        </w:rPr>
      </w:pPr>
    </w:p>
    <w:tbl>
      <w:tblPr>
        <w:tblStyle w:val="5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04AB6C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572B736">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5BD15297">
            <w:pPr>
              <w:adjustRightInd w:val="0"/>
              <w:snapToGrid w:val="0"/>
              <w:spacing w:line="300" w:lineRule="exact"/>
              <w:jc w:val="center"/>
            </w:pPr>
            <w:r>
              <w:rPr>
                <w:szCs w:val="21"/>
              </w:rPr>
              <w:t>乙方</w:t>
            </w:r>
            <w:r>
              <w:rPr>
                <w:rFonts w:hint="eastAsia"/>
                <w:szCs w:val="21"/>
              </w:rPr>
              <w:t>（供应商）</w:t>
            </w:r>
          </w:p>
        </w:tc>
      </w:tr>
      <w:tr w14:paraId="5ABF24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C7BE0FD">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5AC6BE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3BAD4B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1FDF0793">
            <w:pPr>
              <w:adjustRightInd w:val="0"/>
              <w:snapToGrid w:val="0"/>
              <w:spacing w:line="300" w:lineRule="exact"/>
              <w:jc w:val="center"/>
              <w:rPr>
                <w:spacing w:val="20"/>
                <w:szCs w:val="21"/>
              </w:rPr>
            </w:pPr>
          </w:p>
        </w:tc>
      </w:tr>
      <w:tr w14:paraId="37CA70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6EB926C">
            <w:pPr>
              <w:adjustRightInd w:val="0"/>
              <w:snapToGrid w:val="0"/>
              <w:spacing w:line="300" w:lineRule="exact"/>
              <w:jc w:val="center"/>
              <w:rPr>
                <w:szCs w:val="21"/>
              </w:rPr>
            </w:pPr>
            <w:r>
              <w:rPr>
                <w:szCs w:val="21"/>
              </w:rPr>
              <w:t>法定代表人</w:t>
            </w:r>
          </w:p>
          <w:p w14:paraId="7E9AC16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491F3CE3">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02910BB5">
            <w:pPr>
              <w:adjustRightInd w:val="0"/>
              <w:snapToGrid w:val="0"/>
              <w:spacing w:line="300" w:lineRule="exact"/>
              <w:jc w:val="center"/>
              <w:rPr>
                <w:szCs w:val="21"/>
              </w:rPr>
            </w:pPr>
            <w:r>
              <w:rPr>
                <w:szCs w:val="21"/>
              </w:rPr>
              <w:t>法定代表人</w:t>
            </w:r>
          </w:p>
          <w:p w14:paraId="30F9DF19">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684FB9F9">
            <w:pPr>
              <w:adjustRightInd w:val="0"/>
              <w:snapToGrid w:val="0"/>
              <w:spacing w:line="300" w:lineRule="exact"/>
              <w:jc w:val="center"/>
              <w:rPr>
                <w:szCs w:val="21"/>
              </w:rPr>
            </w:pPr>
          </w:p>
        </w:tc>
      </w:tr>
      <w:tr w14:paraId="416F2B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EEA4559">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BB3328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387624">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1662600D">
            <w:pPr>
              <w:adjustRightInd w:val="0"/>
              <w:snapToGrid w:val="0"/>
              <w:spacing w:line="300" w:lineRule="exact"/>
              <w:jc w:val="center"/>
              <w:rPr>
                <w:spacing w:val="20"/>
                <w:szCs w:val="21"/>
              </w:rPr>
            </w:pPr>
          </w:p>
        </w:tc>
      </w:tr>
      <w:tr w14:paraId="23211D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A13A9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96735E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BA2DD2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1A20449C">
            <w:pPr>
              <w:adjustRightInd w:val="0"/>
              <w:snapToGrid w:val="0"/>
              <w:spacing w:line="300" w:lineRule="exact"/>
              <w:jc w:val="center"/>
              <w:rPr>
                <w:spacing w:val="20"/>
                <w:szCs w:val="21"/>
              </w:rPr>
            </w:pPr>
          </w:p>
        </w:tc>
      </w:tr>
      <w:tr w14:paraId="5349CF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D4A39A1">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6A844E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DEF864A">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012C71C7">
            <w:pPr>
              <w:adjustRightInd w:val="0"/>
              <w:snapToGrid w:val="0"/>
              <w:spacing w:line="300" w:lineRule="exact"/>
              <w:jc w:val="center"/>
              <w:rPr>
                <w:spacing w:val="20"/>
                <w:szCs w:val="21"/>
              </w:rPr>
            </w:pPr>
          </w:p>
        </w:tc>
      </w:tr>
      <w:tr w14:paraId="1F84A6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602DB11">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230DB3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1F1EB89">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C2E1B74">
            <w:pPr>
              <w:adjustRightInd w:val="0"/>
              <w:snapToGrid w:val="0"/>
              <w:spacing w:line="300" w:lineRule="exact"/>
              <w:jc w:val="center"/>
              <w:rPr>
                <w:spacing w:val="20"/>
                <w:szCs w:val="21"/>
              </w:rPr>
            </w:pPr>
          </w:p>
        </w:tc>
      </w:tr>
      <w:tr w14:paraId="0D97730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624EF6">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2776EA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A5B4018">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E6AC58B">
            <w:pPr>
              <w:adjustRightInd w:val="0"/>
              <w:snapToGrid w:val="0"/>
              <w:spacing w:line="300" w:lineRule="exact"/>
              <w:jc w:val="center"/>
              <w:rPr>
                <w:spacing w:val="20"/>
                <w:szCs w:val="21"/>
              </w:rPr>
            </w:pPr>
          </w:p>
        </w:tc>
      </w:tr>
      <w:tr w14:paraId="4EF4B0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F995F7">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80ADAC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C26177C">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076ECD1C">
            <w:pPr>
              <w:adjustRightInd w:val="0"/>
              <w:snapToGrid w:val="0"/>
              <w:spacing w:line="300" w:lineRule="exact"/>
              <w:jc w:val="center"/>
              <w:rPr>
                <w:spacing w:val="20"/>
                <w:szCs w:val="21"/>
              </w:rPr>
            </w:pPr>
          </w:p>
        </w:tc>
      </w:tr>
      <w:tr w14:paraId="60BACF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09D7E98">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361033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C3AD06">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5B453581">
            <w:pPr>
              <w:adjustRightInd w:val="0"/>
              <w:snapToGrid w:val="0"/>
              <w:spacing w:line="300" w:lineRule="exact"/>
              <w:jc w:val="center"/>
              <w:rPr>
                <w:spacing w:val="20"/>
                <w:szCs w:val="21"/>
              </w:rPr>
            </w:pPr>
          </w:p>
        </w:tc>
      </w:tr>
      <w:tr w14:paraId="220239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60BA0D">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017BC3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0A73922">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4BED4004">
            <w:pPr>
              <w:adjustRightInd w:val="0"/>
              <w:snapToGrid w:val="0"/>
              <w:spacing w:line="300" w:lineRule="exact"/>
              <w:jc w:val="center"/>
              <w:rPr>
                <w:spacing w:val="20"/>
                <w:szCs w:val="21"/>
              </w:rPr>
            </w:pPr>
          </w:p>
        </w:tc>
      </w:tr>
      <w:tr w14:paraId="7D7CDC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B3E8151">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25DA5A4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4C19614">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454362A8">
            <w:pPr>
              <w:adjustRightInd w:val="0"/>
              <w:snapToGrid w:val="0"/>
              <w:spacing w:line="300" w:lineRule="exact"/>
              <w:jc w:val="center"/>
              <w:rPr>
                <w:spacing w:val="20"/>
                <w:szCs w:val="21"/>
              </w:rPr>
            </w:pPr>
          </w:p>
        </w:tc>
      </w:tr>
      <w:tr w14:paraId="45C917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467B99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CF1B54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936244">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BA97860">
            <w:pPr>
              <w:adjustRightInd w:val="0"/>
              <w:snapToGrid w:val="0"/>
              <w:spacing w:line="300" w:lineRule="exact"/>
              <w:jc w:val="center"/>
              <w:rPr>
                <w:spacing w:val="20"/>
                <w:szCs w:val="21"/>
              </w:rPr>
            </w:pPr>
          </w:p>
        </w:tc>
      </w:tr>
      <w:tr w14:paraId="4A4406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F213176">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45672A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E62A7B">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6DD131E5">
            <w:pPr>
              <w:adjustRightInd w:val="0"/>
              <w:snapToGrid w:val="0"/>
              <w:spacing w:line="300" w:lineRule="exact"/>
              <w:jc w:val="center"/>
              <w:rPr>
                <w:spacing w:val="20"/>
                <w:szCs w:val="21"/>
              </w:rPr>
            </w:pPr>
          </w:p>
        </w:tc>
      </w:tr>
      <w:tr w14:paraId="6951D1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A430B9C">
            <w:pPr>
              <w:pStyle w:val="23"/>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C31B8B8">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953" w:name="_Toc25140"/>
      <w:bookmarkStart w:id="954" w:name="_Toc27624"/>
      <w:r>
        <w:rPr>
          <w:rFonts w:hint="eastAsia" w:ascii="黑体" w:hAnsi="黑体" w:eastAsia="黑体"/>
          <w:b w:val="0"/>
          <w:bCs w:val="0"/>
          <w:sz w:val="28"/>
          <w:szCs w:val="28"/>
        </w:rPr>
        <w:t>第二节 政府采购合同通用条款</w:t>
      </w:r>
      <w:bookmarkEnd w:id="953"/>
      <w:bookmarkEnd w:id="954"/>
    </w:p>
    <w:p w14:paraId="41FFF3B0">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8ED68D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3B1871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EC777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9937B4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4465D654">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0FD9FFE">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E00B2D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F0091CE">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61A569DB">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73F59C89">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2B4AA75E">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E85D2E8">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F5FBBDB">
      <w:pPr>
        <w:numPr>
          <w:ilvl w:val="0"/>
          <w:numId w:val="30"/>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E67539B">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7C64BA7">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5649524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47BF9D9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72DE26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CA2050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594D1B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7684BC6">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991C69B">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91D4E0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3AD6122">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52DE1CE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70F199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062D7DA">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7D16B32B">
      <w:pPr>
        <w:pStyle w:val="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16D289E2">
      <w:pPr>
        <w:numPr>
          <w:ilvl w:val="0"/>
          <w:numId w:val="31"/>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185B405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62815D1B">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7A1EDD5">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BC38E9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07898D70">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5FE5F1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0938300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6A1189C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1E0CAFDD">
      <w:pPr>
        <w:pStyle w:val="76"/>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3116D530">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45B3754">
      <w:pPr>
        <w:pStyle w:val="28"/>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19C264D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61BBE823">
      <w:pPr>
        <w:pStyle w:val="28"/>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1E4C8ED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7FCFB67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EBBDD3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3601FA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E8994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D0738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4E2D1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777CF3E6">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8A2C28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D8A0CB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864F76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0C0BF5A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588577C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085A74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955"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955"/>
      <w:r>
        <w:rPr>
          <w:rFonts w:hint="eastAsia" w:ascii="宋体" w:hAnsi="宋体"/>
          <w:color w:val="auto"/>
          <w:szCs w:val="21"/>
          <w:highlight w:val="none"/>
        </w:rPr>
        <w:t>。</w:t>
      </w:r>
    </w:p>
    <w:p w14:paraId="546E794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E137F6D">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19D7F9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1930798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F4ECD42">
      <w:pPr>
        <w:pStyle w:val="4"/>
        <w:spacing w:line="400" w:lineRule="exact"/>
        <w:ind w:firstLine="420" w:firstLineChars="200"/>
        <w:rPr>
          <w:rFonts w:hint="eastAsia" w:eastAsia="宋体"/>
          <w:color w:val="auto"/>
          <w:highlight w:val="none"/>
          <w:lang w:eastAsia="zh-CN"/>
        </w:rPr>
      </w:pPr>
      <w:bookmarkStart w:id="956" w:name="_Toc18003"/>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bookmarkEnd w:id="956"/>
    </w:p>
    <w:p w14:paraId="20E26521">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C8CD54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3029958">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8B4840B">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76C3F48">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058A5B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26D45F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1A3503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A8FAD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716989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304E23A6">
      <w:pPr>
        <w:pStyle w:val="7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B15D8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708BE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21B3FE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2DD2AEE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DDDE95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0132C608">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EF5B9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20616AB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1F3A0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F34A1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0E0E42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C9AF55C">
      <w:pPr>
        <w:numPr>
          <w:ilvl w:val="0"/>
          <w:numId w:val="32"/>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6E4264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BBFDA7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509B16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961BB7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CD39F3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2C45E8D">
      <w:pPr>
        <w:pStyle w:val="76"/>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5CE2CE9E">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41415B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4E14BA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BF0AA3F">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A0F8754">
      <w:pPr>
        <w:pStyle w:val="7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7158497">
      <w:pPr>
        <w:pStyle w:val="76"/>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AE1302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383D1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03558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FD8B1B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07A3EC8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30D2D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1E393F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C4BD32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70DFF8C">
      <w:pPr>
        <w:pStyle w:val="7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56CD5320">
      <w:pPr>
        <w:pStyle w:val="7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18486B0">
      <w:pPr>
        <w:pStyle w:val="7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4BD304E">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66B580C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F9C57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65637C71">
      <w:pPr>
        <w:pStyle w:val="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06F8F3E">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A976D29">
      <w:pPr>
        <w:pStyle w:val="7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5CF1EDA">
      <w:pPr>
        <w:pStyle w:val="7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4FDB0DC7">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606C35F">
      <w:pPr>
        <w:pStyle w:val="7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10E6144A">
      <w:pPr>
        <w:pStyle w:val="76"/>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27663E9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AAD642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52A46485">
      <w:pPr>
        <w:numPr>
          <w:ilvl w:val="0"/>
          <w:numId w:val="33"/>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C04160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D59C345">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957" w:name="_Toc20313"/>
    </w:p>
    <w:p w14:paraId="6468C729">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5ECEA1F">
      <w:pPr>
        <w:pStyle w:val="4"/>
        <w:adjustRightInd w:val="0"/>
        <w:snapToGrid w:val="0"/>
        <w:jc w:val="center"/>
        <w:rPr>
          <w:rFonts w:ascii="黑体" w:hAnsi="华文中宋" w:eastAsia="黑体"/>
          <w:b w:val="0"/>
          <w:bCs w:val="0"/>
          <w:sz w:val="28"/>
          <w:szCs w:val="28"/>
        </w:rPr>
      </w:pPr>
      <w:bookmarkStart w:id="958" w:name="_Toc8927"/>
      <w:r>
        <w:rPr>
          <w:rFonts w:hint="eastAsia" w:ascii="黑体" w:hAnsi="华文中宋" w:eastAsia="黑体"/>
          <w:b w:val="0"/>
          <w:bCs w:val="0"/>
          <w:sz w:val="28"/>
          <w:szCs w:val="28"/>
        </w:rPr>
        <w:t>第三节 政府采购合同专用条款</w:t>
      </w:r>
      <w:bookmarkEnd w:id="957"/>
      <w:bookmarkEnd w:id="958"/>
    </w:p>
    <w:tbl>
      <w:tblPr>
        <w:tblStyle w:val="5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BE70A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EA6929">
            <w:pPr>
              <w:adjustRightInd w:val="0"/>
              <w:snapToGrid w:val="0"/>
              <w:jc w:val="center"/>
              <w:rPr>
                <w:rFonts w:ascii="宋体" w:hAnsi="宋体"/>
                <w:szCs w:val="21"/>
              </w:rPr>
            </w:pPr>
            <w:r>
              <w:rPr>
                <w:rFonts w:hint="eastAsia" w:ascii="宋体" w:hAnsi="宋体"/>
                <w:szCs w:val="21"/>
              </w:rPr>
              <w:t>第二节</w:t>
            </w:r>
          </w:p>
          <w:p w14:paraId="1C0C35B3">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405F3BD">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4C4645CB">
            <w:pPr>
              <w:adjustRightInd w:val="0"/>
              <w:snapToGrid w:val="0"/>
              <w:jc w:val="left"/>
              <w:rPr>
                <w:rFonts w:ascii="宋体" w:hAnsi="宋体"/>
                <w:szCs w:val="21"/>
              </w:rPr>
            </w:pPr>
          </w:p>
        </w:tc>
      </w:tr>
      <w:tr w14:paraId="03560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1C476B9">
            <w:pPr>
              <w:adjustRightInd w:val="0"/>
              <w:snapToGrid w:val="0"/>
              <w:jc w:val="center"/>
              <w:rPr>
                <w:rFonts w:ascii="宋体" w:hAnsi="宋体"/>
                <w:szCs w:val="21"/>
              </w:rPr>
            </w:pPr>
            <w:r>
              <w:rPr>
                <w:rFonts w:hint="eastAsia" w:ascii="宋体" w:hAnsi="宋体"/>
                <w:szCs w:val="21"/>
              </w:rPr>
              <w:t>第二节</w:t>
            </w:r>
          </w:p>
          <w:p w14:paraId="21D5AF7C">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5101AE8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49303512">
            <w:pPr>
              <w:adjustRightInd w:val="0"/>
              <w:snapToGrid w:val="0"/>
              <w:jc w:val="left"/>
              <w:rPr>
                <w:rFonts w:ascii="宋体" w:hAnsi="宋体" w:eastAsia="宋体" w:cs="Times New Roman"/>
                <w:kern w:val="2"/>
                <w:sz w:val="21"/>
                <w:szCs w:val="21"/>
                <w:lang w:val="en-US" w:eastAsia="zh-CN" w:bidi="ar-SA"/>
              </w:rPr>
            </w:pPr>
          </w:p>
        </w:tc>
      </w:tr>
      <w:tr w14:paraId="0C956F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A135B4">
            <w:pPr>
              <w:adjustRightInd w:val="0"/>
              <w:snapToGrid w:val="0"/>
              <w:jc w:val="center"/>
              <w:rPr>
                <w:rFonts w:ascii="宋体" w:hAnsi="宋体"/>
                <w:szCs w:val="21"/>
              </w:rPr>
            </w:pPr>
            <w:r>
              <w:rPr>
                <w:rFonts w:hint="eastAsia" w:ascii="宋体" w:hAnsi="宋体"/>
                <w:szCs w:val="21"/>
              </w:rPr>
              <w:t>第二节</w:t>
            </w:r>
          </w:p>
          <w:p w14:paraId="18E63EC0">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317AF729">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BCEFBE3">
            <w:pPr>
              <w:adjustRightInd w:val="0"/>
              <w:snapToGrid w:val="0"/>
              <w:jc w:val="left"/>
              <w:rPr>
                <w:rFonts w:ascii="宋体" w:hAnsi="宋体" w:eastAsia="宋体" w:cs="Times New Roman"/>
                <w:kern w:val="2"/>
                <w:sz w:val="21"/>
                <w:szCs w:val="21"/>
                <w:lang w:val="en-US" w:eastAsia="zh-CN" w:bidi="ar-SA"/>
              </w:rPr>
            </w:pPr>
          </w:p>
        </w:tc>
      </w:tr>
      <w:tr w14:paraId="4F8634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86E8CD">
            <w:pPr>
              <w:adjustRightInd w:val="0"/>
              <w:snapToGrid w:val="0"/>
              <w:jc w:val="center"/>
              <w:rPr>
                <w:rFonts w:ascii="宋体" w:hAnsi="宋体"/>
                <w:szCs w:val="21"/>
              </w:rPr>
            </w:pPr>
            <w:r>
              <w:rPr>
                <w:rFonts w:hint="eastAsia" w:ascii="宋体" w:hAnsi="宋体"/>
                <w:szCs w:val="21"/>
              </w:rPr>
              <w:t>第二节</w:t>
            </w:r>
          </w:p>
          <w:p w14:paraId="51179DE4">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0E7B390F">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067D93D1">
            <w:pPr>
              <w:adjustRightInd w:val="0"/>
              <w:snapToGrid w:val="0"/>
              <w:jc w:val="left"/>
              <w:rPr>
                <w:rFonts w:ascii="宋体" w:hAnsi="宋体" w:eastAsia="宋体" w:cs="Times New Roman"/>
                <w:kern w:val="2"/>
                <w:sz w:val="21"/>
                <w:szCs w:val="21"/>
                <w:lang w:val="en-US" w:eastAsia="zh-CN" w:bidi="ar-SA"/>
              </w:rPr>
            </w:pPr>
          </w:p>
        </w:tc>
      </w:tr>
      <w:tr w14:paraId="0DBCCF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C7A795">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31C1DB8">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F83FF0C">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5AB44584">
            <w:pPr>
              <w:adjustRightInd w:val="0"/>
              <w:snapToGrid w:val="0"/>
              <w:jc w:val="left"/>
              <w:rPr>
                <w:rFonts w:ascii="宋体" w:hAnsi="宋体" w:eastAsia="宋体" w:cs="Times New Roman"/>
                <w:kern w:val="2"/>
                <w:sz w:val="21"/>
                <w:szCs w:val="21"/>
                <w:lang w:val="en-US" w:eastAsia="zh-CN" w:bidi="ar-SA"/>
              </w:rPr>
            </w:pPr>
          </w:p>
        </w:tc>
      </w:tr>
      <w:tr w14:paraId="0EFC73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5560A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60DC408">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6CA87027">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724C12FA">
            <w:pPr>
              <w:adjustRightInd w:val="0"/>
              <w:snapToGrid w:val="0"/>
              <w:jc w:val="left"/>
              <w:rPr>
                <w:rFonts w:ascii="宋体" w:hAnsi="宋体" w:eastAsia="宋体" w:cs="Times New Roman"/>
                <w:kern w:val="2"/>
                <w:sz w:val="21"/>
                <w:szCs w:val="21"/>
                <w:lang w:val="en-US" w:eastAsia="zh-CN" w:bidi="ar-SA"/>
              </w:rPr>
            </w:pPr>
          </w:p>
        </w:tc>
      </w:tr>
      <w:tr w14:paraId="0B580A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A43686F">
            <w:pPr>
              <w:adjustRightInd w:val="0"/>
              <w:snapToGrid w:val="0"/>
              <w:jc w:val="center"/>
              <w:rPr>
                <w:rFonts w:ascii="宋体" w:hAnsi="宋体"/>
                <w:szCs w:val="21"/>
              </w:rPr>
            </w:pPr>
            <w:r>
              <w:rPr>
                <w:rFonts w:hint="eastAsia" w:ascii="宋体" w:hAnsi="宋体"/>
                <w:szCs w:val="21"/>
              </w:rPr>
              <w:t>第二节</w:t>
            </w:r>
          </w:p>
          <w:p w14:paraId="19AE5AA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03A15E6">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3F12D765"/>
        </w:tc>
      </w:tr>
      <w:tr w14:paraId="2CC48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FBEC0C7">
            <w:pPr>
              <w:adjustRightInd w:val="0"/>
              <w:snapToGrid w:val="0"/>
              <w:jc w:val="center"/>
              <w:rPr>
                <w:rFonts w:hint="eastAsia" w:ascii="宋体" w:hAnsi="宋体"/>
                <w:szCs w:val="21"/>
              </w:rPr>
            </w:pPr>
          </w:p>
        </w:tc>
        <w:tc>
          <w:tcPr>
            <w:tcW w:w="1742" w:type="dxa"/>
            <w:vAlign w:val="center"/>
          </w:tcPr>
          <w:p w14:paraId="6EBFEF79">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172BA49F">
            <w:pPr>
              <w:rPr>
                <w:rFonts w:hint="eastAsia"/>
              </w:rPr>
            </w:pPr>
          </w:p>
        </w:tc>
      </w:tr>
      <w:tr w14:paraId="577F9B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4A3875C">
            <w:pPr>
              <w:adjustRightInd w:val="0"/>
              <w:snapToGrid w:val="0"/>
              <w:jc w:val="center"/>
              <w:rPr>
                <w:rFonts w:ascii="宋体" w:hAnsi="宋体"/>
                <w:szCs w:val="21"/>
              </w:rPr>
            </w:pPr>
            <w:r>
              <w:rPr>
                <w:rFonts w:hint="eastAsia" w:ascii="宋体" w:hAnsi="宋体"/>
                <w:szCs w:val="21"/>
              </w:rPr>
              <w:t>第二节</w:t>
            </w:r>
          </w:p>
          <w:p w14:paraId="56CD20A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59C5E1B">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FEDBC28">
            <w:pPr>
              <w:rPr>
                <w:rFonts w:hint="eastAsia"/>
              </w:rPr>
            </w:pPr>
          </w:p>
        </w:tc>
      </w:tr>
      <w:tr w14:paraId="689AF4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15171E5">
            <w:pPr>
              <w:adjustRightInd w:val="0"/>
              <w:snapToGrid w:val="0"/>
              <w:jc w:val="center"/>
              <w:rPr>
                <w:rFonts w:ascii="宋体" w:hAnsi="宋体"/>
                <w:szCs w:val="21"/>
              </w:rPr>
            </w:pPr>
            <w:r>
              <w:rPr>
                <w:rFonts w:hint="eastAsia" w:ascii="宋体" w:hAnsi="宋体"/>
                <w:szCs w:val="21"/>
              </w:rPr>
              <w:t>第二节</w:t>
            </w:r>
          </w:p>
          <w:p w14:paraId="523BB95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0E71180F">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7B3824F2">
            <w:pPr>
              <w:rPr>
                <w:rFonts w:hint="eastAsia"/>
              </w:rPr>
            </w:pPr>
          </w:p>
        </w:tc>
      </w:tr>
      <w:tr w14:paraId="6EAA21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AAC8B9">
            <w:pPr>
              <w:adjustRightInd w:val="0"/>
              <w:snapToGrid w:val="0"/>
              <w:jc w:val="center"/>
              <w:rPr>
                <w:rFonts w:ascii="宋体" w:hAnsi="宋体"/>
                <w:szCs w:val="21"/>
              </w:rPr>
            </w:pPr>
            <w:r>
              <w:rPr>
                <w:rFonts w:hint="eastAsia" w:ascii="宋体" w:hAnsi="宋体"/>
                <w:szCs w:val="21"/>
              </w:rPr>
              <w:t>第二节</w:t>
            </w:r>
          </w:p>
          <w:p w14:paraId="136E4C1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D411F53">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46C69D63">
            <w:pPr>
              <w:autoSpaceDE w:val="0"/>
              <w:autoSpaceDN w:val="0"/>
              <w:adjustRightInd w:val="0"/>
              <w:snapToGrid w:val="0"/>
              <w:ind w:firstLine="420" w:firstLineChars="200"/>
              <w:jc w:val="left"/>
              <w:rPr>
                <w:rFonts w:ascii="宋体" w:hAnsi="宋体"/>
                <w:szCs w:val="21"/>
              </w:rPr>
            </w:pPr>
          </w:p>
        </w:tc>
      </w:tr>
      <w:tr w14:paraId="7CAA5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EDE1F9">
            <w:pPr>
              <w:adjustRightInd w:val="0"/>
              <w:snapToGrid w:val="0"/>
              <w:jc w:val="center"/>
              <w:rPr>
                <w:rFonts w:ascii="宋体" w:hAnsi="宋体"/>
                <w:szCs w:val="21"/>
              </w:rPr>
            </w:pPr>
            <w:r>
              <w:rPr>
                <w:rFonts w:hint="eastAsia" w:ascii="宋体" w:hAnsi="宋体"/>
                <w:szCs w:val="21"/>
              </w:rPr>
              <w:t>第二节</w:t>
            </w:r>
          </w:p>
          <w:p w14:paraId="1D2734D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9324574">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AF0B6CB">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07695579">
            <w:pPr>
              <w:adjustRightInd w:val="0"/>
              <w:snapToGrid w:val="0"/>
              <w:jc w:val="left"/>
              <w:rPr>
                <w:rFonts w:ascii="宋体" w:hAnsi="宋体"/>
                <w:szCs w:val="21"/>
              </w:rPr>
            </w:pPr>
          </w:p>
        </w:tc>
      </w:tr>
      <w:tr w14:paraId="22D0A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38C64A">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6283400E">
            <w:pPr>
              <w:pStyle w:val="76"/>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298E5D1">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190018FD">
            <w:pPr>
              <w:adjustRightInd w:val="0"/>
              <w:snapToGrid w:val="0"/>
              <w:jc w:val="left"/>
              <w:rPr>
                <w:rFonts w:ascii="宋体" w:hAnsi="宋体"/>
                <w:szCs w:val="21"/>
              </w:rPr>
            </w:pPr>
          </w:p>
        </w:tc>
      </w:tr>
      <w:tr w14:paraId="24FFA2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48B84AE">
            <w:pPr>
              <w:adjustRightInd w:val="0"/>
              <w:snapToGrid w:val="0"/>
              <w:jc w:val="center"/>
              <w:rPr>
                <w:rFonts w:ascii="宋体" w:hAnsi="宋体"/>
                <w:szCs w:val="21"/>
              </w:rPr>
            </w:pPr>
            <w:r>
              <w:rPr>
                <w:rFonts w:hint="eastAsia" w:ascii="宋体" w:hAnsi="宋体"/>
                <w:szCs w:val="21"/>
              </w:rPr>
              <w:t>第二节</w:t>
            </w:r>
          </w:p>
          <w:p w14:paraId="138F673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63C8C22">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7A48C58">
            <w:pPr>
              <w:adjustRightInd w:val="0"/>
              <w:snapToGrid w:val="0"/>
              <w:jc w:val="left"/>
              <w:rPr>
                <w:rFonts w:ascii="宋体" w:hAnsi="宋体"/>
                <w:szCs w:val="21"/>
              </w:rPr>
            </w:pPr>
          </w:p>
        </w:tc>
      </w:tr>
      <w:tr w14:paraId="6997F8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2B4E8C0">
            <w:pPr>
              <w:adjustRightInd w:val="0"/>
              <w:snapToGrid w:val="0"/>
              <w:jc w:val="center"/>
              <w:rPr>
                <w:rFonts w:hint="eastAsia" w:ascii="宋体" w:hAnsi="宋体"/>
                <w:szCs w:val="21"/>
              </w:rPr>
            </w:pPr>
            <w:r>
              <w:rPr>
                <w:rFonts w:hint="eastAsia" w:ascii="宋体" w:hAnsi="宋体"/>
                <w:szCs w:val="21"/>
              </w:rPr>
              <w:t>第二节</w:t>
            </w:r>
          </w:p>
          <w:p w14:paraId="073B56A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3301972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5F9694F7">
            <w:pPr>
              <w:adjustRightInd w:val="0"/>
              <w:snapToGrid w:val="0"/>
              <w:jc w:val="left"/>
              <w:rPr>
                <w:rFonts w:ascii="宋体" w:hAnsi="宋体"/>
                <w:szCs w:val="21"/>
              </w:rPr>
            </w:pPr>
          </w:p>
        </w:tc>
      </w:tr>
      <w:tr w14:paraId="152BE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3EFA5A">
            <w:pPr>
              <w:adjustRightInd w:val="0"/>
              <w:snapToGrid w:val="0"/>
              <w:jc w:val="center"/>
              <w:rPr>
                <w:rFonts w:hint="eastAsia" w:ascii="宋体" w:hAnsi="宋体"/>
                <w:szCs w:val="21"/>
              </w:rPr>
            </w:pPr>
            <w:r>
              <w:rPr>
                <w:rFonts w:hint="eastAsia" w:ascii="宋体" w:hAnsi="宋体"/>
                <w:szCs w:val="21"/>
              </w:rPr>
              <w:t>第二节</w:t>
            </w:r>
          </w:p>
          <w:p w14:paraId="423A0107">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51A4F304">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A1C44B5">
            <w:pPr>
              <w:adjustRightInd w:val="0"/>
              <w:snapToGrid w:val="0"/>
              <w:jc w:val="left"/>
              <w:rPr>
                <w:rFonts w:ascii="宋体" w:hAnsi="宋体"/>
                <w:szCs w:val="21"/>
              </w:rPr>
            </w:pPr>
          </w:p>
        </w:tc>
      </w:tr>
      <w:tr w14:paraId="75BEC2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B25355">
            <w:pPr>
              <w:adjustRightInd w:val="0"/>
              <w:snapToGrid w:val="0"/>
              <w:jc w:val="center"/>
              <w:rPr>
                <w:rFonts w:ascii="宋体" w:hAnsi="宋体"/>
                <w:szCs w:val="21"/>
              </w:rPr>
            </w:pPr>
            <w:r>
              <w:rPr>
                <w:rFonts w:hint="eastAsia" w:ascii="宋体" w:hAnsi="宋体"/>
                <w:szCs w:val="21"/>
              </w:rPr>
              <w:t>第二节</w:t>
            </w:r>
          </w:p>
          <w:p w14:paraId="084E230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35D913EF">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66BE58D">
            <w:pPr>
              <w:adjustRightInd w:val="0"/>
              <w:snapToGrid w:val="0"/>
              <w:jc w:val="left"/>
              <w:rPr>
                <w:rFonts w:ascii="宋体" w:hAnsi="宋体"/>
                <w:szCs w:val="21"/>
              </w:rPr>
            </w:pPr>
          </w:p>
        </w:tc>
      </w:tr>
      <w:tr w14:paraId="1C499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D059579">
            <w:pPr>
              <w:adjustRightInd w:val="0"/>
              <w:snapToGrid w:val="0"/>
              <w:jc w:val="center"/>
              <w:rPr>
                <w:rFonts w:ascii="宋体" w:hAnsi="宋体"/>
                <w:szCs w:val="21"/>
              </w:rPr>
            </w:pPr>
            <w:r>
              <w:rPr>
                <w:rFonts w:hint="eastAsia" w:ascii="宋体" w:hAnsi="宋体"/>
                <w:szCs w:val="21"/>
              </w:rPr>
              <w:t>第二节</w:t>
            </w:r>
          </w:p>
          <w:p w14:paraId="737D780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2B2C909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4FB1198">
            <w:pPr>
              <w:adjustRightInd w:val="0"/>
              <w:snapToGrid w:val="0"/>
              <w:jc w:val="left"/>
              <w:rPr>
                <w:rFonts w:ascii="宋体" w:hAnsi="宋体"/>
                <w:szCs w:val="21"/>
              </w:rPr>
            </w:pPr>
          </w:p>
        </w:tc>
      </w:tr>
      <w:tr w14:paraId="3FEA0F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12420B">
            <w:pPr>
              <w:adjustRightInd w:val="0"/>
              <w:snapToGrid w:val="0"/>
              <w:jc w:val="center"/>
              <w:rPr>
                <w:rFonts w:ascii="宋体" w:hAnsi="宋体"/>
                <w:szCs w:val="21"/>
              </w:rPr>
            </w:pPr>
            <w:r>
              <w:rPr>
                <w:rFonts w:hint="eastAsia" w:ascii="宋体" w:hAnsi="宋体"/>
                <w:szCs w:val="21"/>
              </w:rPr>
              <w:t>第二节</w:t>
            </w:r>
          </w:p>
          <w:p w14:paraId="585F5E74">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39C3281C">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0A33973">
            <w:pPr>
              <w:adjustRightInd w:val="0"/>
              <w:snapToGrid w:val="0"/>
              <w:jc w:val="left"/>
              <w:rPr>
                <w:rFonts w:ascii="宋体" w:hAnsi="宋体"/>
                <w:szCs w:val="21"/>
              </w:rPr>
            </w:pPr>
          </w:p>
        </w:tc>
      </w:tr>
      <w:tr w14:paraId="77B435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E79D65">
            <w:pPr>
              <w:adjustRightInd w:val="0"/>
              <w:snapToGrid w:val="0"/>
              <w:jc w:val="center"/>
              <w:rPr>
                <w:rFonts w:ascii="宋体" w:hAnsi="宋体"/>
                <w:szCs w:val="21"/>
              </w:rPr>
            </w:pPr>
            <w:r>
              <w:rPr>
                <w:rFonts w:hint="eastAsia" w:ascii="宋体" w:hAnsi="宋体"/>
                <w:szCs w:val="21"/>
              </w:rPr>
              <w:t>第二节</w:t>
            </w:r>
          </w:p>
          <w:p w14:paraId="23B6DF77">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3763866E">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4441195">
            <w:pPr>
              <w:adjustRightInd w:val="0"/>
              <w:snapToGrid w:val="0"/>
              <w:jc w:val="left"/>
              <w:rPr>
                <w:rFonts w:ascii="宋体" w:hAnsi="宋体"/>
                <w:szCs w:val="21"/>
              </w:rPr>
            </w:pPr>
          </w:p>
        </w:tc>
      </w:tr>
      <w:tr w14:paraId="5CE87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41296">
            <w:pPr>
              <w:adjustRightInd w:val="0"/>
              <w:snapToGrid w:val="0"/>
              <w:jc w:val="center"/>
              <w:rPr>
                <w:rFonts w:ascii="宋体" w:hAnsi="宋体"/>
                <w:szCs w:val="21"/>
              </w:rPr>
            </w:pPr>
            <w:r>
              <w:rPr>
                <w:rFonts w:hint="eastAsia" w:ascii="宋体" w:hAnsi="宋体"/>
                <w:szCs w:val="21"/>
              </w:rPr>
              <w:t>第二节</w:t>
            </w:r>
          </w:p>
          <w:p w14:paraId="3EFA999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2421AB3D">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65FA9EC8">
            <w:pPr>
              <w:adjustRightInd w:val="0"/>
              <w:snapToGrid w:val="0"/>
              <w:jc w:val="left"/>
              <w:rPr>
                <w:rFonts w:ascii="宋体" w:hAnsi="宋体"/>
                <w:szCs w:val="21"/>
                <w:u w:val="single"/>
              </w:rPr>
            </w:pPr>
          </w:p>
        </w:tc>
      </w:tr>
      <w:tr w14:paraId="26B65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AB1710">
            <w:pPr>
              <w:adjustRightInd w:val="0"/>
              <w:snapToGrid w:val="0"/>
              <w:jc w:val="center"/>
              <w:rPr>
                <w:rFonts w:ascii="宋体" w:hAnsi="宋体"/>
                <w:szCs w:val="21"/>
              </w:rPr>
            </w:pPr>
            <w:r>
              <w:rPr>
                <w:rFonts w:hint="eastAsia" w:ascii="宋体" w:hAnsi="宋体"/>
                <w:szCs w:val="21"/>
              </w:rPr>
              <w:t>第二节</w:t>
            </w:r>
          </w:p>
          <w:p w14:paraId="3577D8A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829C5B5">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05441C4F">
            <w:pPr>
              <w:adjustRightInd w:val="0"/>
              <w:snapToGrid w:val="0"/>
              <w:jc w:val="left"/>
              <w:rPr>
                <w:rFonts w:ascii="宋体" w:hAnsi="宋体"/>
                <w:szCs w:val="21"/>
                <w:u w:val="single"/>
              </w:rPr>
            </w:pPr>
          </w:p>
        </w:tc>
      </w:tr>
      <w:tr w14:paraId="19ACA6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66EA2A5">
            <w:pPr>
              <w:adjustRightInd w:val="0"/>
              <w:snapToGrid w:val="0"/>
              <w:jc w:val="center"/>
              <w:rPr>
                <w:rFonts w:ascii="宋体" w:hAnsi="宋体"/>
                <w:szCs w:val="21"/>
              </w:rPr>
            </w:pPr>
            <w:r>
              <w:rPr>
                <w:rFonts w:hint="eastAsia" w:ascii="宋体" w:hAnsi="宋体"/>
                <w:szCs w:val="21"/>
              </w:rPr>
              <w:t>第二节</w:t>
            </w:r>
          </w:p>
          <w:p w14:paraId="6E1D263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5D70FC07">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1C6C319B">
            <w:pPr>
              <w:adjustRightInd w:val="0"/>
              <w:snapToGrid w:val="0"/>
              <w:jc w:val="left"/>
              <w:rPr>
                <w:rFonts w:ascii="宋体" w:hAnsi="宋体"/>
                <w:szCs w:val="21"/>
                <w:u w:val="single"/>
              </w:rPr>
            </w:pPr>
          </w:p>
        </w:tc>
      </w:tr>
      <w:tr w14:paraId="6EB711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03A8C62">
            <w:pPr>
              <w:adjustRightInd w:val="0"/>
              <w:snapToGrid w:val="0"/>
              <w:jc w:val="center"/>
              <w:rPr>
                <w:rFonts w:ascii="宋体" w:hAnsi="宋体"/>
                <w:szCs w:val="21"/>
              </w:rPr>
            </w:pPr>
            <w:r>
              <w:rPr>
                <w:rFonts w:hint="eastAsia" w:ascii="宋体" w:hAnsi="宋体"/>
                <w:szCs w:val="21"/>
              </w:rPr>
              <w:t>第二节</w:t>
            </w:r>
          </w:p>
          <w:p w14:paraId="7EC7B9E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4A1973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D1B03F2">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F7E2DBA">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538E4CD">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FA13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110861B">
            <w:pPr>
              <w:adjustRightInd w:val="0"/>
              <w:snapToGrid w:val="0"/>
              <w:jc w:val="center"/>
              <w:rPr>
                <w:rFonts w:ascii="宋体" w:hAnsi="宋体"/>
                <w:szCs w:val="21"/>
              </w:rPr>
            </w:pPr>
            <w:r>
              <w:rPr>
                <w:rFonts w:hint="eastAsia" w:ascii="宋体" w:hAnsi="宋体"/>
                <w:szCs w:val="21"/>
              </w:rPr>
              <w:t>第二节</w:t>
            </w:r>
          </w:p>
          <w:p w14:paraId="34DFF308">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69CF2287">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58DDDC6">
            <w:pPr>
              <w:adjustRightInd w:val="0"/>
              <w:snapToGrid w:val="0"/>
              <w:jc w:val="left"/>
              <w:rPr>
                <w:rFonts w:hint="default" w:ascii="宋体" w:hAnsi="宋体" w:eastAsia="宋体"/>
                <w:szCs w:val="21"/>
                <w:lang w:val="en-US" w:eastAsia="zh-CN"/>
              </w:rPr>
            </w:pPr>
          </w:p>
        </w:tc>
      </w:tr>
    </w:tbl>
    <w:p w14:paraId="356308BA"/>
    <w:p w14:paraId="282F180B"/>
    <w:p w14:paraId="5EADFDA7">
      <w:pPr>
        <w:spacing w:before="120" w:beforeLines="50" w:beforeAutospacing="1" w:after="72" w:afterLines="30" w:afterAutospacing="1" w:line="440" w:lineRule="exact"/>
        <w:rPr>
          <w:rFonts w:ascii="宋体" w:hAnsi="宋体"/>
          <w:sz w:val="28"/>
          <w:szCs w:val="28"/>
        </w:rPr>
      </w:pPr>
    </w:p>
    <w:p w14:paraId="6EE07B10">
      <w:pPr>
        <w:spacing w:before="120" w:beforeLines="50" w:beforeAutospacing="1" w:after="72" w:afterLines="30" w:afterAutospacing="1" w:line="440" w:lineRule="exact"/>
        <w:rPr>
          <w:rFonts w:ascii="宋体" w:hAnsi="宋体"/>
          <w:sz w:val="28"/>
          <w:szCs w:val="28"/>
        </w:rPr>
      </w:pPr>
    </w:p>
    <w:p w14:paraId="0B3B4919">
      <w:pPr>
        <w:spacing w:before="120" w:beforeLines="50" w:beforeAutospacing="1" w:after="72" w:afterLines="30" w:afterAutospacing="1" w:line="440" w:lineRule="exact"/>
        <w:rPr>
          <w:rFonts w:ascii="宋体" w:hAnsi="宋体"/>
          <w:sz w:val="28"/>
          <w:szCs w:val="28"/>
        </w:rPr>
      </w:pPr>
    </w:p>
    <w:p w14:paraId="353A6CEA">
      <w:pPr>
        <w:spacing w:before="120" w:beforeLines="50" w:beforeAutospacing="1" w:after="72" w:afterLines="30" w:afterAutospacing="1" w:line="440" w:lineRule="exact"/>
        <w:rPr>
          <w:rFonts w:ascii="宋体" w:hAnsi="宋体"/>
          <w:sz w:val="28"/>
          <w:szCs w:val="28"/>
        </w:rPr>
      </w:pPr>
    </w:p>
    <w:p w14:paraId="42181924">
      <w:pPr>
        <w:spacing w:before="120" w:beforeLines="50" w:beforeAutospacing="1" w:after="72" w:afterLines="30" w:afterAutospacing="1" w:line="440" w:lineRule="exact"/>
        <w:rPr>
          <w:rFonts w:ascii="宋体" w:hAnsi="宋体"/>
          <w:sz w:val="28"/>
          <w:szCs w:val="28"/>
        </w:rPr>
      </w:pPr>
    </w:p>
    <w:p w14:paraId="49F575F1">
      <w:pPr>
        <w:spacing w:before="120" w:beforeLines="50" w:beforeAutospacing="1" w:after="72" w:afterLines="30" w:afterAutospacing="1" w:line="440" w:lineRule="exact"/>
        <w:rPr>
          <w:rFonts w:ascii="宋体" w:hAnsi="宋体"/>
          <w:sz w:val="28"/>
          <w:szCs w:val="28"/>
        </w:rPr>
      </w:pPr>
    </w:p>
    <w:p w14:paraId="31FCA84A">
      <w:pPr>
        <w:pStyle w:val="54"/>
        <w:rPr>
          <w:rFonts w:hint="eastAsia" w:ascii="黑体" w:hAnsi="黑体" w:eastAsia="黑体"/>
          <w:sz w:val="44"/>
          <w:szCs w:val="44"/>
        </w:rPr>
      </w:pPr>
    </w:p>
    <w:p w14:paraId="436F3B01">
      <w:pPr>
        <w:pStyle w:val="54"/>
        <w:rPr>
          <w:rFonts w:hint="eastAsia" w:ascii="黑体" w:hAnsi="黑体" w:eastAsia="黑体"/>
          <w:sz w:val="44"/>
          <w:szCs w:val="44"/>
        </w:rPr>
      </w:pPr>
    </w:p>
    <w:p w14:paraId="5A98FB86">
      <w:pPr>
        <w:pStyle w:val="54"/>
        <w:rPr>
          <w:rFonts w:hint="eastAsia" w:ascii="黑体" w:hAnsi="黑体" w:eastAsia="黑体"/>
          <w:sz w:val="44"/>
          <w:szCs w:val="44"/>
        </w:rPr>
      </w:pPr>
    </w:p>
    <w:p w14:paraId="7A346C3F">
      <w:pPr>
        <w:pStyle w:val="54"/>
        <w:rPr>
          <w:rFonts w:ascii="黑体" w:hAnsi="黑体" w:eastAsia="黑体"/>
          <w:sz w:val="44"/>
          <w:szCs w:val="44"/>
        </w:rPr>
      </w:pPr>
      <w:bookmarkStart w:id="959" w:name="_Toc26159"/>
      <w:r>
        <w:rPr>
          <w:rFonts w:hint="eastAsia" w:ascii="黑体" w:hAnsi="黑体" w:eastAsia="黑体"/>
          <w:sz w:val="44"/>
          <w:szCs w:val="44"/>
        </w:rPr>
        <w:t>第八章 投标文件格式</w:t>
      </w:r>
      <w:bookmarkEnd w:id="959"/>
      <w:bookmarkStart w:id="960" w:name="_Toc217446082"/>
      <w:bookmarkStart w:id="961" w:name="_Toc308164821"/>
    </w:p>
    <w:p w14:paraId="55880CF7">
      <w:pPr>
        <w:spacing w:line="500" w:lineRule="exact"/>
        <w:rPr>
          <w:rFonts w:ascii="宋体" w:hAnsi="宋体"/>
          <w:b/>
          <w:sz w:val="28"/>
          <w:szCs w:val="28"/>
        </w:rPr>
      </w:pPr>
      <w:r>
        <w:rPr>
          <w:rFonts w:hint="eastAsia" w:ascii="宋体" w:hAnsi="宋体"/>
          <w:b/>
          <w:sz w:val="28"/>
          <w:szCs w:val="28"/>
        </w:rPr>
        <w:t>说明</w:t>
      </w:r>
      <w:r>
        <w:rPr>
          <w:rFonts w:ascii="宋体" w:hAnsi="宋体"/>
          <w:b/>
          <w:sz w:val="28"/>
          <w:szCs w:val="28"/>
        </w:rPr>
        <w:t>：</w:t>
      </w:r>
    </w:p>
    <w:p w14:paraId="4B309147">
      <w:pPr>
        <w:spacing w:line="500" w:lineRule="exact"/>
        <w:rPr>
          <w:rFonts w:ascii="宋体" w:hAnsi="宋体"/>
          <w:sz w:val="28"/>
          <w:szCs w:val="28"/>
        </w:rPr>
      </w:pPr>
      <w:r>
        <w:rPr>
          <w:rFonts w:hint="eastAsia" w:ascii="宋体" w:hAnsi="宋体"/>
          <w:sz w:val="28"/>
          <w:szCs w:val="28"/>
        </w:rPr>
        <w:t>一、投标人的投标文件和本章所制格式不一致的，采用综合评分法时评标委员会将在评分时以投标文件不规范予以扣分处理。</w:t>
      </w:r>
    </w:p>
    <w:p w14:paraId="2B94BC50">
      <w:pPr>
        <w:spacing w:line="500" w:lineRule="exact"/>
        <w:rPr>
          <w:rFonts w:ascii="宋体" w:hAnsi="宋体"/>
          <w:sz w:val="28"/>
          <w:szCs w:val="28"/>
        </w:rPr>
      </w:pPr>
      <w:r>
        <w:rPr>
          <w:rFonts w:hint="eastAsia" w:ascii="宋体" w:hAnsi="宋体"/>
          <w:sz w:val="28"/>
          <w:szCs w:val="28"/>
        </w:rPr>
        <w:t>二、本章所制投标文件格式有关表格中的备注栏，由投标人根据自身投标情况作解释性说明，不作为必填项。</w:t>
      </w:r>
    </w:p>
    <w:p w14:paraId="4FE8F140">
      <w:pPr>
        <w:spacing w:line="500" w:lineRule="exact"/>
        <w:rPr>
          <w:rFonts w:ascii="宋体" w:hAnsi="宋体"/>
          <w:sz w:val="28"/>
          <w:szCs w:val="28"/>
        </w:rPr>
      </w:pPr>
      <w:r>
        <w:rPr>
          <w:rFonts w:hint="eastAsia" w:ascii="宋体" w:hAnsi="宋体"/>
          <w:sz w:val="28"/>
          <w:szCs w:val="28"/>
        </w:rPr>
        <w:t>三</w:t>
      </w:r>
      <w:r>
        <w:rPr>
          <w:rFonts w:ascii="宋体" w:hAnsi="宋体"/>
          <w:sz w:val="28"/>
          <w:szCs w:val="28"/>
        </w:rPr>
        <w:t>、投标人不予填写的地方，应当用</w:t>
      </w:r>
      <w:r>
        <w:rPr>
          <w:rFonts w:hint="eastAsia" w:ascii="宋体" w:hAnsi="宋体"/>
          <w:sz w:val="28"/>
          <w:szCs w:val="28"/>
        </w:rPr>
        <w:t>“/”表示</w:t>
      </w:r>
      <w:r>
        <w:rPr>
          <w:rFonts w:ascii="宋体" w:hAnsi="宋体"/>
          <w:sz w:val="28"/>
          <w:szCs w:val="28"/>
        </w:rPr>
        <w:t>。</w:t>
      </w:r>
    </w:p>
    <w:p w14:paraId="66DFA7AE">
      <w:pPr>
        <w:spacing w:line="500" w:lineRule="exact"/>
        <w:rPr>
          <w:rFonts w:ascii="宋体" w:hAnsi="宋体"/>
          <w:sz w:val="28"/>
          <w:szCs w:val="28"/>
        </w:rPr>
      </w:pPr>
    </w:p>
    <w:p w14:paraId="58BF2DA0">
      <w:pPr>
        <w:pStyle w:val="76"/>
        <w:rPr>
          <w:rFonts w:ascii="宋体" w:hAnsi="宋体"/>
          <w:sz w:val="28"/>
          <w:szCs w:val="28"/>
        </w:rPr>
      </w:pPr>
    </w:p>
    <w:p w14:paraId="2CD6C08E">
      <w:pPr>
        <w:spacing w:line="500" w:lineRule="exact"/>
        <w:rPr>
          <w:rFonts w:ascii="宋体" w:hAnsi="宋体"/>
          <w:b/>
          <w:sz w:val="28"/>
          <w:szCs w:val="28"/>
        </w:rPr>
      </w:pPr>
      <w:r>
        <w:rPr>
          <w:rFonts w:hint="eastAsia" w:ascii="宋体" w:hAnsi="宋体"/>
          <w:b/>
          <w:sz w:val="28"/>
          <w:szCs w:val="28"/>
        </w:rPr>
        <w:t>说明</w:t>
      </w:r>
      <w:r>
        <w:rPr>
          <w:rFonts w:ascii="宋体" w:hAnsi="宋体"/>
          <w:b/>
          <w:sz w:val="28"/>
          <w:szCs w:val="28"/>
        </w:rPr>
        <w:t>：</w:t>
      </w:r>
    </w:p>
    <w:p w14:paraId="5CD2A642">
      <w:pPr>
        <w:spacing w:line="500" w:lineRule="exact"/>
        <w:rPr>
          <w:rFonts w:ascii="宋体" w:hAnsi="宋体"/>
          <w:sz w:val="28"/>
          <w:szCs w:val="28"/>
        </w:rPr>
      </w:pPr>
      <w:r>
        <w:rPr>
          <w:rFonts w:hint="eastAsia" w:ascii="宋体" w:hAnsi="宋体"/>
          <w:sz w:val="28"/>
          <w:szCs w:val="28"/>
        </w:rPr>
        <w:t>一、投标人的投标文件和本章所制格式</w:t>
      </w:r>
      <w:r>
        <w:rPr>
          <w:rFonts w:hint="eastAsia" w:ascii="宋体" w:hAnsi="宋体"/>
          <w:sz w:val="28"/>
          <w:szCs w:val="28"/>
          <w:lang w:val="en-US" w:eastAsia="zh-CN"/>
        </w:rPr>
        <w:t>应当</w:t>
      </w:r>
      <w:r>
        <w:rPr>
          <w:rFonts w:hint="eastAsia" w:ascii="宋体" w:hAnsi="宋体"/>
          <w:sz w:val="28"/>
          <w:szCs w:val="28"/>
        </w:rPr>
        <w:t>一致。</w:t>
      </w:r>
    </w:p>
    <w:p w14:paraId="26B08262">
      <w:pPr>
        <w:spacing w:line="500" w:lineRule="exact"/>
        <w:rPr>
          <w:rFonts w:ascii="宋体" w:hAnsi="宋体"/>
          <w:sz w:val="28"/>
          <w:szCs w:val="28"/>
        </w:rPr>
      </w:pPr>
      <w:r>
        <w:rPr>
          <w:rFonts w:hint="eastAsia" w:ascii="宋体" w:hAnsi="宋体"/>
          <w:sz w:val="28"/>
          <w:szCs w:val="28"/>
        </w:rPr>
        <w:t>二、本章所制投标文件格式有关表格中的备注栏，由投标人根据自身投标情况作解释性说明，不作为必填项。</w:t>
      </w:r>
    </w:p>
    <w:p w14:paraId="20150A37">
      <w:pPr>
        <w:spacing w:line="500" w:lineRule="exact"/>
        <w:rPr>
          <w:rFonts w:ascii="宋体" w:hAnsi="宋体"/>
          <w:sz w:val="28"/>
          <w:szCs w:val="28"/>
        </w:rPr>
      </w:pPr>
      <w:r>
        <w:rPr>
          <w:rFonts w:hint="eastAsia" w:ascii="宋体" w:hAnsi="宋体"/>
          <w:sz w:val="28"/>
          <w:szCs w:val="28"/>
        </w:rPr>
        <w:t>三</w:t>
      </w:r>
      <w:r>
        <w:rPr>
          <w:rFonts w:ascii="宋体" w:hAnsi="宋体"/>
          <w:sz w:val="28"/>
          <w:szCs w:val="28"/>
        </w:rPr>
        <w:t>、投标人不予填写的地方，应当用</w:t>
      </w:r>
      <w:r>
        <w:rPr>
          <w:rFonts w:hint="eastAsia" w:ascii="宋体" w:hAnsi="宋体"/>
          <w:sz w:val="28"/>
          <w:szCs w:val="28"/>
        </w:rPr>
        <w:t>“/”表示</w:t>
      </w:r>
      <w:r>
        <w:rPr>
          <w:rFonts w:ascii="宋体" w:hAnsi="宋体"/>
          <w:sz w:val="28"/>
          <w:szCs w:val="28"/>
        </w:rPr>
        <w:t>。</w:t>
      </w:r>
    </w:p>
    <w:p w14:paraId="55F09CEB">
      <w:pPr>
        <w:pStyle w:val="76"/>
        <w:rPr>
          <w:rFonts w:ascii="宋体" w:hAnsi="宋体"/>
          <w:sz w:val="28"/>
          <w:szCs w:val="28"/>
        </w:rPr>
      </w:pPr>
    </w:p>
    <w:p w14:paraId="51BE9C57">
      <w:pPr>
        <w:spacing w:line="500" w:lineRule="exact"/>
        <w:rPr>
          <w:rFonts w:ascii="宋体" w:hAnsi="宋体"/>
          <w:sz w:val="28"/>
          <w:szCs w:val="28"/>
        </w:rPr>
      </w:pPr>
    </w:p>
    <w:p w14:paraId="10CCE985">
      <w:pPr>
        <w:spacing w:line="780" w:lineRule="exact"/>
        <w:jc w:val="center"/>
        <w:rPr>
          <w:rFonts w:ascii="宋体" w:hAnsi="宋体"/>
          <w:b/>
          <w:sz w:val="28"/>
          <w:szCs w:val="28"/>
        </w:rPr>
      </w:pPr>
    </w:p>
    <w:p w14:paraId="072408FB">
      <w:pPr>
        <w:spacing w:line="780" w:lineRule="exact"/>
        <w:jc w:val="center"/>
        <w:rPr>
          <w:rFonts w:ascii="宋体" w:hAnsi="宋体"/>
          <w:b/>
          <w:sz w:val="28"/>
          <w:szCs w:val="28"/>
        </w:rPr>
      </w:pPr>
    </w:p>
    <w:p w14:paraId="3DF66B9D">
      <w:pPr>
        <w:spacing w:line="780" w:lineRule="exact"/>
        <w:jc w:val="center"/>
        <w:rPr>
          <w:rFonts w:ascii="宋体" w:hAnsi="宋体"/>
          <w:b/>
          <w:sz w:val="28"/>
          <w:szCs w:val="28"/>
        </w:rPr>
      </w:pPr>
    </w:p>
    <w:p w14:paraId="292373AD">
      <w:pPr>
        <w:spacing w:line="780" w:lineRule="exact"/>
        <w:jc w:val="center"/>
        <w:rPr>
          <w:rFonts w:ascii="宋体" w:hAnsi="宋体"/>
          <w:b/>
          <w:sz w:val="28"/>
          <w:szCs w:val="28"/>
        </w:rPr>
      </w:pPr>
    </w:p>
    <w:p w14:paraId="4016DD0F">
      <w:pPr>
        <w:spacing w:line="780" w:lineRule="exact"/>
        <w:jc w:val="center"/>
        <w:rPr>
          <w:rFonts w:ascii="宋体" w:hAnsi="宋体"/>
          <w:b/>
          <w:sz w:val="28"/>
          <w:szCs w:val="28"/>
        </w:rPr>
      </w:pPr>
    </w:p>
    <w:p w14:paraId="029A9DEF">
      <w:pPr>
        <w:spacing w:line="780" w:lineRule="exact"/>
        <w:jc w:val="center"/>
        <w:rPr>
          <w:rFonts w:ascii="宋体" w:hAnsi="宋体"/>
          <w:b/>
          <w:sz w:val="44"/>
          <w:szCs w:val="44"/>
        </w:rPr>
      </w:pPr>
    </w:p>
    <w:p w14:paraId="0E81424C">
      <w:pPr>
        <w:spacing w:line="800" w:lineRule="exact"/>
        <w:jc w:val="center"/>
        <w:outlineLvl w:val="1"/>
        <w:rPr>
          <w:rFonts w:ascii="宋体" w:hAnsi="宋体"/>
          <w:b/>
          <w:sz w:val="44"/>
          <w:szCs w:val="44"/>
          <w:lang w:val="zh-CN"/>
        </w:rPr>
      </w:pPr>
      <w:r>
        <w:rPr>
          <w:rFonts w:hint="eastAsia" w:ascii="宋体" w:hAnsi="宋体"/>
          <w:b/>
          <w:sz w:val="44"/>
          <w:szCs w:val="44"/>
          <w:lang w:val="zh-CN"/>
        </w:rPr>
        <w:t xml:space="preserve">                           </w:t>
      </w:r>
    </w:p>
    <w:p w14:paraId="298633B5">
      <w:pPr>
        <w:spacing w:line="500" w:lineRule="exact"/>
        <w:jc w:val="center"/>
        <w:rPr>
          <w:rFonts w:ascii="宋体" w:hAnsi="宋体"/>
          <w:bCs/>
          <w:sz w:val="44"/>
          <w:szCs w:val="44"/>
        </w:rPr>
      </w:pPr>
      <w:r>
        <w:rPr>
          <w:rFonts w:hint="eastAsia" w:ascii="宋体" w:hAnsi="宋体"/>
          <w:bCs/>
          <w:sz w:val="44"/>
          <w:szCs w:val="44"/>
        </w:rPr>
        <w:t xml:space="preserve">                     </w:t>
      </w:r>
    </w:p>
    <w:p w14:paraId="70F16FFD">
      <w:pPr>
        <w:spacing w:line="500" w:lineRule="exact"/>
        <w:jc w:val="center"/>
        <w:rPr>
          <w:rFonts w:ascii="宋体" w:hAnsi="宋体"/>
          <w:bCs/>
          <w:sz w:val="44"/>
          <w:szCs w:val="44"/>
        </w:rPr>
      </w:pPr>
      <w:r>
        <w:rPr>
          <w:rFonts w:hint="eastAsia" w:ascii="宋体" w:hAnsi="宋体"/>
          <w:bCs/>
          <w:sz w:val="44"/>
          <w:szCs w:val="44"/>
        </w:rPr>
        <w:t xml:space="preserve">                       </w:t>
      </w:r>
    </w:p>
    <w:p w14:paraId="06E3C15D">
      <w:pPr>
        <w:spacing w:line="500" w:lineRule="exact"/>
        <w:jc w:val="center"/>
        <w:rPr>
          <w:rFonts w:ascii="宋体" w:hAnsi="宋体"/>
          <w:bCs/>
          <w:sz w:val="44"/>
          <w:szCs w:val="44"/>
        </w:rPr>
      </w:pPr>
      <w:r>
        <w:rPr>
          <w:rFonts w:ascii="宋体" w:hAnsi="宋体"/>
          <w:bCs/>
          <w:sz w:val="44"/>
          <w:szCs w:val="44"/>
        </w:rPr>
        <w:t xml:space="preserve">                    </w:t>
      </w:r>
      <w:r>
        <w:rPr>
          <w:rFonts w:hint="eastAsia" w:ascii="宋体" w:hAnsi="宋体"/>
          <w:bCs/>
          <w:sz w:val="44"/>
          <w:szCs w:val="44"/>
        </w:rPr>
        <w:t xml:space="preserve">  </w:t>
      </w:r>
    </w:p>
    <w:p w14:paraId="2ECBBAAB">
      <w:pPr>
        <w:spacing w:line="780" w:lineRule="exact"/>
        <w:jc w:val="center"/>
        <w:rPr>
          <w:rFonts w:ascii="宋体" w:hAnsi="宋体"/>
          <w:b/>
          <w:sz w:val="44"/>
          <w:szCs w:val="44"/>
        </w:rPr>
      </w:pPr>
    </w:p>
    <w:p w14:paraId="7B9B1DDC">
      <w:pPr>
        <w:spacing w:line="780" w:lineRule="exact"/>
        <w:jc w:val="center"/>
        <w:rPr>
          <w:rFonts w:ascii="宋体" w:hAnsi="宋体"/>
          <w:b/>
          <w:sz w:val="44"/>
          <w:szCs w:val="44"/>
        </w:rPr>
      </w:pPr>
      <w:r>
        <w:rPr>
          <w:rFonts w:hint="eastAsia" w:ascii="宋体" w:hAnsi="宋体"/>
          <w:b/>
          <w:sz w:val="44"/>
          <w:szCs w:val="44"/>
        </w:rPr>
        <w:t>松原市</w:t>
      </w:r>
      <w:r>
        <w:rPr>
          <w:rFonts w:ascii="宋体" w:hAnsi="宋体"/>
          <w:b/>
          <w:sz w:val="44"/>
          <w:szCs w:val="44"/>
        </w:rPr>
        <w:t>政府采购项目</w:t>
      </w:r>
    </w:p>
    <w:p w14:paraId="53A5A3CB">
      <w:pPr>
        <w:tabs>
          <w:tab w:val="left" w:pos="2700"/>
        </w:tabs>
        <w:spacing w:line="500" w:lineRule="exact"/>
        <w:rPr>
          <w:rFonts w:ascii="宋体" w:hAnsi="宋体"/>
          <w:bCs/>
          <w:sz w:val="28"/>
          <w:szCs w:val="28"/>
        </w:rPr>
      </w:pPr>
      <w:r>
        <w:rPr>
          <w:rFonts w:ascii="宋体" w:hAnsi="宋体"/>
          <w:bCs/>
          <w:sz w:val="28"/>
          <w:szCs w:val="28"/>
        </w:rPr>
        <w:tab/>
      </w:r>
    </w:p>
    <w:p w14:paraId="1B2BBB80">
      <w:pPr>
        <w:spacing w:line="500" w:lineRule="exact"/>
        <w:rPr>
          <w:rFonts w:ascii="宋体" w:hAnsi="宋体"/>
          <w:bCs/>
          <w:sz w:val="28"/>
          <w:szCs w:val="28"/>
        </w:rPr>
      </w:pPr>
    </w:p>
    <w:p w14:paraId="33DBDD32">
      <w:pPr>
        <w:spacing w:line="500" w:lineRule="exact"/>
        <w:rPr>
          <w:rFonts w:ascii="宋体" w:hAnsi="宋体"/>
          <w:bCs/>
          <w:sz w:val="28"/>
          <w:szCs w:val="28"/>
        </w:rPr>
      </w:pPr>
    </w:p>
    <w:p w14:paraId="6EFD1B8E">
      <w:pPr>
        <w:spacing w:line="500" w:lineRule="exact"/>
        <w:rPr>
          <w:rFonts w:ascii="宋体" w:hAnsi="宋体"/>
          <w:bCs/>
          <w:sz w:val="28"/>
          <w:szCs w:val="28"/>
        </w:rPr>
      </w:pPr>
    </w:p>
    <w:p w14:paraId="2C437391">
      <w:pPr>
        <w:spacing w:line="500" w:lineRule="exact"/>
        <w:rPr>
          <w:rFonts w:ascii="宋体" w:hAnsi="宋体"/>
          <w:bCs/>
          <w:sz w:val="28"/>
          <w:szCs w:val="28"/>
        </w:rPr>
      </w:pPr>
    </w:p>
    <w:p w14:paraId="14F593B2">
      <w:pPr>
        <w:spacing w:line="500" w:lineRule="exact"/>
        <w:jc w:val="center"/>
        <w:rPr>
          <w:rFonts w:ascii="宋体" w:hAnsi="宋体"/>
          <w:bCs/>
          <w:sz w:val="44"/>
          <w:szCs w:val="44"/>
        </w:rPr>
      </w:pPr>
      <w:r>
        <w:rPr>
          <w:rFonts w:hint="eastAsia" w:ascii="宋体" w:hAnsi="宋体"/>
          <w:bCs/>
          <w:sz w:val="44"/>
          <w:szCs w:val="44"/>
        </w:rPr>
        <w:t xml:space="preserve">投 </w:t>
      </w:r>
      <w:r>
        <w:rPr>
          <w:rFonts w:ascii="宋体" w:hAnsi="宋体"/>
          <w:bCs/>
          <w:sz w:val="44"/>
          <w:szCs w:val="44"/>
        </w:rPr>
        <w:t xml:space="preserve">  </w:t>
      </w:r>
      <w:r>
        <w:rPr>
          <w:rFonts w:hint="eastAsia" w:ascii="宋体" w:hAnsi="宋体"/>
          <w:bCs/>
          <w:sz w:val="44"/>
          <w:szCs w:val="44"/>
        </w:rPr>
        <w:t xml:space="preserve">标 </w:t>
      </w:r>
      <w:r>
        <w:rPr>
          <w:rFonts w:ascii="宋体" w:hAnsi="宋体"/>
          <w:bCs/>
          <w:sz w:val="44"/>
          <w:szCs w:val="44"/>
        </w:rPr>
        <w:t xml:space="preserve">  文</w:t>
      </w:r>
      <w:r>
        <w:rPr>
          <w:rFonts w:hint="eastAsia" w:ascii="宋体" w:hAnsi="宋体"/>
          <w:bCs/>
          <w:sz w:val="44"/>
          <w:szCs w:val="44"/>
        </w:rPr>
        <w:t xml:space="preserve">   </w:t>
      </w:r>
      <w:r>
        <w:rPr>
          <w:rFonts w:ascii="宋体" w:hAnsi="宋体"/>
          <w:bCs/>
          <w:sz w:val="44"/>
          <w:szCs w:val="44"/>
        </w:rPr>
        <w:t>件</w:t>
      </w:r>
    </w:p>
    <w:p w14:paraId="2C442EDF">
      <w:pPr>
        <w:spacing w:line="500" w:lineRule="exact"/>
        <w:jc w:val="center"/>
        <w:rPr>
          <w:rFonts w:ascii="宋体" w:hAnsi="宋体"/>
          <w:kern w:val="44"/>
          <w:sz w:val="44"/>
          <w:szCs w:val="44"/>
          <w:lang w:val="zh-CN"/>
        </w:rPr>
      </w:pPr>
    </w:p>
    <w:p w14:paraId="31A718DE">
      <w:pPr>
        <w:spacing w:line="500" w:lineRule="exact"/>
        <w:jc w:val="center"/>
        <w:rPr>
          <w:rFonts w:ascii="宋体" w:hAnsi="宋体"/>
          <w:b/>
          <w:sz w:val="32"/>
          <w:szCs w:val="32"/>
          <w:u w:val="single"/>
        </w:rPr>
      </w:pPr>
      <w:r>
        <w:rPr>
          <w:rFonts w:hint="eastAsia" w:ascii="宋体" w:hAnsi="宋体"/>
          <w:kern w:val="44"/>
          <w:sz w:val="44"/>
          <w:szCs w:val="44"/>
          <w:lang w:val="zh-CN"/>
        </w:rPr>
        <w:t>（资格部分）</w:t>
      </w:r>
    </w:p>
    <w:p w14:paraId="0BD2F483">
      <w:pPr>
        <w:spacing w:line="500" w:lineRule="exact"/>
        <w:jc w:val="center"/>
        <w:rPr>
          <w:rFonts w:ascii="宋体" w:hAnsi="宋体"/>
          <w:b/>
          <w:sz w:val="32"/>
          <w:szCs w:val="32"/>
          <w:u w:val="single"/>
        </w:rPr>
      </w:pPr>
    </w:p>
    <w:p w14:paraId="44296383">
      <w:pPr>
        <w:spacing w:line="500" w:lineRule="exact"/>
        <w:rPr>
          <w:rFonts w:ascii="宋体" w:hAnsi="宋体"/>
          <w:sz w:val="28"/>
          <w:szCs w:val="28"/>
        </w:rPr>
      </w:pPr>
    </w:p>
    <w:p w14:paraId="00ADDD25">
      <w:pPr>
        <w:spacing w:line="500" w:lineRule="exact"/>
        <w:rPr>
          <w:rFonts w:ascii="宋体" w:hAnsi="宋体"/>
          <w:sz w:val="28"/>
          <w:szCs w:val="28"/>
        </w:rPr>
      </w:pPr>
    </w:p>
    <w:p w14:paraId="25DEC4E1">
      <w:pPr>
        <w:spacing w:line="500" w:lineRule="exact"/>
        <w:rPr>
          <w:rFonts w:ascii="宋体" w:hAnsi="宋体"/>
          <w:sz w:val="28"/>
          <w:szCs w:val="28"/>
        </w:rPr>
      </w:pPr>
    </w:p>
    <w:p w14:paraId="51506FBB">
      <w:pPr>
        <w:spacing w:line="500" w:lineRule="exact"/>
        <w:rPr>
          <w:rFonts w:ascii="宋体" w:hAnsi="宋体"/>
          <w:b/>
          <w:sz w:val="28"/>
          <w:szCs w:val="28"/>
          <w:u w:val="single"/>
        </w:rPr>
      </w:pPr>
      <w:r>
        <w:rPr>
          <w:rFonts w:hint="eastAsia" w:ascii="宋体" w:hAnsi="宋体"/>
          <w:b/>
          <w:sz w:val="28"/>
          <w:szCs w:val="28"/>
        </w:rPr>
        <w:t>项目</w:t>
      </w:r>
      <w:r>
        <w:rPr>
          <w:rFonts w:ascii="宋体" w:hAnsi="宋体"/>
          <w:b/>
          <w:sz w:val="28"/>
          <w:szCs w:val="28"/>
        </w:rPr>
        <w:t>名称：</w:t>
      </w:r>
      <w:r>
        <w:rPr>
          <w:rFonts w:hint="eastAsia" w:ascii="宋体" w:hAnsi="宋体"/>
          <w:b/>
          <w:sz w:val="28"/>
          <w:szCs w:val="28"/>
          <w:u w:val="single"/>
        </w:rPr>
        <w:t xml:space="preserve">                                            </w:t>
      </w:r>
    </w:p>
    <w:p w14:paraId="3470BBF3">
      <w:pPr>
        <w:spacing w:line="500" w:lineRule="exact"/>
        <w:rPr>
          <w:rFonts w:ascii="宋体" w:hAnsi="宋体"/>
          <w:b/>
          <w:sz w:val="28"/>
          <w:szCs w:val="28"/>
        </w:rPr>
      </w:pPr>
      <w:r>
        <w:rPr>
          <w:rFonts w:hint="eastAsia" w:ascii="宋体" w:hAnsi="宋体"/>
          <w:b/>
          <w:sz w:val="28"/>
          <w:szCs w:val="28"/>
          <w:lang w:eastAsia="zh-CN"/>
        </w:rPr>
        <w:t>采购计划文号</w:t>
      </w:r>
      <w:r>
        <w:rPr>
          <w:rFonts w:hint="eastAsia" w:ascii="宋体" w:hAnsi="宋体"/>
          <w:b/>
          <w:sz w:val="28"/>
          <w:szCs w:val="28"/>
        </w:rPr>
        <w:t>：</w:t>
      </w:r>
      <w:r>
        <w:rPr>
          <w:rFonts w:hint="eastAsia" w:ascii="宋体" w:hAnsi="宋体"/>
          <w:b/>
          <w:sz w:val="28"/>
          <w:szCs w:val="28"/>
          <w:u w:val="single"/>
        </w:rPr>
        <w:t xml:space="preserve">                                            </w:t>
      </w:r>
    </w:p>
    <w:p w14:paraId="69A54D9E">
      <w:pPr>
        <w:spacing w:line="500" w:lineRule="exact"/>
        <w:rPr>
          <w:rFonts w:ascii="宋体" w:hAnsi="宋体"/>
          <w:b/>
          <w:sz w:val="28"/>
          <w:szCs w:val="28"/>
        </w:rPr>
      </w:pPr>
      <w:r>
        <w:rPr>
          <w:rFonts w:hint="eastAsia" w:ascii="宋体" w:hAnsi="宋体"/>
          <w:b/>
          <w:sz w:val="28"/>
          <w:szCs w:val="28"/>
        </w:rPr>
        <w:t>投标人全称</w:t>
      </w:r>
      <w:r>
        <w:rPr>
          <w:rFonts w:ascii="宋体" w:hAnsi="宋体"/>
          <w:b/>
          <w:sz w:val="28"/>
          <w:szCs w:val="28"/>
        </w:rPr>
        <w:t>：</w:t>
      </w:r>
      <w:r>
        <w:rPr>
          <w:rFonts w:hint="eastAsia" w:ascii="宋体" w:hAnsi="宋体"/>
          <w:b/>
          <w:sz w:val="28"/>
          <w:szCs w:val="28"/>
          <w:u w:val="single"/>
        </w:rPr>
        <w:t xml:space="preserve">                            （加盖单位公章</w:t>
      </w:r>
      <w:r>
        <w:rPr>
          <w:rFonts w:ascii="宋体" w:hAnsi="宋体"/>
          <w:b/>
          <w:sz w:val="28"/>
          <w:szCs w:val="28"/>
          <w:u w:val="single"/>
        </w:rPr>
        <w:t>）</w:t>
      </w:r>
      <w:r>
        <w:rPr>
          <w:rFonts w:hint="eastAsia" w:ascii="宋体" w:hAnsi="宋体"/>
          <w:b/>
          <w:sz w:val="28"/>
          <w:szCs w:val="28"/>
          <w:u w:val="single"/>
        </w:rPr>
        <w:t xml:space="preserve"> </w:t>
      </w:r>
    </w:p>
    <w:p w14:paraId="178E508C">
      <w:pPr>
        <w:spacing w:line="500" w:lineRule="exact"/>
        <w:rPr>
          <w:rFonts w:ascii="宋体" w:hAnsi="宋体"/>
          <w:b/>
          <w:sz w:val="28"/>
          <w:szCs w:val="28"/>
        </w:rPr>
      </w:pPr>
      <w:r>
        <w:rPr>
          <w:rFonts w:hint="eastAsia" w:ascii="宋体" w:hAnsi="宋体"/>
          <w:b/>
          <w:sz w:val="28"/>
          <w:szCs w:val="28"/>
        </w:rPr>
        <w:t>日  期</w:t>
      </w:r>
      <w:r>
        <w:rPr>
          <w:rFonts w:ascii="宋体" w:hAnsi="宋体"/>
          <w:b/>
          <w:sz w:val="28"/>
          <w:szCs w:val="28"/>
        </w:rPr>
        <w:t>：</w:t>
      </w:r>
      <w:r>
        <w:rPr>
          <w:rFonts w:hint="eastAsia" w:ascii="宋体" w:hAnsi="宋体"/>
          <w:b/>
          <w:sz w:val="28"/>
          <w:szCs w:val="28"/>
          <w:u w:val="single"/>
        </w:rPr>
        <w:t xml:space="preserve">                      年 </w:t>
      </w:r>
      <w:r>
        <w:rPr>
          <w:rFonts w:ascii="宋体" w:hAnsi="宋体"/>
          <w:b/>
          <w:sz w:val="28"/>
          <w:szCs w:val="28"/>
          <w:u w:val="single"/>
        </w:rPr>
        <w:t xml:space="preserve">  </w:t>
      </w:r>
      <w:r>
        <w:rPr>
          <w:rFonts w:hint="eastAsia" w:ascii="宋体" w:hAnsi="宋体"/>
          <w:b/>
          <w:sz w:val="28"/>
          <w:szCs w:val="28"/>
          <w:u w:val="single"/>
        </w:rPr>
        <w:t xml:space="preserve">月 </w:t>
      </w:r>
      <w:r>
        <w:rPr>
          <w:rFonts w:ascii="宋体" w:hAnsi="宋体"/>
          <w:b/>
          <w:sz w:val="28"/>
          <w:szCs w:val="28"/>
          <w:u w:val="single"/>
        </w:rPr>
        <w:t xml:space="preserve">  </w:t>
      </w:r>
      <w:r>
        <w:rPr>
          <w:rFonts w:hint="eastAsia" w:ascii="宋体" w:hAnsi="宋体"/>
          <w:b/>
          <w:sz w:val="28"/>
          <w:szCs w:val="28"/>
          <w:u w:val="single"/>
        </w:rPr>
        <w:t xml:space="preserve">日           </w:t>
      </w:r>
    </w:p>
    <w:p w14:paraId="067A52AC">
      <w:pPr>
        <w:spacing w:line="500" w:lineRule="exact"/>
        <w:rPr>
          <w:rFonts w:ascii="宋体" w:hAnsi="宋体"/>
          <w:sz w:val="28"/>
          <w:szCs w:val="28"/>
        </w:rPr>
      </w:pPr>
    </w:p>
    <w:p w14:paraId="6D531F75">
      <w:pPr>
        <w:spacing w:line="500" w:lineRule="exact"/>
        <w:rPr>
          <w:rFonts w:ascii="宋体" w:hAnsi="宋体"/>
          <w:sz w:val="28"/>
          <w:szCs w:val="28"/>
        </w:rPr>
      </w:pPr>
    </w:p>
    <w:p w14:paraId="7C5C4B4A">
      <w:pPr>
        <w:spacing w:line="500" w:lineRule="exact"/>
        <w:jc w:val="center"/>
        <w:rPr>
          <w:rFonts w:ascii="宋体" w:hAnsi="宋体"/>
          <w:b/>
          <w:sz w:val="28"/>
          <w:szCs w:val="28"/>
        </w:rPr>
      </w:pPr>
    </w:p>
    <w:p w14:paraId="725A3982">
      <w:pPr>
        <w:spacing w:line="500" w:lineRule="exact"/>
        <w:jc w:val="center"/>
        <w:rPr>
          <w:rFonts w:ascii="宋体" w:hAnsi="宋体"/>
          <w:b/>
          <w:sz w:val="28"/>
          <w:szCs w:val="28"/>
        </w:rPr>
      </w:pPr>
    </w:p>
    <w:p w14:paraId="29AC6E32">
      <w:pPr>
        <w:spacing w:line="500" w:lineRule="exact"/>
        <w:jc w:val="center"/>
        <w:rPr>
          <w:rFonts w:ascii="宋体"/>
          <w:b/>
          <w:sz w:val="36"/>
          <w:szCs w:val="36"/>
        </w:rPr>
      </w:pPr>
      <w:r>
        <w:rPr>
          <w:rFonts w:hint="eastAsia" w:ascii="宋体"/>
          <w:b/>
          <w:sz w:val="36"/>
          <w:szCs w:val="36"/>
        </w:rPr>
        <w:t>目 录</w:t>
      </w:r>
    </w:p>
    <w:p w14:paraId="4B3EC58F">
      <w:pPr>
        <w:spacing w:line="780" w:lineRule="exact"/>
        <w:jc w:val="center"/>
        <w:rPr>
          <w:rFonts w:ascii="宋体" w:hAnsi="宋体"/>
          <w:b/>
          <w:bCs/>
          <w:sz w:val="32"/>
          <w:szCs w:val="32"/>
        </w:rPr>
      </w:pPr>
      <w:r>
        <w:rPr>
          <w:rFonts w:hint="eastAsia" w:ascii="宋体" w:hAnsi="宋体"/>
          <w:b/>
          <w:bCs/>
          <w:sz w:val="32"/>
          <w:szCs w:val="32"/>
        </w:rPr>
        <w:t>请投标人</w:t>
      </w:r>
      <w:r>
        <w:rPr>
          <w:rFonts w:ascii="宋体" w:hAnsi="宋体"/>
          <w:b/>
          <w:bCs/>
          <w:sz w:val="32"/>
          <w:szCs w:val="32"/>
        </w:rPr>
        <w:t>自行编写</w:t>
      </w:r>
    </w:p>
    <w:p w14:paraId="04B15EA5">
      <w:pPr>
        <w:spacing w:line="780" w:lineRule="exact"/>
        <w:jc w:val="center"/>
        <w:rPr>
          <w:rFonts w:ascii="宋体" w:hAnsi="宋体"/>
          <w:b/>
          <w:bCs/>
          <w:sz w:val="32"/>
          <w:szCs w:val="32"/>
        </w:rPr>
      </w:pPr>
    </w:p>
    <w:p w14:paraId="3F97BF19">
      <w:pPr>
        <w:spacing w:line="500" w:lineRule="exact"/>
        <w:jc w:val="left"/>
        <w:rPr>
          <w:rFonts w:ascii="宋体" w:hAnsi="宋体"/>
          <w:b/>
          <w:sz w:val="28"/>
          <w:szCs w:val="28"/>
        </w:rPr>
      </w:pPr>
    </w:p>
    <w:p w14:paraId="69B343BF">
      <w:pPr>
        <w:spacing w:line="500" w:lineRule="exact"/>
        <w:jc w:val="left"/>
        <w:rPr>
          <w:rFonts w:ascii="宋体" w:hAnsi="宋体"/>
          <w:b/>
          <w:sz w:val="28"/>
          <w:szCs w:val="28"/>
        </w:rPr>
      </w:pPr>
    </w:p>
    <w:p w14:paraId="51A8A854">
      <w:pPr>
        <w:spacing w:line="500" w:lineRule="exact"/>
        <w:jc w:val="left"/>
        <w:rPr>
          <w:rFonts w:ascii="宋体" w:hAnsi="宋体"/>
          <w:b/>
          <w:sz w:val="28"/>
          <w:szCs w:val="28"/>
        </w:rPr>
      </w:pPr>
    </w:p>
    <w:p w14:paraId="072DA9F8">
      <w:pPr>
        <w:spacing w:line="500" w:lineRule="exact"/>
        <w:jc w:val="left"/>
        <w:rPr>
          <w:rFonts w:ascii="宋体" w:hAnsi="宋体"/>
          <w:b/>
          <w:sz w:val="28"/>
          <w:szCs w:val="28"/>
        </w:rPr>
      </w:pPr>
    </w:p>
    <w:p w14:paraId="38700974">
      <w:pPr>
        <w:spacing w:line="500" w:lineRule="exact"/>
        <w:jc w:val="left"/>
        <w:rPr>
          <w:rFonts w:ascii="宋体" w:hAnsi="宋体"/>
          <w:b/>
          <w:sz w:val="28"/>
          <w:szCs w:val="28"/>
        </w:rPr>
      </w:pPr>
    </w:p>
    <w:p w14:paraId="29F6CDBA">
      <w:pPr>
        <w:spacing w:line="500" w:lineRule="exact"/>
        <w:jc w:val="left"/>
        <w:rPr>
          <w:rFonts w:ascii="宋体" w:hAnsi="宋体"/>
          <w:b/>
          <w:sz w:val="28"/>
          <w:szCs w:val="28"/>
        </w:rPr>
      </w:pPr>
    </w:p>
    <w:p w14:paraId="3245CA46">
      <w:pPr>
        <w:spacing w:line="500" w:lineRule="exact"/>
        <w:jc w:val="left"/>
        <w:rPr>
          <w:rFonts w:ascii="宋体" w:hAnsi="宋体"/>
          <w:b/>
          <w:sz w:val="28"/>
          <w:szCs w:val="28"/>
        </w:rPr>
      </w:pPr>
    </w:p>
    <w:p w14:paraId="60262B96">
      <w:pPr>
        <w:spacing w:line="500" w:lineRule="exact"/>
        <w:jc w:val="left"/>
        <w:rPr>
          <w:rFonts w:ascii="宋体" w:hAnsi="宋体"/>
          <w:b/>
          <w:sz w:val="28"/>
          <w:szCs w:val="28"/>
        </w:rPr>
      </w:pPr>
    </w:p>
    <w:p w14:paraId="3DFAD131">
      <w:pPr>
        <w:spacing w:line="500" w:lineRule="exact"/>
        <w:jc w:val="left"/>
        <w:rPr>
          <w:rFonts w:ascii="宋体" w:hAnsi="宋体"/>
          <w:b/>
          <w:sz w:val="28"/>
          <w:szCs w:val="28"/>
        </w:rPr>
      </w:pPr>
    </w:p>
    <w:p w14:paraId="200ED17A">
      <w:pPr>
        <w:spacing w:line="500" w:lineRule="exact"/>
        <w:jc w:val="left"/>
        <w:rPr>
          <w:rFonts w:ascii="宋体" w:hAnsi="宋体"/>
          <w:b/>
          <w:sz w:val="28"/>
          <w:szCs w:val="28"/>
        </w:rPr>
      </w:pPr>
    </w:p>
    <w:p w14:paraId="1CDE5D8C">
      <w:pPr>
        <w:spacing w:line="500" w:lineRule="exact"/>
        <w:jc w:val="left"/>
        <w:rPr>
          <w:rFonts w:ascii="宋体" w:hAnsi="宋体"/>
          <w:b/>
          <w:sz w:val="28"/>
          <w:szCs w:val="28"/>
        </w:rPr>
      </w:pPr>
    </w:p>
    <w:p w14:paraId="2E3B3695">
      <w:pPr>
        <w:spacing w:line="500" w:lineRule="exact"/>
        <w:jc w:val="left"/>
        <w:rPr>
          <w:rFonts w:ascii="宋体" w:hAnsi="宋体"/>
          <w:b/>
          <w:sz w:val="28"/>
          <w:szCs w:val="28"/>
        </w:rPr>
      </w:pPr>
    </w:p>
    <w:p w14:paraId="246D2D6B">
      <w:pPr>
        <w:spacing w:line="500" w:lineRule="exact"/>
        <w:jc w:val="left"/>
        <w:rPr>
          <w:rFonts w:ascii="宋体" w:hAnsi="宋体"/>
          <w:b/>
          <w:sz w:val="28"/>
          <w:szCs w:val="28"/>
        </w:rPr>
      </w:pPr>
    </w:p>
    <w:p w14:paraId="7BC0C58B">
      <w:pPr>
        <w:spacing w:line="500" w:lineRule="exact"/>
        <w:jc w:val="left"/>
        <w:rPr>
          <w:rFonts w:ascii="宋体" w:hAnsi="宋体"/>
          <w:b/>
          <w:sz w:val="28"/>
          <w:szCs w:val="28"/>
        </w:rPr>
      </w:pPr>
    </w:p>
    <w:p w14:paraId="74DA3BA4">
      <w:pPr>
        <w:spacing w:line="500" w:lineRule="exact"/>
        <w:jc w:val="left"/>
        <w:rPr>
          <w:rFonts w:ascii="宋体" w:hAnsi="宋体"/>
          <w:b/>
          <w:sz w:val="28"/>
          <w:szCs w:val="28"/>
        </w:rPr>
      </w:pPr>
    </w:p>
    <w:p w14:paraId="354F5767">
      <w:pPr>
        <w:spacing w:line="500" w:lineRule="exact"/>
        <w:jc w:val="left"/>
        <w:rPr>
          <w:rFonts w:ascii="宋体" w:hAnsi="宋体"/>
          <w:b/>
          <w:sz w:val="28"/>
          <w:szCs w:val="28"/>
        </w:rPr>
      </w:pPr>
    </w:p>
    <w:p w14:paraId="0A6B5CEB">
      <w:pPr>
        <w:spacing w:line="500" w:lineRule="exact"/>
        <w:jc w:val="left"/>
        <w:rPr>
          <w:rFonts w:ascii="宋体" w:hAnsi="宋体"/>
          <w:b/>
          <w:sz w:val="28"/>
          <w:szCs w:val="28"/>
        </w:rPr>
      </w:pPr>
    </w:p>
    <w:p w14:paraId="29D03FB5">
      <w:pPr>
        <w:spacing w:line="500" w:lineRule="exact"/>
        <w:jc w:val="left"/>
        <w:rPr>
          <w:rFonts w:ascii="宋体" w:hAnsi="宋体"/>
          <w:b/>
          <w:sz w:val="28"/>
          <w:szCs w:val="28"/>
        </w:rPr>
      </w:pPr>
    </w:p>
    <w:p w14:paraId="0D3D5DE0">
      <w:pPr>
        <w:spacing w:line="500" w:lineRule="exact"/>
        <w:jc w:val="left"/>
        <w:rPr>
          <w:rFonts w:ascii="宋体" w:hAnsi="宋体"/>
          <w:b/>
          <w:sz w:val="28"/>
          <w:szCs w:val="28"/>
        </w:rPr>
      </w:pPr>
    </w:p>
    <w:p w14:paraId="0684E21B">
      <w:pPr>
        <w:spacing w:line="500" w:lineRule="exact"/>
        <w:jc w:val="left"/>
        <w:rPr>
          <w:rFonts w:ascii="宋体" w:hAnsi="宋体"/>
          <w:b/>
          <w:sz w:val="28"/>
          <w:szCs w:val="28"/>
        </w:rPr>
      </w:pPr>
    </w:p>
    <w:p w14:paraId="5F996B1B">
      <w:pPr>
        <w:spacing w:line="500" w:lineRule="exact"/>
        <w:jc w:val="left"/>
        <w:rPr>
          <w:rFonts w:ascii="宋体" w:hAnsi="宋体"/>
          <w:b/>
          <w:sz w:val="28"/>
          <w:szCs w:val="28"/>
        </w:rPr>
      </w:pPr>
    </w:p>
    <w:p w14:paraId="01772760">
      <w:pPr>
        <w:spacing w:line="500" w:lineRule="exact"/>
        <w:jc w:val="left"/>
        <w:rPr>
          <w:rFonts w:ascii="宋体" w:hAnsi="宋体"/>
          <w:b/>
          <w:sz w:val="28"/>
          <w:szCs w:val="28"/>
        </w:rPr>
      </w:pPr>
    </w:p>
    <w:p w14:paraId="063092B1">
      <w:pPr>
        <w:pStyle w:val="4"/>
        <w:spacing w:line="240" w:lineRule="atLeast"/>
        <w:jc w:val="center"/>
        <w:rPr>
          <w:rFonts w:ascii="黑体" w:hAnsi="黑体"/>
        </w:rPr>
      </w:pPr>
      <w:bookmarkStart w:id="962" w:name="_Toc30291"/>
      <w:r>
        <w:rPr>
          <w:rFonts w:hint="eastAsia" w:ascii="黑体" w:hAnsi="黑体"/>
        </w:rPr>
        <w:t>一</w:t>
      </w:r>
      <w:r>
        <w:rPr>
          <w:rFonts w:ascii="黑体" w:hAnsi="黑体"/>
        </w:rPr>
        <w:t>、</w:t>
      </w:r>
      <w:r>
        <w:rPr>
          <w:rFonts w:hint="eastAsia" w:ascii="黑体" w:hAnsi="黑体"/>
        </w:rPr>
        <w:t>法定代表人（</w:t>
      </w:r>
      <w:r>
        <w:rPr>
          <w:rFonts w:ascii="黑体" w:hAnsi="黑体"/>
        </w:rPr>
        <w:t>单位负责人）</w:t>
      </w:r>
      <w:r>
        <w:rPr>
          <w:rFonts w:hint="eastAsia" w:ascii="黑体" w:hAnsi="黑体"/>
        </w:rPr>
        <w:t>身份证明</w:t>
      </w:r>
      <w:bookmarkEnd w:id="962"/>
    </w:p>
    <w:p w14:paraId="6F426395">
      <w:pPr>
        <w:tabs>
          <w:tab w:val="left" w:pos="1920"/>
        </w:tabs>
        <w:spacing w:line="500" w:lineRule="exact"/>
        <w:ind w:left="840"/>
        <w:rPr>
          <w:rFonts w:ascii="宋体" w:hAnsi="宋体"/>
          <w:b/>
          <w:sz w:val="28"/>
          <w:szCs w:val="28"/>
        </w:rPr>
      </w:pPr>
      <w:r>
        <w:rPr>
          <w:rFonts w:ascii="宋体" w:hAnsi="宋体"/>
          <w:b/>
          <w:sz w:val="28"/>
          <w:szCs w:val="28"/>
        </w:rPr>
        <w:tab/>
      </w:r>
    </w:p>
    <w:p w14:paraId="4BAFD422">
      <w:pPr>
        <w:spacing w:line="500" w:lineRule="exact"/>
        <w:ind w:firstLine="480" w:firstLineChars="200"/>
        <w:rPr>
          <w:rFonts w:ascii="宋体" w:hAnsi="宋体"/>
          <w:sz w:val="24"/>
          <w:szCs w:val="28"/>
        </w:rPr>
      </w:pPr>
      <w:r>
        <w:rPr>
          <w:rFonts w:hint="eastAsia" w:ascii="宋体" w:hAnsi="宋体"/>
          <w:sz w:val="24"/>
          <w:szCs w:val="28"/>
        </w:rPr>
        <w:t>投标人（公司）名称：</w:t>
      </w:r>
      <w:r>
        <w:rPr>
          <w:rFonts w:hint="eastAsia" w:ascii="宋体" w:hAnsi="宋体"/>
          <w:sz w:val="24"/>
          <w:szCs w:val="28"/>
          <w:u w:val="single"/>
        </w:rPr>
        <w:t xml:space="preserve">                          </w:t>
      </w:r>
    </w:p>
    <w:p w14:paraId="17849171">
      <w:pPr>
        <w:spacing w:line="500" w:lineRule="exact"/>
        <w:ind w:firstLine="480" w:firstLineChars="200"/>
        <w:rPr>
          <w:rFonts w:ascii="宋体" w:hAnsi="宋体"/>
          <w:sz w:val="24"/>
          <w:szCs w:val="28"/>
          <w:u w:val="single"/>
        </w:rPr>
      </w:pPr>
      <w:r>
        <w:rPr>
          <w:rFonts w:hint="eastAsia" w:ascii="宋体" w:hAnsi="宋体"/>
          <w:sz w:val="24"/>
          <w:szCs w:val="28"/>
        </w:rPr>
        <w:t>单位性质：</w:t>
      </w:r>
      <w:r>
        <w:rPr>
          <w:rFonts w:hint="eastAsia" w:ascii="宋体" w:hAnsi="宋体"/>
          <w:sz w:val="24"/>
          <w:szCs w:val="28"/>
          <w:u w:val="single"/>
        </w:rPr>
        <w:t xml:space="preserve">                                  </w:t>
      </w:r>
      <w:r>
        <w:rPr>
          <w:rFonts w:ascii="宋体" w:hAnsi="宋体"/>
          <w:sz w:val="24"/>
          <w:szCs w:val="28"/>
          <w:u w:val="single"/>
        </w:rPr>
        <w:t xml:space="preserve">  </w:t>
      </w:r>
    </w:p>
    <w:p w14:paraId="10A50F1B">
      <w:pPr>
        <w:spacing w:line="500" w:lineRule="exact"/>
        <w:ind w:firstLine="480" w:firstLineChars="200"/>
        <w:rPr>
          <w:rFonts w:ascii="宋体" w:hAnsi="宋体"/>
          <w:sz w:val="24"/>
          <w:szCs w:val="28"/>
          <w:u w:val="single"/>
        </w:rPr>
      </w:pPr>
      <w:r>
        <w:rPr>
          <w:rFonts w:hint="eastAsia" w:ascii="宋体" w:hAnsi="宋体"/>
          <w:sz w:val="24"/>
          <w:szCs w:val="28"/>
        </w:rPr>
        <w:t>公司地址：</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p>
    <w:p w14:paraId="0C968052">
      <w:pPr>
        <w:spacing w:line="500" w:lineRule="exact"/>
        <w:ind w:firstLine="480" w:firstLineChars="200"/>
        <w:rPr>
          <w:rFonts w:ascii="宋体" w:hAnsi="宋体"/>
          <w:sz w:val="24"/>
          <w:szCs w:val="28"/>
        </w:rPr>
      </w:pPr>
      <w:r>
        <w:rPr>
          <w:rFonts w:hint="eastAsia" w:ascii="宋体" w:hAnsi="宋体"/>
          <w:sz w:val="24"/>
          <w:szCs w:val="28"/>
        </w:rPr>
        <w:t>成立时间：</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365EF640">
      <w:pPr>
        <w:spacing w:line="500" w:lineRule="exact"/>
        <w:ind w:firstLine="480" w:firstLineChars="200"/>
        <w:rPr>
          <w:rFonts w:ascii="宋体" w:hAnsi="宋体"/>
          <w:sz w:val="24"/>
          <w:szCs w:val="28"/>
          <w:u w:val="single"/>
        </w:rPr>
      </w:pPr>
      <w:r>
        <w:rPr>
          <w:rFonts w:hint="eastAsia" w:ascii="宋体" w:hAnsi="宋体"/>
          <w:sz w:val="24"/>
          <w:szCs w:val="28"/>
        </w:rPr>
        <w:t>经营期限：</w:t>
      </w:r>
      <w:r>
        <w:rPr>
          <w:rFonts w:hint="eastAsia" w:ascii="宋体" w:hAnsi="宋体"/>
          <w:sz w:val="24"/>
          <w:szCs w:val="28"/>
          <w:u w:val="single"/>
        </w:rPr>
        <w:t xml:space="preserve">                                   </w:t>
      </w:r>
    </w:p>
    <w:p w14:paraId="1EA2796F">
      <w:pPr>
        <w:spacing w:line="500" w:lineRule="exact"/>
        <w:ind w:firstLine="480" w:firstLineChars="200"/>
        <w:rPr>
          <w:rFonts w:ascii="宋体" w:hAnsi="宋体"/>
          <w:sz w:val="24"/>
          <w:szCs w:val="28"/>
          <w:u w:val="single"/>
        </w:rPr>
      </w:pPr>
      <w:r>
        <w:rPr>
          <w:rFonts w:hint="eastAsia" w:ascii="宋体" w:hAnsi="宋体"/>
          <w:sz w:val="24"/>
          <w:szCs w:val="28"/>
        </w:rPr>
        <w:t>姓 名：</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性别：</w:t>
      </w:r>
      <w:r>
        <w:rPr>
          <w:rFonts w:hint="eastAsia" w:ascii="宋体" w:hAnsi="宋体"/>
          <w:sz w:val="24"/>
          <w:szCs w:val="28"/>
          <w:u w:val="single"/>
        </w:rPr>
        <w:t xml:space="preserve">    </w:t>
      </w:r>
      <w:r>
        <w:rPr>
          <w:rFonts w:hint="eastAsia" w:ascii="宋体" w:hAnsi="宋体"/>
          <w:sz w:val="24"/>
          <w:szCs w:val="28"/>
        </w:rPr>
        <w:t>年龄：</w:t>
      </w:r>
      <w:r>
        <w:rPr>
          <w:rFonts w:hint="eastAsia" w:ascii="宋体" w:hAnsi="宋体"/>
          <w:sz w:val="24"/>
          <w:szCs w:val="28"/>
          <w:u w:val="single"/>
        </w:rPr>
        <w:t xml:space="preserve">     </w:t>
      </w:r>
    </w:p>
    <w:p w14:paraId="07300483">
      <w:pPr>
        <w:spacing w:line="500" w:lineRule="exact"/>
        <w:ind w:firstLine="480" w:firstLineChars="200"/>
        <w:rPr>
          <w:rFonts w:ascii="宋体" w:hAnsi="宋体"/>
          <w:sz w:val="24"/>
          <w:szCs w:val="28"/>
          <w:u w:val="single"/>
        </w:rPr>
      </w:pPr>
      <w:r>
        <w:rPr>
          <w:rFonts w:hint="eastAsia" w:ascii="宋体" w:hAnsi="宋体"/>
          <w:sz w:val="24"/>
          <w:szCs w:val="28"/>
        </w:rPr>
        <w:t>职务：</w:t>
      </w:r>
      <w:r>
        <w:rPr>
          <w:rFonts w:hint="eastAsia" w:ascii="宋体" w:hAnsi="宋体"/>
          <w:sz w:val="24"/>
          <w:szCs w:val="28"/>
          <w:u w:val="single"/>
        </w:rPr>
        <w:t xml:space="preserve">        </w:t>
      </w:r>
      <w:r>
        <w:rPr>
          <w:rFonts w:hint="eastAsia" w:ascii="宋体" w:hAnsi="宋体"/>
          <w:sz w:val="24"/>
          <w:szCs w:val="28"/>
        </w:rPr>
        <w:t>系</w:t>
      </w:r>
      <w:r>
        <w:rPr>
          <w:rFonts w:hint="eastAsia" w:ascii="宋体" w:hAnsi="宋体"/>
          <w:sz w:val="24"/>
          <w:szCs w:val="28"/>
          <w:u w:val="single"/>
        </w:rPr>
        <w:t xml:space="preserve">                     </w:t>
      </w:r>
      <w:r>
        <w:rPr>
          <w:rFonts w:hint="eastAsia" w:ascii="宋体" w:hAnsi="宋体"/>
          <w:sz w:val="24"/>
          <w:szCs w:val="28"/>
        </w:rPr>
        <w:t>（投标人名称）的法定代表人（负责人</w:t>
      </w:r>
      <w:r>
        <w:rPr>
          <w:rFonts w:ascii="宋体" w:hAnsi="宋体"/>
          <w:sz w:val="24"/>
          <w:szCs w:val="28"/>
        </w:rPr>
        <w:t>）</w:t>
      </w:r>
      <w:r>
        <w:rPr>
          <w:rFonts w:hint="eastAsia" w:ascii="宋体" w:hAnsi="宋体"/>
          <w:sz w:val="24"/>
          <w:szCs w:val="28"/>
        </w:rPr>
        <w:t>。</w:t>
      </w:r>
    </w:p>
    <w:p w14:paraId="4FEA2BFD">
      <w:pPr>
        <w:spacing w:line="500" w:lineRule="exact"/>
        <w:ind w:firstLine="480" w:firstLineChars="200"/>
        <w:rPr>
          <w:rFonts w:ascii="宋体" w:hAnsi="宋体"/>
          <w:sz w:val="24"/>
          <w:szCs w:val="28"/>
        </w:rPr>
      </w:pPr>
      <w:r>
        <w:rPr>
          <w:rFonts w:hint="eastAsia" w:ascii="宋体" w:hAnsi="宋体"/>
          <w:sz w:val="24"/>
          <w:szCs w:val="28"/>
        </w:rPr>
        <w:t>特此证明。</w:t>
      </w:r>
    </w:p>
    <w:p w14:paraId="37D3A4B4">
      <w:pPr>
        <w:spacing w:line="500" w:lineRule="exact"/>
        <w:ind w:firstLine="482" w:firstLineChars="200"/>
        <w:rPr>
          <w:rFonts w:ascii="宋体" w:hAnsi="宋体"/>
          <w:b/>
          <w:sz w:val="24"/>
          <w:szCs w:val="28"/>
        </w:rPr>
      </w:pPr>
      <w:r>
        <w:rPr>
          <w:rFonts w:hint="eastAsia" w:ascii="宋体" w:hAnsi="宋体"/>
          <w:b/>
          <w:sz w:val="24"/>
          <w:szCs w:val="28"/>
        </w:rPr>
        <w:t>附：法定代表人（负责人</w:t>
      </w:r>
      <w:r>
        <w:rPr>
          <w:rFonts w:ascii="宋体" w:hAnsi="宋体"/>
          <w:b/>
          <w:sz w:val="24"/>
          <w:szCs w:val="28"/>
        </w:rPr>
        <w:t>）</w:t>
      </w:r>
      <w:r>
        <w:rPr>
          <w:rFonts w:hint="eastAsia" w:ascii="宋体" w:hAnsi="宋体"/>
          <w:b/>
          <w:sz w:val="24"/>
          <w:szCs w:val="28"/>
        </w:rPr>
        <w:t>身份证复印件（正反面）格式如下。</w:t>
      </w:r>
    </w:p>
    <w:p w14:paraId="60F421FF">
      <w:pPr>
        <w:spacing w:line="500" w:lineRule="exact"/>
        <w:ind w:firstLine="480" w:firstLineChars="200"/>
        <w:rPr>
          <w:rFonts w:ascii="宋体" w:hAnsi="宋体"/>
          <w:sz w:val="24"/>
          <w:szCs w:val="28"/>
        </w:rPr>
      </w:pPr>
    </w:p>
    <w:p w14:paraId="3FF4D9BB">
      <w:pPr>
        <w:ind w:firstLine="784" w:firstLineChars="245"/>
        <w:rPr>
          <w:rFonts w:ascii="宋体" w:hAnsi="宋体"/>
          <w:b/>
          <w:i/>
          <w:color w:val="000000"/>
          <w:szCs w:val="21"/>
        </w:rPr>
      </w:pPr>
      <w:r>
        <w:rPr>
          <w:rFonts w:hint="eastAsia" w:ascii="仿宋_GB2312" w:eastAsia="仿宋_GB2312"/>
          <w:sz w:val="32"/>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33020</wp:posOffset>
                </wp:positionV>
                <wp:extent cx="2628900" cy="1584960"/>
                <wp:effectExtent l="7620" t="13970" r="11430" b="10795"/>
                <wp:wrapNone/>
                <wp:docPr id="17" name="圆角矩形 17"/>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71006F38"/>
                          <w:p w14:paraId="68BBF9B1"/>
                          <w:p w14:paraId="44B66025"/>
                          <w:p w14:paraId="6FD96177"/>
                          <w:p w14:paraId="4004CD94">
                            <w:pPr>
                              <w:jc w:val="center"/>
                              <w:rPr>
                                <w:b/>
                                <w:sz w:val="28"/>
                              </w:rPr>
                            </w:pPr>
                            <w:r>
                              <w:rPr>
                                <w:rFonts w:hint="eastAsia"/>
                                <w:b/>
                                <w:sz w:val="28"/>
                              </w:rPr>
                              <w:t>法</w:t>
                            </w:r>
                            <w:r>
                              <w:rPr>
                                <w:b/>
                                <w:sz w:val="28"/>
                              </w:rPr>
                              <w:t>定代表人居民身份证反面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3360;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6gf0doA&#10;AAAJAQAADwAAAAAAAAABACAAAAAiAAAAZHJzL2Rvd25yZXYueG1sUEsBAhQAFAAAAAgAh07iQGFm&#10;xf5WAgAAfQQAAA4AAAAAAAAAAQAgAAAAKQEAAGRycy9lMm9Eb2MueG1sUEsFBgAAAAAGAAYAWQEA&#10;APEFAAAAAA==&#10;">
                <v:fill on="f" focussize="0,0"/>
                <v:stroke weight="0.25pt" color="#000000" joinstyle="round"/>
                <v:imagedata o:title=""/>
                <o:lock v:ext="edit" aspectratio="f"/>
                <v:textbox>
                  <w:txbxContent>
                    <w:p w14:paraId="71006F38"/>
                    <w:p w14:paraId="68BBF9B1"/>
                    <w:p w14:paraId="44B66025"/>
                    <w:p w14:paraId="6FD96177"/>
                    <w:p w14:paraId="4004CD94">
                      <w:pPr>
                        <w:jc w:val="center"/>
                        <w:rPr>
                          <w:b/>
                          <w:sz w:val="28"/>
                        </w:rPr>
                      </w:pPr>
                      <w:r>
                        <w:rPr>
                          <w:rFonts w:hint="eastAsia"/>
                          <w:b/>
                          <w:sz w:val="28"/>
                        </w:rPr>
                        <w:t>法</w:t>
                      </w:r>
                      <w:r>
                        <w:rPr>
                          <w:b/>
                          <w:sz w:val="28"/>
                        </w:rPr>
                        <w:t>定代表人居民身份证反面</w:t>
                      </w:r>
                    </w:p>
                  </w:txbxContent>
                </v:textbox>
              </v:roundrect>
            </w:pict>
          </mc:Fallback>
        </mc:AlternateContent>
      </w:r>
      <w:r>
        <w:rPr>
          <w:rFonts w:hint="eastAsia" w:ascii="仿宋_GB2312" w:eastAsia="仿宋_GB2312"/>
          <w:sz w:val="32"/>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33020</wp:posOffset>
                </wp:positionV>
                <wp:extent cx="2628900" cy="1584960"/>
                <wp:effectExtent l="10160" t="13970" r="8890" b="10795"/>
                <wp:wrapNone/>
                <wp:docPr id="16" name="圆角矩形 16"/>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03B19879"/>
                          <w:p w14:paraId="3AE36684"/>
                          <w:p w14:paraId="02799E10"/>
                          <w:p w14:paraId="2279DD14"/>
                          <w:p w14:paraId="5E3B7025">
                            <w:pPr>
                              <w:jc w:val="center"/>
                              <w:rPr>
                                <w:b/>
                                <w:sz w:val="28"/>
                              </w:rPr>
                            </w:pPr>
                            <w:r>
                              <w:rPr>
                                <w:rFonts w:hint="eastAsia"/>
                                <w:b/>
                                <w:sz w:val="28"/>
                              </w:rPr>
                              <w:t>法</w:t>
                            </w:r>
                            <w:r>
                              <w:rPr>
                                <w:b/>
                                <w:sz w:val="28"/>
                              </w:rPr>
                              <w:t>定代表人居民</w:t>
                            </w:r>
                            <w:r>
                              <w:rPr>
                                <w:rFonts w:hint="eastAsia"/>
                                <w:b/>
                                <w:sz w:val="28"/>
                              </w:rPr>
                              <w:t>身</w:t>
                            </w:r>
                            <w:r>
                              <w:rPr>
                                <w:b/>
                                <w:sz w:val="28"/>
                              </w:rPr>
                              <w:t>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2336;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hKd+/ZAAAA&#10;CAEAAA8AAAAAAAAAAQAgAAAAIgAAAGRycy9kb3ducmV2LnhtbFBLAQIUABQAAAAIAIdO4kCoGXfB&#10;VQIAAH0EAAAOAAAAAAAAAAEAIAAAACgBAABkcnMvZTJvRG9jLnhtbFBLBQYAAAAABgAGAFkBAADv&#10;BQAAAAA=&#10;">
                <v:fill on="f" focussize="0,0"/>
                <v:stroke weight="0.25pt" color="#000000" joinstyle="round"/>
                <v:imagedata o:title=""/>
                <o:lock v:ext="edit" aspectratio="f"/>
                <v:textbox>
                  <w:txbxContent>
                    <w:p w14:paraId="03B19879"/>
                    <w:p w14:paraId="3AE36684"/>
                    <w:p w14:paraId="02799E10"/>
                    <w:p w14:paraId="2279DD14"/>
                    <w:p w14:paraId="5E3B7025">
                      <w:pPr>
                        <w:jc w:val="center"/>
                        <w:rPr>
                          <w:b/>
                          <w:sz w:val="28"/>
                        </w:rPr>
                      </w:pPr>
                      <w:r>
                        <w:rPr>
                          <w:rFonts w:hint="eastAsia"/>
                          <w:b/>
                          <w:sz w:val="28"/>
                        </w:rPr>
                        <w:t>法</w:t>
                      </w:r>
                      <w:r>
                        <w:rPr>
                          <w:b/>
                          <w:sz w:val="28"/>
                        </w:rPr>
                        <w:t>定代表人居民</w:t>
                      </w:r>
                      <w:r>
                        <w:rPr>
                          <w:rFonts w:hint="eastAsia"/>
                          <w:b/>
                          <w:sz w:val="28"/>
                        </w:rPr>
                        <w:t>身</w:t>
                      </w:r>
                      <w:r>
                        <w:rPr>
                          <w:b/>
                          <w:sz w:val="28"/>
                        </w:rPr>
                        <w:t>份证正面</w:t>
                      </w:r>
                    </w:p>
                  </w:txbxContent>
                </v:textbox>
              </v:roundrect>
            </w:pict>
          </mc:Fallback>
        </mc:AlternateContent>
      </w:r>
      <w:r>
        <w:rPr>
          <w:rFonts w:hint="eastAsia" w:ascii="宋体" w:hAnsi="宋体"/>
          <w:b/>
          <w:i/>
          <w:color w:val="000000"/>
          <w:szCs w:val="21"/>
        </w:rPr>
        <w:t xml:space="preserve">                           </w:t>
      </w:r>
    </w:p>
    <w:p w14:paraId="1BEEC22D">
      <w:pPr>
        <w:ind w:firstLine="1068" w:firstLineChars="445"/>
        <w:rPr>
          <w:rFonts w:ascii="仿宋_GB2312" w:eastAsia="仿宋_GB2312"/>
          <w:sz w:val="24"/>
        </w:rPr>
      </w:pPr>
      <w:r>
        <w:rPr>
          <w:rFonts w:hint="eastAsia" w:ascii="仿宋_GB2312" w:eastAsia="仿宋_GB2312"/>
          <w:sz w:val="24"/>
        </w:rPr>
        <w:t xml:space="preserve"> </w:t>
      </w:r>
    </w:p>
    <w:p w14:paraId="1D2CA3E4">
      <w:pPr>
        <w:ind w:firstLine="828" w:firstLineChars="345"/>
        <w:rPr>
          <w:rFonts w:ascii="仿宋_GB2312" w:eastAsia="仿宋_GB2312"/>
          <w:sz w:val="24"/>
        </w:rPr>
      </w:pPr>
    </w:p>
    <w:p w14:paraId="6DC82B4E">
      <w:pPr>
        <w:ind w:firstLine="1193" w:firstLineChars="495"/>
        <w:rPr>
          <w:rFonts w:ascii="宋体" w:hAnsi="宋体"/>
          <w:b/>
          <w:sz w:val="24"/>
        </w:rPr>
      </w:pPr>
      <w:r>
        <w:rPr>
          <w:rFonts w:hint="eastAsia" w:ascii="宋体" w:hAnsi="宋体"/>
          <w:b/>
          <w:sz w:val="24"/>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146050</wp:posOffset>
                </wp:positionV>
                <wp:extent cx="2039620" cy="247650"/>
                <wp:effectExtent l="0" t="657225" r="0" b="647700"/>
                <wp:wrapNone/>
                <wp:docPr id="14" name="文本框 14"/>
                <wp:cNvGraphicFramePr/>
                <a:graphic xmlns:a="http://schemas.openxmlformats.org/drawingml/2006/main">
                  <a:graphicData uri="http://schemas.microsoft.com/office/word/2010/wordprocessingShape">
                    <wps:wsp>
                      <wps:cNvSpPr txBox="1">
                        <a:spLocks noChangeArrowheads="1" noChangeShapeType="1"/>
                      </wps:cNvSpPr>
                      <wps:spPr bwMode="auto">
                        <a:xfrm rot="19023842">
                          <a:off x="0" y="0"/>
                          <a:ext cx="2039620" cy="247650"/>
                        </a:xfrm>
                        <a:prstGeom prst="rect">
                          <a:avLst/>
                        </a:prstGeom>
                      </wps:spPr>
                      <wps:txbx>
                        <w:txbxContent>
                          <w:p w14:paraId="79132AF5">
                            <w:pPr>
                              <w:pStyle w:val="52"/>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9pt;margin-top:11.5pt;height:19.5pt;width:160.6pt;rotation:-2813852f;z-index:251664384;mso-width-relative:page;mso-height-relative:page;" filled="f" stroked="f" coordsize="21600,21600" o:gfxdata="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i8FP1QAAAAgBAAAPAAAAAAAAAAEAIAAAACIAAABkcnMvZG93bnJldi54bWxQSwECFAAUAAAACACH&#10;TuJAjLV+cCcCAAArBAAADgAAAAAAAAABACAAAAAkAQAAZHJzL2Uyb0RvYy54bWxQSwUGAAAAAAYA&#10;BgBZAQAAvQUAAAAA&#10;" adj="10800">
                <v:fill on="f" focussize="0,0"/>
                <v:stroke on="f"/>
                <v:imagedata o:title=""/>
                <o:lock v:ext="edit" aspectratio="f"/>
                <v:textbox style="mso-fit-shape-to-text:t;">
                  <w:txbxContent>
                    <w:p w14:paraId="79132AF5">
                      <w:pPr>
                        <w:pStyle w:val="52"/>
                        <w:spacing w:before="0" w:beforeAutospacing="0" w:after="0" w:afterAutospacing="0"/>
                        <w:jc w:val="center"/>
                      </w:pPr>
                    </w:p>
                  </w:txbxContent>
                </v:textbox>
              </v:shape>
            </w:pict>
          </mc:Fallback>
        </mc:AlternateContent>
      </w:r>
      <w:r>
        <w:rPr>
          <w:rFonts w:hint="eastAsia" w:ascii="宋体" w:hAnsi="宋体"/>
          <w:sz w:val="24"/>
        </w:rPr>
        <w:t xml:space="preserve">                            </w:t>
      </w:r>
    </w:p>
    <w:p w14:paraId="64C13FED">
      <w:pPr>
        <w:spacing w:line="500" w:lineRule="exact"/>
        <w:ind w:firstLine="562" w:firstLineChars="200"/>
        <w:rPr>
          <w:rFonts w:ascii="宋体" w:hAnsi="宋体"/>
          <w:b/>
          <w:sz w:val="28"/>
          <w:szCs w:val="28"/>
        </w:rPr>
      </w:pPr>
    </w:p>
    <w:p w14:paraId="3151410B">
      <w:pPr>
        <w:spacing w:line="500" w:lineRule="exact"/>
        <w:ind w:firstLine="560" w:firstLineChars="200"/>
        <w:jc w:val="right"/>
        <w:rPr>
          <w:rFonts w:ascii="宋体" w:hAnsi="宋体"/>
          <w:sz w:val="28"/>
          <w:szCs w:val="28"/>
        </w:rPr>
      </w:pPr>
    </w:p>
    <w:p w14:paraId="0345500C">
      <w:pPr>
        <w:spacing w:line="500" w:lineRule="exact"/>
        <w:ind w:firstLine="560" w:firstLineChars="200"/>
        <w:jc w:val="right"/>
        <w:rPr>
          <w:rFonts w:ascii="宋体" w:hAnsi="宋体"/>
          <w:sz w:val="28"/>
          <w:szCs w:val="28"/>
        </w:rPr>
      </w:pPr>
    </w:p>
    <w:p w14:paraId="1BB27695">
      <w:pPr>
        <w:wordWrap w:val="0"/>
        <w:spacing w:line="500" w:lineRule="exact"/>
        <w:ind w:right="374" w:firstLine="560" w:firstLineChars="200"/>
        <w:jc w:val="righ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p w14:paraId="75608863">
      <w:pPr>
        <w:spacing w:line="500" w:lineRule="exact"/>
        <w:ind w:right="94" w:firstLine="560" w:firstLineChars="200"/>
        <w:jc w:val="right"/>
        <w:rPr>
          <w:rFonts w:ascii="宋体" w:hAnsi="宋体"/>
          <w:sz w:val="28"/>
          <w:szCs w:val="28"/>
        </w:rPr>
      </w:pPr>
      <w:r>
        <w:rPr>
          <w:rFonts w:ascii="宋体" w:hAnsi="宋体"/>
          <w:sz w:val="28"/>
          <w:szCs w:val="28"/>
        </w:rPr>
        <w:t xml:space="preserve"> </w:t>
      </w:r>
      <w:r>
        <w:rPr>
          <w:rFonts w:hint="eastAsia" w:ascii="宋体" w:hAnsi="宋体"/>
          <w:sz w:val="28"/>
          <w:szCs w:val="28"/>
        </w:rPr>
        <w:t>投标人全称：</w:t>
      </w:r>
      <w:r>
        <w:rPr>
          <w:rFonts w:hint="eastAsia" w:ascii="宋体" w:hAnsi="宋体"/>
          <w:sz w:val="28"/>
          <w:szCs w:val="28"/>
          <w:u w:val="single"/>
        </w:rPr>
        <w:t xml:space="preserve">                 </w:t>
      </w:r>
      <w:r>
        <w:rPr>
          <w:rFonts w:hint="eastAsia" w:ascii="宋体" w:hAnsi="宋体"/>
          <w:sz w:val="28"/>
          <w:szCs w:val="28"/>
        </w:rPr>
        <w:t>（盖单位章）</w:t>
      </w:r>
    </w:p>
    <w:p w14:paraId="789A4E31">
      <w:pPr>
        <w:wordWrap w:val="0"/>
        <w:spacing w:line="500" w:lineRule="exact"/>
        <w:ind w:firstLine="560" w:firstLineChars="200"/>
        <w:jc w:val="righ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w:t>
      </w:r>
      <w:r>
        <w:rPr>
          <w:rFonts w:hint="eastAsia" w:ascii="宋体" w:hAnsi="宋体"/>
          <w:sz w:val="28"/>
          <w:szCs w:val="28"/>
        </w:rPr>
        <w:t>手书签名或盖名章）</w:t>
      </w:r>
    </w:p>
    <w:p w14:paraId="121E0AE2">
      <w:pPr>
        <w:wordWrap w:val="0"/>
        <w:spacing w:line="500" w:lineRule="exact"/>
        <w:ind w:firstLine="560" w:firstLineChars="200"/>
        <w:jc w:val="right"/>
        <w:rPr>
          <w:rFonts w:ascii="宋体" w:hAnsi="宋体"/>
          <w:sz w:val="28"/>
          <w:szCs w:val="28"/>
          <w:u w:val="single"/>
        </w:rPr>
      </w:pPr>
      <w:r>
        <w:rPr>
          <w:rFonts w:hint="eastAsia" w:ascii="宋体" w:hAnsi="宋体"/>
          <w:sz w:val="28"/>
          <w:szCs w:val="28"/>
        </w:rPr>
        <w:t xml:space="preserve">    签</w:t>
      </w:r>
      <w:r>
        <w:rPr>
          <w:rFonts w:ascii="宋体" w:hAnsi="宋体"/>
          <w:sz w:val="28"/>
          <w:szCs w:val="28"/>
        </w:rPr>
        <w:t>署</w:t>
      </w: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月     日</w:t>
      </w:r>
    </w:p>
    <w:p w14:paraId="50A0A141">
      <w:pPr>
        <w:spacing w:line="500" w:lineRule="exact"/>
        <w:rPr>
          <w:rFonts w:ascii="宋体" w:hAnsi="宋体"/>
          <w:b/>
          <w:sz w:val="28"/>
          <w:szCs w:val="28"/>
        </w:rPr>
      </w:pPr>
    </w:p>
    <w:p w14:paraId="33B67D4F">
      <w:pPr>
        <w:spacing w:line="500" w:lineRule="exact"/>
        <w:jc w:val="center"/>
        <w:rPr>
          <w:rFonts w:ascii="宋体" w:hAnsi="宋体"/>
          <w:b/>
          <w:sz w:val="36"/>
          <w:szCs w:val="28"/>
        </w:rPr>
      </w:pPr>
    </w:p>
    <w:p w14:paraId="67A08C85">
      <w:pPr>
        <w:spacing w:line="500" w:lineRule="exact"/>
        <w:jc w:val="center"/>
        <w:rPr>
          <w:rFonts w:ascii="宋体" w:hAnsi="宋体"/>
          <w:b/>
          <w:sz w:val="36"/>
          <w:szCs w:val="28"/>
        </w:rPr>
      </w:pPr>
    </w:p>
    <w:p w14:paraId="1AB3A199">
      <w:pPr>
        <w:spacing w:line="500" w:lineRule="exact"/>
        <w:jc w:val="center"/>
        <w:rPr>
          <w:rFonts w:ascii="宋体" w:hAnsi="宋体"/>
          <w:b/>
          <w:sz w:val="36"/>
          <w:szCs w:val="28"/>
        </w:rPr>
      </w:pPr>
    </w:p>
    <w:p w14:paraId="08DAF7F5">
      <w:pPr>
        <w:spacing w:line="500" w:lineRule="exact"/>
        <w:jc w:val="center"/>
        <w:rPr>
          <w:rFonts w:ascii="宋体" w:hAnsi="宋体"/>
          <w:b/>
          <w:sz w:val="36"/>
          <w:szCs w:val="28"/>
        </w:rPr>
      </w:pPr>
    </w:p>
    <w:p w14:paraId="0980A0D0">
      <w:pPr>
        <w:pStyle w:val="4"/>
        <w:spacing w:line="240" w:lineRule="atLeast"/>
        <w:jc w:val="center"/>
        <w:rPr>
          <w:rFonts w:ascii="黑体" w:hAnsi="黑体"/>
        </w:rPr>
      </w:pPr>
      <w:bookmarkStart w:id="963" w:name="_Toc18655"/>
      <w:r>
        <w:rPr>
          <w:rFonts w:ascii="黑体" w:hAnsi="黑体"/>
        </w:rPr>
        <w:t>二、</w:t>
      </w:r>
      <w:r>
        <w:rPr>
          <w:rFonts w:hint="eastAsia" w:ascii="黑体" w:hAnsi="黑体"/>
        </w:rPr>
        <w:t>授权委托书</w:t>
      </w:r>
      <w:bookmarkEnd w:id="963"/>
    </w:p>
    <w:p w14:paraId="47A40624">
      <w:pPr>
        <w:spacing w:line="500" w:lineRule="exact"/>
        <w:rPr>
          <w:rFonts w:ascii="宋体" w:hAnsi="宋体"/>
          <w:b/>
          <w:sz w:val="28"/>
          <w:szCs w:val="28"/>
        </w:rPr>
      </w:pPr>
    </w:p>
    <w:p w14:paraId="5A48AD2B">
      <w:pPr>
        <w:spacing w:line="500" w:lineRule="exact"/>
        <w:rPr>
          <w:rFonts w:ascii="宋体" w:hAnsi="宋体"/>
          <w:sz w:val="24"/>
          <w:szCs w:val="28"/>
        </w:rPr>
      </w:pPr>
      <w:r>
        <w:rPr>
          <w:rFonts w:hint="eastAsia" w:ascii="宋体" w:hAnsi="宋体"/>
          <w:sz w:val="28"/>
          <w:szCs w:val="28"/>
          <w:u w:val="single"/>
        </w:rPr>
        <w:t xml:space="preserve">                     </w:t>
      </w:r>
      <w:r>
        <w:rPr>
          <w:rFonts w:hint="eastAsia" w:ascii="宋体" w:hAnsi="宋体"/>
          <w:sz w:val="24"/>
          <w:szCs w:val="28"/>
          <w:u w:val="single"/>
        </w:rPr>
        <w:t xml:space="preserve">   </w:t>
      </w:r>
      <w:r>
        <w:rPr>
          <w:rFonts w:hint="eastAsia" w:ascii="宋体" w:hAnsi="宋体"/>
          <w:sz w:val="24"/>
          <w:szCs w:val="28"/>
        </w:rPr>
        <w:t>（采购代理机构名称）：</w:t>
      </w:r>
    </w:p>
    <w:p w14:paraId="7B8D95C9">
      <w:pPr>
        <w:spacing w:line="500" w:lineRule="exact"/>
        <w:ind w:left="210" w:leftChars="100" w:firstLine="480" w:firstLineChars="200"/>
        <w:rPr>
          <w:rFonts w:ascii="宋体" w:hAnsi="宋体"/>
          <w:sz w:val="24"/>
          <w:szCs w:val="28"/>
        </w:rPr>
      </w:pPr>
      <w:r>
        <w:rPr>
          <w:rFonts w:hint="eastAsia" w:ascii="宋体" w:hAnsi="宋体"/>
          <w:sz w:val="24"/>
          <w:szCs w:val="28"/>
        </w:rPr>
        <w:t>本授权声明：</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（投标人名称）</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 xml:space="preserve">  </w:t>
      </w:r>
      <w:r>
        <w:rPr>
          <w:rFonts w:hint="eastAsia" w:ascii="宋体" w:hAnsi="宋体"/>
          <w:sz w:val="24"/>
          <w:szCs w:val="28"/>
        </w:rPr>
        <w:t>（法定代表人姓名、职务）授权</w:t>
      </w:r>
      <w:r>
        <w:rPr>
          <w:rFonts w:hint="eastAsia" w:ascii="宋体" w:hAnsi="宋体"/>
          <w:sz w:val="24"/>
          <w:szCs w:val="28"/>
          <w:u w:val="single"/>
        </w:rPr>
        <w:t xml:space="preserve">                        （</w:t>
      </w:r>
      <w:r>
        <w:rPr>
          <w:rFonts w:hint="eastAsia" w:ascii="宋体" w:hAnsi="宋体"/>
          <w:sz w:val="24"/>
          <w:szCs w:val="28"/>
        </w:rPr>
        <w:t>被授权人姓名）为我方 “</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 项目（</w:t>
      </w:r>
      <w:r>
        <w:rPr>
          <w:rFonts w:hint="eastAsia" w:ascii="宋体" w:hAnsi="宋体"/>
          <w:sz w:val="24"/>
          <w:szCs w:val="28"/>
          <w:lang w:val="en-US" w:eastAsia="zh-CN"/>
        </w:rPr>
        <w:t>采购计划文号</w:t>
      </w:r>
      <w:r>
        <w:rPr>
          <w:rFonts w:hint="eastAsia" w:ascii="宋体" w:hAnsi="宋体"/>
          <w:sz w:val="24"/>
          <w:szCs w:val="28"/>
        </w:rPr>
        <w:t>：</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）采购活动的合法代表，以我方名义全权处理该项目有关招标项目投标文件、签订合同以及执行合同等一切事宜。</w:t>
      </w:r>
    </w:p>
    <w:p w14:paraId="380B30D3">
      <w:pPr>
        <w:spacing w:line="500" w:lineRule="exact"/>
        <w:ind w:left="210" w:leftChars="100" w:firstLine="720" w:firstLineChars="300"/>
        <w:rPr>
          <w:rFonts w:ascii="宋体" w:hAnsi="宋体"/>
          <w:sz w:val="28"/>
          <w:szCs w:val="28"/>
        </w:rPr>
      </w:pPr>
      <w:r>
        <w:rPr>
          <w:rFonts w:ascii="宋体"/>
          <w:color w:val="FF0000"/>
          <w:sz w:val="24"/>
        </w:rPr>
        <w:t>委托期限</w:t>
      </w:r>
      <w:r>
        <w:rPr>
          <w:rFonts w:hint="eastAsia" w:ascii="宋体"/>
          <w:color w:val="FF0000"/>
          <w:sz w:val="24"/>
        </w:rPr>
        <w:t>：</w:t>
      </w:r>
      <w:r>
        <w:rPr>
          <w:rFonts w:ascii="宋体"/>
          <w:color w:val="FF0000"/>
          <w:sz w:val="24"/>
        </w:rPr>
        <w:t>自授权之日起</w:t>
      </w:r>
      <w:r>
        <w:rPr>
          <w:rFonts w:hint="eastAsia" w:ascii="宋体"/>
          <w:color w:val="FF0000"/>
          <w:sz w:val="24"/>
          <w:u w:val="single"/>
        </w:rPr>
        <w:t xml:space="preserve">    </w:t>
      </w:r>
      <w:r>
        <w:rPr>
          <w:rFonts w:ascii="宋体"/>
          <w:color w:val="FF0000"/>
          <w:sz w:val="24"/>
          <w:u w:val="single"/>
        </w:rPr>
        <w:t xml:space="preserve">    </w:t>
      </w:r>
      <w:r>
        <w:rPr>
          <w:rFonts w:hint="eastAsia" w:ascii="宋体"/>
          <w:color w:val="FF0000"/>
          <w:sz w:val="24"/>
          <w:u w:val="single"/>
        </w:rPr>
        <w:t xml:space="preserve"> </w:t>
      </w:r>
      <w:r>
        <w:rPr>
          <w:rFonts w:hint="eastAsia" w:ascii="宋体"/>
          <w:color w:val="FF0000"/>
          <w:sz w:val="24"/>
        </w:rPr>
        <w:t>天</w:t>
      </w:r>
    </w:p>
    <w:p w14:paraId="38216680">
      <w:pPr>
        <w:spacing w:line="500" w:lineRule="exact"/>
        <w:ind w:firstLine="960" w:firstLineChars="400"/>
        <w:rPr>
          <w:rFonts w:ascii="宋体"/>
          <w:color w:val="FF0000"/>
          <w:sz w:val="22"/>
          <w:u w:val="single"/>
        </w:rPr>
      </w:pPr>
      <w:r>
        <w:rPr>
          <w:rFonts w:ascii="宋体"/>
          <w:color w:val="FF0000"/>
          <w:sz w:val="24"/>
        </w:rPr>
        <w:t>代理人无权转让委托权</w:t>
      </w:r>
      <w:r>
        <w:rPr>
          <w:rFonts w:hint="eastAsia" w:ascii="宋体"/>
          <w:color w:val="FF0000"/>
          <w:sz w:val="24"/>
        </w:rPr>
        <w:t xml:space="preserve">。 </w:t>
      </w:r>
      <w:r>
        <w:rPr>
          <w:rFonts w:hint="eastAsia" w:ascii="宋体"/>
          <w:color w:val="FF0000"/>
          <w:sz w:val="22"/>
        </w:rPr>
        <w:t xml:space="preserve"> </w:t>
      </w:r>
      <w:r>
        <w:rPr>
          <w:rFonts w:ascii="宋体"/>
          <w:color w:val="FF0000"/>
          <w:sz w:val="22"/>
        </w:rPr>
        <w:t xml:space="preserve">      </w:t>
      </w:r>
    </w:p>
    <w:p w14:paraId="130798FF">
      <w:pPr>
        <w:spacing w:line="500" w:lineRule="exact"/>
        <w:ind w:firstLine="482" w:firstLineChars="200"/>
        <w:rPr>
          <w:rFonts w:ascii="宋体" w:hAnsi="宋体"/>
          <w:b/>
          <w:sz w:val="24"/>
          <w:szCs w:val="28"/>
        </w:rPr>
      </w:pPr>
      <w:r>
        <w:rPr>
          <w:rFonts w:hint="eastAsia" w:ascii="宋体" w:hAnsi="宋体"/>
          <w:b/>
          <w:sz w:val="24"/>
          <w:szCs w:val="28"/>
        </w:rPr>
        <w:t>附：被授权人身份证复印件（正反面）格式如下：</w:t>
      </w:r>
    </w:p>
    <w:p w14:paraId="6EB7417A">
      <w:pPr>
        <w:spacing w:line="500" w:lineRule="exact"/>
        <w:rPr>
          <w:rFonts w:ascii="宋体" w:hAnsi="宋体"/>
          <w:i/>
          <w:sz w:val="22"/>
        </w:rPr>
      </w:pPr>
      <w:r>
        <w:rPr>
          <w:rFonts w:hint="eastAsia" w:ascii="宋体" w:hAnsi="宋体"/>
          <w:i/>
          <w:sz w:val="22"/>
        </w:rPr>
        <w:t xml:space="preserve">                                      </w:t>
      </w:r>
    </w:p>
    <w:p w14:paraId="0D76AA62">
      <w:pPr>
        <w:ind w:firstLine="686" w:firstLineChars="245"/>
        <w:rPr>
          <w:rFonts w:ascii="宋体" w:hAnsi="宋体"/>
          <w:b/>
          <w:i/>
          <w:color w:val="000000"/>
          <w:sz w:val="20"/>
          <w:szCs w:val="21"/>
        </w:rPr>
      </w:pPr>
      <w:r>
        <w:rPr>
          <w:rFonts w:hint="eastAsia" w:ascii="仿宋_GB2312" w:eastAsia="仿宋_GB2312"/>
          <w:sz w:val="28"/>
        </w:rPr>
        <mc:AlternateContent>
          <mc:Choice Requires="wps">
            <w:drawing>
              <wp:anchor distT="0" distB="0" distL="114300" distR="114300" simplePos="0" relativeHeight="251665408" behindDoc="0" locked="0" layoutInCell="1" allowOverlap="1">
                <wp:simplePos x="0" y="0"/>
                <wp:positionH relativeFrom="column">
                  <wp:posOffset>-26035</wp:posOffset>
                </wp:positionH>
                <wp:positionV relativeFrom="paragraph">
                  <wp:posOffset>33020</wp:posOffset>
                </wp:positionV>
                <wp:extent cx="2628900" cy="1584960"/>
                <wp:effectExtent l="10160" t="10795" r="8890" b="13970"/>
                <wp:wrapNone/>
                <wp:docPr id="13" name="圆角矩形 13"/>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558A05C0"/>
                          <w:p w14:paraId="7DF2AE4E"/>
                          <w:p w14:paraId="60F8DD6F"/>
                          <w:p w14:paraId="6526D333">
                            <w:pPr>
                              <w:jc w:val="center"/>
                              <w:rPr>
                                <w:b/>
                                <w:sz w:val="28"/>
                              </w:rPr>
                            </w:pPr>
                            <w:r>
                              <w:rPr>
                                <w:rFonts w:hint="eastAsia"/>
                                <w:b/>
                                <w:sz w:val="28"/>
                              </w:rPr>
                              <w:t>被授权</w:t>
                            </w:r>
                            <w:r>
                              <w:rPr>
                                <w:b/>
                                <w:sz w:val="28"/>
                              </w:rPr>
                              <w:t>人居民身份证正面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65408;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4Snfv2QAA&#10;AAgBAAAPAAAAAAAAAAEAIAAAACIAAABkcnMvZG93bnJldi54bWxQSwECFAAUAAAACACHTuJARZkM&#10;AFYCAAB9BAAADgAAAAAAAAABACAAAAAoAQAAZHJzL2Uyb0RvYy54bWxQSwUGAAAAAAYABgBZAQAA&#10;8AUAAAAA&#10;">
                <v:fill on="f" focussize="0,0"/>
                <v:stroke weight="0.25pt" color="#000000" joinstyle="round"/>
                <v:imagedata o:title=""/>
                <o:lock v:ext="edit" aspectratio="f"/>
                <v:textbox>
                  <w:txbxContent>
                    <w:p w14:paraId="558A05C0"/>
                    <w:p w14:paraId="7DF2AE4E"/>
                    <w:p w14:paraId="60F8DD6F"/>
                    <w:p w14:paraId="6526D333">
                      <w:pPr>
                        <w:jc w:val="center"/>
                        <w:rPr>
                          <w:b/>
                          <w:sz w:val="28"/>
                        </w:rPr>
                      </w:pPr>
                      <w:r>
                        <w:rPr>
                          <w:rFonts w:hint="eastAsia"/>
                          <w:b/>
                          <w:sz w:val="28"/>
                        </w:rPr>
                        <w:t>被授权</w:t>
                      </w:r>
                      <w:r>
                        <w:rPr>
                          <w:b/>
                          <w:sz w:val="28"/>
                        </w:rPr>
                        <w:t>人居民身份证正面</w:t>
                      </w:r>
                    </w:p>
                  </w:txbxContent>
                </v:textbox>
              </v:roundrect>
            </w:pict>
          </mc:Fallback>
        </mc:AlternateContent>
      </w:r>
      <w:r>
        <w:rPr>
          <w:rFonts w:hint="eastAsia" w:ascii="仿宋_GB2312" w:eastAsia="仿宋_GB2312"/>
          <w:sz w:val="28"/>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33020</wp:posOffset>
                </wp:positionV>
                <wp:extent cx="2628900" cy="1584960"/>
                <wp:effectExtent l="7620" t="10795" r="11430" b="13970"/>
                <wp:wrapNone/>
                <wp:docPr id="12" name="圆角矩形 12"/>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14:paraId="3BB96E2A"/>
                          <w:p w14:paraId="03E64F01"/>
                          <w:p w14:paraId="0B31D425"/>
                          <w:p w14:paraId="472591DB">
                            <w:pPr>
                              <w:jc w:val="center"/>
                              <w:rPr>
                                <w:b/>
                                <w:sz w:val="28"/>
                              </w:rPr>
                            </w:pPr>
                            <w:r>
                              <w:rPr>
                                <w:rFonts w:hint="eastAsia"/>
                                <w:b/>
                                <w:sz w:val="28"/>
                              </w:rPr>
                              <w:t>被授权</w:t>
                            </w:r>
                            <w:r>
                              <w:rPr>
                                <w:b/>
                                <w:sz w:val="28"/>
                              </w:rPr>
                              <w:t>人居民</w:t>
                            </w:r>
                            <w:r>
                              <w:rPr>
                                <w:rFonts w:hint="eastAsia"/>
                                <w:b/>
                                <w:sz w:val="28"/>
                              </w:rPr>
                              <w:t>身</w:t>
                            </w:r>
                            <w:r>
                              <w:rPr>
                                <w:b/>
                                <w:sz w:val="28"/>
                              </w:rPr>
                              <w:t>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6432;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bqB/R2gAA&#10;AAkBAAAPAAAAAAAAAAEAIAAAACIAAABkcnMvZG93bnJldi54bWxQSwECFAAUAAAACACHTuJAjOa+&#10;P1UCAAB9BAAADgAAAAAAAAABACAAAAApAQAAZHJzL2Uyb0RvYy54bWxQSwUGAAAAAAYABgBZAQAA&#10;8AUAAAAA&#10;">
                <v:fill on="f" focussize="0,0"/>
                <v:stroke weight="0.25pt" color="#000000" joinstyle="round"/>
                <v:imagedata o:title=""/>
                <o:lock v:ext="edit" aspectratio="f"/>
                <v:textbox>
                  <w:txbxContent>
                    <w:p w14:paraId="3BB96E2A"/>
                    <w:p w14:paraId="03E64F01"/>
                    <w:p w14:paraId="0B31D425"/>
                    <w:p w14:paraId="472591DB">
                      <w:pPr>
                        <w:jc w:val="center"/>
                        <w:rPr>
                          <w:b/>
                          <w:sz w:val="28"/>
                        </w:rPr>
                      </w:pPr>
                      <w:r>
                        <w:rPr>
                          <w:rFonts w:hint="eastAsia"/>
                          <w:b/>
                          <w:sz w:val="28"/>
                        </w:rPr>
                        <w:t>被授权</w:t>
                      </w:r>
                      <w:r>
                        <w:rPr>
                          <w:b/>
                          <w:sz w:val="28"/>
                        </w:rPr>
                        <w:t>人居民</w:t>
                      </w:r>
                      <w:r>
                        <w:rPr>
                          <w:rFonts w:hint="eastAsia"/>
                          <w:b/>
                          <w:sz w:val="28"/>
                        </w:rPr>
                        <w:t>身</w:t>
                      </w:r>
                      <w:r>
                        <w:rPr>
                          <w:b/>
                          <w:sz w:val="28"/>
                        </w:rPr>
                        <w:t>份证反面</w:t>
                      </w:r>
                    </w:p>
                  </w:txbxContent>
                </v:textbox>
              </v:roundrect>
            </w:pict>
          </mc:Fallback>
        </mc:AlternateContent>
      </w:r>
      <w:r>
        <w:rPr>
          <w:rFonts w:hint="eastAsia" w:ascii="宋体" w:hAnsi="宋体"/>
          <w:b/>
          <w:i/>
          <w:color w:val="000000"/>
          <w:sz w:val="20"/>
          <w:szCs w:val="21"/>
        </w:rPr>
        <w:t xml:space="preserve">                           </w:t>
      </w:r>
    </w:p>
    <w:p w14:paraId="72919587">
      <w:pPr>
        <w:ind w:firstLine="979" w:firstLineChars="445"/>
        <w:rPr>
          <w:rFonts w:ascii="仿宋_GB2312" w:eastAsia="仿宋_GB2312"/>
          <w:sz w:val="22"/>
        </w:rPr>
      </w:pPr>
      <w:r>
        <w:rPr>
          <w:rFonts w:hint="eastAsia" w:ascii="仿宋_GB2312" w:eastAsia="仿宋_GB2312"/>
          <w:sz w:val="22"/>
        </w:rPr>
        <w:t xml:space="preserve"> </w:t>
      </w:r>
    </w:p>
    <w:p w14:paraId="14110F0E">
      <w:pPr>
        <w:ind w:firstLine="759" w:firstLineChars="345"/>
        <w:rPr>
          <w:rFonts w:ascii="仿宋_GB2312" w:eastAsia="仿宋_GB2312"/>
          <w:sz w:val="22"/>
        </w:rPr>
      </w:pPr>
    </w:p>
    <w:p w14:paraId="33E3C8EF">
      <w:pPr>
        <w:ind w:firstLine="442" w:firstLineChars="200"/>
        <w:rPr>
          <w:rFonts w:ascii="宋体" w:hAnsi="宋体"/>
          <w:sz w:val="22"/>
        </w:rPr>
      </w:pPr>
      <w:r>
        <w:rPr>
          <w:rFonts w:hint="eastAsia" w:ascii="宋体" w:hAnsi="宋体"/>
          <w:b/>
          <w:sz w:val="22"/>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64135</wp:posOffset>
                </wp:positionV>
                <wp:extent cx="2072640" cy="238760"/>
                <wp:effectExtent l="0" t="673735" r="0" b="668655"/>
                <wp:wrapNone/>
                <wp:docPr id="11" name="文本框 11"/>
                <wp:cNvGraphicFramePr/>
                <a:graphic xmlns:a="http://schemas.openxmlformats.org/drawingml/2006/main">
                  <a:graphicData uri="http://schemas.microsoft.com/office/word/2010/wordprocessingShape">
                    <wps:wsp>
                      <wps:cNvSpPr txBox="1">
                        <a:spLocks noChangeArrowheads="1" noChangeShapeType="1"/>
                      </wps:cNvSpPr>
                      <wps:spPr bwMode="auto">
                        <a:xfrm rot="19023842">
                          <a:off x="0" y="0"/>
                          <a:ext cx="2072640" cy="238760"/>
                        </a:xfrm>
                        <a:prstGeom prst="rect">
                          <a:avLst/>
                        </a:prstGeom>
                      </wps:spPr>
                      <wps:txbx>
                        <w:txbxContent>
                          <w:p w14:paraId="59776578">
                            <w:pPr>
                              <w:pStyle w:val="52"/>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270pt;margin-top:5.05pt;height:18.8pt;width:163.2pt;rotation:-2813852f;z-index:251668480;mso-width-relative:page;mso-height-relative:page;" filled="f" stroked="f" coordsize="21600,21600" o:gfxdata="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nf98dYAAAAJAQAADwAAAAAAAAABACAAAAAiAAAAZHJzL2Rvd25yZXYueG1sUEsBAhQAFAAAAAgA&#10;h07iQO8i6cEnAgAAKwQAAA4AAAAAAAAAAQAgAAAAJQEAAGRycy9lMm9Eb2MueG1sUEsFBgAAAAAG&#10;AAYAWQEAAL4FAAAAAA==&#10;" adj="10800">
                <v:fill on="f" focussize="0,0"/>
                <v:stroke on="f"/>
                <v:imagedata o:title=""/>
                <o:lock v:ext="edit" aspectratio="f"/>
                <v:textbox style="mso-fit-shape-to-text:t;">
                  <w:txbxContent>
                    <w:p w14:paraId="59776578">
                      <w:pPr>
                        <w:pStyle w:val="52"/>
                        <w:spacing w:before="0" w:beforeAutospacing="0" w:after="0" w:afterAutospacing="0"/>
                        <w:jc w:val="center"/>
                      </w:pPr>
                    </w:p>
                  </w:txbxContent>
                </v:textbox>
              </v:shape>
            </w:pict>
          </mc:Fallback>
        </mc:AlternateContent>
      </w:r>
      <w:r>
        <w:rPr>
          <w:rFonts w:hint="eastAsia" w:ascii="宋体" w:hAnsi="宋体"/>
          <w:b/>
          <w:sz w:val="22"/>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146050</wp:posOffset>
                </wp:positionV>
                <wp:extent cx="2039620" cy="247650"/>
                <wp:effectExtent l="0" t="660400" r="0" b="654050"/>
                <wp:wrapNone/>
                <wp:docPr id="10" name="文本框 10"/>
                <wp:cNvGraphicFramePr/>
                <a:graphic xmlns:a="http://schemas.openxmlformats.org/drawingml/2006/main">
                  <a:graphicData uri="http://schemas.microsoft.com/office/word/2010/wordprocessingShape">
                    <wps:wsp>
                      <wps:cNvSpPr txBox="1">
                        <a:spLocks noChangeArrowheads="1" noChangeShapeType="1"/>
                      </wps:cNvSpPr>
                      <wps:spPr bwMode="auto">
                        <a:xfrm rot="19023842">
                          <a:off x="0" y="0"/>
                          <a:ext cx="2039620" cy="247650"/>
                        </a:xfrm>
                        <a:prstGeom prst="rect">
                          <a:avLst/>
                        </a:prstGeom>
                      </wps:spPr>
                      <wps:txbx>
                        <w:txbxContent>
                          <w:p w14:paraId="3E080E79">
                            <w:pPr>
                              <w:pStyle w:val="52"/>
                              <w:spacing w:before="0" w:beforeAutospacing="0" w:after="0" w:afterAutospacing="0"/>
                              <w:jc w:val="both"/>
                            </w:pP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9pt;margin-top:11.5pt;height:19.5pt;width:160.6pt;rotation:-2813852f;z-index:251667456;mso-width-relative:page;mso-height-relative:page;" filled="f" stroked="f" coordsize="21600,21600" o:gfxdata="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iL&#10;wU/VAAAACAEAAA8AAAAAAAAAAQAgAAAAIgAAAGRycy9kb3ducmV2LnhtbFBLAQIUABQAAAAIAIdO&#10;4kBFX8cVJgIAACsEAAAOAAAAAAAAAAEAIAAAACQBAABkcnMvZTJvRG9jLnhtbFBLBQYAAAAABgAG&#10;AFkBAAC8BQAAAAA=&#10;" adj="10800">
                <v:fill on="f" focussize="0,0"/>
                <v:stroke on="f"/>
                <v:imagedata o:title=""/>
                <o:lock v:ext="edit" aspectratio="f"/>
                <v:textbox style="mso-fit-shape-to-text:t;">
                  <w:txbxContent>
                    <w:p w14:paraId="3E080E79">
                      <w:pPr>
                        <w:pStyle w:val="52"/>
                        <w:spacing w:before="0" w:beforeAutospacing="0" w:after="0" w:afterAutospacing="0"/>
                        <w:jc w:val="both"/>
                      </w:pPr>
                    </w:p>
                  </w:txbxContent>
                </v:textbox>
              </v:shape>
            </w:pict>
          </mc:Fallback>
        </mc:AlternateContent>
      </w:r>
    </w:p>
    <w:p w14:paraId="06F0B990">
      <w:pPr>
        <w:ind w:firstLine="440" w:firstLineChars="200"/>
        <w:rPr>
          <w:rFonts w:ascii="宋体" w:hAnsi="宋体"/>
          <w:sz w:val="22"/>
        </w:rPr>
      </w:pPr>
      <w:r>
        <w:rPr>
          <w:rFonts w:hint="eastAsia" w:ascii="宋体" w:hAnsi="宋体"/>
          <w:sz w:val="22"/>
        </w:rPr>
        <w:t xml:space="preserve">                            </w:t>
      </w:r>
    </w:p>
    <w:p w14:paraId="3808B979">
      <w:pPr>
        <w:outlineLvl w:val="0"/>
        <w:rPr>
          <w:rFonts w:ascii="宋体" w:hAnsi="宋体"/>
          <w:b/>
          <w:sz w:val="22"/>
        </w:rPr>
      </w:pPr>
    </w:p>
    <w:p w14:paraId="6FFFCFD7">
      <w:pPr>
        <w:spacing w:line="500" w:lineRule="exact"/>
        <w:rPr>
          <w:rFonts w:ascii="宋体" w:hAnsi="宋体"/>
          <w:sz w:val="24"/>
          <w:szCs w:val="28"/>
        </w:rPr>
      </w:pPr>
    </w:p>
    <w:p w14:paraId="7730E618">
      <w:pPr>
        <w:spacing w:line="500" w:lineRule="exact"/>
        <w:rPr>
          <w:rFonts w:ascii="宋体" w:hAnsi="宋体"/>
          <w:sz w:val="24"/>
          <w:szCs w:val="28"/>
        </w:rPr>
      </w:pPr>
    </w:p>
    <w:p w14:paraId="4447A8D3">
      <w:pPr>
        <w:spacing w:line="500" w:lineRule="exact"/>
        <w:ind w:firstLine="2520" w:firstLineChars="1050"/>
        <w:jc w:val="left"/>
        <w:rPr>
          <w:rFonts w:ascii="宋体" w:hAnsi="宋体"/>
          <w:sz w:val="24"/>
          <w:szCs w:val="28"/>
        </w:rPr>
      </w:pPr>
    </w:p>
    <w:p w14:paraId="0637A8FF">
      <w:pPr>
        <w:spacing w:line="500" w:lineRule="exact"/>
        <w:ind w:firstLine="2520" w:firstLineChars="1050"/>
        <w:jc w:val="left"/>
        <w:rPr>
          <w:rFonts w:ascii="宋体" w:hAnsi="宋体"/>
          <w:sz w:val="24"/>
          <w:szCs w:val="28"/>
        </w:rPr>
      </w:pPr>
      <w:r>
        <w:rPr>
          <w:rFonts w:hint="eastAsia" w:ascii="宋体" w:hAnsi="宋体"/>
          <w:sz w:val="24"/>
          <w:szCs w:val="28"/>
        </w:rPr>
        <w:t>投标人全称：</w:t>
      </w:r>
      <w:r>
        <w:rPr>
          <w:rFonts w:hint="eastAsia" w:ascii="宋体" w:hAnsi="宋体"/>
          <w:sz w:val="24"/>
          <w:szCs w:val="28"/>
          <w:u w:val="single"/>
        </w:rPr>
        <w:t xml:space="preserve">       　　</w:t>
      </w:r>
      <w:r>
        <w:rPr>
          <w:rFonts w:ascii="宋体" w:hAnsi="宋体"/>
          <w:sz w:val="24"/>
          <w:szCs w:val="28"/>
          <w:u w:val="single"/>
        </w:rPr>
        <w:t>　</w:t>
      </w:r>
      <w:r>
        <w:rPr>
          <w:rFonts w:hint="eastAsia" w:ascii="宋体" w:hAnsi="宋体"/>
          <w:sz w:val="24"/>
          <w:szCs w:val="28"/>
          <w:u w:val="single"/>
        </w:rPr>
        <w:t xml:space="preserve">         </w:t>
      </w:r>
      <w:r>
        <w:rPr>
          <w:rFonts w:hint="eastAsia" w:ascii="宋体" w:hAnsi="宋体"/>
          <w:sz w:val="24"/>
          <w:szCs w:val="28"/>
        </w:rPr>
        <w:t>（盖单位公章）</w:t>
      </w:r>
    </w:p>
    <w:p w14:paraId="63AF694E">
      <w:pPr>
        <w:spacing w:line="500" w:lineRule="exact"/>
        <w:ind w:firstLine="2520" w:firstLineChars="1050"/>
        <w:jc w:val="left"/>
        <w:rPr>
          <w:rFonts w:ascii="宋体" w:hAnsi="宋体"/>
          <w:sz w:val="24"/>
          <w:szCs w:val="28"/>
        </w:rPr>
      </w:pPr>
      <w:r>
        <w:rPr>
          <w:rFonts w:hint="eastAsia" w:ascii="宋体" w:hAnsi="宋体"/>
          <w:sz w:val="24"/>
          <w:szCs w:val="28"/>
        </w:rPr>
        <w:t>法定代表人（负责人</w:t>
      </w:r>
      <w:r>
        <w:rPr>
          <w:rFonts w:ascii="宋体" w:hAnsi="宋体"/>
          <w:sz w:val="24"/>
          <w:szCs w:val="28"/>
        </w:rPr>
        <w:t>）</w:t>
      </w:r>
      <w:r>
        <w:rPr>
          <w:rFonts w:hint="eastAsia" w:ascii="宋体" w:hAnsi="宋体"/>
          <w:sz w:val="24"/>
          <w:szCs w:val="28"/>
        </w:rPr>
        <w:t>:</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 xml:space="preserve">     </w:t>
      </w:r>
      <w:r>
        <w:rPr>
          <w:rFonts w:ascii="宋体" w:hAnsi="宋体"/>
          <w:sz w:val="24"/>
          <w:szCs w:val="28"/>
          <w:u w:val="single"/>
        </w:rPr>
        <w:t>　　</w:t>
      </w:r>
      <w:r>
        <w:rPr>
          <w:rFonts w:ascii="宋体" w:hAnsi="宋体"/>
          <w:sz w:val="24"/>
          <w:szCs w:val="28"/>
        </w:rPr>
        <w:t>　</w:t>
      </w:r>
      <w:r>
        <w:rPr>
          <w:rFonts w:hint="eastAsia" w:ascii="宋体" w:hAnsi="宋体"/>
          <w:sz w:val="24"/>
          <w:szCs w:val="28"/>
        </w:rPr>
        <w:t>（签字）</w:t>
      </w:r>
    </w:p>
    <w:p w14:paraId="0601A7F1">
      <w:pPr>
        <w:spacing w:line="500" w:lineRule="exact"/>
        <w:ind w:firstLine="2520" w:firstLineChars="1050"/>
        <w:jc w:val="left"/>
        <w:rPr>
          <w:rFonts w:ascii="宋体" w:hAnsi="宋体"/>
          <w:sz w:val="24"/>
          <w:szCs w:val="28"/>
          <w:u w:val="single"/>
        </w:rPr>
      </w:pPr>
      <w:r>
        <w:rPr>
          <w:rFonts w:hint="eastAsia" w:ascii="宋体" w:hAnsi="宋体"/>
          <w:sz w:val="24"/>
          <w:szCs w:val="28"/>
        </w:rPr>
        <w:t>被授权代表：</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（手书签名或加盖名章）</w:t>
      </w:r>
    </w:p>
    <w:p w14:paraId="0C4F96F2">
      <w:pPr>
        <w:spacing w:line="500" w:lineRule="exact"/>
        <w:ind w:firstLine="2520" w:firstLineChars="1050"/>
        <w:jc w:val="left"/>
        <w:rPr>
          <w:rFonts w:ascii="宋体" w:hAnsi="宋体"/>
          <w:sz w:val="24"/>
          <w:szCs w:val="28"/>
        </w:rPr>
      </w:pPr>
      <w:r>
        <w:rPr>
          <w:rFonts w:hint="eastAsia" w:ascii="宋体" w:hAnsi="宋体"/>
          <w:sz w:val="24"/>
          <w:szCs w:val="28"/>
        </w:rPr>
        <w:t>被授权代表身份证号码：</w:t>
      </w:r>
      <w:r>
        <w:rPr>
          <w:rFonts w:hint="eastAsia" w:ascii="宋体" w:hAnsi="宋体"/>
          <w:sz w:val="24"/>
          <w:szCs w:val="28"/>
          <w:u w:val="single"/>
        </w:rPr>
        <w:t xml:space="preserve"> </w:t>
      </w:r>
      <w:r>
        <w:rPr>
          <w:rFonts w:ascii="宋体" w:hAnsi="宋体"/>
          <w:sz w:val="24"/>
          <w:szCs w:val="28"/>
          <w:u w:val="single"/>
        </w:rPr>
        <w:t xml:space="preserve">                         </w:t>
      </w:r>
    </w:p>
    <w:p w14:paraId="14F4C5B7">
      <w:pPr>
        <w:spacing w:line="500" w:lineRule="exact"/>
        <w:ind w:firstLine="2520" w:firstLineChars="1050"/>
        <w:jc w:val="left"/>
        <w:rPr>
          <w:rFonts w:ascii="宋体" w:hAnsi="宋体"/>
          <w:sz w:val="24"/>
          <w:szCs w:val="28"/>
        </w:rPr>
      </w:pPr>
      <w:r>
        <w:rPr>
          <w:rFonts w:hint="eastAsia" w:ascii="宋体" w:hAnsi="宋体"/>
          <w:sz w:val="24"/>
          <w:szCs w:val="28"/>
        </w:rPr>
        <w:t>联系电话：</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none"/>
          <w:lang w:eastAsia="zh-CN"/>
        </w:rPr>
        <w:t>手机</w:t>
      </w:r>
      <w:r>
        <w:rPr>
          <w:rFonts w:hint="eastAsia" w:ascii="宋体" w:hAnsi="宋体"/>
          <w:sz w:val="24"/>
          <w:szCs w:val="28"/>
          <w:u w:val="single"/>
          <w:lang w:val="en-US" w:eastAsia="zh-CN"/>
        </w:rPr>
        <w:t xml:space="preserve">       </w:t>
      </w:r>
      <w:r>
        <w:rPr>
          <w:rFonts w:hint="eastAsia" w:ascii="宋体" w:hAnsi="宋体"/>
          <w:sz w:val="24"/>
          <w:szCs w:val="28"/>
          <w:u w:val="single"/>
        </w:rPr>
        <w:t xml:space="preserve"> </w:t>
      </w:r>
      <w:r>
        <w:rPr>
          <w:rFonts w:ascii="宋体" w:hAnsi="宋体"/>
          <w:sz w:val="24"/>
          <w:szCs w:val="28"/>
          <w:u w:val="single"/>
        </w:rPr>
        <w:t xml:space="preserve">         </w:t>
      </w:r>
    </w:p>
    <w:p w14:paraId="6A128611">
      <w:pPr>
        <w:spacing w:line="500" w:lineRule="exact"/>
        <w:ind w:firstLine="2520" w:firstLineChars="1050"/>
        <w:jc w:val="left"/>
        <w:rPr>
          <w:rFonts w:ascii="宋体" w:hAnsi="宋体"/>
          <w:sz w:val="24"/>
          <w:szCs w:val="28"/>
          <w:u w:val="single"/>
        </w:rPr>
      </w:pPr>
      <w:r>
        <w:rPr>
          <w:rFonts w:hint="eastAsia" w:ascii="宋体" w:hAnsi="宋体"/>
          <w:sz w:val="24"/>
          <w:szCs w:val="28"/>
        </w:rPr>
        <w:t>授权委托日期：</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年</w:t>
      </w:r>
      <w:r>
        <w:rPr>
          <w:rFonts w:hint="eastAsia" w:ascii="宋体" w:hAnsi="宋体"/>
          <w:sz w:val="24"/>
          <w:szCs w:val="28"/>
          <w:u w:val="single"/>
        </w:rPr>
        <w:t>　　</w:t>
      </w:r>
      <w:r>
        <w:rPr>
          <w:rFonts w:hint="eastAsia" w:ascii="宋体" w:hAnsi="宋体"/>
          <w:sz w:val="24"/>
          <w:szCs w:val="28"/>
        </w:rPr>
        <w:t>月</w:t>
      </w:r>
      <w:r>
        <w:rPr>
          <w:rFonts w:hint="eastAsia" w:ascii="宋体" w:hAnsi="宋体"/>
          <w:sz w:val="24"/>
          <w:szCs w:val="28"/>
          <w:u w:val="single"/>
        </w:rPr>
        <w:t>　　</w:t>
      </w:r>
      <w:r>
        <w:rPr>
          <w:rFonts w:hint="eastAsia" w:ascii="宋体" w:hAnsi="宋体"/>
          <w:sz w:val="24"/>
          <w:szCs w:val="28"/>
        </w:rPr>
        <w:t>日</w:t>
      </w:r>
    </w:p>
    <w:p w14:paraId="4E55A70B">
      <w:pPr>
        <w:spacing w:line="500" w:lineRule="exact"/>
        <w:jc w:val="left"/>
        <w:rPr>
          <w:rFonts w:ascii="宋体" w:hAnsi="宋体"/>
          <w:sz w:val="28"/>
          <w:szCs w:val="28"/>
          <w:u w:val="single"/>
        </w:rPr>
      </w:pPr>
    </w:p>
    <w:p w14:paraId="28E012D4">
      <w:pPr>
        <w:spacing w:line="500" w:lineRule="exact"/>
        <w:jc w:val="left"/>
        <w:rPr>
          <w:rFonts w:ascii="宋体" w:hAnsi="宋体"/>
          <w:sz w:val="28"/>
          <w:szCs w:val="28"/>
          <w:u w:val="single"/>
        </w:rPr>
      </w:pPr>
    </w:p>
    <w:p w14:paraId="02F54A6F">
      <w:pPr>
        <w:spacing w:line="500" w:lineRule="exact"/>
        <w:jc w:val="left"/>
        <w:rPr>
          <w:rFonts w:ascii="宋体" w:hAnsi="宋体"/>
          <w:sz w:val="28"/>
          <w:szCs w:val="28"/>
          <w:u w:val="single"/>
        </w:rPr>
      </w:pPr>
    </w:p>
    <w:p w14:paraId="37E41358">
      <w:pPr>
        <w:pStyle w:val="4"/>
        <w:spacing w:line="240" w:lineRule="atLeast"/>
        <w:jc w:val="center"/>
        <w:rPr>
          <w:rFonts w:ascii="黑体" w:hAnsi="黑体"/>
        </w:rPr>
      </w:pPr>
      <w:bookmarkStart w:id="964" w:name="_Toc21699"/>
      <w:r>
        <w:rPr>
          <w:rFonts w:hint="eastAsia" w:ascii="黑体" w:hAnsi="黑体"/>
        </w:rPr>
        <w:t>三</w:t>
      </w:r>
      <w:r>
        <w:rPr>
          <w:rFonts w:ascii="黑体" w:hAnsi="黑体"/>
        </w:rPr>
        <w:t>、</w:t>
      </w:r>
      <w:r>
        <w:rPr>
          <w:rFonts w:hint="eastAsia" w:ascii="黑体" w:hAnsi="黑体"/>
        </w:rPr>
        <w:t>投标人基本情况表</w:t>
      </w:r>
      <w:bookmarkEnd w:id="964"/>
    </w:p>
    <w:tbl>
      <w:tblPr>
        <w:tblStyle w:val="58"/>
        <w:tblW w:w="8292"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9" w:type="dxa"/>
          <w:bottom w:w="46" w:type="dxa"/>
          <w:right w:w="89" w:type="dxa"/>
        </w:tblCellMar>
      </w:tblPr>
      <w:tblGrid>
        <w:gridCol w:w="2633"/>
        <w:gridCol w:w="1005"/>
        <w:gridCol w:w="1634"/>
        <w:gridCol w:w="907"/>
        <w:gridCol w:w="224"/>
        <w:gridCol w:w="1889"/>
      </w:tblGrid>
      <w:tr w14:paraId="1FB051A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51" w:hRule="atLeast"/>
          <w:jc w:val="center"/>
        </w:trPr>
        <w:tc>
          <w:tcPr>
            <w:tcW w:w="2633" w:type="dxa"/>
            <w:shd w:val="clear" w:color="auto" w:fill="auto"/>
            <w:vAlign w:val="center"/>
          </w:tcPr>
          <w:p w14:paraId="3C83F585">
            <w:pPr>
              <w:ind w:left="2"/>
              <w:jc w:val="center"/>
              <w:rPr>
                <w:rFonts w:ascii="Calibri" w:hAnsi="Calibri"/>
                <w:sz w:val="28"/>
                <w:szCs w:val="28"/>
              </w:rPr>
            </w:pPr>
            <w:r>
              <w:rPr>
                <w:rFonts w:ascii="宋体" w:hAnsi="宋体" w:cs="宋体"/>
                <w:sz w:val="28"/>
                <w:szCs w:val="28"/>
              </w:rPr>
              <w:t>投标人名称</w:t>
            </w:r>
          </w:p>
        </w:tc>
        <w:tc>
          <w:tcPr>
            <w:tcW w:w="5659" w:type="dxa"/>
            <w:gridSpan w:val="5"/>
            <w:shd w:val="clear" w:color="auto" w:fill="auto"/>
            <w:vAlign w:val="center"/>
          </w:tcPr>
          <w:p w14:paraId="582B7AC9">
            <w:pPr>
              <w:ind w:left="46"/>
              <w:jc w:val="center"/>
              <w:rPr>
                <w:rFonts w:ascii="Calibri" w:hAnsi="Calibri"/>
                <w:sz w:val="28"/>
                <w:szCs w:val="28"/>
              </w:rPr>
            </w:pPr>
          </w:p>
        </w:tc>
      </w:tr>
      <w:tr w14:paraId="0BFCAD3D">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49" w:hRule="atLeast"/>
          <w:jc w:val="center"/>
        </w:trPr>
        <w:tc>
          <w:tcPr>
            <w:tcW w:w="2633" w:type="dxa"/>
            <w:shd w:val="clear" w:color="auto" w:fill="auto"/>
            <w:vAlign w:val="center"/>
          </w:tcPr>
          <w:p w14:paraId="7FF42BB8">
            <w:pPr>
              <w:ind w:left="2"/>
              <w:jc w:val="center"/>
              <w:rPr>
                <w:rFonts w:ascii="Calibri" w:hAnsi="Calibri"/>
                <w:sz w:val="28"/>
                <w:szCs w:val="28"/>
              </w:rPr>
            </w:pPr>
            <w:r>
              <w:rPr>
                <w:rFonts w:ascii="宋体" w:hAnsi="宋体" w:cs="宋体"/>
                <w:sz w:val="28"/>
                <w:szCs w:val="28"/>
              </w:rPr>
              <w:t>注册资金</w:t>
            </w:r>
          </w:p>
        </w:tc>
        <w:tc>
          <w:tcPr>
            <w:tcW w:w="2639" w:type="dxa"/>
            <w:gridSpan w:val="2"/>
            <w:shd w:val="clear" w:color="auto" w:fill="auto"/>
            <w:vAlign w:val="center"/>
          </w:tcPr>
          <w:p w14:paraId="40B6F173">
            <w:pPr>
              <w:ind w:left="46"/>
              <w:jc w:val="center"/>
              <w:rPr>
                <w:rFonts w:ascii="Calibri" w:hAnsi="Calibri"/>
                <w:sz w:val="28"/>
                <w:szCs w:val="28"/>
              </w:rPr>
            </w:pPr>
          </w:p>
        </w:tc>
        <w:tc>
          <w:tcPr>
            <w:tcW w:w="907" w:type="dxa"/>
            <w:shd w:val="clear" w:color="auto" w:fill="auto"/>
            <w:vAlign w:val="center"/>
          </w:tcPr>
          <w:p w14:paraId="0BCC297C">
            <w:pPr>
              <w:jc w:val="center"/>
              <w:rPr>
                <w:rFonts w:ascii="Calibri" w:hAnsi="Calibri"/>
                <w:sz w:val="28"/>
                <w:szCs w:val="28"/>
              </w:rPr>
            </w:pPr>
            <w:r>
              <w:rPr>
                <w:rFonts w:ascii="宋体" w:hAnsi="宋体" w:cs="宋体"/>
                <w:sz w:val="28"/>
                <w:szCs w:val="28"/>
              </w:rPr>
              <w:t>成立时间</w:t>
            </w:r>
          </w:p>
        </w:tc>
        <w:tc>
          <w:tcPr>
            <w:tcW w:w="2113" w:type="dxa"/>
            <w:gridSpan w:val="2"/>
            <w:shd w:val="clear" w:color="auto" w:fill="auto"/>
            <w:vAlign w:val="center"/>
          </w:tcPr>
          <w:p w14:paraId="13894BA5">
            <w:pPr>
              <w:ind w:left="50"/>
              <w:rPr>
                <w:rFonts w:ascii="Calibri" w:hAnsi="Calibri"/>
                <w:sz w:val="28"/>
                <w:szCs w:val="28"/>
              </w:rPr>
            </w:pPr>
            <w:r>
              <w:rPr>
                <w:rFonts w:ascii="Calibri" w:hAnsi="Calibri" w:eastAsia="Times New Roman"/>
                <w:sz w:val="28"/>
                <w:szCs w:val="28"/>
              </w:rPr>
              <w:t xml:space="preserve"> </w:t>
            </w:r>
          </w:p>
        </w:tc>
      </w:tr>
      <w:tr w14:paraId="006A2A5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733" w:hRule="atLeast"/>
          <w:jc w:val="center"/>
        </w:trPr>
        <w:tc>
          <w:tcPr>
            <w:tcW w:w="2633" w:type="dxa"/>
            <w:shd w:val="clear" w:color="auto" w:fill="auto"/>
            <w:vAlign w:val="center"/>
          </w:tcPr>
          <w:p w14:paraId="1273C621">
            <w:pPr>
              <w:ind w:left="2"/>
              <w:jc w:val="center"/>
              <w:rPr>
                <w:rFonts w:ascii="Calibri" w:hAnsi="Calibri"/>
                <w:sz w:val="28"/>
                <w:szCs w:val="28"/>
              </w:rPr>
            </w:pPr>
            <w:r>
              <w:rPr>
                <w:rFonts w:ascii="宋体" w:hAnsi="宋体" w:cs="宋体"/>
                <w:sz w:val="28"/>
                <w:szCs w:val="28"/>
              </w:rPr>
              <w:t>注册地址</w:t>
            </w:r>
          </w:p>
        </w:tc>
        <w:tc>
          <w:tcPr>
            <w:tcW w:w="5659" w:type="dxa"/>
            <w:gridSpan w:val="5"/>
            <w:shd w:val="clear" w:color="auto" w:fill="auto"/>
            <w:vAlign w:val="center"/>
          </w:tcPr>
          <w:p w14:paraId="78FDBBEB">
            <w:pPr>
              <w:ind w:left="46"/>
              <w:jc w:val="center"/>
              <w:rPr>
                <w:rFonts w:ascii="Calibri" w:hAnsi="Calibri"/>
                <w:sz w:val="28"/>
                <w:szCs w:val="28"/>
              </w:rPr>
            </w:pPr>
          </w:p>
        </w:tc>
      </w:tr>
      <w:tr w14:paraId="1255242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shd w:val="clear" w:color="auto" w:fill="auto"/>
            <w:vAlign w:val="center"/>
          </w:tcPr>
          <w:p w14:paraId="111C18DD">
            <w:pPr>
              <w:ind w:left="2"/>
              <w:jc w:val="center"/>
              <w:rPr>
                <w:rFonts w:ascii="Calibri" w:hAnsi="Calibri"/>
                <w:sz w:val="28"/>
                <w:szCs w:val="28"/>
              </w:rPr>
            </w:pPr>
            <w:r>
              <w:rPr>
                <w:rFonts w:ascii="宋体" w:hAnsi="宋体" w:cs="宋体"/>
                <w:sz w:val="28"/>
                <w:szCs w:val="28"/>
              </w:rPr>
              <w:t>邮政编码</w:t>
            </w:r>
          </w:p>
        </w:tc>
        <w:tc>
          <w:tcPr>
            <w:tcW w:w="2639" w:type="dxa"/>
            <w:gridSpan w:val="2"/>
            <w:shd w:val="clear" w:color="auto" w:fill="auto"/>
            <w:vAlign w:val="center"/>
          </w:tcPr>
          <w:p w14:paraId="0DD81E24">
            <w:pPr>
              <w:ind w:left="46"/>
              <w:jc w:val="center"/>
              <w:rPr>
                <w:rFonts w:ascii="Calibri" w:hAnsi="Calibri"/>
                <w:sz w:val="28"/>
                <w:szCs w:val="28"/>
              </w:rPr>
            </w:pPr>
          </w:p>
        </w:tc>
        <w:tc>
          <w:tcPr>
            <w:tcW w:w="1131" w:type="dxa"/>
            <w:gridSpan w:val="2"/>
            <w:shd w:val="clear" w:color="auto" w:fill="auto"/>
            <w:vAlign w:val="center"/>
          </w:tcPr>
          <w:p w14:paraId="1F50D3F1">
            <w:pPr>
              <w:jc w:val="center"/>
              <w:rPr>
                <w:rFonts w:ascii="Calibri" w:hAnsi="Calibri"/>
                <w:sz w:val="28"/>
                <w:szCs w:val="28"/>
              </w:rPr>
            </w:pPr>
            <w:r>
              <w:rPr>
                <w:rFonts w:ascii="宋体" w:hAnsi="宋体" w:cs="宋体"/>
                <w:sz w:val="28"/>
                <w:szCs w:val="28"/>
              </w:rPr>
              <w:t>员工总数</w:t>
            </w:r>
          </w:p>
        </w:tc>
        <w:tc>
          <w:tcPr>
            <w:tcW w:w="1889" w:type="dxa"/>
            <w:shd w:val="clear" w:color="auto" w:fill="auto"/>
            <w:vAlign w:val="center"/>
          </w:tcPr>
          <w:p w14:paraId="407E9C39">
            <w:pPr>
              <w:ind w:left="50"/>
              <w:rPr>
                <w:rFonts w:ascii="Calibri" w:hAnsi="Calibri"/>
                <w:sz w:val="28"/>
                <w:szCs w:val="28"/>
              </w:rPr>
            </w:pPr>
            <w:r>
              <w:rPr>
                <w:rFonts w:ascii="Calibri" w:hAnsi="Calibri" w:eastAsia="Times New Roman"/>
                <w:sz w:val="28"/>
                <w:szCs w:val="28"/>
              </w:rPr>
              <w:t xml:space="preserve"> </w:t>
            </w:r>
          </w:p>
        </w:tc>
      </w:tr>
      <w:tr w14:paraId="2EC1E33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vMerge w:val="restart"/>
            <w:shd w:val="clear" w:color="auto" w:fill="auto"/>
            <w:vAlign w:val="center"/>
          </w:tcPr>
          <w:p w14:paraId="5CB9BCC9">
            <w:pPr>
              <w:ind w:left="2"/>
              <w:jc w:val="center"/>
              <w:rPr>
                <w:rFonts w:ascii="Calibri" w:hAnsi="Calibri"/>
                <w:sz w:val="28"/>
                <w:szCs w:val="28"/>
              </w:rPr>
            </w:pPr>
            <w:r>
              <w:rPr>
                <w:rFonts w:ascii="宋体" w:hAnsi="宋体" w:cs="宋体"/>
                <w:sz w:val="28"/>
                <w:szCs w:val="28"/>
              </w:rPr>
              <w:t>联系方式</w:t>
            </w:r>
          </w:p>
        </w:tc>
        <w:tc>
          <w:tcPr>
            <w:tcW w:w="1005" w:type="dxa"/>
            <w:shd w:val="clear" w:color="auto" w:fill="auto"/>
            <w:vAlign w:val="center"/>
          </w:tcPr>
          <w:p w14:paraId="6B430FA1">
            <w:pPr>
              <w:jc w:val="center"/>
              <w:rPr>
                <w:rFonts w:ascii="Calibri" w:hAnsi="Calibri"/>
                <w:sz w:val="28"/>
                <w:szCs w:val="28"/>
              </w:rPr>
            </w:pPr>
            <w:r>
              <w:rPr>
                <w:rFonts w:ascii="宋体" w:hAnsi="宋体" w:cs="宋体"/>
                <w:sz w:val="28"/>
                <w:szCs w:val="28"/>
              </w:rPr>
              <w:t>联系人</w:t>
            </w:r>
          </w:p>
        </w:tc>
        <w:tc>
          <w:tcPr>
            <w:tcW w:w="1634" w:type="dxa"/>
            <w:shd w:val="clear" w:color="auto" w:fill="auto"/>
            <w:vAlign w:val="center"/>
          </w:tcPr>
          <w:p w14:paraId="3544E0C1">
            <w:pPr>
              <w:ind w:left="52"/>
              <w:jc w:val="center"/>
              <w:rPr>
                <w:rFonts w:ascii="Calibri" w:hAnsi="Calibri"/>
                <w:sz w:val="28"/>
                <w:szCs w:val="28"/>
              </w:rPr>
            </w:pPr>
          </w:p>
        </w:tc>
        <w:tc>
          <w:tcPr>
            <w:tcW w:w="1131" w:type="dxa"/>
            <w:gridSpan w:val="2"/>
            <w:shd w:val="clear" w:color="auto" w:fill="auto"/>
            <w:vAlign w:val="center"/>
          </w:tcPr>
          <w:p w14:paraId="536C6C82">
            <w:pPr>
              <w:jc w:val="center"/>
              <w:rPr>
                <w:rFonts w:ascii="Calibri" w:hAnsi="Calibri"/>
                <w:sz w:val="28"/>
                <w:szCs w:val="28"/>
              </w:rPr>
            </w:pPr>
            <w:r>
              <w:rPr>
                <w:rFonts w:ascii="宋体" w:hAnsi="宋体" w:cs="宋体"/>
                <w:sz w:val="28"/>
                <w:szCs w:val="28"/>
              </w:rPr>
              <w:t>电</w:t>
            </w:r>
            <w:r>
              <w:rPr>
                <w:rFonts w:hint="eastAsia" w:ascii="宋体" w:hAnsi="宋体" w:cs="宋体"/>
                <w:sz w:val="28"/>
                <w:szCs w:val="28"/>
              </w:rPr>
              <w:t xml:space="preserve">   </w:t>
            </w:r>
            <w:r>
              <w:rPr>
                <w:rFonts w:ascii="宋体" w:hAnsi="宋体" w:cs="宋体"/>
                <w:sz w:val="28"/>
                <w:szCs w:val="28"/>
              </w:rPr>
              <w:t xml:space="preserve"> 话</w:t>
            </w:r>
          </w:p>
        </w:tc>
        <w:tc>
          <w:tcPr>
            <w:tcW w:w="1889" w:type="dxa"/>
            <w:shd w:val="clear" w:color="auto" w:fill="auto"/>
            <w:vAlign w:val="center"/>
          </w:tcPr>
          <w:p w14:paraId="7153BEEF">
            <w:pPr>
              <w:ind w:left="50"/>
              <w:rPr>
                <w:rFonts w:ascii="Calibri" w:hAnsi="Calibri"/>
                <w:sz w:val="28"/>
                <w:szCs w:val="28"/>
              </w:rPr>
            </w:pPr>
            <w:r>
              <w:rPr>
                <w:rFonts w:ascii="Calibri" w:hAnsi="Calibri" w:eastAsia="Times New Roman"/>
                <w:sz w:val="28"/>
                <w:szCs w:val="28"/>
              </w:rPr>
              <w:t xml:space="preserve"> </w:t>
            </w:r>
          </w:p>
        </w:tc>
      </w:tr>
      <w:tr w14:paraId="72EE90F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vMerge w:val="continue"/>
            <w:shd w:val="clear" w:color="auto" w:fill="auto"/>
            <w:vAlign w:val="center"/>
          </w:tcPr>
          <w:p w14:paraId="2EFF79E1">
            <w:pPr>
              <w:jc w:val="center"/>
              <w:rPr>
                <w:rFonts w:ascii="Calibri" w:hAnsi="Calibri"/>
                <w:sz w:val="28"/>
                <w:szCs w:val="28"/>
              </w:rPr>
            </w:pPr>
          </w:p>
        </w:tc>
        <w:tc>
          <w:tcPr>
            <w:tcW w:w="1005" w:type="dxa"/>
            <w:shd w:val="clear" w:color="auto" w:fill="auto"/>
            <w:vAlign w:val="center"/>
          </w:tcPr>
          <w:p w14:paraId="751EC98A">
            <w:pPr>
              <w:jc w:val="center"/>
              <w:rPr>
                <w:rFonts w:ascii="Calibri" w:hAnsi="Calibri"/>
                <w:sz w:val="28"/>
                <w:szCs w:val="28"/>
              </w:rPr>
            </w:pPr>
            <w:r>
              <w:rPr>
                <w:rFonts w:hint="eastAsia" w:ascii="宋体" w:hAnsi="宋体" w:cs="宋体"/>
                <w:sz w:val="28"/>
                <w:szCs w:val="28"/>
              </w:rPr>
              <w:t>邮箱</w:t>
            </w:r>
          </w:p>
        </w:tc>
        <w:tc>
          <w:tcPr>
            <w:tcW w:w="1634" w:type="dxa"/>
            <w:shd w:val="clear" w:color="auto" w:fill="auto"/>
            <w:vAlign w:val="center"/>
          </w:tcPr>
          <w:p w14:paraId="23307808">
            <w:pPr>
              <w:ind w:left="52"/>
              <w:jc w:val="center"/>
              <w:rPr>
                <w:rFonts w:ascii="Calibri" w:hAnsi="Calibri"/>
                <w:sz w:val="28"/>
                <w:szCs w:val="28"/>
              </w:rPr>
            </w:pPr>
          </w:p>
        </w:tc>
        <w:tc>
          <w:tcPr>
            <w:tcW w:w="1131" w:type="dxa"/>
            <w:gridSpan w:val="2"/>
            <w:shd w:val="clear" w:color="auto" w:fill="auto"/>
            <w:vAlign w:val="center"/>
          </w:tcPr>
          <w:p w14:paraId="68E835D6">
            <w:pPr>
              <w:jc w:val="center"/>
              <w:rPr>
                <w:rFonts w:ascii="Calibri" w:hAnsi="Calibri"/>
                <w:sz w:val="28"/>
                <w:szCs w:val="28"/>
              </w:rPr>
            </w:pPr>
            <w:r>
              <w:rPr>
                <w:rFonts w:ascii="宋体" w:hAnsi="宋体" w:cs="宋体"/>
                <w:sz w:val="28"/>
                <w:szCs w:val="28"/>
              </w:rPr>
              <w:t>传</w:t>
            </w:r>
            <w:r>
              <w:rPr>
                <w:rFonts w:hint="eastAsia" w:ascii="宋体" w:hAnsi="宋体" w:cs="宋体"/>
                <w:sz w:val="28"/>
                <w:szCs w:val="28"/>
              </w:rPr>
              <w:t xml:space="preserve">   </w:t>
            </w:r>
            <w:r>
              <w:rPr>
                <w:rFonts w:ascii="宋体" w:hAnsi="宋体" w:cs="宋体"/>
                <w:sz w:val="28"/>
                <w:szCs w:val="28"/>
              </w:rPr>
              <w:t xml:space="preserve"> 真</w:t>
            </w:r>
          </w:p>
        </w:tc>
        <w:tc>
          <w:tcPr>
            <w:tcW w:w="1889" w:type="dxa"/>
            <w:shd w:val="clear" w:color="auto" w:fill="auto"/>
            <w:vAlign w:val="center"/>
          </w:tcPr>
          <w:p w14:paraId="2330276C">
            <w:pPr>
              <w:ind w:left="50"/>
              <w:rPr>
                <w:rFonts w:ascii="Calibri" w:hAnsi="Calibri"/>
                <w:sz w:val="28"/>
                <w:szCs w:val="28"/>
              </w:rPr>
            </w:pPr>
            <w:r>
              <w:rPr>
                <w:rFonts w:ascii="Calibri" w:hAnsi="Calibri" w:eastAsia="Times New Roman"/>
                <w:sz w:val="28"/>
                <w:szCs w:val="28"/>
              </w:rPr>
              <w:t xml:space="preserve"> </w:t>
            </w:r>
          </w:p>
        </w:tc>
      </w:tr>
      <w:tr w14:paraId="33C372C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shd w:val="clear" w:color="auto" w:fill="auto"/>
            <w:vAlign w:val="center"/>
          </w:tcPr>
          <w:p w14:paraId="5E5F88C0">
            <w:pPr>
              <w:jc w:val="center"/>
              <w:rPr>
                <w:rFonts w:ascii="Calibri" w:hAnsi="Calibri"/>
                <w:sz w:val="28"/>
                <w:szCs w:val="28"/>
              </w:rPr>
            </w:pPr>
            <w:r>
              <w:rPr>
                <w:rFonts w:ascii="宋体" w:hAnsi="宋体" w:cs="宋体"/>
                <w:sz w:val="28"/>
                <w:szCs w:val="28"/>
              </w:rPr>
              <w:t>法定代表人（单位负责人）</w:t>
            </w:r>
          </w:p>
        </w:tc>
        <w:tc>
          <w:tcPr>
            <w:tcW w:w="1005" w:type="dxa"/>
            <w:shd w:val="clear" w:color="auto" w:fill="auto"/>
            <w:vAlign w:val="center"/>
          </w:tcPr>
          <w:p w14:paraId="6B2F66A2">
            <w:pPr>
              <w:jc w:val="center"/>
              <w:rPr>
                <w:rFonts w:ascii="Calibri" w:hAnsi="Calibri"/>
                <w:sz w:val="28"/>
                <w:szCs w:val="28"/>
              </w:rPr>
            </w:pPr>
            <w:r>
              <w:rPr>
                <w:rFonts w:ascii="宋体" w:hAnsi="宋体" w:cs="宋体"/>
                <w:sz w:val="28"/>
                <w:szCs w:val="28"/>
              </w:rPr>
              <w:t>姓</w:t>
            </w:r>
            <w:r>
              <w:rPr>
                <w:rFonts w:hint="eastAsia" w:ascii="宋体" w:hAnsi="宋体" w:cs="宋体"/>
                <w:sz w:val="28"/>
                <w:szCs w:val="28"/>
              </w:rPr>
              <w:t xml:space="preserve">  </w:t>
            </w:r>
            <w:r>
              <w:rPr>
                <w:rFonts w:ascii="宋体" w:hAnsi="宋体" w:cs="宋体"/>
                <w:sz w:val="28"/>
                <w:szCs w:val="28"/>
              </w:rPr>
              <w:t>名</w:t>
            </w:r>
          </w:p>
        </w:tc>
        <w:tc>
          <w:tcPr>
            <w:tcW w:w="1634" w:type="dxa"/>
            <w:shd w:val="clear" w:color="auto" w:fill="auto"/>
            <w:vAlign w:val="center"/>
          </w:tcPr>
          <w:p w14:paraId="62E270E4">
            <w:pPr>
              <w:jc w:val="center"/>
              <w:rPr>
                <w:rFonts w:ascii="Calibri" w:hAnsi="Calibri"/>
                <w:sz w:val="28"/>
                <w:szCs w:val="28"/>
              </w:rPr>
            </w:pPr>
          </w:p>
        </w:tc>
        <w:tc>
          <w:tcPr>
            <w:tcW w:w="1131" w:type="dxa"/>
            <w:gridSpan w:val="2"/>
            <w:shd w:val="clear" w:color="auto" w:fill="auto"/>
            <w:vAlign w:val="center"/>
          </w:tcPr>
          <w:p w14:paraId="3D504DFD">
            <w:pPr>
              <w:jc w:val="center"/>
              <w:rPr>
                <w:rFonts w:ascii="Calibri" w:hAnsi="Calibri"/>
                <w:sz w:val="28"/>
                <w:szCs w:val="28"/>
              </w:rPr>
            </w:pPr>
            <w:r>
              <w:rPr>
                <w:rFonts w:ascii="宋体" w:hAnsi="宋体" w:cs="宋体"/>
                <w:sz w:val="28"/>
                <w:szCs w:val="28"/>
              </w:rPr>
              <w:t>电</w:t>
            </w:r>
            <w:r>
              <w:rPr>
                <w:rFonts w:hint="eastAsia" w:ascii="宋体" w:hAnsi="宋体" w:cs="宋体"/>
                <w:sz w:val="28"/>
                <w:szCs w:val="28"/>
              </w:rPr>
              <w:t xml:space="preserve">   </w:t>
            </w:r>
            <w:r>
              <w:rPr>
                <w:rFonts w:ascii="宋体" w:hAnsi="宋体" w:cs="宋体"/>
                <w:sz w:val="28"/>
                <w:szCs w:val="28"/>
              </w:rPr>
              <w:t xml:space="preserve"> 话</w:t>
            </w:r>
          </w:p>
        </w:tc>
        <w:tc>
          <w:tcPr>
            <w:tcW w:w="1889" w:type="dxa"/>
            <w:shd w:val="clear" w:color="auto" w:fill="auto"/>
            <w:vAlign w:val="center"/>
          </w:tcPr>
          <w:p w14:paraId="11D0D70A">
            <w:pPr>
              <w:jc w:val="center"/>
              <w:rPr>
                <w:rFonts w:ascii="Calibri" w:hAnsi="Calibri"/>
                <w:sz w:val="28"/>
                <w:szCs w:val="28"/>
              </w:rPr>
            </w:pPr>
          </w:p>
        </w:tc>
      </w:tr>
      <w:tr w14:paraId="7265858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3309" w:hRule="atLeast"/>
          <w:jc w:val="center"/>
        </w:trPr>
        <w:tc>
          <w:tcPr>
            <w:tcW w:w="2633" w:type="dxa"/>
            <w:shd w:val="clear" w:color="auto" w:fill="auto"/>
            <w:vAlign w:val="center"/>
          </w:tcPr>
          <w:p w14:paraId="206287E8">
            <w:pPr>
              <w:rPr>
                <w:rFonts w:ascii="Calibri" w:hAnsi="Calibri"/>
                <w:b/>
                <w:sz w:val="28"/>
                <w:szCs w:val="28"/>
              </w:rPr>
            </w:pPr>
            <w:r>
              <w:rPr>
                <w:rFonts w:ascii="宋体" w:hAnsi="宋体" w:cs="宋体"/>
                <w:b/>
                <w:sz w:val="28"/>
                <w:szCs w:val="28"/>
              </w:rPr>
              <w:t>投标人须知要求投标人需具有的各类资质证书</w:t>
            </w:r>
            <w:r>
              <w:rPr>
                <w:rFonts w:hint="eastAsia" w:ascii="Calibri" w:hAnsi="Calibri"/>
                <w:b/>
                <w:sz w:val="28"/>
                <w:szCs w:val="28"/>
              </w:rPr>
              <w:t>和履行合同所具备的专业技术能力、人员证书及相关设备证明材料</w:t>
            </w:r>
          </w:p>
        </w:tc>
        <w:tc>
          <w:tcPr>
            <w:tcW w:w="5659" w:type="dxa"/>
            <w:gridSpan w:val="5"/>
            <w:shd w:val="clear" w:color="auto" w:fill="auto"/>
            <w:vAlign w:val="center"/>
          </w:tcPr>
          <w:p w14:paraId="48A8FCB1">
            <w:pPr>
              <w:ind w:left="122"/>
              <w:rPr>
                <w:rFonts w:ascii="Calibri" w:hAnsi="Calibri"/>
                <w:szCs w:val="21"/>
              </w:rPr>
            </w:pPr>
            <w:r>
              <w:rPr>
                <w:rFonts w:ascii="宋体" w:hAnsi="宋体" w:cs="宋体"/>
                <w:szCs w:val="21"/>
              </w:rPr>
              <w:t>类型：</w:t>
            </w:r>
            <w:r>
              <w:rPr>
                <w:rFonts w:ascii="Calibri" w:hAnsi="Calibri" w:eastAsia="Times New Roman"/>
                <w:szCs w:val="21"/>
              </w:rPr>
              <w:t xml:space="preserve">              </w:t>
            </w:r>
            <w:r>
              <w:rPr>
                <w:rFonts w:ascii="宋体" w:hAnsi="宋体" w:cs="宋体"/>
                <w:szCs w:val="21"/>
              </w:rPr>
              <w:t>等级：</w:t>
            </w:r>
            <w:r>
              <w:rPr>
                <w:rFonts w:ascii="Calibri" w:hAnsi="Calibri" w:eastAsia="Times New Roman"/>
                <w:szCs w:val="21"/>
              </w:rPr>
              <w:t xml:space="preserve">              </w:t>
            </w:r>
            <w:r>
              <w:rPr>
                <w:rFonts w:ascii="宋体" w:hAnsi="宋体" w:cs="宋体"/>
                <w:szCs w:val="21"/>
              </w:rPr>
              <w:t>证书号：</w:t>
            </w:r>
            <w:r>
              <w:rPr>
                <w:rFonts w:ascii="Calibri" w:hAnsi="Calibri" w:eastAsia="Times New Roman"/>
                <w:szCs w:val="21"/>
              </w:rPr>
              <w:t xml:space="preserve"> </w:t>
            </w:r>
          </w:p>
        </w:tc>
      </w:tr>
      <w:tr w14:paraId="37BC692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17" w:hRule="atLeast"/>
          <w:jc w:val="center"/>
        </w:trPr>
        <w:tc>
          <w:tcPr>
            <w:tcW w:w="2633" w:type="dxa"/>
            <w:shd w:val="clear" w:color="auto" w:fill="auto"/>
            <w:vAlign w:val="center"/>
          </w:tcPr>
          <w:p w14:paraId="7E2A80E2">
            <w:pPr>
              <w:ind w:left="158"/>
              <w:jc w:val="center"/>
              <w:rPr>
                <w:rFonts w:ascii="Calibri" w:hAnsi="Calibri"/>
                <w:b/>
                <w:sz w:val="28"/>
                <w:szCs w:val="28"/>
                <w:highlight w:val="yellow"/>
              </w:rPr>
            </w:pPr>
            <w:r>
              <w:rPr>
                <w:rFonts w:ascii="宋体" w:hAnsi="宋体" w:cs="宋体"/>
                <w:b/>
                <w:sz w:val="28"/>
                <w:szCs w:val="28"/>
                <w:highlight w:val="yellow"/>
              </w:rPr>
              <w:t>开户银行</w:t>
            </w:r>
          </w:p>
        </w:tc>
        <w:tc>
          <w:tcPr>
            <w:tcW w:w="5659" w:type="dxa"/>
            <w:gridSpan w:val="5"/>
            <w:shd w:val="clear" w:color="auto" w:fill="auto"/>
            <w:vAlign w:val="center"/>
          </w:tcPr>
          <w:p w14:paraId="0448AB43">
            <w:pPr>
              <w:ind w:left="122"/>
              <w:rPr>
                <w:rFonts w:ascii="Calibri" w:hAnsi="Calibri"/>
              </w:rPr>
            </w:pPr>
            <w:r>
              <w:rPr>
                <w:rFonts w:ascii="Calibri" w:hAnsi="Calibri" w:eastAsia="Times New Roman"/>
              </w:rPr>
              <w:t xml:space="preserve"> </w:t>
            </w:r>
          </w:p>
        </w:tc>
      </w:tr>
      <w:tr w14:paraId="6346B17B">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079" w:hRule="atLeast"/>
          <w:jc w:val="center"/>
        </w:trPr>
        <w:tc>
          <w:tcPr>
            <w:tcW w:w="2633" w:type="dxa"/>
            <w:shd w:val="clear" w:color="auto" w:fill="auto"/>
            <w:vAlign w:val="center"/>
          </w:tcPr>
          <w:p w14:paraId="248809AB">
            <w:pPr>
              <w:ind w:left="158"/>
              <w:jc w:val="center"/>
              <w:rPr>
                <w:rFonts w:ascii="Calibri" w:hAnsi="Calibri"/>
                <w:b/>
                <w:sz w:val="28"/>
                <w:szCs w:val="28"/>
                <w:highlight w:val="yellow"/>
              </w:rPr>
            </w:pPr>
            <w:r>
              <w:rPr>
                <w:rFonts w:ascii="宋体" w:hAnsi="宋体" w:cs="宋体"/>
                <w:b/>
                <w:sz w:val="28"/>
                <w:szCs w:val="28"/>
                <w:highlight w:val="yellow"/>
              </w:rPr>
              <w:t>银行账号</w:t>
            </w:r>
          </w:p>
        </w:tc>
        <w:tc>
          <w:tcPr>
            <w:tcW w:w="5659" w:type="dxa"/>
            <w:gridSpan w:val="5"/>
            <w:shd w:val="clear" w:color="auto" w:fill="auto"/>
            <w:vAlign w:val="center"/>
          </w:tcPr>
          <w:p w14:paraId="3A2F5FE3">
            <w:pPr>
              <w:ind w:left="17"/>
              <w:rPr>
                <w:rFonts w:ascii="Calibri" w:hAnsi="Calibri"/>
                <w:sz w:val="24"/>
              </w:rPr>
            </w:pPr>
            <w:r>
              <w:rPr>
                <w:rFonts w:ascii="Calibri" w:hAnsi="Calibri" w:eastAsia="Times New Roman"/>
              </w:rPr>
              <w:t xml:space="preserve"> </w:t>
            </w:r>
          </w:p>
        </w:tc>
      </w:tr>
      <w:tr w14:paraId="0B1D166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947" w:hRule="atLeast"/>
          <w:jc w:val="center"/>
        </w:trPr>
        <w:tc>
          <w:tcPr>
            <w:tcW w:w="2633" w:type="dxa"/>
            <w:shd w:val="clear" w:color="auto" w:fill="auto"/>
            <w:vAlign w:val="bottom"/>
          </w:tcPr>
          <w:p w14:paraId="7A6020C5">
            <w:pPr>
              <w:jc w:val="center"/>
              <w:rPr>
                <w:rFonts w:ascii="Calibri" w:hAnsi="Calibri"/>
                <w:sz w:val="30"/>
                <w:szCs w:val="30"/>
              </w:rPr>
            </w:pPr>
            <w:r>
              <w:rPr>
                <w:rFonts w:ascii="宋体" w:hAnsi="宋体" w:cs="宋体"/>
                <w:sz w:val="30"/>
                <w:szCs w:val="30"/>
              </w:rPr>
              <w:t>备注</w:t>
            </w:r>
          </w:p>
        </w:tc>
        <w:tc>
          <w:tcPr>
            <w:tcW w:w="5659" w:type="dxa"/>
            <w:gridSpan w:val="5"/>
            <w:shd w:val="clear" w:color="auto" w:fill="auto"/>
            <w:vAlign w:val="bottom"/>
          </w:tcPr>
          <w:p w14:paraId="275B7C91">
            <w:pPr>
              <w:ind w:left="46"/>
              <w:jc w:val="center"/>
              <w:rPr>
                <w:rFonts w:ascii="Calibri" w:hAnsi="Calibri"/>
              </w:rPr>
            </w:pPr>
            <w:r>
              <w:rPr>
                <w:rFonts w:ascii="Calibri" w:hAnsi="Calibri" w:eastAsia="Times New Roman"/>
              </w:rPr>
              <w:t xml:space="preserve"> </w:t>
            </w:r>
          </w:p>
        </w:tc>
      </w:tr>
    </w:tbl>
    <w:p w14:paraId="5E94838F">
      <w:pPr>
        <w:spacing w:after="5" w:line="374" w:lineRule="auto"/>
        <w:ind w:left="-5" w:right="590" w:hanging="10"/>
        <w:rPr>
          <w:b/>
          <w:sz w:val="32"/>
          <w:szCs w:val="32"/>
        </w:rPr>
      </w:pPr>
      <w:r>
        <w:rPr>
          <w:rFonts w:ascii="宋体" w:hAnsi="宋体" w:cs="宋体"/>
          <w:b/>
          <w:sz w:val="32"/>
          <w:szCs w:val="32"/>
        </w:rPr>
        <w:t>注：相关</w:t>
      </w:r>
      <w:r>
        <w:rPr>
          <w:rFonts w:hint="eastAsia" w:ascii="宋体" w:hAnsi="宋体" w:cs="宋体"/>
          <w:b/>
          <w:sz w:val="32"/>
          <w:szCs w:val="32"/>
        </w:rPr>
        <w:t>资质证书及</w:t>
      </w:r>
      <w:r>
        <w:rPr>
          <w:rFonts w:ascii="宋体" w:hAnsi="宋体" w:cs="宋体"/>
          <w:b/>
          <w:sz w:val="32"/>
          <w:szCs w:val="32"/>
        </w:rPr>
        <w:t>证明材料</w:t>
      </w:r>
      <w:r>
        <w:rPr>
          <w:rFonts w:hint="eastAsia" w:ascii="宋体" w:hAnsi="宋体" w:cs="宋体"/>
          <w:b/>
          <w:sz w:val="32"/>
          <w:szCs w:val="32"/>
        </w:rPr>
        <w:t>附后</w:t>
      </w:r>
    </w:p>
    <w:p w14:paraId="2AC70938">
      <w:pPr>
        <w:spacing w:line="500" w:lineRule="exact"/>
        <w:rPr>
          <w:rFonts w:ascii="宋体" w:hAnsi="宋体"/>
          <w:b/>
          <w:sz w:val="32"/>
          <w:szCs w:val="32"/>
        </w:rPr>
      </w:pPr>
    </w:p>
    <w:p w14:paraId="681DF80E">
      <w:pPr>
        <w:pStyle w:val="4"/>
        <w:spacing w:line="240" w:lineRule="atLeast"/>
        <w:jc w:val="left"/>
        <w:rPr>
          <w:rFonts w:ascii="黑体" w:hAnsi="黑体"/>
        </w:rPr>
      </w:pPr>
      <w:bookmarkStart w:id="965" w:name="_Toc16689"/>
      <w:r>
        <w:rPr>
          <w:rFonts w:hint="eastAsia" w:ascii="黑体" w:hAnsi="黑体"/>
        </w:rPr>
        <w:t>四、</w:t>
      </w:r>
      <w:r>
        <w:rPr>
          <w:rFonts w:ascii="黑体" w:hAnsi="黑体"/>
        </w:rPr>
        <w:t>营业执照</w:t>
      </w:r>
      <w:bookmarkEnd w:id="965"/>
    </w:p>
    <w:p w14:paraId="37999395">
      <w:pPr>
        <w:rPr>
          <w:b/>
          <w:sz w:val="32"/>
          <w:szCs w:val="32"/>
        </w:rPr>
      </w:pPr>
    </w:p>
    <w:p w14:paraId="72954700">
      <w:pPr>
        <w:pStyle w:val="4"/>
        <w:spacing w:line="240" w:lineRule="atLeast"/>
        <w:jc w:val="left"/>
        <w:rPr>
          <w:rFonts w:ascii="黑体" w:hAnsi="黑体"/>
        </w:rPr>
      </w:pPr>
      <w:bookmarkStart w:id="966" w:name="_Toc15238"/>
      <w:r>
        <w:rPr>
          <w:rFonts w:ascii="黑体" w:hAnsi="黑体"/>
        </w:rPr>
        <w:t>五、</w:t>
      </w:r>
      <w:r>
        <w:rPr>
          <w:rFonts w:hint="eastAsia" w:ascii="黑体" w:hAnsi="黑体"/>
        </w:rPr>
        <w:t>财务状况报告</w:t>
      </w:r>
      <w:bookmarkEnd w:id="966"/>
    </w:p>
    <w:p w14:paraId="4F4B4934">
      <w:pPr>
        <w:rPr>
          <w:b/>
          <w:sz w:val="32"/>
          <w:szCs w:val="32"/>
        </w:rPr>
      </w:pPr>
    </w:p>
    <w:p w14:paraId="06987EA6">
      <w:pPr>
        <w:pStyle w:val="4"/>
        <w:spacing w:line="240" w:lineRule="atLeast"/>
        <w:jc w:val="left"/>
        <w:rPr>
          <w:rFonts w:ascii="黑体" w:hAnsi="黑体"/>
        </w:rPr>
      </w:pPr>
      <w:bookmarkStart w:id="967" w:name="_Toc32221"/>
      <w:r>
        <w:rPr>
          <w:rFonts w:ascii="黑体" w:hAnsi="黑体"/>
        </w:rPr>
        <w:t>六</w:t>
      </w:r>
      <w:r>
        <w:rPr>
          <w:rFonts w:hint="eastAsia" w:ascii="黑体" w:hAnsi="黑体"/>
        </w:rPr>
        <w:t>、社会保障资金证明</w:t>
      </w:r>
      <w:bookmarkEnd w:id="967"/>
    </w:p>
    <w:p w14:paraId="77B3C056">
      <w:pPr>
        <w:rPr>
          <w:b/>
          <w:sz w:val="32"/>
          <w:szCs w:val="32"/>
        </w:rPr>
      </w:pPr>
    </w:p>
    <w:p w14:paraId="27642FB4">
      <w:pPr>
        <w:pStyle w:val="4"/>
        <w:spacing w:line="240" w:lineRule="atLeast"/>
        <w:jc w:val="left"/>
        <w:rPr>
          <w:rFonts w:ascii="黑体" w:hAnsi="黑体"/>
        </w:rPr>
      </w:pPr>
      <w:bookmarkStart w:id="968" w:name="_Toc4681"/>
      <w:r>
        <w:rPr>
          <w:rFonts w:hint="eastAsia" w:ascii="黑体" w:hAnsi="黑体"/>
        </w:rPr>
        <w:t>七</w:t>
      </w:r>
      <w:r>
        <w:rPr>
          <w:rFonts w:ascii="黑体" w:hAnsi="黑体"/>
        </w:rPr>
        <w:t>、</w:t>
      </w:r>
      <w:r>
        <w:rPr>
          <w:rFonts w:hint="eastAsia" w:ascii="黑体" w:hAnsi="黑体"/>
        </w:rPr>
        <w:t>依法缴纳税收证明</w:t>
      </w:r>
      <w:bookmarkEnd w:id="968"/>
    </w:p>
    <w:p w14:paraId="642CFCAC">
      <w:pPr>
        <w:rPr>
          <w:b/>
          <w:sz w:val="32"/>
          <w:szCs w:val="32"/>
        </w:rPr>
      </w:pPr>
    </w:p>
    <w:p w14:paraId="3EA43386">
      <w:pPr>
        <w:pStyle w:val="4"/>
        <w:spacing w:line="240" w:lineRule="atLeast"/>
        <w:jc w:val="left"/>
        <w:rPr>
          <w:rFonts w:ascii="黑体" w:hAnsi="黑体"/>
        </w:rPr>
      </w:pPr>
      <w:bookmarkStart w:id="969" w:name="_Toc13411"/>
      <w:r>
        <w:rPr>
          <w:rFonts w:hint="eastAsia" w:ascii="黑体" w:hAnsi="黑体"/>
        </w:rPr>
        <w:t>八、参加政府采购活动前三年内，在经营活动中没有重大违法记录的声明</w:t>
      </w:r>
      <w:bookmarkEnd w:id="969"/>
    </w:p>
    <w:p w14:paraId="2379CA74">
      <w:pPr>
        <w:rPr>
          <w:b/>
          <w:sz w:val="32"/>
          <w:szCs w:val="32"/>
        </w:rPr>
      </w:pPr>
    </w:p>
    <w:p w14:paraId="1D84D2FD">
      <w:pPr>
        <w:pStyle w:val="4"/>
        <w:spacing w:line="240" w:lineRule="atLeast"/>
        <w:jc w:val="left"/>
        <w:rPr>
          <w:rFonts w:ascii="黑体" w:hAnsi="黑体"/>
        </w:rPr>
      </w:pPr>
      <w:bookmarkStart w:id="970" w:name="_Toc6890"/>
      <w:r>
        <w:rPr>
          <w:rFonts w:hint="eastAsia" w:ascii="黑体" w:hAnsi="黑体"/>
        </w:rPr>
        <w:t>九、投标人信用信息查询记录</w:t>
      </w:r>
      <w:bookmarkEnd w:id="970"/>
    </w:p>
    <w:p w14:paraId="2BF54789">
      <w:pPr>
        <w:rPr>
          <w:b/>
          <w:sz w:val="32"/>
          <w:szCs w:val="32"/>
        </w:rPr>
      </w:pPr>
    </w:p>
    <w:p w14:paraId="469C9E14">
      <w:pPr>
        <w:numPr>
          <w:ilvl w:val="0"/>
          <w:numId w:val="0"/>
        </w:numPr>
        <w:rPr>
          <w:rFonts w:hint="eastAsia" w:ascii="黑体" w:hAnsi="黑体" w:eastAsia="黑体"/>
          <w:b/>
          <w:bCs/>
          <w:sz w:val="32"/>
          <w:szCs w:val="32"/>
        </w:rPr>
      </w:pPr>
      <w:r>
        <w:rPr>
          <w:rFonts w:hint="eastAsia" w:ascii="黑体" w:hAnsi="黑体" w:eastAsia="黑体"/>
          <w:b/>
          <w:bCs/>
          <w:sz w:val="32"/>
          <w:szCs w:val="32"/>
          <w:lang w:val="en-US" w:eastAsia="zh-CN"/>
        </w:rPr>
        <w:t>十、</w:t>
      </w:r>
      <w:r>
        <w:rPr>
          <w:rFonts w:hint="eastAsia" w:ascii="黑体" w:hAnsi="黑体" w:eastAsia="黑体"/>
          <w:b/>
          <w:bCs/>
          <w:sz w:val="32"/>
          <w:szCs w:val="32"/>
        </w:rPr>
        <w:t>招标文件要求提供的其他证明材料</w:t>
      </w:r>
    </w:p>
    <w:p w14:paraId="5F6D2F5D">
      <w:pPr>
        <w:pStyle w:val="2"/>
        <w:rPr>
          <w:rFonts w:hint="eastAsia" w:ascii="黑体" w:hAnsi="黑体" w:eastAsia="黑体"/>
          <w:b/>
          <w:bCs/>
          <w:sz w:val="32"/>
          <w:szCs w:val="32"/>
        </w:rPr>
      </w:pPr>
    </w:p>
    <w:p w14:paraId="0B621795">
      <w:pPr>
        <w:rPr>
          <w:rFonts w:hint="eastAsia"/>
        </w:rPr>
      </w:pPr>
    </w:p>
    <w:p w14:paraId="059175ED">
      <w:pPr>
        <w:numPr>
          <w:ilvl w:val="0"/>
          <w:numId w:val="0"/>
        </w:numPr>
        <w:rPr>
          <w:rFonts w:hint="eastAsia" w:ascii="黑体" w:hAnsi="黑体" w:eastAsia="黑体"/>
          <w:b/>
          <w:kern w:val="0"/>
          <w:sz w:val="32"/>
          <w:szCs w:val="32"/>
        </w:rPr>
      </w:pPr>
      <w:r>
        <w:rPr>
          <w:rFonts w:hint="eastAsia" w:ascii="黑体" w:hAnsi="黑体" w:eastAsia="黑体"/>
          <w:b/>
          <w:bCs/>
          <w:sz w:val="32"/>
          <w:szCs w:val="32"/>
          <w:lang w:val="en-US" w:eastAsia="zh-CN"/>
        </w:rPr>
        <w:t>十一、</w:t>
      </w:r>
      <w:r>
        <w:rPr>
          <w:rFonts w:hint="eastAsia"/>
        </w:rPr>
        <w:t xml:space="preserve"> </w:t>
      </w:r>
      <w:bookmarkStart w:id="971" w:name="_Toc7992"/>
      <w:bookmarkStart w:id="972" w:name="_Toc23151"/>
      <w:r>
        <w:rPr>
          <w:rFonts w:hint="eastAsia" w:ascii="黑体" w:hAnsi="黑体" w:eastAsia="黑体"/>
          <w:b/>
          <w:kern w:val="0"/>
          <w:sz w:val="32"/>
          <w:szCs w:val="32"/>
        </w:rPr>
        <w:t>中小企业声明函</w:t>
      </w:r>
      <w:bookmarkEnd w:id="971"/>
      <w:bookmarkEnd w:id="972"/>
    </w:p>
    <w:p w14:paraId="6B49DB94">
      <w:pPr>
        <w:rPr>
          <w:rFonts w:hint="eastAsia" w:eastAsia="宋体"/>
          <w:lang w:val="en-US" w:eastAsia="zh-CN"/>
        </w:rPr>
      </w:pPr>
      <w:r>
        <w:rPr>
          <w:rFonts w:hint="eastAsia" w:eastAsia="宋体"/>
          <w:lang w:val="en-US" w:eastAsia="zh-CN"/>
        </w:rPr>
        <w:br w:type="page"/>
      </w:r>
    </w:p>
    <w:p w14:paraId="21A7FA82">
      <w:pPr>
        <w:spacing w:line="500" w:lineRule="exact"/>
        <w:jc w:val="center"/>
        <w:rPr>
          <w:rFonts w:ascii="Arial" w:hAnsi="Arial" w:eastAsia="黑体"/>
          <w:b/>
          <w:bCs/>
          <w:sz w:val="32"/>
          <w:szCs w:val="32"/>
        </w:rPr>
      </w:pPr>
      <w:r>
        <w:rPr>
          <w:rFonts w:hint="eastAsia" w:ascii="Arial" w:hAnsi="Arial" w:eastAsia="黑体"/>
          <w:b/>
          <w:bCs/>
          <w:sz w:val="32"/>
          <w:szCs w:val="32"/>
        </w:rPr>
        <w:t>中小企业声明函（货物）</w:t>
      </w:r>
    </w:p>
    <w:p w14:paraId="65C9974E">
      <w:pPr>
        <w:spacing w:line="500" w:lineRule="exact"/>
        <w:jc w:val="center"/>
        <w:rPr>
          <w:rFonts w:ascii="宋体" w:hAnsi="宋体"/>
          <w:b/>
          <w:sz w:val="28"/>
          <w:szCs w:val="28"/>
        </w:rPr>
      </w:pPr>
    </w:p>
    <w:p w14:paraId="4C8946D0">
      <w:pPr>
        <w:spacing w:line="500" w:lineRule="exact"/>
        <w:ind w:firstLine="560" w:firstLineChars="200"/>
        <w:rPr>
          <w:rFonts w:hint="eastAsia" w:ascii="宋体" w:hAnsi="宋体"/>
          <w:sz w:val="28"/>
          <w:szCs w:val="28"/>
        </w:rPr>
      </w:pPr>
      <w:r>
        <w:rPr>
          <w:rFonts w:hint="eastAsia" w:ascii="宋体" w:hAnsi="宋体"/>
          <w:sz w:val="28"/>
          <w:szCs w:val="28"/>
        </w:rPr>
        <w:t xml:space="preserve">本公司（联合体）郑重声明，根据《政府采购促进中小企业发展管理办法》（财库﹝2020﹞46 号）的规定，本公司 （联合体）参加 </w:t>
      </w:r>
      <w:r>
        <w:rPr>
          <w:rFonts w:hint="eastAsia" w:ascii="宋体" w:hAnsi="宋体"/>
          <w:sz w:val="28"/>
          <w:szCs w:val="28"/>
          <w:u w:val="single"/>
        </w:rPr>
        <w:t xml:space="preserve">（ 单 位 名 称 ） </w:t>
      </w:r>
      <w:r>
        <w:rPr>
          <w:rFonts w:hint="eastAsia" w:ascii="宋体" w:hAnsi="宋体"/>
          <w:sz w:val="28"/>
          <w:szCs w:val="28"/>
        </w:rPr>
        <w:t xml:space="preserve">的 </w:t>
      </w:r>
      <w:r>
        <w:rPr>
          <w:rFonts w:hint="eastAsia" w:ascii="宋体" w:hAnsi="宋体"/>
          <w:sz w:val="28"/>
          <w:szCs w:val="28"/>
          <w:u w:val="single"/>
        </w:rPr>
        <w:t>（ 项 目 名 称 ）</w:t>
      </w:r>
      <w:r>
        <w:rPr>
          <w:rFonts w:hint="eastAsia" w:ascii="宋体" w:hAnsi="宋体"/>
          <w:sz w:val="28"/>
          <w:szCs w:val="28"/>
        </w:rPr>
        <w:t xml:space="preserve"> 采购活动，</w:t>
      </w:r>
      <w:r>
        <w:rPr>
          <w:rFonts w:hint="eastAsia" w:ascii="宋体" w:hAnsi="宋体"/>
          <w:color w:val="FF0000"/>
          <w:sz w:val="28"/>
          <w:szCs w:val="28"/>
        </w:rPr>
        <w:t>提供的货物全部由符合政策要求的中小企业制造。</w:t>
      </w:r>
      <w:r>
        <w:rPr>
          <w:rFonts w:hint="eastAsia" w:ascii="宋体" w:hAnsi="宋体"/>
          <w:sz w:val="28"/>
          <w:szCs w:val="28"/>
        </w:rPr>
        <w:t>相关企业 （含联合体中的中小企业、签订分包意向协议的中小企业） 的具体情况如下：</w:t>
      </w:r>
    </w:p>
    <w:p w14:paraId="72E92D85">
      <w:pPr>
        <w:numPr>
          <w:ilvl w:val="0"/>
          <w:numId w:val="0"/>
        </w:numPr>
        <w:spacing w:line="500" w:lineRule="exact"/>
        <w:ind w:firstLine="560" w:firstLineChars="200"/>
        <w:rPr>
          <w:rFonts w:hint="eastAsia" w:ascii="宋体" w:hAnsi="宋体"/>
          <w:sz w:val="28"/>
          <w:szCs w:val="28"/>
          <w:u w:val="single"/>
        </w:rPr>
      </w:pPr>
      <w:r>
        <w:rPr>
          <w:rFonts w:hint="eastAsia" w:ascii="宋体" w:hAnsi="宋体"/>
          <w:sz w:val="28"/>
          <w:szCs w:val="28"/>
          <w:lang w:val="en-US" w:eastAsia="zh-CN"/>
        </w:rPr>
        <w:t>1.</w:t>
      </w:r>
      <w:r>
        <w:rPr>
          <w:rFonts w:hint="eastAsia" w:ascii="宋体" w:hAnsi="宋体"/>
          <w:sz w:val="28"/>
          <w:szCs w:val="28"/>
          <w:u w:val="single"/>
        </w:rPr>
        <w:t>（ 标 的 名 称 ）</w:t>
      </w:r>
      <w:r>
        <w:rPr>
          <w:rFonts w:hint="eastAsia" w:ascii="宋体" w:hAnsi="宋体"/>
          <w:sz w:val="28"/>
          <w:szCs w:val="28"/>
        </w:rPr>
        <w:t xml:space="preserve"> ，属于 </w:t>
      </w:r>
      <w:r>
        <w:rPr>
          <w:rFonts w:hint="eastAsia" w:ascii="宋体" w:hAnsi="宋体"/>
          <w:sz w:val="28"/>
          <w:szCs w:val="28"/>
          <w:u w:val="single"/>
        </w:rPr>
        <w:t>（ 采 购 文 件 中 明 确 的 所 属 行 业 ） 行 业</w:t>
      </w:r>
      <w:r>
        <w:rPr>
          <w:rFonts w:hint="eastAsia" w:ascii="宋体" w:hAnsi="宋体"/>
          <w:sz w:val="28"/>
          <w:szCs w:val="28"/>
        </w:rPr>
        <w:t xml:space="preserve"> ；制造商为</w:t>
      </w:r>
      <w:r>
        <w:rPr>
          <w:rFonts w:hint="eastAsia" w:ascii="宋体" w:hAnsi="宋体"/>
          <w:sz w:val="28"/>
          <w:szCs w:val="28"/>
          <w:u w:val="single"/>
        </w:rPr>
        <w:t xml:space="preserve"> （ 企 业 名 称 ）</w:t>
      </w:r>
      <w:r>
        <w:rPr>
          <w:rFonts w:hint="eastAsia" w:ascii="宋体" w:hAnsi="宋体"/>
          <w:sz w:val="28"/>
          <w:szCs w:val="28"/>
        </w:rPr>
        <w:t xml:space="preserve"> ，从业人员</w:t>
      </w:r>
      <w:r>
        <w:rPr>
          <w:rFonts w:hint="eastAsia" w:ascii="宋体" w:hAnsi="宋体"/>
          <w:sz w:val="28"/>
          <w:szCs w:val="28"/>
          <w:u w:val="single"/>
          <w:lang w:val="en-US" w:eastAsia="zh-CN"/>
        </w:rPr>
        <w:t xml:space="preserve">   </w:t>
      </w:r>
      <w:r>
        <w:rPr>
          <w:rFonts w:hint="eastAsia" w:ascii="宋体" w:hAnsi="宋体"/>
          <w:sz w:val="28"/>
          <w:szCs w:val="28"/>
        </w:rPr>
        <w:t>人，营业收入为</w:t>
      </w:r>
      <w:r>
        <w:rPr>
          <w:rFonts w:hint="eastAsia" w:ascii="宋体" w:hAnsi="宋体"/>
          <w:sz w:val="28"/>
          <w:szCs w:val="28"/>
          <w:u w:val="single"/>
          <w:lang w:val="en-US" w:eastAsia="zh-CN"/>
        </w:rPr>
        <w:t xml:space="preserve">    </w:t>
      </w:r>
      <w:r>
        <w:rPr>
          <w:rFonts w:hint="eastAsia" w:ascii="宋体" w:hAnsi="宋体"/>
          <w:sz w:val="28"/>
          <w:szCs w:val="28"/>
        </w:rPr>
        <w:t>万元，资产总额为</w:t>
      </w:r>
      <w:r>
        <w:rPr>
          <w:rFonts w:hint="eastAsia" w:ascii="宋体" w:hAnsi="宋体"/>
          <w:sz w:val="28"/>
          <w:szCs w:val="28"/>
          <w:u w:val="single"/>
          <w:lang w:val="en-US" w:eastAsia="zh-CN"/>
        </w:rPr>
        <w:t xml:space="preserve">   </w:t>
      </w:r>
      <w:r>
        <w:rPr>
          <w:rFonts w:hint="eastAsia" w:ascii="宋体" w:hAnsi="宋体"/>
          <w:sz w:val="28"/>
          <w:szCs w:val="28"/>
        </w:rPr>
        <w:t>万元</w:t>
      </w:r>
      <w:r>
        <w:rPr>
          <w:rFonts w:hint="eastAsia" w:ascii="宋体" w:hAnsi="宋体"/>
          <w:sz w:val="28"/>
          <w:szCs w:val="28"/>
          <w:vertAlign w:val="superscript"/>
          <w:lang w:val="en-US" w:eastAsia="zh-CN"/>
        </w:rPr>
        <w:t>1</w:t>
      </w:r>
      <w:r>
        <w:rPr>
          <w:rFonts w:hint="eastAsia" w:ascii="宋体" w:hAnsi="宋体"/>
          <w:sz w:val="28"/>
          <w:szCs w:val="28"/>
        </w:rPr>
        <w:t xml:space="preserve">，属于 </w:t>
      </w:r>
      <w:r>
        <w:rPr>
          <w:rFonts w:hint="eastAsia" w:ascii="宋体" w:hAnsi="宋体"/>
          <w:sz w:val="28"/>
          <w:szCs w:val="28"/>
          <w:u w:val="single"/>
        </w:rPr>
        <w:t xml:space="preserve">（ 中 型 企 业 、 小 型 企 业 、 微 型 企 业 ） ； </w:t>
      </w:r>
    </w:p>
    <w:p w14:paraId="7B46D631">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2. </w:t>
      </w:r>
      <w:r>
        <w:rPr>
          <w:rFonts w:hint="eastAsia" w:ascii="宋体" w:hAnsi="宋体"/>
          <w:sz w:val="28"/>
          <w:szCs w:val="28"/>
          <w:u w:val="single"/>
        </w:rPr>
        <w:t xml:space="preserve">（ 标 的 名 称 ） </w:t>
      </w:r>
      <w:r>
        <w:rPr>
          <w:rFonts w:hint="eastAsia" w:ascii="宋体" w:hAnsi="宋体"/>
          <w:sz w:val="28"/>
          <w:szCs w:val="28"/>
        </w:rPr>
        <w:t xml:space="preserve">，属于 </w:t>
      </w:r>
      <w:r>
        <w:rPr>
          <w:rFonts w:hint="eastAsia" w:ascii="宋体" w:hAnsi="宋体"/>
          <w:sz w:val="28"/>
          <w:szCs w:val="28"/>
          <w:u w:val="single"/>
        </w:rPr>
        <w:t xml:space="preserve">（ 采 购 文 件 中 明 确 的 所 属 行 业 ） 行 业 </w:t>
      </w:r>
      <w:r>
        <w:rPr>
          <w:rFonts w:hint="eastAsia" w:ascii="宋体" w:hAnsi="宋体"/>
          <w:sz w:val="28"/>
          <w:szCs w:val="28"/>
        </w:rPr>
        <w:t>；制造商为</w:t>
      </w:r>
      <w:r>
        <w:rPr>
          <w:rFonts w:hint="eastAsia" w:ascii="宋体" w:hAnsi="宋体"/>
          <w:sz w:val="28"/>
          <w:szCs w:val="28"/>
          <w:u w:val="single"/>
        </w:rPr>
        <w:t xml:space="preserve"> （ 企 业 名 称 ）</w:t>
      </w:r>
      <w:r>
        <w:rPr>
          <w:rFonts w:hint="eastAsia" w:ascii="宋体" w:hAnsi="宋体"/>
          <w:sz w:val="28"/>
          <w:szCs w:val="28"/>
        </w:rPr>
        <w:t xml:space="preserve"> ，从业人员</w:t>
      </w:r>
      <w:r>
        <w:rPr>
          <w:rFonts w:hint="eastAsia" w:ascii="宋体" w:hAnsi="宋体"/>
          <w:sz w:val="28"/>
          <w:szCs w:val="28"/>
          <w:u w:val="single"/>
          <w:lang w:val="en-US" w:eastAsia="zh-CN"/>
        </w:rPr>
        <w:t xml:space="preserve">   </w:t>
      </w:r>
      <w:r>
        <w:rPr>
          <w:rFonts w:hint="eastAsia" w:ascii="宋体" w:hAnsi="宋体"/>
          <w:sz w:val="28"/>
          <w:szCs w:val="28"/>
        </w:rPr>
        <w:t>人，营业收入为</w:t>
      </w:r>
      <w:r>
        <w:rPr>
          <w:rFonts w:hint="eastAsia" w:ascii="宋体" w:hAnsi="宋体"/>
          <w:sz w:val="28"/>
          <w:szCs w:val="28"/>
          <w:u w:val="single"/>
          <w:lang w:val="en-US" w:eastAsia="zh-CN"/>
        </w:rPr>
        <w:t xml:space="preserve">    </w:t>
      </w:r>
      <w:r>
        <w:rPr>
          <w:rFonts w:hint="eastAsia" w:ascii="宋体" w:hAnsi="宋体"/>
          <w:sz w:val="28"/>
          <w:szCs w:val="28"/>
        </w:rPr>
        <w:t>万元，资产总额为</w:t>
      </w:r>
      <w:r>
        <w:rPr>
          <w:rFonts w:hint="eastAsia" w:ascii="宋体" w:hAnsi="宋体"/>
          <w:sz w:val="28"/>
          <w:szCs w:val="28"/>
          <w:u w:val="single"/>
          <w:lang w:val="en-US" w:eastAsia="zh-CN"/>
        </w:rPr>
        <w:t xml:space="preserve">     </w:t>
      </w:r>
      <w:r>
        <w:rPr>
          <w:rFonts w:hint="eastAsia" w:ascii="宋体" w:hAnsi="宋体"/>
          <w:sz w:val="28"/>
          <w:szCs w:val="28"/>
        </w:rPr>
        <w:t>万元，属于</w:t>
      </w:r>
      <w:r>
        <w:rPr>
          <w:rFonts w:hint="eastAsia" w:ascii="宋体" w:hAnsi="宋体"/>
          <w:sz w:val="28"/>
          <w:szCs w:val="28"/>
          <w:u w:val="single"/>
        </w:rPr>
        <w:t xml:space="preserve"> （ 中 型 企 业 、 小 型 企 业 、 微 型 企 业 ）</w:t>
      </w:r>
      <w:r>
        <w:rPr>
          <w:rFonts w:hint="eastAsia" w:ascii="宋体" w:hAnsi="宋体"/>
          <w:sz w:val="28"/>
          <w:szCs w:val="28"/>
        </w:rPr>
        <w:t xml:space="preserve"> ；</w:t>
      </w:r>
    </w:p>
    <w:p w14:paraId="1F352D08">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 ……</w:t>
      </w:r>
    </w:p>
    <w:p w14:paraId="5E5BA71F">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 以上企业，不属于大企业的分支机构，不存在控股股东 为大企业的情形，也不存在与大企业的负责人为同一人的情形。</w:t>
      </w:r>
    </w:p>
    <w:p w14:paraId="46E16C39">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本企业对上述声明内容的真实性负责。如有虚假，将依法承担相应责任。 </w:t>
      </w:r>
    </w:p>
    <w:p w14:paraId="283E235F">
      <w:pPr>
        <w:numPr>
          <w:ilvl w:val="0"/>
          <w:numId w:val="0"/>
        </w:numPr>
        <w:spacing w:line="500" w:lineRule="exact"/>
        <w:ind w:firstLine="3360" w:firstLineChars="1200"/>
        <w:rPr>
          <w:rFonts w:hint="eastAsia" w:ascii="宋体" w:hAnsi="宋体"/>
          <w:sz w:val="28"/>
          <w:szCs w:val="28"/>
        </w:rPr>
      </w:pPr>
    </w:p>
    <w:p w14:paraId="08CC5EEA">
      <w:pPr>
        <w:numPr>
          <w:ilvl w:val="0"/>
          <w:numId w:val="0"/>
        </w:numPr>
        <w:spacing w:line="500" w:lineRule="exact"/>
        <w:ind w:firstLine="3360" w:firstLineChars="1200"/>
        <w:rPr>
          <w:rFonts w:hint="eastAsia" w:ascii="宋体" w:hAnsi="宋体"/>
          <w:sz w:val="28"/>
          <w:szCs w:val="28"/>
        </w:rPr>
      </w:pPr>
    </w:p>
    <w:p w14:paraId="0C10A46D">
      <w:pPr>
        <w:numPr>
          <w:ilvl w:val="0"/>
          <w:numId w:val="0"/>
        </w:numPr>
        <w:spacing w:line="500" w:lineRule="exact"/>
        <w:ind w:firstLine="3360" w:firstLineChars="1200"/>
        <w:rPr>
          <w:rFonts w:hint="eastAsia" w:ascii="宋体" w:hAnsi="宋体"/>
          <w:sz w:val="28"/>
          <w:szCs w:val="28"/>
        </w:rPr>
      </w:pPr>
      <w:r>
        <w:rPr>
          <w:rFonts w:hint="eastAsia" w:ascii="宋体" w:hAnsi="宋体"/>
          <w:sz w:val="28"/>
          <w:szCs w:val="28"/>
        </w:rPr>
        <w:t xml:space="preserve">企业名称（盖章）： </w:t>
      </w:r>
    </w:p>
    <w:p w14:paraId="220DD8A6">
      <w:pPr>
        <w:numPr>
          <w:ilvl w:val="0"/>
          <w:numId w:val="0"/>
        </w:numPr>
        <w:spacing w:line="500" w:lineRule="exact"/>
        <w:ind w:firstLine="3360" w:firstLineChars="1200"/>
        <w:rPr>
          <w:rFonts w:hint="eastAsia" w:ascii="宋体" w:hAnsi="宋体"/>
          <w:sz w:val="28"/>
          <w:szCs w:val="28"/>
        </w:rPr>
      </w:pPr>
      <w:r>
        <w:rPr>
          <w:rFonts w:hint="eastAsia" w:ascii="宋体" w:hAnsi="宋体"/>
          <w:sz w:val="28"/>
          <w:szCs w:val="28"/>
        </w:rPr>
        <w:t xml:space="preserve">日 </w:t>
      </w:r>
      <w:r>
        <w:rPr>
          <w:rFonts w:hint="eastAsia" w:ascii="宋体" w:hAnsi="宋体"/>
          <w:sz w:val="28"/>
          <w:szCs w:val="28"/>
          <w:lang w:val="en-US" w:eastAsia="zh-CN"/>
        </w:rPr>
        <w:t xml:space="preserve">   </w:t>
      </w:r>
      <w:r>
        <w:rPr>
          <w:rFonts w:hint="eastAsia" w:ascii="宋体" w:hAnsi="宋体"/>
          <w:sz w:val="28"/>
          <w:szCs w:val="28"/>
        </w:rPr>
        <w:t>期：</w:t>
      </w:r>
    </w:p>
    <w:p w14:paraId="6C71B33F">
      <w:pPr>
        <w:spacing w:line="500" w:lineRule="exact"/>
        <w:ind w:firstLine="560" w:firstLineChars="200"/>
        <w:rPr>
          <w:rFonts w:hint="eastAsia" w:ascii="宋体" w:hAnsi="宋体"/>
          <w:sz w:val="28"/>
          <w:szCs w:val="28"/>
        </w:rPr>
      </w:pPr>
    </w:p>
    <w:p w14:paraId="0F96B4B9">
      <w:pPr>
        <w:spacing w:line="500" w:lineRule="exact"/>
        <w:rPr>
          <w:rFonts w:hint="eastAsia" w:ascii="宋体" w:hAnsi="宋体"/>
          <w:sz w:val="20"/>
          <w:szCs w:val="20"/>
          <w:vertAlign w:val="superscript"/>
          <w:lang w:val="en-US" w:eastAsia="zh-CN"/>
        </w:rPr>
      </w:pPr>
    </w:p>
    <w:p w14:paraId="0D5E1DBF">
      <w:pPr>
        <w:spacing w:line="500" w:lineRule="exact"/>
        <w:rPr>
          <w:rFonts w:ascii="宋体" w:hAnsi="宋体"/>
          <w:b/>
          <w:sz w:val="24"/>
          <w:szCs w:val="24"/>
        </w:rPr>
      </w:pPr>
      <w:r>
        <w:rPr>
          <w:rFonts w:hint="eastAsia" w:ascii="宋体" w:hAnsi="宋体"/>
          <w:sz w:val="20"/>
          <w:szCs w:val="20"/>
          <w:vertAlign w:val="superscript"/>
          <w:lang w:val="en-US" w:eastAsia="zh-CN"/>
        </w:rPr>
        <w:t>1</w:t>
      </w:r>
      <w:r>
        <w:rPr>
          <w:rFonts w:hint="eastAsia" w:ascii="宋体" w:hAnsi="宋体"/>
          <w:sz w:val="20"/>
          <w:szCs w:val="20"/>
        </w:rPr>
        <w:t>从业人员、营业收入、资产总额填报上一年度数据，无上一年度数据的新成立企业可不填报。</w:t>
      </w:r>
    </w:p>
    <w:p w14:paraId="10F1C3BD">
      <w:pPr>
        <w:spacing w:line="780" w:lineRule="exact"/>
        <w:jc w:val="both"/>
        <w:rPr>
          <w:rFonts w:ascii="黑体" w:hAnsi="黑体" w:eastAsia="黑体"/>
          <w:b/>
          <w:sz w:val="52"/>
          <w:szCs w:val="52"/>
        </w:rPr>
      </w:pPr>
    </w:p>
    <w:p w14:paraId="64CA278F">
      <w:pPr>
        <w:rPr>
          <w:rFonts w:ascii="宋体" w:hAnsi="宋体"/>
          <w:b/>
          <w:sz w:val="28"/>
          <w:szCs w:val="28"/>
        </w:rPr>
      </w:pPr>
      <w:r>
        <w:rPr>
          <w:rFonts w:hint="eastAsia" w:ascii="黑体" w:hAnsi="宋体" w:eastAsia="黑体"/>
          <w:bCs/>
          <w:sz w:val="32"/>
          <w:szCs w:val="32"/>
          <w:lang w:val="en-US" w:eastAsia="zh-CN"/>
        </w:rPr>
        <w:t>十二</w:t>
      </w:r>
      <w:r>
        <w:rPr>
          <w:rFonts w:hint="eastAsia" w:ascii="黑体" w:hAnsi="宋体" w:eastAsia="黑体"/>
          <w:bCs/>
          <w:sz w:val="32"/>
          <w:szCs w:val="32"/>
        </w:rPr>
        <w:t>、</w:t>
      </w:r>
      <w:r>
        <w:rPr>
          <w:rFonts w:ascii="黑体" w:hAnsi="宋体" w:eastAsia="黑体"/>
          <w:bCs/>
          <w:sz w:val="32"/>
          <w:szCs w:val="32"/>
        </w:rPr>
        <w:t>残疾人福利性单位声明函</w:t>
      </w:r>
      <w:r>
        <w:rPr>
          <w:rFonts w:hint="eastAsia" w:ascii="宋体" w:hAnsi="宋体"/>
          <w:b/>
          <w:sz w:val="28"/>
          <w:szCs w:val="28"/>
        </w:rPr>
        <w:t>（非</w:t>
      </w:r>
      <w:r>
        <w:rPr>
          <w:rFonts w:ascii="宋体" w:hAnsi="宋体"/>
          <w:b/>
          <w:bCs/>
          <w:sz w:val="28"/>
          <w:szCs w:val="28"/>
        </w:rPr>
        <w:t>残疾人福利性单位</w:t>
      </w:r>
      <w:r>
        <w:rPr>
          <w:rFonts w:hint="eastAsia" w:ascii="宋体" w:hAnsi="宋体"/>
          <w:b/>
          <w:sz w:val="28"/>
          <w:szCs w:val="28"/>
        </w:rPr>
        <w:t>不提供）</w:t>
      </w:r>
    </w:p>
    <w:p w14:paraId="2DE6E504">
      <w:pPr>
        <w:snapToGrid w:val="0"/>
        <w:spacing w:line="230" w:lineRule="auto"/>
        <w:ind w:firstLine="419"/>
        <w:jc w:val="center"/>
        <w:rPr>
          <w:rFonts w:ascii="仿宋" w:hAnsi="仿宋" w:eastAsia="仿宋"/>
          <w:sz w:val="28"/>
          <w:szCs w:val="28"/>
        </w:rPr>
      </w:pPr>
    </w:p>
    <w:p w14:paraId="79BECB7B">
      <w:pPr>
        <w:snapToGrid w:val="0"/>
        <w:spacing w:line="230" w:lineRule="auto"/>
        <w:ind w:firstLine="419"/>
        <w:rPr>
          <w:rFonts w:ascii="ˎ̥" w:hAnsi="ˎ̥" w:cs="宋体"/>
          <w:kern w:val="0"/>
          <w:sz w:val="24"/>
        </w:rPr>
      </w:pPr>
    </w:p>
    <w:p w14:paraId="1DDEBAE8">
      <w:pPr>
        <w:snapToGrid w:val="0"/>
        <w:spacing w:line="480" w:lineRule="auto"/>
        <w:ind w:firstLine="420"/>
        <w:rPr>
          <w:rFonts w:ascii="ˎ̥" w:hAnsi="ˎ̥" w:cs="宋体"/>
          <w:kern w:val="0"/>
          <w:sz w:val="24"/>
        </w:rPr>
      </w:pPr>
      <w:r>
        <w:rPr>
          <w:rFonts w:ascii="ˎ̥" w:hAnsi="ˎ̥" w:cs="宋体"/>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6B794FA">
      <w:pPr>
        <w:snapToGrid w:val="0"/>
        <w:spacing w:line="480" w:lineRule="auto"/>
        <w:ind w:firstLine="420"/>
        <w:rPr>
          <w:rFonts w:ascii="ˎ̥" w:hAnsi="ˎ̥" w:cs="宋体"/>
          <w:kern w:val="0"/>
          <w:sz w:val="24"/>
        </w:rPr>
      </w:pPr>
      <w:r>
        <w:rPr>
          <w:rFonts w:ascii="ˎ̥" w:hAnsi="ˎ̥" w:cs="宋体"/>
          <w:kern w:val="0"/>
          <w:sz w:val="24"/>
        </w:rPr>
        <w:t>本单位对上述声明的真实性负责。如有虚假，将依法承担相应责任。</w:t>
      </w:r>
    </w:p>
    <w:p w14:paraId="3548151C">
      <w:pPr>
        <w:spacing w:line="500" w:lineRule="exact"/>
        <w:ind w:firstLine="482" w:firstLineChars="200"/>
        <w:rPr>
          <w:rFonts w:ascii="宋体"/>
          <w:b/>
          <w:sz w:val="24"/>
        </w:rPr>
      </w:pPr>
    </w:p>
    <w:p w14:paraId="25A4612B">
      <w:pPr>
        <w:spacing w:line="500" w:lineRule="exact"/>
        <w:ind w:firstLine="1080" w:firstLineChars="450"/>
        <w:rPr>
          <w:rFonts w:ascii="宋体"/>
          <w:b/>
          <w:sz w:val="24"/>
        </w:rPr>
      </w:pPr>
      <w:r>
        <w:rPr>
          <w:rFonts w:ascii="宋体"/>
          <w:sz w:val="24"/>
        </w:rPr>
        <w:t>企业名称：</w:t>
      </w:r>
      <w:r>
        <w:rPr>
          <w:rFonts w:hint="eastAsia" w:ascii="宋体"/>
          <w:sz w:val="24"/>
          <w:u w:val="single"/>
        </w:rPr>
        <w:t xml:space="preserve">                          </w:t>
      </w:r>
      <w:r>
        <w:rPr>
          <w:rFonts w:ascii="宋体"/>
          <w:sz w:val="24"/>
        </w:rPr>
        <w:t>（盖</w:t>
      </w:r>
      <w:r>
        <w:rPr>
          <w:rFonts w:hint="eastAsia" w:ascii="宋体"/>
          <w:sz w:val="24"/>
        </w:rPr>
        <w:t>单位</w:t>
      </w:r>
      <w:r>
        <w:rPr>
          <w:rFonts w:ascii="宋体"/>
          <w:sz w:val="24"/>
        </w:rPr>
        <w:t>公章）</w:t>
      </w:r>
    </w:p>
    <w:p w14:paraId="716DD551">
      <w:pPr>
        <w:spacing w:line="500" w:lineRule="exact"/>
        <w:ind w:firstLine="480" w:firstLineChars="200"/>
        <w:rPr>
          <w:rFonts w:ascii="宋体"/>
          <w:sz w:val="24"/>
        </w:rPr>
      </w:pPr>
      <w:r>
        <w:rPr>
          <w:rFonts w:ascii="宋体"/>
          <w:sz w:val="24"/>
        </w:rPr>
        <w:t xml:space="preserve"> 　 </w:t>
      </w:r>
      <w:r>
        <w:rPr>
          <w:rFonts w:hint="eastAsia" w:ascii="宋体"/>
          <w:sz w:val="24"/>
        </w:rPr>
        <w:t xml:space="preserve"> 法定代表人或授权代表：</w:t>
      </w:r>
      <w:r>
        <w:rPr>
          <w:rFonts w:hint="eastAsia" w:ascii="宋体"/>
          <w:sz w:val="24"/>
          <w:u w:val="single"/>
        </w:rPr>
        <w:t xml:space="preserve">　 </w:t>
      </w:r>
      <w:r>
        <w:rPr>
          <w:rFonts w:ascii="宋体"/>
          <w:sz w:val="24"/>
          <w:u w:val="single"/>
        </w:rPr>
        <w:t xml:space="preserve">         </w:t>
      </w:r>
      <w:r>
        <w:rPr>
          <w:rFonts w:hint="eastAsia" w:ascii="宋体"/>
          <w:sz w:val="24"/>
          <w:u w:val="single"/>
        </w:rPr>
        <w:t>　</w:t>
      </w:r>
      <w:r>
        <w:rPr>
          <w:rFonts w:hint="eastAsia" w:ascii="宋体"/>
          <w:sz w:val="24"/>
        </w:rPr>
        <w:t>　（签字）</w:t>
      </w:r>
    </w:p>
    <w:p w14:paraId="127A5950">
      <w:pPr>
        <w:spacing w:line="500" w:lineRule="exact"/>
        <w:ind w:firstLine="960" w:firstLineChars="400"/>
        <w:rPr>
          <w:rFonts w:ascii="宋体"/>
          <w:sz w:val="24"/>
          <w:u w:val="single"/>
        </w:rPr>
      </w:pPr>
      <w:r>
        <w:rPr>
          <w:rFonts w:ascii="宋体"/>
          <w:sz w:val="24"/>
        </w:rPr>
        <w:t>日</w:t>
      </w:r>
      <w:r>
        <w:rPr>
          <w:rFonts w:hint="eastAsia" w:ascii="宋体"/>
          <w:sz w:val="24"/>
          <w:lang w:val="en-US" w:eastAsia="zh-CN"/>
        </w:rPr>
        <w:t xml:space="preserve">     </w:t>
      </w:r>
      <w:r>
        <w:rPr>
          <w:rFonts w:ascii="宋体"/>
          <w:sz w:val="24"/>
        </w:rPr>
        <w:t>期：</w:t>
      </w:r>
      <w:r>
        <w:rPr>
          <w:rFonts w:hint="eastAsia" w:ascii="宋体"/>
          <w:sz w:val="24"/>
          <w:u w:val="single"/>
        </w:rPr>
        <w:t xml:space="preserve">                                   </w:t>
      </w:r>
    </w:p>
    <w:p w14:paraId="28FCD469">
      <w:pPr>
        <w:snapToGrid w:val="0"/>
        <w:spacing w:line="360" w:lineRule="auto"/>
        <w:ind w:firstLine="419"/>
        <w:rPr>
          <w:rFonts w:ascii="ˎ̥" w:hAnsi="ˎ̥" w:cs="宋体"/>
          <w:kern w:val="0"/>
          <w:sz w:val="24"/>
        </w:rPr>
      </w:pPr>
    </w:p>
    <w:p w14:paraId="647D4E0F">
      <w:pPr>
        <w:tabs>
          <w:tab w:val="left" w:pos="4858"/>
        </w:tabs>
        <w:snapToGrid w:val="0"/>
        <w:spacing w:line="360" w:lineRule="auto"/>
        <w:ind w:firstLine="419"/>
        <w:rPr>
          <w:rFonts w:ascii="ˎ̥" w:hAnsi="ˎ̥" w:cs="宋体"/>
          <w:kern w:val="0"/>
          <w:sz w:val="24"/>
        </w:rPr>
      </w:pPr>
      <w:r>
        <w:rPr>
          <w:rFonts w:ascii="ˎ̥" w:hAnsi="ˎ̥" w:cs="宋体"/>
          <w:kern w:val="0"/>
          <w:sz w:val="24"/>
        </w:rPr>
        <w:t xml:space="preserve">             </w:t>
      </w:r>
      <w:r>
        <w:rPr>
          <w:rFonts w:hint="eastAsia" w:ascii="ˎ̥" w:hAnsi="ˎ̥" w:cs="宋体"/>
          <w:kern w:val="0"/>
          <w:sz w:val="24"/>
        </w:rPr>
        <w:t xml:space="preserve">                        </w:t>
      </w:r>
    </w:p>
    <w:p w14:paraId="61631E27">
      <w:pPr>
        <w:tabs>
          <w:tab w:val="left" w:pos="4858"/>
        </w:tabs>
        <w:snapToGrid w:val="0"/>
        <w:spacing w:line="360" w:lineRule="auto"/>
        <w:ind w:firstLine="419"/>
        <w:rPr>
          <w:rFonts w:ascii="ˎ̥" w:hAnsi="ˎ̥" w:cs="宋体"/>
          <w:kern w:val="0"/>
          <w:sz w:val="24"/>
        </w:rPr>
      </w:pPr>
    </w:p>
    <w:p w14:paraId="0F0DCE2E">
      <w:pPr>
        <w:tabs>
          <w:tab w:val="left" w:pos="4858"/>
        </w:tabs>
        <w:snapToGrid w:val="0"/>
        <w:spacing w:line="360" w:lineRule="auto"/>
        <w:ind w:firstLine="419"/>
        <w:rPr>
          <w:rFonts w:ascii="ˎ̥" w:hAnsi="ˎ̥" w:cs="宋体"/>
          <w:kern w:val="0"/>
          <w:sz w:val="24"/>
        </w:rPr>
      </w:pPr>
      <w:r>
        <w:rPr>
          <w:rFonts w:hint="eastAsia" w:ascii="ˎ̥" w:hAnsi="ˎ̥" w:cs="宋体"/>
          <w:kern w:val="0"/>
          <w:sz w:val="24"/>
        </w:rPr>
        <w:t xml:space="preserve">                               </w:t>
      </w:r>
    </w:p>
    <w:p w14:paraId="678E0076">
      <w:pPr>
        <w:spacing w:line="500" w:lineRule="exact"/>
        <w:rPr>
          <w:rFonts w:ascii="宋体"/>
          <w:b/>
          <w:sz w:val="32"/>
          <w:szCs w:val="32"/>
        </w:rPr>
      </w:pPr>
    </w:p>
    <w:p w14:paraId="6EFDD2AB">
      <w:pPr>
        <w:spacing w:line="500" w:lineRule="exact"/>
        <w:rPr>
          <w:rFonts w:ascii="宋体"/>
          <w:b/>
          <w:sz w:val="32"/>
          <w:szCs w:val="32"/>
        </w:rPr>
      </w:pPr>
    </w:p>
    <w:p w14:paraId="7D187ACB">
      <w:pPr>
        <w:numPr>
          <w:ilvl w:val="0"/>
          <w:numId w:val="0"/>
        </w:numPr>
        <w:rPr>
          <w:rFonts w:hint="eastAsia" w:ascii="Arial" w:hAnsi="Arial" w:eastAsia="黑体" w:cs="Times New Roman"/>
          <w:b/>
          <w:bCs/>
          <w:kern w:val="2"/>
          <w:sz w:val="32"/>
          <w:szCs w:val="32"/>
          <w:lang w:val="en-US" w:eastAsia="zh-CN" w:bidi="ar-SA"/>
        </w:rPr>
      </w:pPr>
      <w:r>
        <w:rPr>
          <w:rFonts w:hint="eastAsia" w:ascii="黑体" w:hAnsi="黑体" w:eastAsia="黑体"/>
          <w:b/>
          <w:kern w:val="0"/>
          <w:sz w:val="32"/>
          <w:szCs w:val="32"/>
          <w:lang w:val="en-US" w:eastAsia="zh-CN"/>
        </w:rPr>
        <w:t>十三</w:t>
      </w:r>
      <w:r>
        <w:rPr>
          <w:rFonts w:hint="eastAsia" w:ascii="黑体" w:hAnsi="黑体" w:eastAsia="黑体"/>
          <w:b/>
          <w:kern w:val="0"/>
          <w:sz w:val="32"/>
          <w:szCs w:val="32"/>
        </w:rPr>
        <w:t>、监狱企业证明文件</w:t>
      </w:r>
      <w:r>
        <w:rPr>
          <w:rFonts w:hint="eastAsia" w:ascii="宋体" w:cs="Times New Roman"/>
          <w:b/>
          <w:sz w:val="32"/>
          <w:szCs w:val="32"/>
        </w:rPr>
        <w:t>（非监狱企业证不提供）</w:t>
      </w:r>
    </w:p>
    <w:p w14:paraId="09A76A81">
      <w:pPr>
        <w:rPr>
          <w:b/>
          <w:sz w:val="32"/>
          <w:szCs w:val="32"/>
          <w:lang w:val="zh-CN"/>
        </w:rPr>
      </w:pPr>
      <w:r>
        <w:rPr>
          <w:rFonts w:hint="eastAsia"/>
          <w:b/>
          <w:sz w:val="32"/>
          <w:szCs w:val="32"/>
          <w:lang w:val="zh-CN"/>
        </w:rPr>
        <w:t xml:space="preserve"> </w:t>
      </w:r>
    </w:p>
    <w:p w14:paraId="5482DCE6">
      <w:pPr>
        <w:rPr>
          <w:b/>
          <w:sz w:val="32"/>
          <w:szCs w:val="32"/>
          <w:lang w:val="zh-CN"/>
        </w:rPr>
      </w:pPr>
    </w:p>
    <w:p w14:paraId="781D1820">
      <w:pPr>
        <w:rPr>
          <w:b/>
          <w:sz w:val="32"/>
          <w:szCs w:val="32"/>
          <w:lang w:val="zh-CN"/>
        </w:rPr>
      </w:pPr>
      <w:r>
        <w:rPr>
          <w:rFonts w:hint="eastAsia"/>
          <w:b/>
          <w:sz w:val="44"/>
          <w:szCs w:val="44"/>
        </w:rPr>
        <w:t xml:space="preserve"> </w:t>
      </w:r>
      <w:r>
        <w:rPr>
          <w:rFonts w:hint="eastAsia"/>
          <w:b/>
          <w:sz w:val="32"/>
          <w:szCs w:val="32"/>
          <w:lang w:val="zh-CN"/>
        </w:rPr>
        <w:t xml:space="preserve"> </w:t>
      </w:r>
    </w:p>
    <w:p w14:paraId="71CD838C">
      <w:pPr>
        <w:rPr>
          <w:b/>
          <w:sz w:val="32"/>
          <w:szCs w:val="32"/>
          <w:lang w:val="zh-CN"/>
        </w:rPr>
      </w:pPr>
    </w:p>
    <w:bookmarkEnd w:id="960"/>
    <w:bookmarkEnd w:id="961"/>
    <w:p w14:paraId="7E646584">
      <w:pPr>
        <w:spacing w:line="800" w:lineRule="exact"/>
        <w:jc w:val="center"/>
        <w:outlineLvl w:val="1"/>
        <w:rPr>
          <w:rFonts w:ascii="宋体" w:hAnsi="宋体"/>
          <w:b/>
          <w:sz w:val="44"/>
          <w:szCs w:val="44"/>
          <w:lang w:val="zh-CN"/>
        </w:rPr>
      </w:pPr>
      <w:bookmarkStart w:id="973" w:name="_Toc217446085"/>
    </w:p>
    <w:p w14:paraId="36B0DFED">
      <w:pPr>
        <w:spacing w:line="800" w:lineRule="exact"/>
        <w:jc w:val="center"/>
        <w:outlineLvl w:val="1"/>
        <w:rPr>
          <w:rFonts w:ascii="宋体" w:hAnsi="宋体"/>
          <w:b/>
          <w:sz w:val="44"/>
          <w:szCs w:val="44"/>
          <w:lang w:val="zh-CN"/>
        </w:rPr>
      </w:pPr>
    </w:p>
    <w:p w14:paraId="2EACDF8A">
      <w:pPr>
        <w:spacing w:line="500" w:lineRule="exact"/>
        <w:jc w:val="center"/>
        <w:rPr>
          <w:rFonts w:hint="eastAsia" w:ascii="宋体" w:hAnsi="宋体" w:eastAsiaTheme="minorEastAsia"/>
          <w:b/>
          <w:sz w:val="44"/>
          <w:szCs w:val="44"/>
          <w:lang w:val="en-US" w:eastAsia="zh-CN"/>
        </w:rPr>
      </w:pPr>
      <w:r>
        <w:rPr>
          <w:rFonts w:hint="eastAsia" w:ascii="宋体" w:hAnsi="宋体"/>
          <w:b/>
          <w:sz w:val="44"/>
          <w:szCs w:val="44"/>
          <w:lang w:val="en-US" w:eastAsia="zh-CN"/>
        </w:rPr>
        <w:t xml:space="preserve"> </w:t>
      </w:r>
    </w:p>
    <w:p w14:paraId="56026CF6">
      <w:pPr>
        <w:spacing w:line="500" w:lineRule="exact"/>
        <w:jc w:val="center"/>
        <w:rPr>
          <w:rFonts w:ascii="宋体" w:hAnsi="宋体"/>
          <w:b/>
          <w:sz w:val="44"/>
          <w:szCs w:val="44"/>
        </w:rPr>
      </w:pPr>
    </w:p>
    <w:p w14:paraId="703AE9AD">
      <w:pPr>
        <w:spacing w:line="500" w:lineRule="exact"/>
        <w:jc w:val="center"/>
        <w:rPr>
          <w:rFonts w:hint="eastAsia" w:ascii="宋体" w:hAnsi="宋体"/>
          <w:b/>
          <w:sz w:val="44"/>
          <w:szCs w:val="44"/>
        </w:rPr>
      </w:pPr>
    </w:p>
    <w:p w14:paraId="55570DFB">
      <w:pPr>
        <w:spacing w:line="500" w:lineRule="exact"/>
        <w:jc w:val="center"/>
        <w:rPr>
          <w:rFonts w:ascii="宋体" w:hAnsi="宋体"/>
          <w:b/>
          <w:sz w:val="44"/>
          <w:szCs w:val="44"/>
        </w:rPr>
      </w:pPr>
      <w:r>
        <w:rPr>
          <w:rFonts w:hint="eastAsia" w:ascii="宋体" w:hAnsi="宋体"/>
          <w:b/>
          <w:sz w:val="44"/>
          <w:szCs w:val="44"/>
        </w:rPr>
        <w:t>松原市</w:t>
      </w:r>
      <w:r>
        <w:rPr>
          <w:rFonts w:ascii="宋体" w:hAnsi="宋体"/>
          <w:b/>
          <w:sz w:val="44"/>
          <w:szCs w:val="44"/>
        </w:rPr>
        <w:t>政府采购项目</w:t>
      </w:r>
    </w:p>
    <w:p w14:paraId="5BAE4FFB">
      <w:pPr>
        <w:spacing w:line="500" w:lineRule="exact"/>
        <w:jc w:val="center"/>
        <w:rPr>
          <w:rFonts w:ascii="宋体" w:hAnsi="宋体"/>
          <w:b/>
          <w:sz w:val="44"/>
          <w:szCs w:val="44"/>
        </w:rPr>
      </w:pPr>
    </w:p>
    <w:p w14:paraId="0B0839AC">
      <w:pPr>
        <w:spacing w:line="500" w:lineRule="exact"/>
        <w:jc w:val="center"/>
        <w:rPr>
          <w:rFonts w:ascii="宋体" w:hAnsi="宋体"/>
          <w:b/>
          <w:sz w:val="44"/>
          <w:szCs w:val="44"/>
        </w:rPr>
      </w:pPr>
    </w:p>
    <w:p w14:paraId="6026A484">
      <w:pPr>
        <w:spacing w:line="500" w:lineRule="exact"/>
        <w:jc w:val="center"/>
        <w:rPr>
          <w:rFonts w:ascii="宋体" w:hAnsi="宋体"/>
          <w:b/>
          <w:sz w:val="44"/>
          <w:szCs w:val="44"/>
        </w:rPr>
      </w:pPr>
    </w:p>
    <w:p w14:paraId="39961B05">
      <w:pPr>
        <w:spacing w:line="500" w:lineRule="exact"/>
        <w:jc w:val="center"/>
        <w:rPr>
          <w:rFonts w:ascii="宋体" w:hAnsi="宋体"/>
          <w:b/>
          <w:sz w:val="44"/>
          <w:szCs w:val="44"/>
        </w:rPr>
      </w:pPr>
    </w:p>
    <w:p w14:paraId="361C5216">
      <w:pPr>
        <w:spacing w:line="500" w:lineRule="exact"/>
        <w:jc w:val="center"/>
        <w:rPr>
          <w:rFonts w:ascii="宋体" w:hAnsi="宋体"/>
          <w:b/>
          <w:sz w:val="44"/>
          <w:szCs w:val="44"/>
        </w:rPr>
      </w:pPr>
    </w:p>
    <w:p w14:paraId="3F651866">
      <w:pPr>
        <w:pStyle w:val="76"/>
      </w:pPr>
    </w:p>
    <w:p w14:paraId="20CBED61">
      <w:pPr>
        <w:spacing w:line="500" w:lineRule="exact"/>
        <w:jc w:val="center"/>
        <w:rPr>
          <w:rFonts w:ascii="宋体" w:hAnsi="宋体"/>
          <w:b/>
          <w:sz w:val="44"/>
          <w:szCs w:val="44"/>
        </w:rPr>
      </w:pPr>
      <w:r>
        <w:rPr>
          <w:rFonts w:hint="eastAsia" w:ascii="宋体" w:hAnsi="宋体"/>
          <w:b/>
          <w:sz w:val="44"/>
          <w:szCs w:val="44"/>
        </w:rPr>
        <w:t xml:space="preserve">投 </w:t>
      </w:r>
      <w:r>
        <w:rPr>
          <w:rFonts w:ascii="宋体" w:hAnsi="宋体"/>
          <w:b/>
          <w:sz w:val="44"/>
          <w:szCs w:val="44"/>
        </w:rPr>
        <w:t xml:space="preserve"> </w:t>
      </w:r>
      <w:r>
        <w:rPr>
          <w:rFonts w:hint="eastAsia" w:ascii="宋体" w:hAnsi="宋体"/>
          <w:b/>
          <w:sz w:val="44"/>
          <w:szCs w:val="44"/>
        </w:rPr>
        <w:t xml:space="preserve">标 </w:t>
      </w:r>
      <w:r>
        <w:rPr>
          <w:rFonts w:ascii="宋体" w:hAnsi="宋体"/>
          <w:b/>
          <w:sz w:val="44"/>
          <w:szCs w:val="44"/>
        </w:rPr>
        <w:t xml:space="preserve"> 文</w:t>
      </w:r>
      <w:r>
        <w:rPr>
          <w:rFonts w:hint="eastAsia" w:ascii="宋体" w:hAnsi="宋体"/>
          <w:b/>
          <w:sz w:val="44"/>
          <w:szCs w:val="44"/>
        </w:rPr>
        <w:t xml:space="preserve">  </w:t>
      </w:r>
      <w:r>
        <w:rPr>
          <w:rFonts w:ascii="宋体" w:hAnsi="宋体"/>
          <w:b/>
          <w:sz w:val="44"/>
          <w:szCs w:val="44"/>
        </w:rPr>
        <w:t>件</w:t>
      </w:r>
    </w:p>
    <w:p w14:paraId="4074530D">
      <w:pPr>
        <w:spacing w:line="500" w:lineRule="exact"/>
        <w:rPr>
          <w:rFonts w:ascii="宋体" w:hAnsi="宋体"/>
          <w:b/>
          <w:sz w:val="44"/>
          <w:szCs w:val="44"/>
        </w:rPr>
      </w:pPr>
    </w:p>
    <w:p w14:paraId="2C226718">
      <w:pPr>
        <w:spacing w:line="500" w:lineRule="exact"/>
        <w:jc w:val="center"/>
        <w:rPr>
          <w:rFonts w:ascii="宋体" w:hAnsi="宋体"/>
          <w:b/>
          <w:sz w:val="32"/>
          <w:szCs w:val="32"/>
        </w:rPr>
      </w:pPr>
      <w:r>
        <w:rPr>
          <w:rFonts w:hint="eastAsia" w:ascii="宋体" w:hAnsi="宋体"/>
          <w:b/>
          <w:sz w:val="32"/>
          <w:szCs w:val="32"/>
        </w:rPr>
        <w:t>（</w:t>
      </w:r>
      <w:r>
        <w:rPr>
          <w:rFonts w:hint="eastAsia" w:ascii="宋体" w:hAnsi="宋体"/>
          <w:b/>
          <w:color w:val="FF0000"/>
          <w:sz w:val="32"/>
          <w:szCs w:val="32"/>
        </w:rPr>
        <w:t>技术与售后</w:t>
      </w:r>
      <w:r>
        <w:rPr>
          <w:rFonts w:ascii="宋体" w:hAnsi="宋体"/>
          <w:b/>
          <w:color w:val="FF0000"/>
          <w:sz w:val="32"/>
          <w:szCs w:val="32"/>
        </w:rPr>
        <w:t>服务</w:t>
      </w:r>
      <w:r>
        <w:rPr>
          <w:rFonts w:hint="eastAsia" w:ascii="宋体" w:hAnsi="宋体"/>
          <w:b/>
          <w:color w:val="FF0000"/>
          <w:sz w:val="32"/>
          <w:szCs w:val="32"/>
        </w:rPr>
        <w:t>部分和报价部分</w:t>
      </w:r>
      <w:r>
        <w:rPr>
          <w:rFonts w:hint="eastAsia" w:ascii="宋体" w:hAnsi="宋体"/>
          <w:b/>
          <w:sz w:val="32"/>
          <w:szCs w:val="32"/>
        </w:rPr>
        <w:t>）</w:t>
      </w:r>
    </w:p>
    <w:p w14:paraId="7947BE3F">
      <w:pPr>
        <w:spacing w:line="500" w:lineRule="exact"/>
        <w:jc w:val="left"/>
        <w:rPr>
          <w:rFonts w:ascii="宋体" w:hAnsi="宋体"/>
          <w:b/>
          <w:sz w:val="28"/>
          <w:szCs w:val="28"/>
        </w:rPr>
      </w:pPr>
    </w:p>
    <w:p w14:paraId="0017B6C3">
      <w:pPr>
        <w:spacing w:line="780" w:lineRule="exact"/>
        <w:rPr>
          <w:rFonts w:ascii="宋体" w:hAnsi="宋体"/>
          <w:sz w:val="28"/>
          <w:szCs w:val="28"/>
        </w:rPr>
      </w:pPr>
    </w:p>
    <w:p w14:paraId="538241D1">
      <w:pPr>
        <w:spacing w:line="780" w:lineRule="exact"/>
        <w:rPr>
          <w:rFonts w:ascii="宋体" w:hAnsi="宋体"/>
          <w:sz w:val="28"/>
          <w:szCs w:val="28"/>
        </w:rPr>
      </w:pPr>
    </w:p>
    <w:p w14:paraId="22D02B77">
      <w:pPr>
        <w:spacing w:line="500" w:lineRule="exact"/>
        <w:rPr>
          <w:rFonts w:ascii="宋体" w:hAnsi="宋体"/>
          <w:sz w:val="28"/>
          <w:szCs w:val="28"/>
        </w:rPr>
      </w:pPr>
    </w:p>
    <w:p w14:paraId="47242532">
      <w:pPr>
        <w:spacing w:line="500" w:lineRule="exact"/>
        <w:rPr>
          <w:rFonts w:ascii="宋体" w:hAnsi="宋体"/>
          <w:sz w:val="28"/>
          <w:szCs w:val="28"/>
        </w:rPr>
      </w:pPr>
    </w:p>
    <w:p w14:paraId="2A3FF91E">
      <w:pPr>
        <w:pStyle w:val="76"/>
      </w:pPr>
    </w:p>
    <w:p w14:paraId="63ECCE80">
      <w:pPr>
        <w:spacing w:line="500" w:lineRule="exact"/>
        <w:rPr>
          <w:rFonts w:ascii="宋体" w:hAnsi="宋体"/>
          <w:sz w:val="28"/>
          <w:szCs w:val="28"/>
        </w:rPr>
      </w:pPr>
    </w:p>
    <w:p w14:paraId="639C0073">
      <w:pPr>
        <w:spacing w:line="500" w:lineRule="exact"/>
        <w:rPr>
          <w:rFonts w:ascii="宋体" w:hAnsi="宋体"/>
          <w:sz w:val="28"/>
          <w:szCs w:val="28"/>
        </w:rPr>
      </w:pPr>
    </w:p>
    <w:p w14:paraId="3E3348EB">
      <w:pPr>
        <w:spacing w:line="500" w:lineRule="exact"/>
        <w:rPr>
          <w:rFonts w:ascii="宋体" w:hAnsi="宋体"/>
          <w:b/>
          <w:sz w:val="28"/>
          <w:szCs w:val="28"/>
          <w:u w:val="single"/>
        </w:rPr>
      </w:pPr>
      <w:r>
        <w:rPr>
          <w:rFonts w:hint="eastAsia" w:ascii="宋体" w:hAnsi="宋体"/>
          <w:b/>
          <w:sz w:val="28"/>
          <w:szCs w:val="28"/>
        </w:rPr>
        <w:t>项目</w:t>
      </w:r>
      <w:r>
        <w:rPr>
          <w:rFonts w:ascii="宋体" w:hAnsi="宋体"/>
          <w:b/>
          <w:sz w:val="28"/>
          <w:szCs w:val="28"/>
        </w:rPr>
        <w:t>名称：</w:t>
      </w:r>
      <w:r>
        <w:rPr>
          <w:rFonts w:hint="eastAsia" w:ascii="宋体" w:hAnsi="宋体"/>
          <w:b/>
          <w:sz w:val="28"/>
          <w:szCs w:val="28"/>
          <w:u w:val="single"/>
        </w:rPr>
        <w:t xml:space="preserve">                                            </w:t>
      </w:r>
    </w:p>
    <w:p w14:paraId="7A5AA3AE">
      <w:pPr>
        <w:spacing w:line="500" w:lineRule="exact"/>
        <w:rPr>
          <w:rFonts w:ascii="宋体" w:hAnsi="宋体"/>
          <w:b/>
          <w:sz w:val="28"/>
          <w:szCs w:val="28"/>
        </w:rPr>
      </w:pPr>
      <w:r>
        <w:rPr>
          <w:rFonts w:hint="eastAsia" w:ascii="宋体" w:hAnsi="宋体"/>
          <w:b/>
          <w:sz w:val="28"/>
          <w:szCs w:val="28"/>
          <w:lang w:eastAsia="zh-CN"/>
        </w:rPr>
        <w:t>采购计划文号</w:t>
      </w:r>
      <w:r>
        <w:rPr>
          <w:rFonts w:hint="eastAsia" w:ascii="宋体" w:hAnsi="宋体"/>
          <w:b/>
          <w:sz w:val="28"/>
          <w:szCs w:val="28"/>
        </w:rPr>
        <w:t>：</w:t>
      </w:r>
      <w:r>
        <w:rPr>
          <w:rFonts w:hint="eastAsia" w:ascii="宋体" w:hAnsi="宋体"/>
          <w:b/>
          <w:sz w:val="28"/>
          <w:szCs w:val="28"/>
          <w:u w:val="single"/>
        </w:rPr>
        <w:t xml:space="preserve">                                            </w:t>
      </w:r>
    </w:p>
    <w:p w14:paraId="7AB33FD0">
      <w:pPr>
        <w:spacing w:line="500" w:lineRule="exact"/>
        <w:rPr>
          <w:rFonts w:ascii="宋体" w:hAnsi="宋体"/>
          <w:b/>
          <w:sz w:val="28"/>
          <w:szCs w:val="28"/>
        </w:rPr>
      </w:pPr>
      <w:r>
        <w:rPr>
          <w:rFonts w:hint="eastAsia" w:ascii="宋体" w:hAnsi="宋体"/>
          <w:b/>
          <w:sz w:val="28"/>
          <w:szCs w:val="28"/>
        </w:rPr>
        <w:t>投标人全称</w:t>
      </w:r>
      <w:r>
        <w:rPr>
          <w:rFonts w:ascii="宋体" w:hAnsi="宋体"/>
          <w:b/>
          <w:sz w:val="28"/>
          <w:szCs w:val="28"/>
        </w:rPr>
        <w:t>：</w:t>
      </w:r>
      <w:r>
        <w:rPr>
          <w:rFonts w:hint="eastAsia" w:ascii="宋体" w:hAnsi="宋体"/>
          <w:b/>
          <w:sz w:val="28"/>
          <w:szCs w:val="28"/>
          <w:u w:val="single"/>
        </w:rPr>
        <w:t xml:space="preserve">                          （加盖单位公章</w:t>
      </w:r>
      <w:r>
        <w:rPr>
          <w:rFonts w:ascii="宋体" w:hAnsi="宋体"/>
          <w:b/>
          <w:sz w:val="28"/>
          <w:szCs w:val="28"/>
          <w:u w:val="single"/>
        </w:rPr>
        <w:t>）</w:t>
      </w:r>
      <w:r>
        <w:rPr>
          <w:rFonts w:hint="eastAsia" w:ascii="宋体" w:hAnsi="宋体"/>
          <w:b/>
          <w:sz w:val="28"/>
          <w:szCs w:val="28"/>
          <w:u w:val="single"/>
        </w:rPr>
        <w:t xml:space="preserve"> </w:t>
      </w:r>
    </w:p>
    <w:p w14:paraId="667248FD">
      <w:pPr>
        <w:spacing w:line="500" w:lineRule="exact"/>
        <w:rPr>
          <w:rFonts w:ascii="宋体" w:hAnsi="宋体"/>
          <w:b/>
          <w:sz w:val="28"/>
          <w:szCs w:val="28"/>
        </w:rPr>
      </w:pPr>
      <w:r>
        <w:rPr>
          <w:rFonts w:hint="eastAsia" w:ascii="宋体" w:hAnsi="宋体"/>
          <w:b/>
          <w:sz w:val="28"/>
          <w:szCs w:val="28"/>
        </w:rPr>
        <w:t>日  期</w:t>
      </w:r>
      <w:r>
        <w:rPr>
          <w:rFonts w:ascii="宋体" w:hAnsi="宋体"/>
          <w:b/>
          <w:sz w:val="28"/>
          <w:szCs w:val="28"/>
        </w:rPr>
        <w:t>：</w:t>
      </w:r>
      <w:r>
        <w:rPr>
          <w:rFonts w:hint="eastAsia" w:ascii="宋体" w:hAnsi="宋体"/>
          <w:b/>
          <w:sz w:val="28"/>
          <w:szCs w:val="28"/>
          <w:u w:val="single"/>
        </w:rPr>
        <w:t xml:space="preserve">                      年 </w:t>
      </w:r>
      <w:r>
        <w:rPr>
          <w:rFonts w:ascii="宋体" w:hAnsi="宋体"/>
          <w:b/>
          <w:sz w:val="28"/>
          <w:szCs w:val="28"/>
          <w:u w:val="single"/>
        </w:rPr>
        <w:t xml:space="preserve">  </w:t>
      </w:r>
      <w:r>
        <w:rPr>
          <w:rFonts w:hint="eastAsia" w:ascii="宋体" w:hAnsi="宋体"/>
          <w:b/>
          <w:sz w:val="28"/>
          <w:szCs w:val="28"/>
          <w:u w:val="single"/>
        </w:rPr>
        <w:t xml:space="preserve">月 </w:t>
      </w:r>
      <w:r>
        <w:rPr>
          <w:rFonts w:ascii="宋体" w:hAnsi="宋体"/>
          <w:b/>
          <w:sz w:val="28"/>
          <w:szCs w:val="28"/>
          <w:u w:val="single"/>
        </w:rPr>
        <w:t xml:space="preserve">  </w:t>
      </w:r>
      <w:r>
        <w:rPr>
          <w:rFonts w:hint="eastAsia" w:ascii="宋体" w:hAnsi="宋体"/>
          <w:b/>
          <w:sz w:val="28"/>
          <w:szCs w:val="28"/>
          <w:u w:val="single"/>
        </w:rPr>
        <w:t xml:space="preserve">日           </w:t>
      </w:r>
    </w:p>
    <w:p w14:paraId="1D2D2140">
      <w:pPr>
        <w:rPr>
          <w:rFonts w:ascii="宋体" w:hAnsi="宋体"/>
          <w:sz w:val="28"/>
          <w:szCs w:val="28"/>
        </w:rPr>
      </w:pPr>
    </w:p>
    <w:p w14:paraId="3ADCCACB">
      <w:pPr>
        <w:rPr>
          <w:rFonts w:ascii="宋体" w:hAnsi="宋体"/>
          <w:b/>
          <w:sz w:val="30"/>
          <w:szCs w:val="30"/>
        </w:rPr>
      </w:pPr>
    </w:p>
    <w:p w14:paraId="7A4268ED">
      <w:pPr>
        <w:jc w:val="center"/>
        <w:rPr>
          <w:rFonts w:ascii="宋体" w:hAnsi="宋体"/>
          <w:b/>
          <w:sz w:val="44"/>
          <w:szCs w:val="44"/>
        </w:rPr>
      </w:pPr>
      <w:r>
        <w:rPr>
          <w:rFonts w:hint="eastAsia" w:ascii="宋体" w:hAnsi="宋体"/>
          <w:b/>
          <w:sz w:val="44"/>
          <w:szCs w:val="44"/>
        </w:rPr>
        <w:t>技术与售后</w:t>
      </w:r>
      <w:r>
        <w:rPr>
          <w:rFonts w:ascii="宋体" w:hAnsi="宋体"/>
          <w:b/>
          <w:sz w:val="44"/>
          <w:szCs w:val="44"/>
        </w:rPr>
        <w:t>服务</w:t>
      </w:r>
      <w:r>
        <w:rPr>
          <w:rFonts w:hint="eastAsia" w:ascii="宋体" w:hAnsi="宋体"/>
          <w:b/>
          <w:sz w:val="44"/>
          <w:szCs w:val="44"/>
        </w:rPr>
        <w:t>部分</w:t>
      </w:r>
    </w:p>
    <w:p w14:paraId="75ABCBA6">
      <w:pPr>
        <w:jc w:val="center"/>
        <w:rPr>
          <w:rFonts w:ascii="宋体" w:hAnsi="宋体"/>
          <w:b/>
          <w:sz w:val="44"/>
          <w:szCs w:val="44"/>
        </w:rPr>
      </w:pPr>
    </w:p>
    <w:p w14:paraId="2ECC330F">
      <w:pPr>
        <w:jc w:val="center"/>
        <w:rPr>
          <w:rFonts w:ascii="宋体" w:hAnsi="宋体"/>
          <w:b/>
          <w:sz w:val="30"/>
          <w:szCs w:val="30"/>
        </w:rPr>
      </w:pPr>
    </w:p>
    <w:p w14:paraId="29313EC0">
      <w:pPr>
        <w:jc w:val="center"/>
        <w:rPr>
          <w:rFonts w:ascii="宋体" w:hAnsi="宋体"/>
          <w:b/>
          <w:sz w:val="30"/>
          <w:szCs w:val="30"/>
        </w:rPr>
      </w:pPr>
      <w:r>
        <w:rPr>
          <w:rFonts w:hint="eastAsia" w:ascii="宋体" w:hAnsi="宋体"/>
          <w:b/>
          <w:sz w:val="30"/>
          <w:szCs w:val="30"/>
        </w:rPr>
        <w:t>目 录</w:t>
      </w:r>
    </w:p>
    <w:p w14:paraId="49DF6E52">
      <w:pPr>
        <w:jc w:val="center"/>
        <w:rPr>
          <w:rFonts w:ascii="宋体" w:hAnsi="宋体"/>
          <w:b/>
          <w:sz w:val="30"/>
          <w:szCs w:val="30"/>
        </w:rPr>
      </w:pPr>
    </w:p>
    <w:p w14:paraId="63E30CCC">
      <w:pPr>
        <w:spacing w:line="500" w:lineRule="exact"/>
        <w:jc w:val="center"/>
        <w:rPr>
          <w:rFonts w:ascii="宋体" w:hAnsi="宋体"/>
          <w:b/>
          <w:sz w:val="30"/>
          <w:szCs w:val="30"/>
        </w:rPr>
      </w:pPr>
      <w:r>
        <w:rPr>
          <w:rFonts w:hint="eastAsia" w:ascii="宋体" w:hAnsi="宋体"/>
          <w:b/>
          <w:sz w:val="30"/>
          <w:szCs w:val="30"/>
        </w:rPr>
        <w:t>请投标人</w:t>
      </w:r>
      <w:r>
        <w:rPr>
          <w:rFonts w:ascii="宋体" w:hAnsi="宋体"/>
          <w:b/>
          <w:sz w:val="30"/>
          <w:szCs w:val="30"/>
        </w:rPr>
        <w:t>自行编写</w:t>
      </w:r>
    </w:p>
    <w:p w14:paraId="3EBC856E">
      <w:pPr>
        <w:spacing w:line="500" w:lineRule="exact"/>
        <w:jc w:val="left"/>
        <w:rPr>
          <w:rFonts w:ascii="宋体"/>
          <w:sz w:val="30"/>
          <w:szCs w:val="30"/>
        </w:rPr>
      </w:pPr>
    </w:p>
    <w:p w14:paraId="62DC0C10">
      <w:pPr>
        <w:spacing w:line="500" w:lineRule="exact"/>
        <w:jc w:val="center"/>
        <w:rPr>
          <w:rFonts w:ascii="宋体" w:hAnsi="宋体"/>
          <w:b/>
          <w:sz w:val="28"/>
          <w:szCs w:val="28"/>
        </w:rPr>
      </w:pPr>
    </w:p>
    <w:p w14:paraId="083A831B">
      <w:pPr>
        <w:jc w:val="center"/>
        <w:rPr>
          <w:rFonts w:ascii="宋体" w:hAnsi="宋体"/>
          <w:b/>
          <w:sz w:val="30"/>
          <w:szCs w:val="30"/>
        </w:rPr>
      </w:pPr>
    </w:p>
    <w:p w14:paraId="338F8C5B">
      <w:pPr>
        <w:jc w:val="center"/>
        <w:rPr>
          <w:rFonts w:ascii="宋体" w:hAnsi="宋体"/>
          <w:b/>
          <w:sz w:val="30"/>
          <w:szCs w:val="30"/>
        </w:rPr>
      </w:pPr>
    </w:p>
    <w:p w14:paraId="1D20F98C">
      <w:pPr>
        <w:jc w:val="center"/>
        <w:rPr>
          <w:rFonts w:ascii="宋体" w:hAnsi="宋体"/>
          <w:b/>
          <w:sz w:val="30"/>
          <w:szCs w:val="30"/>
        </w:rPr>
      </w:pPr>
    </w:p>
    <w:p w14:paraId="1FCC1C62">
      <w:pPr>
        <w:jc w:val="center"/>
        <w:rPr>
          <w:rFonts w:ascii="宋体" w:hAnsi="宋体"/>
          <w:b/>
          <w:sz w:val="30"/>
          <w:szCs w:val="30"/>
        </w:rPr>
      </w:pPr>
    </w:p>
    <w:p w14:paraId="0B76492A">
      <w:pPr>
        <w:jc w:val="center"/>
        <w:rPr>
          <w:rFonts w:ascii="宋体" w:hAnsi="宋体"/>
          <w:b/>
          <w:sz w:val="30"/>
          <w:szCs w:val="30"/>
        </w:rPr>
      </w:pPr>
    </w:p>
    <w:p w14:paraId="61E0C05E">
      <w:pPr>
        <w:jc w:val="center"/>
        <w:rPr>
          <w:rFonts w:ascii="宋体" w:hAnsi="宋体"/>
          <w:b/>
          <w:sz w:val="30"/>
          <w:szCs w:val="30"/>
        </w:rPr>
      </w:pPr>
    </w:p>
    <w:p w14:paraId="617BA5E3">
      <w:pPr>
        <w:jc w:val="center"/>
        <w:rPr>
          <w:rFonts w:ascii="宋体" w:hAnsi="宋体"/>
          <w:b/>
          <w:sz w:val="30"/>
          <w:szCs w:val="30"/>
        </w:rPr>
      </w:pPr>
    </w:p>
    <w:p w14:paraId="4277E188">
      <w:pPr>
        <w:jc w:val="center"/>
        <w:rPr>
          <w:rFonts w:ascii="宋体" w:hAnsi="宋体"/>
          <w:b/>
          <w:sz w:val="30"/>
          <w:szCs w:val="30"/>
        </w:rPr>
      </w:pPr>
    </w:p>
    <w:p w14:paraId="26AC05D8">
      <w:pPr>
        <w:jc w:val="center"/>
        <w:rPr>
          <w:rFonts w:ascii="宋体" w:hAnsi="宋体"/>
          <w:b/>
          <w:sz w:val="30"/>
          <w:szCs w:val="30"/>
        </w:rPr>
      </w:pPr>
    </w:p>
    <w:p w14:paraId="7A1C54C4">
      <w:pPr>
        <w:jc w:val="center"/>
        <w:rPr>
          <w:rFonts w:ascii="宋体" w:hAnsi="宋体"/>
          <w:b/>
          <w:sz w:val="30"/>
          <w:szCs w:val="30"/>
        </w:rPr>
      </w:pPr>
    </w:p>
    <w:p w14:paraId="591E5CCE">
      <w:pPr>
        <w:jc w:val="center"/>
        <w:rPr>
          <w:rFonts w:ascii="宋体" w:hAnsi="宋体"/>
          <w:b/>
          <w:sz w:val="30"/>
          <w:szCs w:val="30"/>
        </w:rPr>
      </w:pPr>
    </w:p>
    <w:p w14:paraId="68CE2C21">
      <w:pPr>
        <w:jc w:val="center"/>
        <w:rPr>
          <w:rFonts w:ascii="宋体" w:hAnsi="宋体"/>
          <w:b/>
          <w:sz w:val="30"/>
          <w:szCs w:val="30"/>
        </w:rPr>
      </w:pPr>
    </w:p>
    <w:p w14:paraId="41797729">
      <w:pPr>
        <w:jc w:val="center"/>
        <w:rPr>
          <w:rFonts w:ascii="宋体" w:hAnsi="宋体"/>
          <w:b/>
          <w:sz w:val="30"/>
          <w:szCs w:val="30"/>
        </w:rPr>
      </w:pPr>
    </w:p>
    <w:p w14:paraId="387D6978">
      <w:pPr>
        <w:jc w:val="center"/>
        <w:rPr>
          <w:rFonts w:ascii="宋体" w:hAnsi="宋体"/>
          <w:b/>
          <w:sz w:val="30"/>
          <w:szCs w:val="30"/>
        </w:rPr>
      </w:pPr>
    </w:p>
    <w:p w14:paraId="59C614F7">
      <w:pPr>
        <w:jc w:val="center"/>
        <w:rPr>
          <w:rFonts w:ascii="宋体" w:hAnsi="宋体"/>
          <w:b/>
          <w:sz w:val="30"/>
          <w:szCs w:val="30"/>
        </w:rPr>
      </w:pPr>
    </w:p>
    <w:p w14:paraId="2E4DF169">
      <w:pPr>
        <w:jc w:val="center"/>
        <w:rPr>
          <w:rFonts w:ascii="宋体" w:hAnsi="宋体"/>
          <w:b/>
          <w:sz w:val="30"/>
          <w:szCs w:val="30"/>
        </w:rPr>
      </w:pPr>
    </w:p>
    <w:p w14:paraId="45856079">
      <w:pPr>
        <w:jc w:val="center"/>
        <w:rPr>
          <w:rFonts w:ascii="宋体" w:hAnsi="宋体"/>
          <w:b/>
          <w:sz w:val="30"/>
          <w:szCs w:val="30"/>
        </w:rPr>
      </w:pPr>
    </w:p>
    <w:p w14:paraId="7CEFBA0E">
      <w:pPr>
        <w:jc w:val="center"/>
        <w:rPr>
          <w:rFonts w:ascii="宋体" w:hAnsi="宋体"/>
          <w:b/>
          <w:sz w:val="30"/>
          <w:szCs w:val="30"/>
        </w:rPr>
      </w:pPr>
    </w:p>
    <w:p w14:paraId="0187966C">
      <w:pPr>
        <w:jc w:val="center"/>
        <w:rPr>
          <w:rFonts w:ascii="宋体" w:hAnsi="宋体"/>
          <w:b/>
          <w:sz w:val="30"/>
          <w:szCs w:val="30"/>
        </w:rPr>
      </w:pPr>
    </w:p>
    <w:p w14:paraId="410867AC">
      <w:pPr>
        <w:jc w:val="center"/>
        <w:rPr>
          <w:rFonts w:ascii="宋体" w:hAnsi="宋体"/>
          <w:b/>
          <w:sz w:val="30"/>
          <w:szCs w:val="30"/>
        </w:rPr>
      </w:pPr>
    </w:p>
    <w:p w14:paraId="7B8096B5">
      <w:pPr>
        <w:jc w:val="center"/>
        <w:rPr>
          <w:rFonts w:ascii="宋体" w:hAnsi="宋体"/>
          <w:b/>
          <w:sz w:val="30"/>
          <w:szCs w:val="30"/>
        </w:rPr>
      </w:pPr>
    </w:p>
    <w:p w14:paraId="0F11C7A2">
      <w:pPr>
        <w:jc w:val="center"/>
        <w:rPr>
          <w:rFonts w:ascii="宋体" w:hAnsi="宋体"/>
          <w:b/>
          <w:sz w:val="30"/>
          <w:szCs w:val="30"/>
        </w:rPr>
      </w:pPr>
    </w:p>
    <w:p w14:paraId="41D7B513">
      <w:pPr>
        <w:jc w:val="center"/>
        <w:rPr>
          <w:rFonts w:ascii="宋体" w:hAnsi="宋体"/>
          <w:b/>
          <w:sz w:val="30"/>
          <w:szCs w:val="30"/>
        </w:rPr>
      </w:pPr>
    </w:p>
    <w:p w14:paraId="338C6AD1">
      <w:pPr>
        <w:jc w:val="center"/>
        <w:rPr>
          <w:rFonts w:ascii="宋体" w:hAnsi="宋体"/>
          <w:b/>
          <w:sz w:val="30"/>
          <w:szCs w:val="30"/>
        </w:rPr>
      </w:pPr>
    </w:p>
    <w:p w14:paraId="652F47D1">
      <w:pPr>
        <w:jc w:val="center"/>
        <w:rPr>
          <w:rFonts w:ascii="宋体" w:hAnsi="宋体"/>
          <w:b/>
          <w:sz w:val="30"/>
          <w:szCs w:val="30"/>
        </w:rPr>
      </w:pPr>
    </w:p>
    <w:p w14:paraId="5189E100">
      <w:pPr>
        <w:jc w:val="center"/>
        <w:rPr>
          <w:rFonts w:ascii="宋体" w:hAnsi="宋体"/>
          <w:b/>
          <w:sz w:val="30"/>
          <w:szCs w:val="30"/>
        </w:rPr>
      </w:pPr>
    </w:p>
    <w:p w14:paraId="629AE6E7">
      <w:pPr>
        <w:pStyle w:val="4"/>
        <w:spacing w:line="240" w:lineRule="atLeast"/>
        <w:jc w:val="center"/>
      </w:pPr>
      <w:bookmarkStart w:id="974" w:name="_Toc2"/>
      <w:r>
        <w:rPr>
          <w:rFonts w:hint="eastAsia"/>
        </w:rPr>
        <w:t>一、投 标 函</w:t>
      </w:r>
      <w:bookmarkEnd w:id="974"/>
    </w:p>
    <w:p w14:paraId="31345815">
      <w:pPr>
        <w:spacing w:line="420" w:lineRule="atLeast"/>
        <w:rPr>
          <w:rFonts w:ascii="宋体" w:hAnsi="宋体"/>
          <w:sz w:val="24"/>
          <w:szCs w:val="28"/>
        </w:rPr>
      </w:pPr>
      <w:r>
        <w:rPr>
          <w:rFonts w:hint="eastAsia" w:ascii="宋体" w:hAnsi="宋体"/>
          <w:sz w:val="28"/>
          <w:szCs w:val="28"/>
          <w:u w:val="single"/>
        </w:rPr>
        <w:t>　　</w:t>
      </w:r>
      <w:r>
        <w:rPr>
          <w:rFonts w:ascii="宋体" w:hAnsi="宋体"/>
          <w:sz w:val="28"/>
          <w:szCs w:val="28"/>
          <w:u w:val="single"/>
        </w:rPr>
        <w:t>　　　　　　　　　　</w:t>
      </w:r>
      <w:r>
        <w:rPr>
          <w:rFonts w:ascii="宋体" w:hAnsi="宋体"/>
          <w:sz w:val="24"/>
          <w:szCs w:val="28"/>
          <w:u w:val="single"/>
        </w:rPr>
        <w:t>　</w:t>
      </w:r>
      <w:r>
        <w:rPr>
          <w:rFonts w:hint="eastAsia" w:ascii="宋体" w:hAnsi="宋体"/>
          <w:sz w:val="24"/>
          <w:szCs w:val="28"/>
          <w:u w:val="single"/>
        </w:rPr>
        <w:t>（</w:t>
      </w:r>
      <w:r>
        <w:rPr>
          <w:rFonts w:hint="eastAsia" w:ascii="宋体" w:hAnsi="宋体"/>
          <w:sz w:val="24"/>
          <w:szCs w:val="28"/>
        </w:rPr>
        <w:t>采购代理机构名称）：</w:t>
      </w:r>
    </w:p>
    <w:p w14:paraId="07708488">
      <w:pPr>
        <w:spacing w:line="420" w:lineRule="atLeast"/>
        <w:ind w:firstLine="480" w:firstLineChars="200"/>
        <w:rPr>
          <w:rFonts w:ascii="宋体" w:hAnsi="宋体"/>
          <w:sz w:val="24"/>
          <w:szCs w:val="28"/>
        </w:rPr>
      </w:pPr>
      <w:r>
        <w:rPr>
          <w:rFonts w:hint="eastAsia" w:ascii="宋体" w:hAnsi="宋体"/>
          <w:sz w:val="24"/>
          <w:szCs w:val="28"/>
        </w:rPr>
        <w:t>我方全面研究了“</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”项目（</w:t>
      </w:r>
      <w:r>
        <w:rPr>
          <w:rFonts w:hint="eastAsia" w:ascii="宋体" w:hAnsi="宋体"/>
          <w:sz w:val="24"/>
          <w:szCs w:val="28"/>
          <w:lang w:eastAsia="zh-CN"/>
        </w:rPr>
        <w:t>采购计划文号</w:t>
      </w:r>
      <w:r>
        <w:rPr>
          <w:rFonts w:hint="eastAsia" w:ascii="宋体" w:hAnsi="宋体"/>
          <w:sz w:val="24"/>
          <w:szCs w:val="28"/>
        </w:rPr>
        <w:t>：</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）招标文件，决定参加贵单位组织的本项目投标。我方授权</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（姓名）代表我方</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rPr>
        <w:t>（投标单位的名称）全权处理本项目投标的有关事宜。</w:t>
      </w:r>
    </w:p>
    <w:p w14:paraId="7669A685">
      <w:pPr>
        <w:spacing w:line="420" w:lineRule="atLeast"/>
        <w:ind w:firstLine="480" w:firstLineChars="200"/>
        <w:rPr>
          <w:rFonts w:ascii="宋体" w:hAnsi="宋体"/>
          <w:sz w:val="24"/>
          <w:szCs w:val="28"/>
        </w:rPr>
      </w:pPr>
      <w:r>
        <w:rPr>
          <w:rFonts w:hint="eastAsia" w:ascii="宋体" w:hAnsi="宋体"/>
          <w:sz w:val="24"/>
          <w:szCs w:val="28"/>
        </w:rPr>
        <w:t>一、我方自愿按照招标文件规定的各项要求向采购人提供所需货物及服务，总投标价见</w:t>
      </w:r>
      <w:r>
        <w:rPr>
          <w:rFonts w:ascii="宋体" w:hAnsi="宋体"/>
          <w:sz w:val="24"/>
          <w:szCs w:val="28"/>
        </w:rPr>
        <w:t>《</w:t>
      </w:r>
      <w:r>
        <w:rPr>
          <w:rFonts w:hint="eastAsia" w:ascii="宋体" w:hAnsi="宋体"/>
          <w:sz w:val="24"/>
          <w:szCs w:val="28"/>
        </w:rPr>
        <w:t>报价汇总表</w:t>
      </w:r>
      <w:r>
        <w:rPr>
          <w:rFonts w:ascii="宋体" w:hAnsi="宋体"/>
          <w:sz w:val="24"/>
          <w:szCs w:val="28"/>
        </w:rPr>
        <w:t>》</w:t>
      </w:r>
      <w:r>
        <w:rPr>
          <w:rFonts w:hint="eastAsia" w:ascii="宋体" w:hAnsi="宋体"/>
          <w:sz w:val="24"/>
          <w:szCs w:val="28"/>
        </w:rPr>
        <w:t>。</w:t>
      </w:r>
    </w:p>
    <w:p w14:paraId="5101C0FE">
      <w:pPr>
        <w:spacing w:line="420" w:lineRule="atLeast"/>
        <w:ind w:firstLine="480" w:firstLineChars="200"/>
        <w:rPr>
          <w:rFonts w:ascii="宋体" w:hAnsi="宋体"/>
          <w:sz w:val="24"/>
          <w:szCs w:val="28"/>
        </w:rPr>
      </w:pPr>
      <w:r>
        <w:rPr>
          <w:rFonts w:hint="eastAsia" w:ascii="宋体" w:hAnsi="宋体"/>
          <w:sz w:val="24"/>
          <w:szCs w:val="28"/>
        </w:rPr>
        <w:t>二、一旦我方中标，我方将严格履行政府采购合同规定的责任和义务。</w:t>
      </w:r>
    </w:p>
    <w:p w14:paraId="43EB917D">
      <w:pPr>
        <w:spacing w:line="420" w:lineRule="atLeast"/>
        <w:ind w:firstLine="480" w:firstLineChars="200"/>
        <w:rPr>
          <w:rFonts w:ascii="宋体" w:hAnsi="宋体"/>
          <w:sz w:val="24"/>
          <w:szCs w:val="28"/>
        </w:rPr>
      </w:pPr>
      <w:r>
        <w:rPr>
          <w:rFonts w:hint="eastAsia" w:ascii="宋体" w:hAnsi="宋体"/>
          <w:sz w:val="24"/>
          <w:szCs w:val="28"/>
        </w:rPr>
        <w:t>三、我方同意本招标文件依据《关于在政府采购活动中查询及使用信用记录有关问题的通知》（财库[2016]125号）对我方可能存在的失信行为进行的惩戒；</w:t>
      </w:r>
    </w:p>
    <w:p w14:paraId="78B254DC">
      <w:pPr>
        <w:spacing w:line="420" w:lineRule="atLeast"/>
        <w:ind w:firstLine="480" w:firstLineChars="200"/>
        <w:rPr>
          <w:rFonts w:ascii="宋体" w:hAnsi="宋体"/>
          <w:color w:val="FF0000"/>
          <w:sz w:val="24"/>
          <w:szCs w:val="28"/>
        </w:rPr>
      </w:pPr>
      <w:r>
        <w:rPr>
          <w:rFonts w:hint="eastAsia" w:ascii="宋体" w:hAnsi="宋体"/>
          <w:sz w:val="24"/>
          <w:szCs w:val="28"/>
        </w:rPr>
        <w:t>四、我方同意本次招标的投标有效期为</w:t>
      </w:r>
      <w:r>
        <w:rPr>
          <w:rFonts w:hint="eastAsia" w:ascii="宋体" w:hAnsi="宋体"/>
          <w:sz w:val="24"/>
          <w:szCs w:val="28"/>
          <w:u w:val="single"/>
        </w:rPr>
        <w:t>60</w:t>
      </w:r>
      <w:r>
        <w:rPr>
          <w:rFonts w:hint="eastAsia" w:ascii="宋体" w:hAnsi="宋体"/>
          <w:sz w:val="24"/>
          <w:szCs w:val="28"/>
        </w:rPr>
        <w:t>日历天。</w:t>
      </w:r>
    </w:p>
    <w:p w14:paraId="5CA70311">
      <w:pPr>
        <w:spacing w:line="420" w:lineRule="atLeast"/>
        <w:ind w:firstLine="480" w:firstLineChars="200"/>
        <w:rPr>
          <w:rFonts w:ascii="宋体" w:hAnsi="宋体"/>
          <w:sz w:val="24"/>
          <w:szCs w:val="28"/>
        </w:rPr>
      </w:pPr>
      <w:r>
        <w:rPr>
          <w:rFonts w:hint="eastAsia" w:ascii="宋体" w:hAnsi="宋体"/>
          <w:sz w:val="24"/>
          <w:szCs w:val="28"/>
        </w:rPr>
        <w:t>五、我方愿意提供贵中心可能另外要求的，与投标有关的文件资料，并保证我方已提供和将要提供的文件资料是真实、准确的。</w:t>
      </w:r>
    </w:p>
    <w:p w14:paraId="7AAC35C5">
      <w:pPr>
        <w:spacing w:line="420" w:lineRule="atLeast"/>
        <w:ind w:firstLine="480" w:firstLineChars="200"/>
        <w:rPr>
          <w:rFonts w:ascii="宋体" w:hAnsi="宋体"/>
          <w:sz w:val="24"/>
          <w:szCs w:val="28"/>
        </w:rPr>
      </w:pPr>
      <w:r>
        <w:rPr>
          <w:rFonts w:hint="eastAsia" w:ascii="宋体" w:hAnsi="宋体"/>
          <w:sz w:val="24"/>
          <w:szCs w:val="28"/>
        </w:rPr>
        <w:t>六、在评标过程中，评标委员会认为招标文件有关事项表述不明确或需要说明的，我方将完全接受采购代理机构的书面解释。</w:t>
      </w:r>
    </w:p>
    <w:p w14:paraId="08168CE7">
      <w:pPr>
        <w:spacing w:line="420" w:lineRule="atLeast"/>
        <w:ind w:firstLine="480" w:firstLineChars="200"/>
        <w:rPr>
          <w:rFonts w:ascii="宋体" w:hAnsi="宋体"/>
          <w:sz w:val="24"/>
          <w:szCs w:val="28"/>
        </w:rPr>
      </w:pPr>
      <w:r>
        <w:rPr>
          <w:rFonts w:hint="eastAsia" w:ascii="宋体" w:hAnsi="宋体"/>
          <w:sz w:val="24"/>
          <w:szCs w:val="28"/>
        </w:rPr>
        <w:t>七</w:t>
      </w:r>
      <w:r>
        <w:rPr>
          <w:rFonts w:ascii="宋体" w:hAnsi="宋体"/>
          <w:sz w:val="24"/>
          <w:szCs w:val="28"/>
        </w:rPr>
        <w:t>、</w:t>
      </w:r>
      <w:r>
        <w:rPr>
          <w:rFonts w:hint="eastAsia" w:ascii="宋体" w:hAnsi="宋体"/>
          <w:sz w:val="24"/>
          <w:szCs w:val="28"/>
        </w:rPr>
        <w:t>我方报价</w:t>
      </w:r>
      <w:r>
        <w:rPr>
          <w:rFonts w:ascii="宋体" w:hAnsi="宋体"/>
          <w:sz w:val="24"/>
          <w:szCs w:val="28"/>
        </w:rPr>
        <w:t>为</w:t>
      </w:r>
      <w:r>
        <w:rPr>
          <w:rFonts w:hint="eastAsia" w:ascii="宋体" w:hAnsi="宋体"/>
          <w:sz w:val="24"/>
          <w:szCs w:val="28"/>
        </w:rPr>
        <w:t>本</w:t>
      </w:r>
      <w:r>
        <w:rPr>
          <w:rFonts w:ascii="宋体" w:hAnsi="宋体"/>
          <w:sz w:val="24"/>
          <w:szCs w:val="28"/>
        </w:rPr>
        <w:t>采购项目合同下所有</w:t>
      </w:r>
      <w:r>
        <w:rPr>
          <w:rFonts w:hint="eastAsia" w:ascii="宋体" w:hAnsi="宋体"/>
          <w:sz w:val="24"/>
          <w:szCs w:val="28"/>
        </w:rPr>
        <w:t>费用，是采购</w:t>
      </w:r>
      <w:r>
        <w:rPr>
          <w:rFonts w:ascii="宋体" w:hAnsi="宋体"/>
          <w:sz w:val="24"/>
          <w:szCs w:val="28"/>
        </w:rPr>
        <w:t>人</w:t>
      </w:r>
      <w:r>
        <w:rPr>
          <w:rFonts w:hint="eastAsia" w:ascii="宋体" w:hAnsi="宋体"/>
          <w:sz w:val="24"/>
          <w:szCs w:val="28"/>
        </w:rPr>
        <w:t>最终验收合格后的总价，包括完成本次</w:t>
      </w:r>
      <w:r>
        <w:rPr>
          <w:rFonts w:ascii="宋体" w:hAnsi="宋体"/>
          <w:sz w:val="24"/>
          <w:szCs w:val="28"/>
        </w:rPr>
        <w:t>招标标的物的所有内容</w:t>
      </w:r>
      <w:r>
        <w:rPr>
          <w:rFonts w:hint="eastAsia" w:ascii="宋体" w:hAnsi="宋体"/>
          <w:sz w:val="24"/>
          <w:szCs w:val="28"/>
        </w:rPr>
        <w:t>、以及</w:t>
      </w:r>
      <w:r>
        <w:rPr>
          <w:rFonts w:ascii="宋体" w:hAnsi="宋体"/>
          <w:sz w:val="24"/>
          <w:szCs w:val="28"/>
        </w:rPr>
        <w:t>相关的</w:t>
      </w:r>
      <w:r>
        <w:rPr>
          <w:rFonts w:hint="eastAsia" w:ascii="宋体" w:hAnsi="宋体"/>
          <w:sz w:val="24"/>
          <w:szCs w:val="28"/>
        </w:rPr>
        <w:t>保险、税费等和招标文件规定的其它费用。</w:t>
      </w:r>
    </w:p>
    <w:p w14:paraId="17AE0413">
      <w:pPr>
        <w:spacing w:line="420" w:lineRule="atLeast"/>
        <w:ind w:firstLine="480" w:firstLineChars="200"/>
        <w:rPr>
          <w:rFonts w:ascii="宋体" w:hAnsi="宋体"/>
          <w:sz w:val="24"/>
          <w:szCs w:val="28"/>
        </w:rPr>
      </w:pPr>
      <w:r>
        <w:rPr>
          <w:rFonts w:hint="eastAsia" w:ascii="宋体" w:hAnsi="宋体"/>
          <w:sz w:val="24"/>
          <w:szCs w:val="28"/>
        </w:rPr>
        <w:t>八</w:t>
      </w:r>
      <w:r>
        <w:rPr>
          <w:rFonts w:ascii="宋体" w:hAnsi="宋体"/>
          <w:sz w:val="24"/>
          <w:szCs w:val="28"/>
        </w:rPr>
        <w:t>、我方报价均真实有效，不存在不正当竞争行为</w:t>
      </w:r>
      <w:r>
        <w:rPr>
          <w:rFonts w:hint="eastAsia" w:ascii="宋体" w:hAnsi="宋体"/>
          <w:sz w:val="24"/>
          <w:szCs w:val="28"/>
        </w:rPr>
        <w:t>，并且</w:t>
      </w:r>
      <w:r>
        <w:rPr>
          <w:rFonts w:ascii="宋体" w:hAnsi="宋体"/>
          <w:sz w:val="24"/>
          <w:szCs w:val="28"/>
        </w:rPr>
        <w:t>不存在以低价谋取中标后提供不良产品</w:t>
      </w:r>
      <w:r>
        <w:rPr>
          <w:rFonts w:hint="eastAsia" w:ascii="宋体" w:hAnsi="宋体"/>
          <w:sz w:val="24"/>
          <w:szCs w:val="28"/>
        </w:rPr>
        <w:t>或者</w:t>
      </w:r>
      <w:r>
        <w:rPr>
          <w:rFonts w:ascii="宋体" w:hAnsi="宋体"/>
          <w:sz w:val="24"/>
          <w:szCs w:val="28"/>
        </w:rPr>
        <w:t>不诚信履约情况</w:t>
      </w:r>
      <w:r>
        <w:rPr>
          <w:rFonts w:hint="eastAsia" w:ascii="宋体" w:hAnsi="宋体"/>
          <w:sz w:val="24"/>
          <w:szCs w:val="28"/>
        </w:rPr>
        <w:t>。</w:t>
      </w:r>
    </w:p>
    <w:p w14:paraId="767B345A">
      <w:pPr>
        <w:spacing w:line="420" w:lineRule="atLeast"/>
        <w:ind w:firstLine="480" w:firstLineChars="200"/>
        <w:rPr>
          <w:rFonts w:ascii="宋体" w:hAnsi="宋体"/>
          <w:sz w:val="28"/>
          <w:szCs w:val="28"/>
        </w:rPr>
      </w:pPr>
      <w:r>
        <w:rPr>
          <w:rFonts w:hint="eastAsia" w:ascii="宋体" w:hAnsi="宋体"/>
          <w:sz w:val="24"/>
          <w:szCs w:val="28"/>
        </w:rPr>
        <w:t>九、如果我方提供了《中小企业承诺函》、《残疾人福利单位声明函》、</w:t>
      </w:r>
      <w:r>
        <w:rPr>
          <w:rFonts w:hint="eastAsia" w:ascii="宋体" w:hAnsi="宋体"/>
          <w:bCs/>
          <w:sz w:val="24"/>
          <w:szCs w:val="28"/>
        </w:rPr>
        <w:t>监狱企业证明文件</w:t>
      </w:r>
      <w:r>
        <w:rPr>
          <w:rFonts w:hint="eastAsia" w:ascii="宋体" w:hAnsi="宋体"/>
          <w:sz w:val="24"/>
          <w:szCs w:val="28"/>
        </w:rPr>
        <w:t>，我方承诺其是真实的，完全符合我公司实际情况并承担相关法律责任。</w:t>
      </w:r>
    </w:p>
    <w:p w14:paraId="4380A6B0">
      <w:pPr>
        <w:spacing w:line="420" w:lineRule="atLeast"/>
        <w:ind w:firstLine="2640" w:firstLineChars="1100"/>
        <w:jc w:val="left"/>
        <w:rPr>
          <w:rFonts w:hint="eastAsia" w:ascii="宋体" w:hAnsi="宋体"/>
          <w:sz w:val="24"/>
          <w:szCs w:val="28"/>
        </w:rPr>
      </w:pPr>
    </w:p>
    <w:p w14:paraId="05F42B37">
      <w:pPr>
        <w:spacing w:line="420" w:lineRule="atLeast"/>
        <w:jc w:val="left"/>
        <w:rPr>
          <w:rFonts w:ascii="宋体" w:hAnsi="宋体"/>
          <w:sz w:val="24"/>
          <w:szCs w:val="28"/>
        </w:rPr>
      </w:pPr>
      <w:r>
        <w:rPr>
          <w:rFonts w:hint="eastAsia" w:ascii="宋体" w:hAnsi="宋体"/>
          <w:sz w:val="24"/>
          <w:szCs w:val="28"/>
        </w:rPr>
        <w:t>投标人全称</w:t>
      </w:r>
      <w:r>
        <w:rPr>
          <w:rFonts w:hint="eastAsia" w:ascii="宋体" w:hAnsi="宋体"/>
          <w:sz w:val="24"/>
          <w:szCs w:val="28"/>
          <w:u w:val="single"/>
        </w:rPr>
        <w:t>：　　</w:t>
      </w:r>
      <w:r>
        <w:rPr>
          <w:rFonts w:ascii="宋体" w:hAnsi="宋体"/>
          <w:sz w:val="24"/>
          <w:szCs w:val="28"/>
          <w:u w:val="single"/>
        </w:rPr>
        <w:t xml:space="preserve">　           </w:t>
      </w:r>
      <w:r>
        <w:rPr>
          <w:rFonts w:hint="eastAsia" w:ascii="宋体" w:hAnsi="宋体"/>
          <w:sz w:val="24"/>
          <w:szCs w:val="28"/>
          <w:u w:val="single"/>
        </w:rPr>
        <w:t>（</w:t>
      </w:r>
      <w:r>
        <w:rPr>
          <w:rFonts w:hint="eastAsia" w:ascii="宋体" w:hAnsi="宋体"/>
          <w:sz w:val="24"/>
          <w:szCs w:val="28"/>
        </w:rPr>
        <w:t>盖单位公章）</w:t>
      </w:r>
    </w:p>
    <w:p w14:paraId="1414782E">
      <w:pPr>
        <w:spacing w:line="420" w:lineRule="atLeast"/>
        <w:jc w:val="left"/>
        <w:rPr>
          <w:rFonts w:ascii="宋体" w:hAnsi="宋体"/>
          <w:sz w:val="24"/>
          <w:szCs w:val="28"/>
          <w:u w:val="single"/>
        </w:rPr>
      </w:pPr>
      <w:r>
        <w:rPr>
          <w:rFonts w:hint="eastAsia" w:ascii="宋体" w:hAnsi="宋体"/>
          <w:sz w:val="24"/>
          <w:szCs w:val="28"/>
        </w:rPr>
        <w:t>法定代表人或其授权代表：</w:t>
      </w:r>
      <w:r>
        <w:rPr>
          <w:rFonts w:ascii="宋体" w:hAnsi="宋体"/>
          <w:sz w:val="24"/>
          <w:szCs w:val="28"/>
          <w:u w:val="single"/>
        </w:rPr>
        <w:t xml:space="preserve">         </w:t>
      </w:r>
      <w:r>
        <w:rPr>
          <w:rFonts w:hint="eastAsia" w:ascii="宋体" w:hAnsi="宋体"/>
          <w:sz w:val="24"/>
          <w:szCs w:val="28"/>
          <w:u w:val="single"/>
        </w:rPr>
        <w:t>（</w:t>
      </w:r>
      <w:r>
        <w:rPr>
          <w:rFonts w:hint="eastAsia" w:ascii="宋体" w:hAnsi="宋体"/>
          <w:sz w:val="24"/>
          <w:szCs w:val="28"/>
        </w:rPr>
        <w:t>签字）</w:t>
      </w:r>
      <w:r>
        <w:rPr>
          <w:rFonts w:ascii="宋体" w:hAnsi="宋体"/>
          <w:sz w:val="24"/>
          <w:szCs w:val="28"/>
        </w:rPr>
        <w:t xml:space="preserve">  </w:t>
      </w:r>
    </w:p>
    <w:p w14:paraId="4A43EFEA">
      <w:pPr>
        <w:spacing w:line="420" w:lineRule="atLeast"/>
        <w:jc w:val="left"/>
        <w:rPr>
          <w:rFonts w:ascii="宋体" w:hAnsi="宋体"/>
          <w:sz w:val="24"/>
          <w:szCs w:val="28"/>
        </w:rPr>
      </w:pPr>
      <w:r>
        <w:rPr>
          <w:rFonts w:hint="eastAsia" w:ascii="宋体" w:hAnsi="宋体"/>
          <w:sz w:val="24"/>
          <w:szCs w:val="28"/>
        </w:rPr>
        <w:t>通讯地址：</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 xml:space="preserve"> </w:t>
      </w:r>
    </w:p>
    <w:p w14:paraId="0EA14558">
      <w:pPr>
        <w:spacing w:line="420" w:lineRule="atLeast"/>
        <w:jc w:val="left"/>
        <w:rPr>
          <w:rFonts w:ascii="宋体" w:hAnsi="宋体"/>
          <w:sz w:val="24"/>
          <w:szCs w:val="28"/>
        </w:rPr>
      </w:pPr>
      <w:r>
        <w:rPr>
          <w:rFonts w:hint="eastAsia" w:ascii="宋体" w:hAnsi="宋体"/>
          <w:sz w:val="24"/>
          <w:szCs w:val="28"/>
        </w:rPr>
        <w:t>邮政编码：</w:t>
      </w:r>
      <w:r>
        <w:rPr>
          <w:rFonts w:hint="eastAsia" w:ascii="宋体" w:hAnsi="宋体"/>
          <w:sz w:val="24"/>
          <w:szCs w:val="28"/>
          <w:u w:val="single"/>
        </w:rPr>
        <w:t>　　</w:t>
      </w:r>
      <w:r>
        <w:rPr>
          <w:rFonts w:ascii="宋体" w:hAnsi="宋体"/>
          <w:sz w:val="24"/>
          <w:szCs w:val="28"/>
          <w:u w:val="single"/>
        </w:rPr>
        <w:t>　　　　　　　　　　　　</w:t>
      </w:r>
    </w:p>
    <w:p w14:paraId="423513F9">
      <w:pPr>
        <w:spacing w:line="420" w:lineRule="atLeast"/>
        <w:jc w:val="left"/>
        <w:rPr>
          <w:rFonts w:ascii="宋体" w:hAnsi="宋体"/>
          <w:sz w:val="24"/>
          <w:szCs w:val="28"/>
        </w:rPr>
      </w:pPr>
      <w:r>
        <w:rPr>
          <w:rFonts w:hint="eastAsia" w:ascii="宋体" w:hAnsi="宋体"/>
          <w:sz w:val="24"/>
          <w:szCs w:val="28"/>
        </w:rPr>
        <w:t>联系电话：</w:t>
      </w:r>
      <w:r>
        <w:rPr>
          <w:rFonts w:hint="eastAsia" w:ascii="宋体" w:hAnsi="宋体"/>
          <w:sz w:val="24"/>
          <w:szCs w:val="28"/>
          <w:u w:val="single"/>
        </w:rPr>
        <w:t>　　</w:t>
      </w:r>
      <w:r>
        <w:rPr>
          <w:rFonts w:ascii="宋体" w:hAnsi="宋体"/>
          <w:sz w:val="24"/>
          <w:szCs w:val="28"/>
          <w:u w:val="single"/>
        </w:rPr>
        <w:t>　　　　　　　　　　　　</w:t>
      </w:r>
    </w:p>
    <w:p w14:paraId="3F0B3C2D">
      <w:pPr>
        <w:spacing w:line="420" w:lineRule="atLeast"/>
        <w:jc w:val="left"/>
        <w:rPr>
          <w:rFonts w:ascii="宋体" w:hAnsi="宋体"/>
          <w:sz w:val="24"/>
          <w:szCs w:val="28"/>
        </w:rPr>
      </w:pPr>
      <w:r>
        <w:rPr>
          <w:rFonts w:hint="eastAsia" w:ascii="宋体" w:hAnsi="宋体"/>
          <w:sz w:val="24"/>
          <w:szCs w:val="28"/>
        </w:rPr>
        <w:t>传    真：</w:t>
      </w:r>
      <w:r>
        <w:rPr>
          <w:rFonts w:hint="eastAsia" w:ascii="宋体" w:hAnsi="宋体"/>
          <w:sz w:val="24"/>
          <w:szCs w:val="28"/>
          <w:u w:val="single"/>
        </w:rPr>
        <w:t>　　</w:t>
      </w:r>
      <w:r>
        <w:rPr>
          <w:rFonts w:ascii="宋体" w:hAnsi="宋体"/>
          <w:sz w:val="24"/>
          <w:szCs w:val="28"/>
          <w:u w:val="single"/>
        </w:rPr>
        <w:t>　　　　　　　　　　　　</w:t>
      </w:r>
    </w:p>
    <w:p w14:paraId="01A4FEDC">
      <w:pPr>
        <w:spacing w:line="420" w:lineRule="atLeast"/>
        <w:jc w:val="left"/>
        <w:rPr>
          <w:rFonts w:ascii="宋体" w:hAnsi="宋体"/>
          <w:sz w:val="24"/>
          <w:szCs w:val="28"/>
        </w:rPr>
      </w:pPr>
      <w:r>
        <w:rPr>
          <w:rFonts w:hint="eastAsia" w:ascii="宋体" w:hAnsi="宋体"/>
          <w:sz w:val="24"/>
          <w:szCs w:val="28"/>
        </w:rPr>
        <w:t>日</w:t>
      </w:r>
      <w:r>
        <w:rPr>
          <w:rFonts w:hint="eastAsia" w:ascii="宋体" w:hAnsi="宋体"/>
          <w:sz w:val="24"/>
          <w:szCs w:val="28"/>
          <w:lang w:val="en-US" w:eastAsia="zh-CN"/>
        </w:rPr>
        <w:t xml:space="preserve">    </w:t>
      </w:r>
      <w:r>
        <w:rPr>
          <w:rFonts w:hint="eastAsia" w:ascii="宋体" w:hAnsi="宋体"/>
          <w:sz w:val="24"/>
          <w:szCs w:val="28"/>
        </w:rPr>
        <w:t>期：</w:t>
      </w:r>
      <w:r>
        <w:rPr>
          <w:rFonts w:hint="eastAsia" w:ascii="宋体" w:hAnsi="宋体"/>
          <w:sz w:val="24"/>
          <w:szCs w:val="28"/>
          <w:u w:val="single"/>
        </w:rPr>
        <w:t>　　</w:t>
      </w:r>
      <w:r>
        <w:rPr>
          <w:rFonts w:ascii="宋体" w:hAnsi="宋体"/>
          <w:sz w:val="24"/>
          <w:szCs w:val="28"/>
          <w:u w:val="single"/>
        </w:rPr>
        <w:t>　　　</w:t>
      </w:r>
      <w:r>
        <w:rPr>
          <w:rFonts w:hint="eastAsia" w:ascii="宋体" w:hAnsi="宋体"/>
          <w:sz w:val="24"/>
          <w:szCs w:val="28"/>
          <w:u w:val="single"/>
        </w:rPr>
        <w:t>年　　月　　日</w:t>
      </w:r>
    </w:p>
    <w:p w14:paraId="1C6B56D7">
      <w:pPr>
        <w:rPr>
          <w:rFonts w:hint="eastAsia"/>
        </w:rPr>
      </w:pPr>
      <w:r>
        <w:rPr>
          <w:rFonts w:hint="eastAsia"/>
        </w:rPr>
        <w:br w:type="page"/>
      </w:r>
    </w:p>
    <w:p w14:paraId="139C8E66">
      <w:pPr>
        <w:pStyle w:val="4"/>
        <w:spacing w:line="240" w:lineRule="atLeast"/>
        <w:jc w:val="center"/>
      </w:pPr>
      <w:bookmarkStart w:id="975" w:name="_Toc18720"/>
      <w:r>
        <w:rPr>
          <w:rFonts w:hint="eastAsia"/>
        </w:rPr>
        <w:t>二</w:t>
      </w:r>
      <w:r>
        <w:t>、</w:t>
      </w:r>
      <w:r>
        <w:rPr>
          <w:rFonts w:hint="eastAsia"/>
        </w:rPr>
        <w:t>承诺函</w:t>
      </w:r>
      <w:bookmarkEnd w:id="975"/>
    </w:p>
    <w:p w14:paraId="0D54A157">
      <w:pPr>
        <w:spacing w:line="500" w:lineRule="exact"/>
        <w:jc w:val="center"/>
        <w:rPr>
          <w:rFonts w:ascii="宋体" w:hAnsi="宋体"/>
          <w:b/>
          <w:sz w:val="28"/>
          <w:szCs w:val="28"/>
        </w:rPr>
      </w:pPr>
    </w:p>
    <w:p w14:paraId="6CF0F84B">
      <w:pPr>
        <w:spacing w:line="500" w:lineRule="exact"/>
        <w:ind w:firstLine="560" w:firstLineChars="200"/>
        <w:rPr>
          <w:rFonts w:ascii="宋体" w:hAnsi="宋体"/>
          <w:sz w:val="28"/>
          <w:szCs w:val="28"/>
        </w:rPr>
      </w:pPr>
      <w:r>
        <w:rPr>
          <w:rFonts w:ascii="宋体" w:hAnsi="宋体"/>
          <w:sz w:val="28"/>
          <w:szCs w:val="28"/>
          <w:u w:val="single"/>
        </w:rPr>
        <w:t xml:space="preserve">                               </w:t>
      </w:r>
      <w:r>
        <w:rPr>
          <w:rFonts w:hint="eastAsia" w:ascii="宋体" w:hAnsi="宋体"/>
          <w:sz w:val="28"/>
          <w:szCs w:val="28"/>
        </w:rPr>
        <w:t>（采购代理机构名称）：</w:t>
      </w:r>
    </w:p>
    <w:p w14:paraId="3D75DD49">
      <w:pPr>
        <w:spacing w:line="500" w:lineRule="exact"/>
        <w:ind w:firstLine="560" w:firstLineChars="200"/>
        <w:rPr>
          <w:rFonts w:ascii="宋体" w:hAnsi="宋体"/>
          <w:sz w:val="28"/>
          <w:szCs w:val="28"/>
        </w:rPr>
      </w:pPr>
      <w:r>
        <w:rPr>
          <w:rFonts w:hint="eastAsia" w:ascii="宋体" w:hAnsi="宋体"/>
          <w:sz w:val="28"/>
          <w:szCs w:val="28"/>
        </w:rPr>
        <w:t>我公司作为本次采购项目的投标人，根据招标文件要求，现郑重承诺如下：</w:t>
      </w:r>
    </w:p>
    <w:p w14:paraId="20DF8D70">
      <w:pPr>
        <w:spacing w:line="500" w:lineRule="exact"/>
        <w:ind w:firstLine="560" w:firstLineChars="200"/>
        <w:rPr>
          <w:rFonts w:ascii="宋体" w:hAnsi="宋体"/>
          <w:sz w:val="28"/>
          <w:szCs w:val="28"/>
        </w:rPr>
      </w:pPr>
      <w:r>
        <w:rPr>
          <w:rFonts w:hint="eastAsia" w:ascii="宋体" w:hAnsi="宋体"/>
          <w:sz w:val="28"/>
          <w:szCs w:val="28"/>
        </w:rPr>
        <w:t>一、具备《中华人民共和国政府采购法》第二十二条和本项目规定的条件：</w:t>
      </w:r>
    </w:p>
    <w:p w14:paraId="021794FB">
      <w:pPr>
        <w:spacing w:line="500" w:lineRule="exact"/>
        <w:ind w:firstLine="560" w:firstLineChars="200"/>
        <w:rPr>
          <w:rFonts w:hint="eastAsia" w:ascii="宋体" w:hAnsi="宋体" w:eastAsiaTheme="minorEastAsia"/>
          <w:sz w:val="28"/>
          <w:szCs w:val="28"/>
          <w:lang w:eastAsia="zh-CN"/>
        </w:rPr>
      </w:pPr>
      <w:r>
        <w:rPr>
          <w:rFonts w:hint="eastAsia" w:ascii="宋体" w:hAnsi="宋体"/>
          <w:sz w:val="28"/>
          <w:szCs w:val="28"/>
        </w:rPr>
        <w:t xml:space="preserve">（一）具有独立承担民事责任的能力； </w:t>
      </w:r>
    </w:p>
    <w:p w14:paraId="5CFE45C9">
      <w:pPr>
        <w:spacing w:line="500" w:lineRule="exact"/>
        <w:ind w:firstLine="560" w:firstLineChars="200"/>
        <w:rPr>
          <w:rFonts w:hint="eastAsia" w:ascii="宋体" w:hAnsi="宋体" w:eastAsiaTheme="minorEastAsia"/>
          <w:sz w:val="28"/>
          <w:szCs w:val="28"/>
          <w:lang w:eastAsia="zh-CN"/>
        </w:rPr>
      </w:pPr>
      <w:r>
        <w:rPr>
          <w:rFonts w:hint="eastAsia" w:ascii="宋体" w:hAnsi="宋体"/>
          <w:sz w:val="28"/>
          <w:szCs w:val="28"/>
        </w:rPr>
        <w:t xml:space="preserve">　　（二）具有良好的商业信誉和健全的财务会计制度； </w:t>
      </w:r>
    </w:p>
    <w:p w14:paraId="1B3C930E">
      <w:pPr>
        <w:spacing w:line="500" w:lineRule="exact"/>
        <w:ind w:firstLine="560" w:firstLineChars="200"/>
        <w:rPr>
          <w:rFonts w:hint="eastAsia" w:ascii="宋体" w:hAnsi="宋体" w:eastAsiaTheme="minorEastAsia"/>
          <w:sz w:val="28"/>
          <w:szCs w:val="28"/>
          <w:lang w:eastAsia="zh-CN"/>
        </w:rPr>
      </w:pPr>
      <w:r>
        <w:rPr>
          <w:rFonts w:hint="eastAsia" w:ascii="宋体" w:hAnsi="宋体"/>
          <w:sz w:val="28"/>
          <w:szCs w:val="28"/>
        </w:rPr>
        <w:t xml:space="preserve">　　（三）具有履行合同所必需的设备和专业技术能力； </w:t>
      </w:r>
    </w:p>
    <w:p w14:paraId="6D240F4A">
      <w:pPr>
        <w:spacing w:line="500" w:lineRule="exact"/>
        <w:ind w:firstLine="560" w:firstLineChars="200"/>
        <w:rPr>
          <w:rFonts w:hint="eastAsia" w:ascii="宋体" w:hAnsi="宋体" w:eastAsiaTheme="minorEastAsia"/>
          <w:sz w:val="28"/>
          <w:szCs w:val="28"/>
          <w:lang w:eastAsia="zh-CN"/>
        </w:rPr>
      </w:pPr>
      <w:r>
        <w:rPr>
          <w:rFonts w:hint="eastAsia" w:ascii="宋体" w:hAnsi="宋体"/>
          <w:sz w:val="28"/>
          <w:szCs w:val="28"/>
        </w:rPr>
        <w:t xml:space="preserve">　　（四）有依法缴纳税收和社会保障资金的良好记录； </w:t>
      </w:r>
    </w:p>
    <w:p w14:paraId="118AF219">
      <w:pPr>
        <w:spacing w:line="500" w:lineRule="exact"/>
        <w:ind w:firstLine="560" w:firstLineChars="200"/>
        <w:rPr>
          <w:rFonts w:ascii="宋体" w:hAnsi="宋体"/>
          <w:sz w:val="28"/>
          <w:szCs w:val="28"/>
        </w:rPr>
      </w:pPr>
      <w:r>
        <w:rPr>
          <w:rFonts w:hint="eastAsia" w:ascii="宋体" w:hAnsi="宋体"/>
          <w:sz w:val="28"/>
          <w:szCs w:val="28"/>
        </w:rPr>
        <w:t>　　（五）参加政府采购活动前三年内，在经营活动中没有重大违法记录；</w:t>
      </w:r>
    </w:p>
    <w:p w14:paraId="2ECA09CF">
      <w:pPr>
        <w:spacing w:line="500" w:lineRule="exact"/>
        <w:ind w:firstLine="560" w:firstLineChars="200"/>
        <w:rPr>
          <w:rFonts w:ascii="宋体" w:hAnsi="宋体"/>
          <w:sz w:val="28"/>
          <w:szCs w:val="28"/>
        </w:rPr>
      </w:pPr>
      <w:r>
        <w:rPr>
          <w:rFonts w:hint="eastAsia" w:ascii="宋体" w:hAnsi="宋体"/>
          <w:sz w:val="28"/>
          <w:szCs w:val="28"/>
        </w:rPr>
        <w:t>（六）法律、行政法规规定的其他条件；</w:t>
      </w:r>
    </w:p>
    <w:p w14:paraId="375BE6EF">
      <w:pPr>
        <w:spacing w:line="500" w:lineRule="exact"/>
        <w:ind w:firstLine="560" w:firstLineChars="200"/>
        <w:rPr>
          <w:rFonts w:ascii="宋体" w:hAnsi="宋体"/>
          <w:sz w:val="28"/>
          <w:szCs w:val="28"/>
        </w:rPr>
      </w:pPr>
      <w:r>
        <w:rPr>
          <w:rFonts w:hint="eastAsia" w:ascii="宋体" w:hAnsi="宋体"/>
          <w:sz w:val="28"/>
          <w:szCs w:val="28"/>
        </w:rPr>
        <w:t>（七）根据招标项目提出的其他条件</w:t>
      </w:r>
      <w:r>
        <w:rPr>
          <w:rFonts w:ascii="宋体" w:hAnsi="宋体"/>
          <w:sz w:val="28"/>
          <w:szCs w:val="28"/>
        </w:rPr>
        <w:t>。</w:t>
      </w:r>
    </w:p>
    <w:p w14:paraId="50D16172">
      <w:pPr>
        <w:spacing w:line="500" w:lineRule="exact"/>
        <w:ind w:firstLine="560" w:firstLineChars="200"/>
        <w:rPr>
          <w:rFonts w:ascii="宋体" w:hAnsi="宋体"/>
          <w:sz w:val="28"/>
          <w:szCs w:val="28"/>
        </w:rPr>
      </w:pPr>
      <w:r>
        <w:rPr>
          <w:rFonts w:ascii="宋体" w:hAnsi="宋体"/>
          <w:sz w:val="28"/>
          <w:szCs w:val="28"/>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3DFF197D">
      <w:pPr>
        <w:spacing w:line="500" w:lineRule="exact"/>
        <w:ind w:firstLine="560" w:firstLineChars="200"/>
        <w:rPr>
          <w:rFonts w:ascii="宋体" w:hAnsi="宋体"/>
          <w:sz w:val="28"/>
          <w:szCs w:val="28"/>
        </w:rPr>
      </w:pPr>
      <w:r>
        <w:rPr>
          <w:rFonts w:hint="eastAsia" w:ascii="宋体" w:hAnsi="宋体"/>
          <w:sz w:val="28"/>
          <w:szCs w:val="28"/>
        </w:rPr>
        <w:t>三、参加本次招标采购活动，不存在与单位负责人为同一人或者存在直接控股、管理关系的其他投标人参与同一合同项下的政府采购活动的行为。</w:t>
      </w:r>
    </w:p>
    <w:p w14:paraId="5F6B1E17">
      <w:pPr>
        <w:spacing w:line="500" w:lineRule="exact"/>
        <w:ind w:firstLine="560" w:firstLineChars="200"/>
        <w:rPr>
          <w:rFonts w:ascii="宋体" w:hAnsi="宋体"/>
          <w:sz w:val="28"/>
          <w:szCs w:val="28"/>
        </w:rPr>
      </w:pPr>
      <w:r>
        <w:rPr>
          <w:rFonts w:hint="eastAsia" w:ascii="宋体" w:hAnsi="宋体"/>
          <w:sz w:val="28"/>
          <w:szCs w:val="28"/>
        </w:rPr>
        <w:t>四、参加本次招标采购活动，不存在和其他投标人在同一合同项下的采购项目中，同时委托同一个自然人、同一家庭的人员、同一单位的人员作为代理人的行为。</w:t>
      </w:r>
    </w:p>
    <w:p w14:paraId="13AB269C">
      <w:pPr>
        <w:spacing w:line="500" w:lineRule="exact"/>
        <w:ind w:firstLine="560" w:firstLineChars="200"/>
        <w:rPr>
          <w:rFonts w:ascii="宋体" w:hAnsi="宋体"/>
          <w:sz w:val="28"/>
          <w:szCs w:val="28"/>
        </w:rPr>
      </w:pPr>
      <w:r>
        <w:rPr>
          <w:rFonts w:hint="eastAsia" w:ascii="宋体" w:hAnsi="宋体"/>
          <w:sz w:val="28"/>
          <w:szCs w:val="28"/>
        </w:rPr>
        <w:t>五、如果有“信用中国”网站(www.creditchina.gov.cn)规定的记入诚信档案的失信行为，将在投标文件中全面如实反映。</w:t>
      </w:r>
    </w:p>
    <w:p w14:paraId="5ED29BDF">
      <w:pPr>
        <w:spacing w:line="500" w:lineRule="exact"/>
        <w:ind w:firstLine="560" w:firstLineChars="200"/>
        <w:rPr>
          <w:rFonts w:ascii="宋体" w:hAnsi="宋体"/>
          <w:sz w:val="28"/>
          <w:szCs w:val="28"/>
        </w:rPr>
      </w:pPr>
      <w:r>
        <w:rPr>
          <w:rFonts w:hint="eastAsia" w:ascii="宋体" w:hAnsi="宋体"/>
          <w:sz w:val="28"/>
          <w:szCs w:val="28"/>
        </w:rPr>
        <w:t>六、投标文件中提供的任何材料、资料、技术、服务、商务等响应承诺情况都是真实的、有效的、合法的。</w:t>
      </w:r>
    </w:p>
    <w:p w14:paraId="4EB871E8">
      <w:pPr>
        <w:spacing w:line="500" w:lineRule="exact"/>
        <w:ind w:firstLine="600" w:firstLineChars="200"/>
        <w:rPr>
          <w:rFonts w:ascii="宋体"/>
          <w:sz w:val="30"/>
          <w:szCs w:val="30"/>
        </w:rPr>
      </w:pPr>
      <w:r>
        <w:rPr>
          <w:rFonts w:hint="eastAsia" w:ascii="宋体"/>
          <w:sz w:val="30"/>
          <w:szCs w:val="30"/>
        </w:rPr>
        <w:t>七、如本项目评标过程中需要提供样品，则我公司提供的样品即为成交后将要提供的成交产品，我公司对提供样品的性能和质量负责，因样品存在缺陷或者不符合招标文件要求导致未能成交的，我公司愿意承担相应不利后果。</w:t>
      </w:r>
    </w:p>
    <w:p w14:paraId="78C342DD">
      <w:pPr>
        <w:spacing w:line="500" w:lineRule="exact"/>
        <w:ind w:firstLine="560" w:firstLineChars="200"/>
        <w:rPr>
          <w:rFonts w:ascii="宋体" w:hAnsi="宋体"/>
          <w:sz w:val="28"/>
          <w:szCs w:val="28"/>
        </w:rPr>
      </w:pPr>
      <w:r>
        <w:rPr>
          <w:rFonts w:hint="eastAsia" w:ascii="宋体" w:hAnsi="宋体"/>
          <w:sz w:val="28"/>
          <w:szCs w:val="28"/>
        </w:rPr>
        <w:t>八、我单位承诺：没有处于禁止参加政府采购活动的期间。</w:t>
      </w:r>
    </w:p>
    <w:p w14:paraId="188E9208">
      <w:pPr>
        <w:spacing w:line="500" w:lineRule="exact"/>
        <w:ind w:firstLine="560" w:firstLineChars="200"/>
        <w:rPr>
          <w:rFonts w:ascii="宋体" w:hAnsi="宋体"/>
          <w:sz w:val="28"/>
          <w:szCs w:val="28"/>
        </w:rPr>
      </w:pPr>
      <w:r>
        <w:rPr>
          <w:rFonts w:hint="eastAsia" w:ascii="宋体" w:hAnsi="宋体"/>
          <w:sz w:val="28"/>
          <w:szCs w:val="28"/>
        </w:rPr>
        <w:t>本公司对上述承诺的内容事项真实性负责。如经查实上述承诺的内容事项存在虚假，我公司愿意接受以提供虚假材料谋取中标追究法律责任。</w:t>
      </w:r>
    </w:p>
    <w:p w14:paraId="2940B8C0">
      <w:pPr>
        <w:spacing w:line="500" w:lineRule="exact"/>
        <w:jc w:val="left"/>
        <w:rPr>
          <w:rFonts w:ascii="宋体" w:hAnsi="宋体"/>
          <w:sz w:val="28"/>
          <w:szCs w:val="28"/>
        </w:rPr>
      </w:pPr>
    </w:p>
    <w:p w14:paraId="74354509">
      <w:pPr>
        <w:spacing w:line="500" w:lineRule="exact"/>
        <w:ind w:firstLine="2660" w:firstLineChars="950"/>
        <w:jc w:val="left"/>
        <w:rPr>
          <w:rFonts w:ascii="宋体" w:hAnsi="宋体"/>
          <w:sz w:val="28"/>
          <w:szCs w:val="28"/>
        </w:rPr>
      </w:pPr>
      <w:r>
        <w:rPr>
          <w:rFonts w:hint="eastAsia" w:ascii="宋体" w:hAnsi="宋体"/>
          <w:sz w:val="28"/>
          <w:szCs w:val="28"/>
        </w:rPr>
        <w:t>投标人全称</w:t>
      </w:r>
      <w:r>
        <w:rPr>
          <w:rFonts w:hint="eastAsia" w:ascii="宋体" w:hAnsi="宋体"/>
          <w:sz w:val="28"/>
          <w:szCs w:val="28"/>
          <w:u w:val="single"/>
        </w:rPr>
        <w:t>：　　</w:t>
      </w:r>
      <w:r>
        <w:rPr>
          <w:rFonts w:ascii="宋体" w:hAnsi="宋体"/>
          <w:sz w:val="28"/>
          <w:szCs w:val="28"/>
          <w:u w:val="single"/>
        </w:rPr>
        <w:t xml:space="preserve">            </w:t>
      </w:r>
      <w:r>
        <w:rPr>
          <w:rFonts w:hint="eastAsia" w:ascii="宋体" w:hAnsi="宋体"/>
          <w:sz w:val="28"/>
          <w:szCs w:val="28"/>
        </w:rPr>
        <w:t>（盖单位公章）</w:t>
      </w:r>
    </w:p>
    <w:p w14:paraId="079CB2A8">
      <w:pPr>
        <w:spacing w:line="500" w:lineRule="exact"/>
        <w:ind w:firstLine="2660" w:firstLineChars="950"/>
        <w:jc w:val="left"/>
        <w:rPr>
          <w:rFonts w:ascii="宋体" w:hAnsi="宋体"/>
          <w:sz w:val="28"/>
          <w:szCs w:val="28"/>
          <w:u w:val="single"/>
        </w:rPr>
      </w:pPr>
      <w:r>
        <w:rPr>
          <w:rFonts w:hint="eastAsia" w:ascii="宋体" w:hAnsi="宋体"/>
          <w:sz w:val="28"/>
          <w:szCs w:val="28"/>
        </w:rPr>
        <w:t>法定代表人或其授权代表：</w:t>
      </w:r>
      <w:r>
        <w:rPr>
          <w:rFonts w:ascii="宋体" w:hAnsi="宋体"/>
          <w:sz w:val="28"/>
          <w:szCs w:val="28"/>
          <w:u w:val="single"/>
        </w:rPr>
        <w:t xml:space="preserve">          </w:t>
      </w:r>
      <w:r>
        <w:rPr>
          <w:rFonts w:hint="eastAsia" w:ascii="宋体" w:hAnsi="宋体"/>
          <w:sz w:val="28"/>
          <w:szCs w:val="28"/>
        </w:rPr>
        <w:t>（签字）</w:t>
      </w:r>
      <w:r>
        <w:rPr>
          <w:rFonts w:ascii="宋体" w:hAnsi="宋体"/>
          <w:sz w:val="28"/>
          <w:szCs w:val="28"/>
        </w:rPr>
        <w:t xml:space="preserve"> </w:t>
      </w:r>
    </w:p>
    <w:p w14:paraId="2F8DC053">
      <w:pPr>
        <w:spacing w:line="500" w:lineRule="exact"/>
        <w:ind w:firstLine="2660" w:firstLineChars="950"/>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月　　日</w:t>
      </w:r>
      <w:r>
        <w:rPr>
          <w:rFonts w:hint="eastAsia" w:ascii="宋体" w:hAnsi="宋体"/>
          <w:sz w:val="28"/>
          <w:szCs w:val="28"/>
        </w:rPr>
        <w:t>。</w:t>
      </w:r>
    </w:p>
    <w:p w14:paraId="30091D0A">
      <w:pPr>
        <w:spacing w:line="500" w:lineRule="exact"/>
        <w:jc w:val="left"/>
        <w:rPr>
          <w:rFonts w:ascii="宋体" w:hAnsi="宋体"/>
          <w:sz w:val="28"/>
          <w:szCs w:val="28"/>
        </w:rPr>
      </w:pPr>
    </w:p>
    <w:p w14:paraId="07411D1A">
      <w:pPr>
        <w:spacing w:line="500" w:lineRule="exact"/>
        <w:jc w:val="left"/>
        <w:rPr>
          <w:rFonts w:ascii="宋体" w:hAnsi="宋体"/>
          <w:sz w:val="28"/>
          <w:szCs w:val="28"/>
        </w:rPr>
      </w:pPr>
    </w:p>
    <w:p w14:paraId="5E1CFD69">
      <w:pPr>
        <w:spacing w:line="500" w:lineRule="exact"/>
        <w:jc w:val="left"/>
        <w:rPr>
          <w:rFonts w:ascii="宋体" w:hAnsi="宋体"/>
          <w:sz w:val="28"/>
          <w:szCs w:val="28"/>
        </w:rPr>
      </w:pPr>
    </w:p>
    <w:p w14:paraId="71F544D8">
      <w:pPr>
        <w:spacing w:line="500" w:lineRule="exact"/>
        <w:jc w:val="left"/>
        <w:rPr>
          <w:rFonts w:ascii="宋体" w:hAnsi="宋体"/>
          <w:sz w:val="28"/>
          <w:szCs w:val="28"/>
        </w:rPr>
      </w:pPr>
    </w:p>
    <w:p w14:paraId="302A8176">
      <w:pPr>
        <w:spacing w:line="500" w:lineRule="exact"/>
        <w:jc w:val="center"/>
        <w:rPr>
          <w:rFonts w:ascii="宋体" w:hAnsi="宋体"/>
          <w:b/>
          <w:sz w:val="28"/>
          <w:szCs w:val="28"/>
        </w:rPr>
      </w:pPr>
    </w:p>
    <w:p w14:paraId="042C9BE5">
      <w:pPr>
        <w:spacing w:line="500" w:lineRule="exact"/>
        <w:jc w:val="center"/>
        <w:rPr>
          <w:rFonts w:ascii="宋体" w:hAnsi="宋体"/>
          <w:b/>
          <w:sz w:val="24"/>
        </w:rPr>
      </w:pPr>
    </w:p>
    <w:p w14:paraId="4CF7CA6B">
      <w:pPr>
        <w:spacing w:line="500" w:lineRule="exact"/>
        <w:jc w:val="center"/>
        <w:rPr>
          <w:rFonts w:ascii="宋体" w:hAnsi="宋体"/>
          <w:b/>
          <w:sz w:val="24"/>
        </w:rPr>
        <w:sectPr>
          <w:footerReference r:id="rId8" w:type="default"/>
          <w:pgSz w:w="11906" w:h="16838"/>
          <w:pgMar w:top="1440" w:right="1797" w:bottom="1440" w:left="1797" w:header="851" w:footer="992" w:gutter="0"/>
          <w:pgNumType w:fmt="decimal" w:start="80"/>
          <w:cols w:space="720" w:num="1"/>
          <w:docGrid w:linePitch="312" w:charSpace="0"/>
        </w:sectPr>
      </w:pPr>
    </w:p>
    <w:p w14:paraId="14A14B6E">
      <w:pPr>
        <w:pStyle w:val="4"/>
        <w:spacing w:line="240" w:lineRule="atLeast"/>
        <w:jc w:val="center"/>
      </w:pPr>
      <w:bookmarkStart w:id="976" w:name="_Toc32067"/>
      <w:r>
        <w:rPr>
          <w:rFonts w:hint="eastAsia"/>
        </w:rPr>
        <w:t>三、投标产品技术参数表</w:t>
      </w:r>
      <w:bookmarkEnd w:id="976"/>
    </w:p>
    <w:p w14:paraId="769C68C9">
      <w:pPr>
        <w:spacing w:line="500" w:lineRule="exact"/>
        <w:rPr>
          <w:rFonts w:ascii="宋体" w:hAnsi="宋体"/>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eastAsia="zh-CN"/>
        </w:rPr>
        <w:t>采购计划文号</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p>
    <w:tbl>
      <w:tblPr>
        <w:tblStyle w:val="58"/>
        <w:tblW w:w="13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386"/>
        <w:gridCol w:w="1854"/>
        <w:gridCol w:w="2552"/>
        <w:gridCol w:w="3260"/>
        <w:gridCol w:w="3011"/>
      </w:tblGrid>
      <w:tr w14:paraId="1C2C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14:paraId="568E09EB">
            <w:pPr>
              <w:spacing w:line="500" w:lineRule="exact"/>
              <w:jc w:val="center"/>
              <w:rPr>
                <w:rFonts w:ascii="宋体" w:hAnsi="宋体"/>
                <w:sz w:val="24"/>
              </w:rPr>
            </w:pPr>
            <w:r>
              <w:rPr>
                <w:rFonts w:hint="eastAsia" w:ascii="宋体" w:hAnsi="宋体"/>
                <w:sz w:val="24"/>
              </w:rPr>
              <w:t>序号</w:t>
            </w:r>
          </w:p>
        </w:tc>
        <w:tc>
          <w:tcPr>
            <w:tcW w:w="2386" w:type="dxa"/>
            <w:vAlign w:val="center"/>
          </w:tcPr>
          <w:p w14:paraId="267E8DC9">
            <w:pPr>
              <w:spacing w:line="500" w:lineRule="exact"/>
              <w:jc w:val="center"/>
              <w:rPr>
                <w:rFonts w:ascii="宋体" w:hAnsi="宋体"/>
                <w:sz w:val="24"/>
              </w:rPr>
            </w:pPr>
            <w:r>
              <w:rPr>
                <w:rFonts w:hint="eastAsia" w:ascii="宋体" w:hAnsi="宋体"/>
                <w:sz w:val="24"/>
              </w:rPr>
              <w:t>产品名称</w:t>
            </w:r>
          </w:p>
        </w:tc>
        <w:tc>
          <w:tcPr>
            <w:tcW w:w="1854" w:type="dxa"/>
            <w:vAlign w:val="center"/>
          </w:tcPr>
          <w:p w14:paraId="24B421FD">
            <w:pPr>
              <w:spacing w:line="500" w:lineRule="exact"/>
              <w:jc w:val="center"/>
              <w:rPr>
                <w:rFonts w:ascii="宋体" w:hAnsi="宋体"/>
                <w:sz w:val="24"/>
              </w:rPr>
            </w:pPr>
            <w:r>
              <w:rPr>
                <w:rFonts w:hint="eastAsia" w:ascii="宋体" w:hAnsi="宋体"/>
                <w:sz w:val="24"/>
              </w:rPr>
              <w:t>招标文件要求</w:t>
            </w:r>
          </w:p>
        </w:tc>
        <w:tc>
          <w:tcPr>
            <w:tcW w:w="2552" w:type="dxa"/>
            <w:vAlign w:val="center"/>
          </w:tcPr>
          <w:p w14:paraId="1A45BE4F">
            <w:pPr>
              <w:spacing w:line="500" w:lineRule="exact"/>
              <w:jc w:val="center"/>
              <w:rPr>
                <w:rFonts w:ascii="宋体" w:hAnsi="宋体"/>
                <w:sz w:val="24"/>
              </w:rPr>
            </w:pPr>
            <w:r>
              <w:rPr>
                <w:rFonts w:hint="eastAsia" w:ascii="宋体" w:hAnsi="宋体"/>
                <w:sz w:val="24"/>
              </w:rPr>
              <w:t>投标产品技术参数</w:t>
            </w:r>
          </w:p>
        </w:tc>
        <w:tc>
          <w:tcPr>
            <w:tcW w:w="3260" w:type="dxa"/>
          </w:tcPr>
          <w:p w14:paraId="257D2073">
            <w:pPr>
              <w:spacing w:line="500" w:lineRule="exact"/>
              <w:jc w:val="center"/>
              <w:rPr>
                <w:rFonts w:ascii="宋体" w:hAnsi="宋体"/>
                <w:sz w:val="24"/>
              </w:rPr>
            </w:pPr>
            <w:r>
              <w:rPr>
                <w:rFonts w:hint="eastAsia" w:ascii="宋体" w:hAnsi="宋体"/>
                <w:sz w:val="24"/>
              </w:rPr>
              <w:t>偏离</w:t>
            </w:r>
            <w:r>
              <w:rPr>
                <w:rFonts w:ascii="宋体" w:hAnsi="宋体"/>
                <w:sz w:val="24"/>
              </w:rPr>
              <w:t>情况</w:t>
            </w:r>
          </w:p>
        </w:tc>
        <w:tc>
          <w:tcPr>
            <w:tcW w:w="3011" w:type="dxa"/>
          </w:tcPr>
          <w:p w14:paraId="6C3B6D75">
            <w:pPr>
              <w:spacing w:line="500" w:lineRule="exact"/>
              <w:jc w:val="center"/>
              <w:rPr>
                <w:rFonts w:ascii="宋体" w:hAnsi="宋体"/>
                <w:sz w:val="24"/>
              </w:rPr>
            </w:pPr>
            <w:r>
              <w:rPr>
                <w:rFonts w:hint="eastAsia" w:ascii="宋体" w:hAnsi="宋体"/>
                <w:sz w:val="24"/>
              </w:rPr>
              <w:t>证明</w:t>
            </w:r>
            <w:r>
              <w:rPr>
                <w:rFonts w:ascii="宋体" w:hAnsi="宋体"/>
                <w:sz w:val="24"/>
              </w:rPr>
              <w:t>材料页</w:t>
            </w:r>
            <w:r>
              <w:rPr>
                <w:rFonts w:hint="eastAsia" w:ascii="宋体" w:hAnsi="宋体"/>
                <w:sz w:val="24"/>
              </w:rPr>
              <w:t>码</w:t>
            </w:r>
          </w:p>
        </w:tc>
      </w:tr>
      <w:tr w14:paraId="67DD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E4F8FB4">
            <w:pPr>
              <w:spacing w:line="500" w:lineRule="exact"/>
              <w:rPr>
                <w:rFonts w:ascii="宋体" w:hAnsi="宋体"/>
                <w:sz w:val="24"/>
              </w:rPr>
            </w:pPr>
            <w:r>
              <w:rPr>
                <w:rFonts w:hint="eastAsia" w:ascii="宋体" w:hAnsi="宋体"/>
                <w:sz w:val="24"/>
              </w:rPr>
              <w:t>1</w:t>
            </w:r>
          </w:p>
        </w:tc>
        <w:tc>
          <w:tcPr>
            <w:tcW w:w="2386" w:type="dxa"/>
          </w:tcPr>
          <w:p w14:paraId="5D7829B6">
            <w:pPr>
              <w:spacing w:line="500" w:lineRule="exact"/>
              <w:rPr>
                <w:rFonts w:ascii="宋体" w:hAnsi="宋体"/>
                <w:sz w:val="24"/>
              </w:rPr>
            </w:pPr>
          </w:p>
        </w:tc>
        <w:tc>
          <w:tcPr>
            <w:tcW w:w="1854" w:type="dxa"/>
          </w:tcPr>
          <w:p w14:paraId="415D3B22">
            <w:pPr>
              <w:spacing w:line="500" w:lineRule="exact"/>
              <w:rPr>
                <w:rFonts w:ascii="宋体" w:hAnsi="宋体"/>
                <w:sz w:val="24"/>
              </w:rPr>
            </w:pPr>
          </w:p>
        </w:tc>
        <w:tc>
          <w:tcPr>
            <w:tcW w:w="2552" w:type="dxa"/>
          </w:tcPr>
          <w:p w14:paraId="70666E04">
            <w:pPr>
              <w:spacing w:line="500" w:lineRule="exact"/>
              <w:rPr>
                <w:rFonts w:ascii="宋体" w:hAnsi="宋体"/>
                <w:sz w:val="24"/>
              </w:rPr>
            </w:pPr>
          </w:p>
        </w:tc>
        <w:tc>
          <w:tcPr>
            <w:tcW w:w="3260" w:type="dxa"/>
          </w:tcPr>
          <w:p w14:paraId="2D2B7C29">
            <w:pPr>
              <w:spacing w:line="500" w:lineRule="exact"/>
              <w:rPr>
                <w:rFonts w:ascii="宋体" w:hAnsi="宋体"/>
                <w:sz w:val="24"/>
              </w:rPr>
            </w:pPr>
          </w:p>
        </w:tc>
        <w:tc>
          <w:tcPr>
            <w:tcW w:w="3011" w:type="dxa"/>
          </w:tcPr>
          <w:p w14:paraId="559D8B8E">
            <w:pPr>
              <w:spacing w:line="500" w:lineRule="exact"/>
              <w:rPr>
                <w:rFonts w:ascii="宋体" w:hAnsi="宋体"/>
                <w:sz w:val="24"/>
              </w:rPr>
            </w:pPr>
          </w:p>
        </w:tc>
      </w:tr>
      <w:tr w14:paraId="571D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0252A5DF">
            <w:pPr>
              <w:spacing w:line="500" w:lineRule="exact"/>
              <w:rPr>
                <w:rFonts w:ascii="宋体" w:hAnsi="宋体"/>
                <w:sz w:val="24"/>
              </w:rPr>
            </w:pPr>
            <w:r>
              <w:rPr>
                <w:rFonts w:hint="eastAsia" w:ascii="宋体" w:hAnsi="宋体"/>
                <w:sz w:val="24"/>
              </w:rPr>
              <w:t>2</w:t>
            </w:r>
          </w:p>
        </w:tc>
        <w:tc>
          <w:tcPr>
            <w:tcW w:w="2386" w:type="dxa"/>
          </w:tcPr>
          <w:p w14:paraId="6F6769FF">
            <w:pPr>
              <w:spacing w:line="500" w:lineRule="exact"/>
              <w:rPr>
                <w:rFonts w:ascii="宋体" w:hAnsi="宋体"/>
                <w:sz w:val="24"/>
              </w:rPr>
            </w:pPr>
          </w:p>
        </w:tc>
        <w:tc>
          <w:tcPr>
            <w:tcW w:w="1854" w:type="dxa"/>
          </w:tcPr>
          <w:p w14:paraId="7B056DE4">
            <w:pPr>
              <w:spacing w:line="500" w:lineRule="exact"/>
              <w:rPr>
                <w:rFonts w:ascii="宋体" w:hAnsi="宋体"/>
                <w:sz w:val="24"/>
              </w:rPr>
            </w:pPr>
          </w:p>
        </w:tc>
        <w:tc>
          <w:tcPr>
            <w:tcW w:w="2552" w:type="dxa"/>
          </w:tcPr>
          <w:p w14:paraId="535C6AC9">
            <w:pPr>
              <w:spacing w:line="500" w:lineRule="exact"/>
              <w:rPr>
                <w:rFonts w:ascii="宋体" w:hAnsi="宋体"/>
                <w:sz w:val="24"/>
              </w:rPr>
            </w:pPr>
          </w:p>
        </w:tc>
        <w:tc>
          <w:tcPr>
            <w:tcW w:w="3260" w:type="dxa"/>
          </w:tcPr>
          <w:p w14:paraId="73478FD8">
            <w:pPr>
              <w:spacing w:line="500" w:lineRule="exact"/>
              <w:rPr>
                <w:rFonts w:ascii="宋体" w:hAnsi="宋体"/>
                <w:sz w:val="24"/>
              </w:rPr>
            </w:pPr>
          </w:p>
        </w:tc>
        <w:tc>
          <w:tcPr>
            <w:tcW w:w="3011" w:type="dxa"/>
          </w:tcPr>
          <w:p w14:paraId="4C94EB70">
            <w:pPr>
              <w:spacing w:line="500" w:lineRule="exact"/>
              <w:rPr>
                <w:rFonts w:ascii="宋体" w:hAnsi="宋体"/>
                <w:sz w:val="24"/>
              </w:rPr>
            </w:pPr>
          </w:p>
        </w:tc>
      </w:tr>
      <w:tr w14:paraId="22E9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69E13CE">
            <w:pPr>
              <w:spacing w:line="500" w:lineRule="exact"/>
              <w:rPr>
                <w:rFonts w:ascii="宋体" w:hAnsi="宋体"/>
                <w:sz w:val="24"/>
              </w:rPr>
            </w:pPr>
            <w:r>
              <w:rPr>
                <w:rFonts w:hint="eastAsia" w:ascii="宋体" w:hAnsi="宋体"/>
                <w:sz w:val="24"/>
              </w:rPr>
              <w:t>3</w:t>
            </w:r>
          </w:p>
        </w:tc>
        <w:tc>
          <w:tcPr>
            <w:tcW w:w="2386" w:type="dxa"/>
          </w:tcPr>
          <w:p w14:paraId="1BA98DF1">
            <w:pPr>
              <w:spacing w:line="500" w:lineRule="exact"/>
              <w:rPr>
                <w:rFonts w:ascii="宋体" w:hAnsi="宋体"/>
                <w:sz w:val="24"/>
              </w:rPr>
            </w:pPr>
          </w:p>
        </w:tc>
        <w:tc>
          <w:tcPr>
            <w:tcW w:w="1854" w:type="dxa"/>
          </w:tcPr>
          <w:p w14:paraId="528C250A">
            <w:pPr>
              <w:spacing w:line="500" w:lineRule="exact"/>
              <w:rPr>
                <w:rFonts w:ascii="宋体" w:hAnsi="宋体"/>
                <w:sz w:val="24"/>
              </w:rPr>
            </w:pPr>
          </w:p>
        </w:tc>
        <w:tc>
          <w:tcPr>
            <w:tcW w:w="2552" w:type="dxa"/>
          </w:tcPr>
          <w:p w14:paraId="671BF4CA">
            <w:pPr>
              <w:spacing w:line="500" w:lineRule="exact"/>
              <w:rPr>
                <w:rFonts w:ascii="宋体" w:hAnsi="宋体"/>
                <w:sz w:val="24"/>
              </w:rPr>
            </w:pPr>
          </w:p>
        </w:tc>
        <w:tc>
          <w:tcPr>
            <w:tcW w:w="3260" w:type="dxa"/>
          </w:tcPr>
          <w:p w14:paraId="0C9067F0">
            <w:pPr>
              <w:spacing w:line="500" w:lineRule="exact"/>
              <w:rPr>
                <w:rFonts w:ascii="宋体" w:hAnsi="宋体"/>
                <w:sz w:val="24"/>
              </w:rPr>
            </w:pPr>
          </w:p>
        </w:tc>
        <w:tc>
          <w:tcPr>
            <w:tcW w:w="3011" w:type="dxa"/>
          </w:tcPr>
          <w:p w14:paraId="5554602B">
            <w:pPr>
              <w:spacing w:line="500" w:lineRule="exact"/>
              <w:rPr>
                <w:rFonts w:ascii="宋体" w:hAnsi="宋体"/>
                <w:sz w:val="24"/>
              </w:rPr>
            </w:pPr>
          </w:p>
        </w:tc>
      </w:tr>
      <w:tr w14:paraId="1B60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7DE890D">
            <w:pPr>
              <w:spacing w:line="500" w:lineRule="exact"/>
              <w:rPr>
                <w:rFonts w:ascii="宋体" w:hAnsi="宋体"/>
                <w:sz w:val="24"/>
              </w:rPr>
            </w:pPr>
            <w:r>
              <w:rPr>
                <w:rFonts w:ascii="宋体" w:hAnsi="宋体"/>
                <w:sz w:val="24"/>
              </w:rPr>
              <w:t>…</w:t>
            </w:r>
          </w:p>
        </w:tc>
        <w:tc>
          <w:tcPr>
            <w:tcW w:w="2386" w:type="dxa"/>
          </w:tcPr>
          <w:p w14:paraId="1BF51EEA">
            <w:pPr>
              <w:spacing w:line="500" w:lineRule="exact"/>
              <w:rPr>
                <w:rFonts w:ascii="宋体" w:hAnsi="宋体"/>
                <w:sz w:val="24"/>
              </w:rPr>
            </w:pPr>
          </w:p>
        </w:tc>
        <w:tc>
          <w:tcPr>
            <w:tcW w:w="1854" w:type="dxa"/>
          </w:tcPr>
          <w:p w14:paraId="2BABC717">
            <w:pPr>
              <w:spacing w:line="500" w:lineRule="exact"/>
              <w:rPr>
                <w:rFonts w:ascii="宋体" w:hAnsi="宋体"/>
                <w:sz w:val="24"/>
              </w:rPr>
            </w:pPr>
          </w:p>
        </w:tc>
        <w:tc>
          <w:tcPr>
            <w:tcW w:w="2552" w:type="dxa"/>
          </w:tcPr>
          <w:p w14:paraId="75666C31">
            <w:pPr>
              <w:spacing w:line="500" w:lineRule="exact"/>
              <w:rPr>
                <w:rFonts w:ascii="宋体" w:hAnsi="宋体"/>
                <w:sz w:val="24"/>
              </w:rPr>
            </w:pPr>
          </w:p>
        </w:tc>
        <w:tc>
          <w:tcPr>
            <w:tcW w:w="3260" w:type="dxa"/>
          </w:tcPr>
          <w:p w14:paraId="2849DF5F">
            <w:pPr>
              <w:spacing w:line="500" w:lineRule="exact"/>
              <w:rPr>
                <w:rFonts w:ascii="宋体" w:hAnsi="宋体"/>
                <w:sz w:val="24"/>
              </w:rPr>
            </w:pPr>
          </w:p>
        </w:tc>
        <w:tc>
          <w:tcPr>
            <w:tcW w:w="3011" w:type="dxa"/>
          </w:tcPr>
          <w:p w14:paraId="167D98A3">
            <w:pPr>
              <w:spacing w:line="500" w:lineRule="exact"/>
              <w:rPr>
                <w:rFonts w:ascii="宋体" w:hAnsi="宋体"/>
                <w:sz w:val="24"/>
              </w:rPr>
            </w:pPr>
          </w:p>
        </w:tc>
      </w:tr>
    </w:tbl>
    <w:p w14:paraId="6F34686F">
      <w:pPr>
        <w:spacing w:line="340" w:lineRule="atLeast"/>
        <w:rPr>
          <w:rFonts w:ascii="宋体" w:hAnsi="宋体"/>
          <w:sz w:val="24"/>
        </w:rPr>
      </w:pPr>
      <w:r>
        <w:rPr>
          <w:rFonts w:hint="eastAsia" w:ascii="宋体" w:hAnsi="宋体"/>
          <w:sz w:val="24"/>
        </w:rPr>
        <w:t>注：</w:t>
      </w:r>
    </w:p>
    <w:p w14:paraId="46F33548">
      <w:pPr>
        <w:spacing w:line="340" w:lineRule="atLeast"/>
        <w:rPr>
          <w:rFonts w:ascii="宋体" w:hAnsi="宋体"/>
          <w:sz w:val="24"/>
        </w:rPr>
      </w:pPr>
      <w:r>
        <w:rPr>
          <w:rFonts w:hint="eastAsia" w:ascii="宋体" w:hAnsi="宋体"/>
          <w:sz w:val="24"/>
        </w:rPr>
        <w:t>1、 投标人必须把招标项目的全部技术参数列入此表。</w:t>
      </w:r>
    </w:p>
    <w:p w14:paraId="680D29CF">
      <w:pPr>
        <w:spacing w:line="340" w:lineRule="atLeast"/>
        <w:rPr>
          <w:rFonts w:ascii="宋体" w:hAnsi="宋体"/>
          <w:sz w:val="24"/>
        </w:rPr>
      </w:pPr>
      <w:r>
        <w:rPr>
          <w:rFonts w:hint="eastAsia" w:ascii="宋体" w:hAnsi="宋体"/>
          <w:sz w:val="24"/>
        </w:rPr>
        <w:t>2、按照招标项目技术要求的顺序对应填写。</w:t>
      </w:r>
    </w:p>
    <w:p w14:paraId="1D60202A">
      <w:pPr>
        <w:spacing w:line="340" w:lineRule="atLeast"/>
        <w:rPr>
          <w:rFonts w:ascii="宋体" w:hAnsi="宋体"/>
          <w:sz w:val="24"/>
        </w:rPr>
      </w:pPr>
      <w:r>
        <w:rPr>
          <w:rFonts w:hint="eastAsia" w:ascii="宋体" w:hAnsi="宋体"/>
          <w:sz w:val="24"/>
        </w:rPr>
        <w:t>3、“偏离</w:t>
      </w:r>
      <w:r>
        <w:rPr>
          <w:rFonts w:ascii="宋体" w:hAnsi="宋体"/>
          <w:sz w:val="24"/>
        </w:rPr>
        <w:t>情况</w:t>
      </w:r>
      <w:r>
        <w:rPr>
          <w:rFonts w:hint="eastAsia" w:ascii="宋体" w:hAnsi="宋体"/>
          <w:sz w:val="24"/>
        </w:rPr>
        <w:t>”</w:t>
      </w:r>
      <w:r>
        <w:rPr>
          <w:rFonts w:ascii="宋体" w:hAnsi="宋体"/>
          <w:sz w:val="24"/>
        </w:rPr>
        <w:t>栏应当填写</w:t>
      </w:r>
      <w:r>
        <w:rPr>
          <w:rFonts w:hint="eastAsia" w:ascii="宋体" w:hAnsi="宋体"/>
          <w:sz w:val="24"/>
        </w:rPr>
        <w:t>“正偏离、</w:t>
      </w:r>
      <w:r>
        <w:rPr>
          <w:rFonts w:ascii="宋体" w:hAnsi="宋体"/>
          <w:sz w:val="24"/>
        </w:rPr>
        <w:t>无偏离、负偏离</w:t>
      </w:r>
      <w:r>
        <w:rPr>
          <w:rFonts w:hint="eastAsia" w:ascii="宋体" w:hAnsi="宋体"/>
          <w:sz w:val="24"/>
        </w:rPr>
        <w:t>”。</w:t>
      </w:r>
    </w:p>
    <w:p w14:paraId="11CE70D4">
      <w:pPr>
        <w:spacing w:line="340" w:lineRule="atLeast"/>
        <w:rPr>
          <w:rFonts w:ascii="宋体" w:hAnsi="宋体"/>
          <w:sz w:val="24"/>
        </w:rPr>
      </w:pPr>
      <w:r>
        <w:rPr>
          <w:rFonts w:hint="eastAsia" w:ascii="宋体" w:hAnsi="宋体"/>
          <w:sz w:val="24"/>
        </w:rPr>
        <w:t>4、本</w:t>
      </w:r>
      <w:r>
        <w:rPr>
          <w:rFonts w:ascii="宋体" w:hAnsi="宋体"/>
          <w:sz w:val="24"/>
        </w:rPr>
        <w:t>表</w:t>
      </w:r>
      <w:r>
        <w:rPr>
          <w:rFonts w:hint="eastAsia" w:ascii="宋体" w:hAnsi="宋体"/>
          <w:sz w:val="24"/>
        </w:rPr>
        <w:t>应当</w:t>
      </w:r>
      <w:r>
        <w:rPr>
          <w:rFonts w:ascii="宋体" w:hAnsi="宋体"/>
          <w:sz w:val="24"/>
        </w:rPr>
        <w:t>提供附件，附件应当提供</w:t>
      </w:r>
      <w:r>
        <w:rPr>
          <w:rFonts w:hint="eastAsia" w:ascii="宋体" w:hAnsi="宋体"/>
          <w:sz w:val="24"/>
        </w:rPr>
        <w:t>招标</w:t>
      </w:r>
      <w:r>
        <w:rPr>
          <w:rFonts w:ascii="宋体" w:hAnsi="宋体"/>
          <w:sz w:val="24"/>
        </w:rPr>
        <w:t>文件</w:t>
      </w:r>
      <w:r>
        <w:rPr>
          <w:rFonts w:hint="eastAsia" w:ascii="宋体" w:hAnsi="宋体"/>
          <w:sz w:val="24"/>
        </w:rPr>
        <w:t>要求</w:t>
      </w:r>
      <w:r>
        <w:rPr>
          <w:rFonts w:ascii="宋体" w:hAnsi="宋体"/>
          <w:sz w:val="24"/>
        </w:rPr>
        <w:t>提供的能够证明所投</w:t>
      </w:r>
      <w:r>
        <w:rPr>
          <w:rFonts w:hint="eastAsia" w:ascii="宋体" w:hAnsi="宋体"/>
          <w:sz w:val="24"/>
        </w:rPr>
        <w:t>产品技术</w:t>
      </w:r>
      <w:r>
        <w:rPr>
          <w:rFonts w:ascii="宋体" w:hAnsi="宋体"/>
          <w:sz w:val="24"/>
        </w:rPr>
        <w:t>参数的客观证明材料。</w:t>
      </w:r>
    </w:p>
    <w:p w14:paraId="1F9FFD05">
      <w:pPr>
        <w:spacing w:line="340" w:lineRule="atLeast"/>
        <w:rPr>
          <w:rFonts w:ascii="宋体" w:hAnsi="宋体"/>
          <w:sz w:val="24"/>
        </w:rPr>
      </w:pPr>
      <w:r>
        <w:rPr>
          <w:rFonts w:hint="eastAsia" w:ascii="宋体" w:hAnsi="宋体"/>
          <w:sz w:val="24"/>
        </w:rPr>
        <w:t>5、“证明</w:t>
      </w:r>
      <w:r>
        <w:rPr>
          <w:rFonts w:ascii="宋体" w:hAnsi="宋体"/>
          <w:sz w:val="24"/>
        </w:rPr>
        <w:t>材料页</w:t>
      </w:r>
      <w:r>
        <w:rPr>
          <w:rFonts w:hint="eastAsia" w:ascii="宋体" w:hAnsi="宋体"/>
          <w:sz w:val="24"/>
        </w:rPr>
        <w:t>码”</w:t>
      </w:r>
      <w:r>
        <w:rPr>
          <w:rFonts w:ascii="宋体" w:hAnsi="宋体"/>
          <w:sz w:val="24"/>
        </w:rPr>
        <w:t>栏应当</w:t>
      </w:r>
      <w:r>
        <w:rPr>
          <w:rFonts w:hint="eastAsia" w:ascii="宋体" w:hAnsi="宋体"/>
          <w:sz w:val="24"/>
        </w:rPr>
        <w:t>按照</w:t>
      </w:r>
      <w:r>
        <w:rPr>
          <w:rFonts w:ascii="宋体" w:hAnsi="宋体"/>
          <w:sz w:val="24"/>
        </w:rPr>
        <w:t>投标文件页码填写</w:t>
      </w:r>
      <w:r>
        <w:rPr>
          <w:rFonts w:hint="eastAsia" w:ascii="宋体" w:hAnsi="宋体"/>
          <w:sz w:val="24"/>
        </w:rPr>
        <w:t>。</w:t>
      </w:r>
    </w:p>
    <w:p w14:paraId="1DCF9895">
      <w:pPr>
        <w:spacing w:line="340" w:lineRule="atLeast"/>
        <w:rPr>
          <w:rFonts w:ascii="宋体" w:hAnsi="宋体"/>
          <w:sz w:val="24"/>
        </w:rPr>
      </w:pPr>
      <w:r>
        <w:rPr>
          <w:rFonts w:hint="eastAsia" w:ascii="宋体" w:hAnsi="宋体"/>
          <w:sz w:val="24"/>
        </w:rPr>
        <w:t>6、</w:t>
      </w:r>
      <w:r>
        <w:rPr>
          <w:rFonts w:ascii="宋体" w:hAnsi="宋体"/>
          <w:sz w:val="24"/>
        </w:rPr>
        <w:t>客观证明材料</w:t>
      </w:r>
      <w:r>
        <w:rPr>
          <w:rFonts w:hint="eastAsia" w:ascii="宋体" w:hAnsi="宋体"/>
          <w:sz w:val="24"/>
        </w:rPr>
        <w:t>不能</w:t>
      </w:r>
      <w:r>
        <w:rPr>
          <w:rFonts w:ascii="宋体" w:hAnsi="宋体"/>
          <w:sz w:val="24"/>
        </w:rPr>
        <w:t>证明</w:t>
      </w:r>
      <w:r>
        <w:rPr>
          <w:rFonts w:hint="eastAsia" w:ascii="宋体" w:hAnsi="宋体"/>
          <w:sz w:val="24"/>
        </w:rPr>
        <w:t>“</w:t>
      </w:r>
      <w:r>
        <w:rPr>
          <w:rFonts w:ascii="宋体" w:hAnsi="宋体"/>
          <w:sz w:val="24"/>
        </w:rPr>
        <w:t>实质性指标</w:t>
      </w:r>
      <w:r>
        <w:rPr>
          <w:rFonts w:hint="eastAsia" w:ascii="宋体" w:hAnsi="宋体"/>
          <w:sz w:val="24"/>
        </w:rPr>
        <w:t>”没有</w:t>
      </w:r>
      <w:r>
        <w:rPr>
          <w:rFonts w:ascii="宋体" w:hAnsi="宋体"/>
          <w:sz w:val="24"/>
        </w:rPr>
        <w:t>负偏离的，作无效处理；</w:t>
      </w:r>
    </w:p>
    <w:p w14:paraId="3729C4B0">
      <w:pPr>
        <w:spacing w:line="340" w:lineRule="atLeast"/>
        <w:rPr>
          <w:rFonts w:ascii="宋体" w:hAnsi="宋体"/>
          <w:sz w:val="24"/>
        </w:rPr>
      </w:pPr>
      <w:r>
        <w:rPr>
          <w:rFonts w:hint="eastAsia" w:ascii="宋体" w:hAnsi="宋体"/>
          <w:sz w:val="24"/>
        </w:rPr>
        <w:t>7、本表中</w:t>
      </w:r>
      <w:r>
        <w:rPr>
          <w:rFonts w:ascii="宋体" w:hAnsi="宋体"/>
          <w:sz w:val="24"/>
        </w:rPr>
        <w:t>的表述</w:t>
      </w:r>
      <w:r>
        <w:rPr>
          <w:rFonts w:hint="eastAsia" w:ascii="宋体" w:hAnsi="宋体"/>
          <w:sz w:val="24"/>
        </w:rPr>
        <w:t>与证明</w:t>
      </w:r>
      <w:r>
        <w:rPr>
          <w:rFonts w:ascii="宋体" w:hAnsi="宋体"/>
          <w:sz w:val="24"/>
        </w:rPr>
        <w:t>材料中的表述不一致的，以证明材料为准</w:t>
      </w:r>
      <w:r>
        <w:rPr>
          <w:rFonts w:hint="eastAsia" w:ascii="宋体" w:hAnsi="宋体"/>
          <w:sz w:val="24"/>
        </w:rPr>
        <w:t>。</w:t>
      </w:r>
    </w:p>
    <w:p w14:paraId="6BBD2939">
      <w:pPr>
        <w:spacing w:line="340" w:lineRule="atLeast"/>
        <w:rPr>
          <w:rFonts w:ascii="宋体" w:hAnsi="宋体"/>
          <w:sz w:val="24"/>
        </w:rPr>
      </w:pPr>
      <w:r>
        <w:rPr>
          <w:rFonts w:hint="eastAsia" w:ascii="宋体" w:hAnsi="宋体"/>
          <w:sz w:val="24"/>
        </w:rPr>
        <w:t>8、投标人必须据实填写，否则作</w:t>
      </w:r>
      <w:r>
        <w:rPr>
          <w:rFonts w:ascii="宋体" w:hAnsi="宋体"/>
          <w:sz w:val="24"/>
        </w:rPr>
        <w:t>无效处理</w:t>
      </w:r>
      <w:r>
        <w:rPr>
          <w:rFonts w:hint="eastAsia" w:ascii="宋体" w:hAnsi="宋体"/>
          <w:sz w:val="24"/>
        </w:rPr>
        <w:t>。</w:t>
      </w:r>
    </w:p>
    <w:p w14:paraId="2E5076FA">
      <w:pPr>
        <w:spacing w:line="340" w:lineRule="atLeast"/>
        <w:jc w:val="left"/>
        <w:rPr>
          <w:rFonts w:ascii="宋体" w:hAnsi="宋体"/>
          <w:sz w:val="24"/>
        </w:rPr>
      </w:pPr>
      <w:r>
        <w:rPr>
          <w:rFonts w:hint="eastAsia" w:ascii="宋体" w:hAnsi="宋体"/>
          <w:sz w:val="24"/>
        </w:rPr>
        <w:t>投标人全称：</w:t>
      </w:r>
      <w:r>
        <w:rPr>
          <w:rFonts w:hint="eastAsia" w:ascii="宋体" w:hAnsi="宋体"/>
          <w:sz w:val="24"/>
          <w:u w:val="single"/>
        </w:rPr>
        <w:t xml:space="preserve">           　　</w:t>
      </w:r>
      <w:r>
        <w:rPr>
          <w:rFonts w:ascii="宋体" w:hAnsi="宋体"/>
          <w:sz w:val="24"/>
          <w:u w:val="single"/>
        </w:rPr>
        <w:t>　</w:t>
      </w:r>
      <w:r>
        <w:rPr>
          <w:rFonts w:hint="eastAsia" w:ascii="宋体" w:hAnsi="宋体"/>
          <w:sz w:val="24"/>
          <w:u w:val="single"/>
        </w:rPr>
        <w:t xml:space="preserve">              （盖单位公章）</w:t>
      </w:r>
    </w:p>
    <w:p w14:paraId="3E5AC582">
      <w:pPr>
        <w:spacing w:line="340" w:lineRule="atLeast"/>
        <w:jc w:val="left"/>
        <w:rPr>
          <w:rFonts w:ascii="宋体" w:hAnsi="宋体"/>
          <w:sz w:val="24"/>
          <w:u w:val="single"/>
        </w:rPr>
      </w:pPr>
      <w:r>
        <w:rPr>
          <w:rFonts w:hint="eastAsia" w:ascii="宋体" w:hAnsi="宋体"/>
          <w:sz w:val="24"/>
        </w:rPr>
        <w:t>法定代表人或授权代表：</w:t>
      </w:r>
      <w:r>
        <w:rPr>
          <w:rFonts w:hint="eastAsia" w:ascii="宋体" w:hAnsi="宋体"/>
          <w:sz w:val="24"/>
          <w:u w:val="single"/>
        </w:rPr>
        <w:t>　　</w:t>
      </w:r>
      <w:r>
        <w:rPr>
          <w:rFonts w:ascii="宋体" w:hAnsi="宋体"/>
          <w:sz w:val="24"/>
          <w:u w:val="single"/>
        </w:rPr>
        <w:t>　　　　　　　　　　　　</w:t>
      </w:r>
      <w:r>
        <w:rPr>
          <w:rFonts w:hint="eastAsia" w:ascii="宋体" w:hAnsi="宋体"/>
          <w:sz w:val="24"/>
          <w:u w:val="single"/>
        </w:rPr>
        <w:t>（签字）</w:t>
      </w:r>
    </w:p>
    <w:p w14:paraId="262B6898">
      <w:pPr>
        <w:spacing w:line="340" w:lineRule="atLeast"/>
        <w:jc w:val="left"/>
        <w:rPr>
          <w:rFonts w:ascii="宋体" w:hAnsi="宋体"/>
          <w:sz w:val="28"/>
          <w:szCs w:val="28"/>
        </w:rPr>
        <w:sectPr>
          <w:pgSz w:w="16838" w:h="11906" w:orient="landscape"/>
          <w:pgMar w:top="1797" w:right="1440" w:bottom="1797" w:left="1440" w:header="851" w:footer="992" w:gutter="0"/>
          <w:pgNumType w:fmt="decimal"/>
          <w:cols w:space="720" w:num="1"/>
          <w:docGrid w:linePitch="312" w:charSpace="0"/>
        </w:sectPr>
      </w:pPr>
      <w:r>
        <w:rPr>
          <w:rFonts w:hint="eastAsia" w:ascii="宋体" w:hAnsi="宋体"/>
          <w:sz w:val="24"/>
        </w:rPr>
        <w:t>日期：</w:t>
      </w:r>
      <w:r>
        <w:rPr>
          <w:rFonts w:hint="eastAsia" w:ascii="宋体" w:hAnsi="宋体"/>
          <w:sz w:val="24"/>
          <w:u w:val="single"/>
        </w:rPr>
        <w:t>　　</w:t>
      </w:r>
      <w:r>
        <w:rPr>
          <w:rFonts w:ascii="宋体" w:hAnsi="宋体"/>
          <w:sz w:val="24"/>
          <w:u w:val="single"/>
        </w:rPr>
        <w:t>　　　</w:t>
      </w:r>
      <w:r>
        <w:rPr>
          <w:rFonts w:hint="eastAsia" w:ascii="宋体" w:hAnsi="宋体"/>
          <w:sz w:val="24"/>
          <w:u w:val="single"/>
        </w:rPr>
        <w:t>年　　</w:t>
      </w:r>
      <w:r>
        <w:rPr>
          <w:rFonts w:ascii="宋体" w:hAnsi="宋体"/>
          <w:sz w:val="24"/>
          <w:u w:val="single"/>
        </w:rPr>
        <w:t>　</w:t>
      </w:r>
      <w:r>
        <w:rPr>
          <w:rFonts w:hint="eastAsia" w:ascii="宋体" w:hAnsi="宋体"/>
          <w:sz w:val="24"/>
          <w:u w:val="single"/>
        </w:rPr>
        <w:t>月　　</w:t>
      </w:r>
      <w:r>
        <w:rPr>
          <w:rFonts w:ascii="宋体" w:hAnsi="宋体"/>
          <w:sz w:val="24"/>
          <w:u w:val="single"/>
        </w:rPr>
        <w:t>　　</w:t>
      </w:r>
      <w:r>
        <w:rPr>
          <w:rFonts w:hint="eastAsia" w:ascii="宋体" w:hAnsi="宋体"/>
          <w:sz w:val="24"/>
          <w:u w:val="single"/>
        </w:rPr>
        <w:t>日</w:t>
      </w:r>
    </w:p>
    <w:p w14:paraId="0E0EAF97">
      <w:pPr>
        <w:pStyle w:val="4"/>
        <w:spacing w:line="240" w:lineRule="atLeast"/>
        <w:jc w:val="center"/>
      </w:pPr>
      <w:bookmarkStart w:id="977" w:name="_Toc2132"/>
      <w:r>
        <w:rPr>
          <w:rFonts w:hint="eastAsia"/>
        </w:rPr>
        <w:t>四、售后服务</w:t>
      </w:r>
      <w:r>
        <w:t>应答表</w:t>
      </w:r>
      <w:bookmarkEnd w:id="977"/>
    </w:p>
    <w:p w14:paraId="652AFA50">
      <w:pPr>
        <w:spacing w:line="500" w:lineRule="exact"/>
        <w:rPr>
          <w:rFonts w:ascii="宋体" w:hAnsi="宋体"/>
          <w:color w:val="FF0000"/>
          <w:sz w:val="28"/>
          <w:szCs w:val="28"/>
        </w:rPr>
      </w:pPr>
      <w:r>
        <w:rPr>
          <w:rFonts w:hint="eastAsia" w:ascii="宋体" w:hAnsi="宋体"/>
          <w:sz w:val="28"/>
          <w:szCs w:val="28"/>
        </w:rPr>
        <w:t>项目名称：</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eastAsia="zh-CN"/>
        </w:rPr>
        <w:t>采购计划文号</w:t>
      </w:r>
      <w:r>
        <w:rPr>
          <w:rFonts w:ascii="宋体" w:hAnsi="宋体"/>
          <w:sz w:val="28"/>
          <w:szCs w:val="28"/>
        </w:rPr>
        <w:t>：</w:t>
      </w:r>
      <w:r>
        <w:rPr>
          <w:rFonts w:ascii="宋体" w:hAnsi="宋体"/>
          <w:sz w:val="28"/>
          <w:szCs w:val="28"/>
          <w:u w:val="single"/>
        </w:rPr>
        <w:t>　　</w:t>
      </w:r>
      <w:r>
        <w:rPr>
          <w:rFonts w:hint="eastAsia" w:ascii="宋体" w:hAnsi="宋体"/>
          <w:sz w:val="28"/>
          <w:szCs w:val="28"/>
          <w:u w:val="single"/>
        </w:rPr>
        <w:t xml:space="preserve">     </w:t>
      </w:r>
      <w:r>
        <w:rPr>
          <w:rFonts w:hint="eastAsia" w:ascii="宋体" w:hAnsi="宋体"/>
          <w:sz w:val="28"/>
          <w:szCs w:val="28"/>
        </w:rPr>
        <w:t xml:space="preserve"> </w:t>
      </w:r>
    </w:p>
    <w:tbl>
      <w:tblPr>
        <w:tblStyle w:val="58"/>
        <w:tblW w:w="80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663"/>
        <w:gridCol w:w="3791"/>
      </w:tblGrid>
      <w:tr w14:paraId="3562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38" w:type="dxa"/>
            <w:vAlign w:val="center"/>
          </w:tcPr>
          <w:p w14:paraId="52E6B83E">
            <w:pPr>
              <w:spacing w:line="500" w:lineRule="exact"/>
              <w:rPr>
                <w:rFonts w:ascii="宋体" w:hAnsi="宋体"/>
                <w:sz w:val="28"/>
                <w:szCs w:val="28"/>
              </w:rPr>
            </w:pPr>
            <w:r>
              <w:rPr>
                <w:rFonts w:hint="eastAsia" w:ascii="宋体" w:hAnsi="宋体"/>
                <w:sz w:val="28"/>
                <w:szCs w:val="28"/>
              </w:rPr>
              <w:t>序号</w:t>
            </w:r>
          </w:p>
        </w:tc>
        <w:tc>
          <w:tcPr>
            <w:tcW w:w="3663" w:type="dxa"/>
            <w:vAlign w:val="center"/>
          </w:tcPr>
          <w:p w14:paraId="47C4D543">
            <w:pPr>
              <w:spacing w:line="500" w:lineRule="exact"/>
              <w:jc w:val="center"/>
              <w:rPr>
                <w:rFonts w:ascii="宋体" w:hAnsi="宋体"/>
                <w:sz w:val="28"/>
                <w:szCs w:val="28"/>
              </w:rPr>
            </w:pPr>
            <w:r>
              <w:rPr>
                <w:rFonts w:hint="eastAsia" w:ascii="宋体" w:hAnsi="宋体"/>
                <w:sz w:val="28"/>
                <w:szCs w:val="28"/>
              </w:rPr>
              <w:t>招标要求</w:t>
            </w:r>
          </w:p>
        </w:tc>
        <w:tc>
          <w:tcPr>
            <w:tcW w:w="3791" w:type="dxa"/>
            <w:vAlign w:val="center"/>
          </w:tcPr>
          <w:p w14:paraId="2C8DA152">
            <w:pPr>
              <w:spacing w:line="500" w:lineRule="exact"/>
              <w:jc w:val="center"/>
              <w:rPr>
                <w:rFonts w:ascii="宋体" w:hAnsi="宋体"/>
                <w:sz w:val="28"/>
                <w:szCs w:val="28"/>
              </w:rPr>
            </w:pPr>
            <w:r>
              <w:rPr>
                <w:rFonts w:hint="eastAsia" w:ascii="宋体" w:hAnsi="宋体"/>
                <w:sz w:val="28"/>
                <w:szCs w:val="28"/>
              </w:rPr>
              <w:t>投标应答</w:t>
            </w:r>
          </w:p>
        </w:tc>
      </w:tr>
      <w:tr w14:paraId="4F50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8" w:type="dxa"/>
          </w:tcPr>
          <w:p w14:paraId="6F941B03">
            <w:pPr>
              <w:spacing w:line="500" w:lineRule="exact"/>
              <w:rPr>
                <w:rFonts w:ascii="宋体" w:hAnsi="宋体"/>
                <w:sz w:val="28"/>
                <w:szCs w:val="28"/>
              </w:rPr>
            </w:pPr>
          </w:p>
        </w:tc>
        <w:tc>
          <w:tcPr>
            <w:tcW w:w="3663" w:type="dxa"/>
          </w:tcPr>
          <w:p w14:paraId="1C7007A1">
            <w:pPr>
              <w:spacing w:line="500" w:lineRule="exact"/>
              <w:rPr>
                <w:rFonts w:ascii="宋体" w:hAnsi="宋体"/>
                <w:sz w:val="28"/>
                <w:szCs w:val="28"/>
              </w:rPr>
            </w:pPr>
          </w:p>
        </w:tc>
        <w:tc>
          <w:tcPr>
            <w:tcW w:w="3791" w:type="dxa"/>
          </w:tcPr>
          <w:p w14:paraId="14989F86">
            <w:pPr>
              <w:spacing w:line="500" w:lineRule="exact"/>
              <w:rPr>
                <w:rFonts w:ascii="宋体" w:hAnsi="宋体"/>
                <w:sz w:val="28"/>
                <w:szCs w:val="28"/>
              </w:rPr>
            </w:pPr>
          </w:p>
        </w:tc>
      </w:tr>
      <w:tr w14:paraId="2742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8" w:type="dxa"/>
          </w:tcPr>
          <w:p w14:paraId="1FFC8230">
            <w:pPr>
              <w:spacing w:line="500" w:lineRule="exact"/>
              <w:rPr>
                <w:rFonts w:ascii="宋体" w:hAnsi="宋体"/>
                <w:sz w:val="28"/>
                <w:szCs w:val="28"/>
              </w:rPr>
            </w:pPr>
          </w:p>
        </w:tc>
        <w:tc>
          <w:tcPr>
            <w:tcW w:w="3663" w:type="dxa"/>
          </w:tcPr>
          <w:p w14:paraId="08A1801B">
            <w:pPr>
              <w:spacing w:line="500" w:lineRule="exact"/>
              <w:rPr>
                <w:rFonts w:ascii="宋体" w:hAnsi="宋体"/>
                <w:sz w:val="28"/>
                <w:szCs w:val="28"/>
              </w:rPr>
            </w:pPr>
          </w:p>
        </w:tc>
        <w:tc>
          <w:tcPr>
            <w:tcW w:w="3791" w:type="dxa"/>
          </w:tcPr>
          <w:p w14:paraId="00C8FD51">
            <w:pPr>
              <w:spacing w:line="500" w:lineRule="exact"/>
              <w:rPr>
                <w:rFonts w:ascii="宋体" w:hAnsi="宋体"/>
                <w:sz w:val="28"/>
                <w:szCs w:val="28"/>
              </w:rPr>
            </w:pPr>
          </w:p>
        </w:tc>
      </w:tr>
      <w:tr w14:paraId="2FF9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8" w:type="dxa"/>
          </w:tcPr>
          <w:p w14:paraId="22C6F1FF">
            <w:pPr>
              <w:spacing w:line="500" w:lineRule="exact"/>
              <w:rPr>
                <w:rFonts w:ascii="宋体" w:hAnsi="宋体"/>
                <w:sz w:val="28"/>
                <w:szCs w:val="28"/>
              </w:rPr>
            </w:pPr>
          </w:p>
        </w:tc>
        <w:tc>
          <w:tcPr>
            <w:tcW w:w="3663" w:type="dxa"/>
          </w:tcPr>
          <w:p w14:paraId="5C5810E1">
            <w:pPr>
              <w:spacing w:line="500" w:lineRule="exact"/>
              <w:rPr>
                <w:rFonts w:ascii="宋体" w:hAnsi="宋体"/>
                <w:sz w:val="28"/>
                <w:szCs w:val="28"/>
              </w:rPr>
            </w:pPr>
          </w:p>
        </w:tc>
        <w:tc>
          <w:tcPr>
            <w:tcW w:w="3791" w:type="dxa"/>
          </w:tcPr>
          <w:p w14:paraId="1897D781">
            <w:pPr>
              <w:spacing w:line="500" w:lineRule="exact"/>
              <w:rPr>
                <w:rFonts w:ascii="宋体" w:hAnsi="宋体"/>
                <w:sz w:val="28"/>
                <w:szCs w:val="28"/>
              </w:rPr>
            </w:pPr>
          </w:p>
        </w:tc>
      </w:tr>
      <w:tr w14:paraId="19F7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8" w:type="dxa"/>
          </w:tcPr>
          <w:p w14:paraId="3179FC17">
            <w:pPr>
              <w:spacing w:line="500" w:lineRule="exact"/>
              <w:rPr>
                <w:rFonts w:ascii="宋体" w:hAnsi="宋体"/>
                <w:sz w:val="28"/>
                <w:szCs w:val="28"/>
              </w:rPr>
            </w:pPr>
          </w:p>
        </w:tc>
        <w:tc>
          <w:tcPr>
            <w:tcW w:w="3663" w:type="dxa"/>
          </w:tcPr>
          <w:p w14:paraId="66422650">
            <w:pPr>
              <w:spacing w:line="500" w:lineRule="exact"/>
              <w:rPr>
                <w:rFonts w:ascii="宋体" w:hAnsi="宋体"/>
                <w:sz w:val="28"/>
                <w:szCs w:val="28"/>
              </w:rPr>
            </w:pPr>
          </w:p>
        </w:tc>
        <w:tc>
          <w:tcPr>
            <w:tcW w:w="3791" w:type="dxa"/>
          </w:tcPr>
          <w:p w14:paraId="5397FF64">
            <w:pPr>
              <w:spacing w:line="500" w:lineRule="exact"/>
              <w:rPr>
                <w:rFonts w:ascii="宋体" w:hAnsi="宋体"/>
                <w:sz w:val="28"/>
                <w:szCs w:val="28"/>
              </w:rPr>
            </w:pPr>
          </w:p>
        </w:tc>
      </w:tr>
    </w:tbl>
    <w:p w14:paraId="4597FF8D">
      <w:pPr>
        <w:spacing w:line="500" w:lineRule="exact"/>
        <w:jc w:val="left"/>
        <w:rPr>
          <w:rFonts w:ascii="宋体" w:hAnsi="宋体"/>
          <w:sz w:val="28"/>
          <w:szCs w:val="28"/>
        </w:rPr>
      </w:pPr>
      <w:r>
        <w:rPr>
          <w:rFonts w:hint="eastAsia" w:ascii="宋体" w:hAnsi="宋体"/>
          <w:sz w:val="28"/>
          <w:szCs w:val="28"/>
        </w:rPr>
        <w:t>注：1、投标人必须按照</w:t>
      </w:r>
      <w:r>
        <w:rPr>
          <w:rFonts w:hint="eastAsia" w:ascii="宋体" w:hAnsi="宋体"/>
          <w:color w:val="FF0000"/>
          <w:sz w:val="28"/>
          <w:szCs w:val="28"/>
        </w:rPr>
        <w:t>招标文件第五章中售后服务要求</w:t>
      </w:r>
      <w:r>
        <w:rPr>
          <w:rFonts w:ascii="宋体" w:hAnsi="宋体"/>
          <w:color w:val="FF0000"/>
          <w:sz w:val="28"/>
          <w:szCs w:val="28"/>
        </w:rPr>
        <w:t>进行逐条应答</w:t>
      </w:r>
      <w:r>
        <w:rPr>
          <w:rFonts w:hint="eastAsia" w:ascii="宋体" w:hAnsi="宋体"/>
          <w:color w:val="FF0000"/>
          <w:sz w:val="28"/>
          <w:szCs w:val="28"/>
        </w:rPr>
        <w:t>。</w:t>
      </w:r>
    </w:p>
    <w:p w14:paraId="618FDC85">
      <w:pPr>
        <w:spacing w:line="500" w:lineRule="exact"/>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、投标人必须据实填写，不得虚假填写，否则将取消其投标或中标资格。</w:t>
      </w:r>
    </w:p>
    <w:p w14:paraId="01FCBC01">
      <w:pPr>
        <w:spacing w:line="500" w:lineRule="exact"/>
        <w:jc w:val="left"/>
        <w:rPr>
          <w:rFonts w:ascii="宋体" w:hAnsi="宋体"/>
          <w:sz w:val="28"/>
          <w:szCs w:val="28"/>
        </w:rPr>
      </w:pPr>
      <w:r>
        <w:rPr>
          <w:rFonts w:hint="eastAsia" w:ascii="宋体" w:hAnsi="宋体"/>
          <w:sz w:val="28"/>
          <w:szCs w:val="28"/>
        </w:rPr>
        <w:t>投标人全称：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5A957864">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1AF9C744">
      <w:pPr>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18D817F2">
      <w:pPr>
        <w:spacing w:line="500" w:lineRule="exact"/>
        <w:jc w:val="center"/>
        <w:rPr>
          <w:rFonts w:ascii="宋体" w:hAnsi="宋体"/>
          <w:b/>
          <w:sz w:val="28"/>
          <w:szCs w:val="28"/>
        </w:rPr>
      </w:pPr>
    </w:p>
    <w:p w14:paraId="74B094C2">
      <w:pPr>
        <w:spacing w:line="500" w:lineRule="exact"/>
        <w:jc w:val="center"/>
        <w:rPr>
          <w:rFonts w:ascii="宋体" w:hAnsi="宋体"/>
          <w:b/>
          <w:sz w:val="28"/>
          <w:szCs w:val="28"/>
        </w:rPr>
      </w:pPr>
    </w:p>
    <w:p w14:paraId="6EF75AF2">
      <w:pPr>
        <w:spacing w:line="500" w:lineRule="exact"/>
        <w:jc w:val="center"/>
        <w:rPr>
          <w:rFonts w:ascii="宋体" w:hAnsi="宋体"/>
          <w:b/>
          <w:sz w:val="28"/>
          <w:szCs w:val="28"/>
        </w:rPr>
      </w:pPr>
    </w:p>
    <w:p w14:paraId="0673B137">
      <w:pPr>
        <w:spacing w:line="500" w:lineRule="exact"/>
        <w:jc w:val="center"/>
        <w:rPr>
          <w:rFonts w:ascii="宋体" w:hAnsi="宋体"/>
          <w:b/>
          <w:sz w:val="28"/>
          <w:szCs w:val="28"/>
        </w:rPr>
      </w:pPr>
    </w:p>
    <w:p w14:paraId="0FF59D49">
      <w:pPr>
        <w:spacing w:line="500" w:lineRule="exact"/>
        <w:jc w:val="center"/>
        <w:rPr>
          <w:rFonts w:ascii="宋体" w:hAnsi="宋体"/>
          <w:b/>
          <w:sz w:val="28"/>
          <w:szCs w:val="28"/>
        </w:rPr>
      </w:pPr>
    </w:p>
    <w:p w14:paraId="2C19F5BD">
      <w:pPr>
        <w:spacing w:line="500" w:lineRule="exact"/>
        <w:jc w:val="center"/>
        <w:rPr>
          <w:rFonts w:ascii="宋体" w:hAnsi="宋体"/>
          <w:b/>
          <w:sz w:val="28"/>
          <w:szCs w:val="28"/>
        </w:rPr>
      </w:pPr>
    </w:p>
    <w:p w14:paraId="433A213F">
      <w:pPr>
        <w:spacing w:line="500" w:lineRule="exact"/>
        <w:jc w:val="center"/>
        <w:rPr>
          <w:rFonts w:ascii="宋体" w:hAnsi="宋体"/>
          <w:b/>
          <w:sz w:val="28"/>
          <w:szCs w:val="28"/>
        </w:rPr>
      </w:pPr>
    </w:p>
    <w:p w14:paraId="607BA107">
      <w:pPr>
        <w:spacing w:line="500" w:lineRule="exact"/>
        <w:rPr>
          <w:rFonts w:ascii="宋体" w:hAnsi="宋体"/>
          <w:b/>
          <w:sz w:val="28"/>
          <w:szCs w:val="28"/>
        </w:rPr>
      </w:pPr>
    </w:p>
    <w:p w14:paraId="6C2A240C">
      <w:pPr>
        <w:pStyle w:val="4"/>
        <w:spacing w:line="240" w:lineRule="atLeast"/>
        <w:jc w:val="left"/>
      </w:pPr>
      <w:bookmarkStart w:id="978" w:name="_Toc12005"/>
      <w:r>
        <w:rPr>
          <w:rFonts w:hint="eastAsia"/>
          <w:lang w:val="en-US" w:eastAsia="zh-CN"/>
        </w:rPr>
        <w:t>五</w:t>
      </w:r>
      <w:r>
        <w:rPr>
          <w:rFonts w:hint="eastAsia"/>
        </w:rPr>
        <w:t>、招标文件要求提供的其他文件或资料</w:t>
      </w:r>
      <w:bookmarkEnd w:id="978"/>
    </w:p>
    <w:p w14:paraId="182D6E47">
      <w:pPr>
        <w:spacing w:line="500" w:lineRule="exact"/>
        <w:jc w:val="left"/>
        <w:rPr>
          <w:rFonts w:ascii="宋体" w:hAnsi="宋体"/>
          <w:b/>
          <w:sz w:val="28"/>
          <w:szCs w:val="28"/>
        </w:rPr>
      </w:pPr>
    </w:p>
    <w:p w14:paraId="48D8E2B7">
      <w:pPr>
        <w:pStyle w:val="4"/>
        <w:spacing w:line="240" w:lineRule="atLeast"/>
        <w:jc w:val="left"/>
      </w:pPr>
      <w:bookmarkStart w:id="979" w:name="_Toc26969"/>
      <w:r>
        <w:rPr>
          <w:rFonts w:hint="eastAsia"/>
          <w:lang w:val="en-US" w:eastAsia="zh-CN"/>
        </w:rPr>
        <w:t>六</w:t>
      </w:r>
      <w:r>
        <w:rPr>
          <w:rFonts w:hint="eastAsia"/>
        </w:rPr>
        <w:t>、投标人认为需要提供的文件和资料</w:t>
      </w:r>
      <w:bookmarkEnd w:id="979"/>
    </w:p>
    <w:p w14:paraId="2AB9D50C">
      <w:pPr>
        <w:spacing w:line="780" w:lineRule="exact"/>
        <w:jc w:val="center"/>
        <w:rPr>
          <w:rFonts w:ascii="宋体" w:hAnsi="宋体"/>
          <w:b/>
          <w:sz w:val="44"/>
          <w:szCs w:val="44"/>
        </w:rPr>
      </w:pPr>
    </w:p>
    <w:p w14:paraId="6204A88E">
      <w:pPr>
        <w:spacing w:line="800" w:lineRule="exact"/>
        <w:jc w:val="center"/>
        <w:outlineLvl w:val="1"/>
        <w:rPr>
          <w:rFonts w:ascii="宋体" w:hAnsi="宋体"/>
          <w:sz w:val="44"/>
          <w:szCs w:val="44"/>
          <w:u w:val="double"/>
          <w:lang w:val="zh-CN"/>
        </w:rPr>
      </w:pPr>
    </w:p>
    <w:p w14:paraId="274449CC">
      <w:pPr>
        <w:jc w:val="center"/>
        <w:rPr>
          <w:rFonts w:ascii="宋体" w:hAnsi="宋体"/>
          <w:b/>
          <w:sz w:val="30"/>
          <w:szCs w:val="30"/>
        </w:rPr>
      </w:pPr>
    </w:p>
    <w:p w14:paraId="5B547C07">
      <w:pPr>
        <w:rPr>
          <w:rFonts w:hint="eastAsia" w:ascii="宋体" w:hAnsi="宋体"/>
          <w:sz w:val="44"/>
          <w:szCs w:val="44"/>
          <w:u w:val="double"/>
          <w:lang w:val="zh-CN"/>
        </w:rPr>
      </w:pPr>
      <w:bookmarkStart w:id="980" w:name="_Toc518207836"/>
      <w:r>
        <w:rPr>
          <w:rFonts w:hint="eastAsia" w:ascii="宋体" w:hAnsi="宋体"/>
          <w:sz w:val="44"/>
          <w:szCs w:val="44"/>
          <w:u w:val="double"/>
          <w:lang w:val="zh-CN"/>
        </w:rPr>
        <w:br w:type="page"/>
      </w:r>
    </w:p>
    <w:p w14:paraId="5CFF86B3">
      <w:pPr>
        <w:keepNext/>
        <w:keepLines/>
        <w:spacing w:line="800" w:lineRule="exact"/>
        <w:jc w:val="center"/>
        <w:outlineLvl w:val="1"/>
        <w:rPr>
          <w:rFonts w:ascii="宋体" w:hAnsi="宋体"/>
          <w:sz w:val="44"/>
          <w:szCs w:val="44"/>
          <w:u w:val="double"/>
          <w:lang w:val="zh-CN"/>
        </w:rPr>
      </w:pPr>
      <w:bookmarkStart w:id="981" w:name="_Toc24371"/>
      <w:r>
        <w:rPr>
          <w:rFonts w:hint="eastAsia" w:ascii="宋体" w:hAnsi="宋体"/>
          <w:sz w:val="44"/>
          <w:szCs w:val="44"/>
          <w:u w:val="double"/>
          <w:lang w:val="zh-CN"/>
        </w:rPr>
        <w:t>报价部分</w:t>
      </w:r>
      <w:bookmarkEnd w:id="980"/>
      <w:bookmarkEnd w:id="981"/>
    </w:p>
    <w:p w14:paraId="1C8E0416">
      <w:pPr>
        <w:jc w:val="center"/>
        <w:rPr>
          <w:rFonts w:ascii="宋体" w:hAnsi="宋体"/>
          <w:b/>
          <w:sz w:val="30"/>
          <w:szCs w:val="30"/>
        </w:rPr>
      </w:pPr>
    </w:p>
    <w:p w14:paraId="58B7C239">
      <w:pPr>
        <w:jc w:val="center"/>
        <w:rPr>
          <w:rFonts w:ascii="宋体" w:hAnsi="宋体"/>
          <w:b/>
          <w:sz w:val="30"/>
          <w:szCs w:val="30"/>
        </w:rPr>
      </w:pPr>
    </w:p>
    <w:p w14:paraId="7288B8BA">
      <w:pPr>
        <w:rPr>
          <w:rFonts w:ascii="宋体" w:hAnsi="宋体"/>
          <w:b/>
          <w:sz w:val="30"/>
          <w:szCs w:val="30"/>
        </w:rPr>
      </w:pPr>
    </w:p>
    <w:p w14:paraId="58D9B105">
      <w:pPr>
        <w:jc w:val="center"/>
        <w:rPr>
          <w:rFonts w:ascii="宋体" w:hAnsi="宋体"/>
          <w:b/>
          <w:sz w:val="30"/>
          <w:szCs w:val="30"/>
        </w:rPr>
      </w:pPr>
      <w:r>
        <w:rPr>
          <w:rFonts w:hint="eastAsia" w:ascii="宋体" w:hAnsi="宋体"/>
          <w:b/>
          <w:sz w:val="30"/>
          <w:szCs w:val="30"/>
        </w:rPr>
        <w:t>目 录</w:t>
      </w:r>
    </w:p>
    <w:p w14:paraId="650D5AA9">
      <w:pPr>
        <w:jc w:val="center"/>
        <w:rPr>
          <w:rFonts w:ascii="宋体" w:hAnsi="宋体"/>
          <w:b/>
          <w:sz w:val="30"/>
          <w:szCs w:val="30"/>
        </w:rPr>
      </w:pPr>
    </w:p>
    <w:p w14:paraId="2613146B">
      <w:pPr>
        <w:spacing w:line="500" w:lineRule="exact"/>
        <w:jc w:val="center"/>
        <w:rPr>
          <w:rFonts w:ascii="宋体" w:hAnsi="宋体"/>
          <w:b/>
          <w:sz w:val="30"/>
          <w:szCs w:val="30"/>
        </w:rPr>
      </w:pPr>
      <w:r>
        <w:rPr>
          <w:rFonts w:hint="eastAsia" w:ascii="宋体" w:hAnsi="宋体"/>
          <w:b/>
          <w:sz w:val="30"/>
          <w:szCs w:val="30"/>
        </w:rPr>
        <w:t>请投标人</w:t>
      </w:r>
      <w:r>
        <w:rPr>
          <w:rFonts w:ascii="宋体" w:hAnsi="宋体"/>
          <w:b/>
          <w:sz w:val="30"/>
          <w:szCs w:val="30"/>
        </w:rPr>
        <w:t>自行编写</w:t>
      </w:r>
    </w:p>
    <w:p w14:paraId="52F71855">
      <w:pPr>
        <w:keepNext/>
        <w:keepLines/>
        <w:spacing w:line="800" w:lineRule="exact"/>
        <w:jc w:val="center"/>
        <w:outlineLvl w:val="1"/>
        <w:rPr>
          <w:rFonts w:ascii="宋体" w:hAnsi="宋体"/>
          <w:sz w:val="44"/>
          <w:szCs w:val="44"/>
          <w:u w:val="double"/>
        </w:rPr>
      </w:pPr>
    </w:p>
    <w:p w14:paraId="36398F8C">
      <w:pPr>
        <w:spacing w:line="500" w:lineRule="exact"/>
        <w:rPr>
          <w:rFonts w:ascii="宋体" w:hAnsi="宋体"/>
          <w:sz w:val="28"/>
          <w:szCs w:val="28"/>
          <w:u w:val="single"/>
        </w:rPr>
        <w:sectPr>
          <w:pgSz w:w="11906" w:h="16838"/>
          <w:pgMar w:top="1440" w:right="1797" w:bottom="1440" w:left="1797" w:header="851" w:footer="992" w:gutter="0"/>
          <w:pgNumType w:fmt="decimal"/>
          <w:cols w:space="720" w:num="1"/>
          <w:docGrid w:linePitch="312" w:charSpace="0"/>
        </w:sectPr>
      </w:pPr>
    </w:p>
    <w:p w14:paraId="2A3C388A">
      <w:pPr>
        <w:pStyle w:val="4"/>
        <w:spacing w:line="240" w:lineRule="atLeast"/>
        <w:jc w:val="center"/>
      </w:pPr>
      <w:bookmarkStart w:id="982" w:name="_Toc16111"/>
      <w:r>
        <w:rPr>
          <w:rFonts w:hint="eastAsia"/>
        </w:rPr>
        <w:t>一、报价汇总表</w:t>
      </w:r>
      <w:bookmarkEnd w:id="982"/>
    </w:p>
    <w:tbl>
      <w:tblPr>
        <w:tblStyle w:val="58"/>
        <w:tblW w:w="13324" w:type="dxa"/>
        <w:tblInd w:w="392" w:type="dxa"/>
        <w:tblLayout w:type="fixed"/>
        <w:tblCellMar>
          <w:top w:w="0" w:type="dxa"/>
          <w:left w:w="108" w:type="dxa"/>
          <w:bottom w:w="0" w:type="dxa"/>
          <w:right w:w="108" w:type="dxa"/>
        </w:tblCellMar>
      </w:tblPr>
      <w:tblGrid>
        <w:gridCol w:w="2835"/>
        <w:gridCol w:w="10489"/>
      </w:tblGrid>
      <w:tr w14:paraId="6D6093B6">
        <w:tblPrEx>
          <w:tblCellMar>
            <w:top w:w="0" w:type="dxa"/>
            <w:left w:w="108" w:type="dxa"/>
            <w:bottom w:w="0" w:type="dxa"/>
            <w:right w:w="108" w:type="dxa"/>
          </w:tblCellMar>
        </w:tblPrEx>
        <w:trPr>
          <w:trHeight w:val="506" w:hRule="atLeast"/>
        </w:trPr>
        <w:tc>
          <w:tcPr>
            <w:tcW w:w="2835" w:type="dxa"/>
            <w:tcBorders>
              <w:top w:val="single" w:color="auto" w:sz="4" w:space="0"/>
              <w:left w:val="single" w:color="auto" w:sz="4" w:space="0"/>
              <w:bottom w:val="single" w:color="auto" w:sz="4" w:space="0"/>
              <w:right w:val="single" w:color="auto" w:sz="4" w:space="0"/>
            </w:tcBorders>
            <w:vAlign w:val="center"/>
          </w:tcPr>
          <w:p w14:paraId="7ADCFB76">
            <w:pPr>
              <w:spacing w:line="400" w:lineRule="exact"/>
              <w:ind w:firstLine="560" w:firstLineChars="200"/>
              <w:jc w:val="left"/>
              <w:rPr>
                <w:rFonts w:ascii="宋体" w:hAnsi="宋体"/>
                <w:sz w:val="28"/>
                <w:szCs w:val="28"/>
              </w:rPr>
            </w:pPr>
            <w:r>
              <w:rPr>
                <w:rFonts w:hint="eastAsia" w:ascii="宋体" w:hAnsi="宋体"/>
                <w:sz w:val="28"/>
                <w:szCs w:val="28"/>
              </w:rPr>
              <w:t>项目名称</w:t>
            </w:r>
          </w:p>
        </w:tc>
        <w:tc>
          <w:tcPr>
            <w:tcW w:w="10489" w:type="dxa"/>
            <w:tcBorders>
              <w:top w:val="single" w:color="auto" w:sz="4" w:space="0"/>
              <w:left w:val="nil"/>
              <w:bottom w:val="single" w:color="auto" w:sz="4" w:space="0"/>
              <w:right w:val="single" w:color="auto" w:sz="4" w:space="0"/>
            </w:tcBorders>
            <w:vAlign w:val="center"/>
          </w:tcPr>
          <w:p w14:paraId="1CCB75B2">
            <w:pPr>
              <w:spacing w:line="400" w:lineRule="exact"/>
              <w:ind w:firstLine="560" w:firstLineChars="200"/>
              <w:jc w:val="left"/>
              <w:rPr>
                <w:rFonts w:ascii="宋体" w:hAnsi="宋体"/>
                <w:sz w:val="28"/>
                <w:szCs w:val="28"/>
              </w:rPr>
            </w:pPr>
          </w:p>
        </w:tc>
      </w:tr>
      <w:tr w14:paraId="57D885E8">
        <w:tblPrEx>
          <w:tblCellMar>
            <w:top w:w="0" w:type="dxa"/>
            <w:left w:w="108" w:type="dxa"/>
            <w:bottom w:w="0" w:type="dxa"/>
            <w:right w:w="108" w:type="dxa"/>
          </w:tblCellMar>
        </w:tblPrEx>
        <w:trPr>
          <w:trHeight w:val="443" w:hRule="atLeast"/>
        </w:trPr>
        <w:tc>
          <w:tcPr>
            <w:tcW w:w="2835" w:type="dxa"/>
            <w:tcBorders>
              <w:top w:val="single" w:color="auto" w:sz="4" w:space="0"/>
              <w:left w:val="single" w:color="auto" w:sz="4" w:space="0"/>
              <w:bottom w:val="single" w:color="auto" w:sz="4" w:space="0"/>
              <w:right w:val="single" w:color="auto" w:sz="4" w:space="0"/>
            </w:tcBorders>
            <w:vAlign w:val="center"/>
          </w:tcPr>
          <w:p w14:paraId="7EB89CB7">
            <w:pPr>
              <w:spacing w:line="400" w:lineRule="exact"/>
              <w:ind w:firstLine="560" w:firstLineChars="200"/>
              <w:jc w:val="left"/>
              <w:rPr>
                <w:rFonts w:hint="eastAsia" w:ascii="宋体" w:hAnsi="宋体" w:eastAsiaTheme="minorEastAsia"/>
                <w:sz w:val="28"/>
                <w:szCs w:val="28"/>
                <w:lang w:eastAsia="zh-CN"/>
              </w:rPr>
            </w:pPr>
            <w:r>
              <w:rPr>
                <w:rFonts w:hint="eastAsia" w:ascii="宋体" w:hAnsi="宋体" w:eastAsiaTheme="minorEastAsia"/>
                <w:sz w:val="28"/>
                <w:szCs w:val="28"/>
                <w:lang w:eastAsia="zh-CN"/>
              </w:rPr>
              <w:t>采购计划文号</w:t>
            </w:r>
          </w:p>
        </w:tc>
        <w:tc>
          <w:tcPr>
            <w:tcW w:w="10489" w:type="dxa"/>
            <w:tcBorders>
              <w:top w:val="single" w:color="auto" w:sz="4" w:space="0"/>
              <w:left w:val="nil"/>
              <w:bottom w:val="single" w:color="auto" w:sz="4" w:space="0"/>
              <w:right w:val="single" w:color="auto" w:sz="4" w:space="0"/>
            </w:tcBorders>
            <w:vAlign w:val="center"/>
          </w:tcPr>
          <w:p w14:paraId="39584D7A">
            <w:pPr>
              <w:spacing w:line="400" w:lineRule="exact"/>
              <w:ind w:firstLine="560" w:firstLineChars="200"/>
              <w:jc w:val="left"/>
              <w:rPr>
                <w:rFonts w:ascii="宋体" w:hAnsi="宋体"/>
                <w:sz w:val="28"/>
                <w:szCs w:val="28"/>
              </w:rPr>
            </w:pPr>
          </w:p>
        </w:tc>
      </w:tr>
      <w:tr w14:paraId="177E390C">
        <w:tblPrEx>
          <w:tblCellMar>
            <w:top w:w="0" w:type="dxa"/>
            <w:left w:w="108" w:type="dxa"/>
            <w:bottom w:w="0" w:type="dxa"/>
            <w:right w:w="108" w:type="dxa"/>
          </w:tblCellMar>
        </w:tblPrEx>
        <w:trPr>
          <w:trHeight w:val="1271" w:hRule="atLeast"/>
        </w:trPr>
        <w:tc>
          <w:tcPr>
            <w:tcW w:w="2835" w:type="dxa"/>
            <w:tcBorders>
              <w:top w:val="single" w:color="auto" w:sz="4" w:space="0"/>
              <w:left w:val="single" w:color="auto" w:sz="4" w:space="0"/>
              <w:bottom w:val="single" w:color="auto" w:sz="4" w:space="0"/>
              <w:right w:val="single" w:color="auto" w:sz="4" w:space="0"/>
            </w:tcBorders>
            <w:vAlign w:val="center"/>
          </w:tcPr>
          <w:p w14:paraId="72175343">
            <w:pPr>
              <w:spacing w:line="400" w:lineRule="exact"/>
              <w:ind w:firstLine="560" w:firstLineChars="200"/>
              <w:jc w:val="left"/>
              <w:rPr>
                <w:rFonts w:ascii="宋体" w:hAnsi="宋体"/>
                <w:sz w:val="28"/>
                <w:szCs w:val="28"/>
              </w:rPr>
            </w:pPr>
            <w:r>
              <w:rPr>
                <w:rFonts w:hint="eastAsia" w:ascii="宋体" w:hAnsi="宋体"/>
                <w:sz w:val="28"/>
                <w:szCs w:val="28"/>
              </w:rPr>
              <w:t>投标总报价</w:t>
            </w:r>
          </w:p>
        </w:tc>
        <w:tc>
          <w:tcPr>
            <w:tcW w:w="10489" w:type="dxa"/>
            <w:tcBorders>
              <w:top w:val="single" w:color="auto" w:sz="4" w:space="0"/>
              <w:left w:val="nil"/>
              <w:bottom w:val="single" w:color="auto" w:sz="4" w:space="0"/>
              <w:right w:val="single" w:color="auto" w:sz="4" w:space="0"/>
            </w:tcBorders>
            <w:vAlign w:val="center"/>
          </w:tcPr>
          <w:p w14:paraId="43E9BA0A">
            <w:pPr>
              <w:spacing w:line="400" w:lineRule="exact"/>
              <w:ind w:firstLine="562" w:firstLineChars="200"/>
              <w:jc w:val="left"/>
              <w:rPr>
                <w:rFonts w:ascii="宋体" w:hAnsi="宋体"/>
                <w:sz w:val="28"/>
                <w:szCs w:val="28"/>
              </w:rPr>
            </w:pPr>
            <w:r>
              <w:rPr>
                <w:rFonts w:hint="eastAsia" w:ascii="宋体" w:hAnsi="宋体"/>
                <w:b/>
                <w:sz w:val="28"/>
                <w:szCs w:val="28"/>
              </w:rPr>
              <w:t>人民币大写：</w:t>
            </w:r>
            <w:r>
              <w:rPr>
                <w:rFonts w:hint="eastAsia" w:ascii="宋体" w:hAnsi="宋体"/>
                <w:b/>
                <w:sz w:val="28"/>
                <w:szCs w:val="28"/>
                <w:u w:val="single"/>
              </w:rPr>
              <w:t xml:space="preserve">    　　　　　　　　   </w:t>
            </w:r>
            <w:r>
              <w:rPr>
                <w:rFonts w:hint="eastAsia" w:ascii="宋体" w:hAnsi="宋体"/>
                <w:b/>
                <w:sz w:val="28"/>
                <w:szCs w:val="28"/>
              </w:rPr>
              <w:t>（人民币小写：</w:t>
            </w:r>
            <w:r>
              <w:rPr>
                <w:rFonts w:hint="eastAsia" w:ascii="宋体" w:hAnsi="宋体"/>
                <w:b/>
                <w:sz w:val="28"/>
                <w:szCs w:val="28"/>
                <w:u w:val="single"/>
              </w:rPr>
              <w:t xml:space="preserve">  </w:t>
            </w:r>
            <w:r>
              <w:rPr>
                <w:rFonts w:ascii="宋体" w:hAnsi="宋体"/>
                <w:sz w:val="28"/>
                <w:szCs w:val="28"/>
                <w:u w:val="single"/>
              </w:rPr>
              <w:t>¥</w:t>
            </w:r>
            <w:r>
              <w:rPr>
                <w:rFonts w:hint="eastAsia" w:ascii="宋体" w:hAnsi="宋体"/>
                <w:sz w:val="28"/>
                <w:szCs w:val="28"/>
                <w:u w:val="single"/>
              </w:rPr>
              <w:t xml:space="preserve"> </w:t>
            </w:r>
            <w:r>
              <w:rPr>
                <w:rFonts w:hint="eastAsia" w:ascii="宋体" w:hAnsi="宋体"/>
                <w:b/>
                <w:sz w:val="28"/>
                <w:szCs w:val="28"/>
                <w:u w:val="single"/>
              </w:rPr>
              <w:t xml:space="preserve">   　　　　  </w:t>
            </w:r>
            <w:r>
              <w:rPr>
                <w:rFonts w:hint="eastAsia" w:ascii="宋体" w:hAnsi="宋体"/>
                <w:b/>
                <w:sz w:val="28"/>
                <w:szCs w:val="28"/>
              </w:rPr>
              <w:t>元）</w:t>
            </w:r>
          </w:p>
        </w:tc>
      </w:tr>
    </w:tbl>
    <w:p w14:paraId="4020FD9E">
      <w:pPr>
        <w:spacing w:line="500" w:lineRule="exact"/>
        <w:rPr>
          <w:rFonts w:ascii="宋体" w:hAnsi="宋体"/>
          <w:sz w:val="28"/>
          <w:szCs w:val="28"/>
        </w:rPr>
      </w:pPr>
      <w:r>
        <w:rPr>
          <w:rFonts w:hint="eastAsia" w:ascii="宋体" w:hAnsi="宋体"/>
          <w:sz w:val="28"/>
          <w:szCs w:val="28"/>
        </w:rPr>
        <w:t>注：</w:t>
      </w:r>
    </w:p>
    <w:p w14:paraId="55D85A4E">
      <w:pPr>
        <w:spacing w:line="500" w:lineRule="exact"/>
        <w:rPr>
          <w:rFonts w:ascii="宋体" w:hAnsi="宋体"/>
          <w:sz w:val="28"/>
          <w:szCs w:val="28"/>
        </w:rPr>
      </w:pPr>
      <w:r>
        <w:rPr>
          <w:rFonts w:hint="eastAsia" w:ascii="宋体" w:hAnsi="宋体"/>
          <w:sz w:val="28"/>
          <w:szCs w:val="28"/>
        </w:rPr>
        <w:t>1、“报价汇总表”以包为单位填写。</w:t>
      </w:r>
    </w:p>
    <w:p w14:paraId="7870FA83">
      <w:pPr>
        <w:spacing w:line="500" w:lineRule="exact"/>
        <w:rPr>
          <w:rFonts w:ascii="宋体" w:hAnsi="宋体"/>
          <w:sz w:val="28"/>
          <w:szCs w:val="28"/>
        </w:rPr>
      </w:pPr>
      <w:r>
        <w:rPr>
          <w:rFonts w:hint="eastAsia" w:ascii="宋体" w:hAnsi="宋体"/>
          <w:sz w:val="28"/>
          <w:szCs w:val="28"/>
        </w:rPr>
        <w:t>2、投标人的总报价是投标人响应招标项目要求的全部工作内容的价格体现，包括投标人完成本项目所需的一切费用。</w:t>
      </w:r>
    </w:p>
    <w:p w14:paraId="62375AC3">
      <w:pPr>
        <w:spacing w:line="500" w:lineRule="exact"/>
        <w:rPr>
          <w:rFonts w:ascii="宋体" w:hAnsi="宋体"/>
          <w:sz w:val="28"/>
          <w:szCs w:val="28"/>
        </w:rPr>
      </w:pPr>
      <w:r>
        <w:rPr>
          <w:rFonts w:ascii="宋体" w:hAnsi="宋体"/>
          <w:sz w:val="28"/>
          <w:szCs w:val="28"/>
        </w:rPr>
        <w:t>3</w:t>
      </w:r>
      <w:r>
        <w:rPr>
          <w:rFonts w:hint="eastAsia" w:ascii="宋体" w:hAnsi="宋体"/>
          <w:sz w:val="28"/>
          <w:szCs w:val="28"/>
        </w:rPr>
        <w:t>、投标人的总报价在合同履行过程中是固定不变的，任何有选择或可调整的报价将不予接受，并按无效处理。</w:t>
      </w:r>
    </w:p>
    <w:p w14:paraId="4DD0711C">
      <w:pPr>
        <w:spacing w:line="500" w:lineRule="exact"/>
        <w:jc w:val="left"/>
        <w:rPr>
          <w:rFonts w:ascii="宋体" w:hAnsi="宋体"/>
          <w:sz w:val="28"/>
          <w:szCs w:val="28"/>
        </w:rPr>
      </w:pPr>
      <w:r>
        <w:rPr>
          <w:rFonts w:hint="eastAsia" w:ascii="宋体" w:hAnsi="宋体"/>
          <w:sz w:val="28"/>
          <w:szCs w:val="28"/>
        </w:rPr>
        <w:t>投标人全称：</w:t>
      </w:r>
      <w:r>
        <w:rPr>
          <w:rFonts w:hint="eastAsia" w:ascii="宋体" w:hAnsi="宋体"/>
          <w:sz w:val="28"/>
          <w:szCs w:val="28"/>
          <w:u w:val="single"/>
        </w:rPr>
        <w:t xml:space="preserve">           　　　             （盖单位公章）。</w:t>
      </w:r>
    </w:p>
    <w:p w14:paraId="5737185C">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（签字）。</w:t>
      </w:r>
    </w:p>
    <w:p w14:paraId="292103E2">
      <w:pPr>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年　　　月　　　　　日</w:t>
      </w:r>
      <w:r>
        <w:rPr>
          <w:rFonts w:hint="eastAsia" w:ascii="宋体" w:hAnsi="宋体"/>
          <w:sz w:val="28"/>
          <w:szCs w:val="28"/>
        </w:rPr>
        <w:t>。</w:t>
      </w:r>
    </w:p>
    <w:p w14:paraId="24B66571">
      <w:pPr>
        <w:spacing w:line="500" w:lineRule="exact"/>
        <w:jc w:val="center"/>
        <w:rPr>
          <w:rFonts w:ascii="宋体" w:hAnsi="宋体"/>
          <w:b/>
          <w:sz w:val="28"/>
          <w:szCs w:val="28"/>
        </w:rPr>
      </w:pPr>
    </w:p>
    <w:p w14:paraId="538A6B40">
      <w:pPr>
        <w:pStyle w:val="4"/>
        <w:spacing w:line="240" w:lineRule="atLeast"/>
        <w:jc w:val="center"/>
      </w:pPr>
      <w:bookmarkStart w:id="983" w:name="_Toc217446086"/>
      <w:bookmarkStart w:id="984" w:name="_Toc2318"/>
      <w:r>
        <w:rPr>
          <w:rFonts w:hint="eastAsia"/>
        </w:rPr>
        <w:t>二、分项报价明细表</w:t>
      </w:r>
      <w:bookmarkEnd w:id="983"/>
      <w:bookmarkEnd w:id="984"/>
    </w:p>
    <w:p w14:paraId="429DF3B0">
      <w:pPr>
        <w:spacing w:line="500" w:lineRule="exact"/>
        <w:rPr>
          <w:rFonts w:ascii="宋体" w:hAnsi="宋体"/>
          <w:sz w:val="28"/>
          <w:szCs w:val="28"/>
        </w:rPr>
      </w:pPr>
      <w:r>
        <w:rPr>
          <w:rFonts w:hint="eastAsia" w:ascii="宋体" w:hAnsi="宋体"/>
          <w:sz w:val="28"/>
          <w:szCs w:val="28"/>
        </w:rPr>
        <w:t>项目名称：</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eastAsia="zh-CN"/>
        </w:rPr>
        <w:t>采购计划文号</w:t>
      </w:r>
      <w:r>
        <w:rPr>
          <w:rFonts w:ascii="宋体" w:hAnsi="宋体"/>
          <w:sz w:val="28"/>
          <w:szCs w:val="28"/>
        </w:rPr>
        <w:t>：</w:t>
      </w:r>
      <w:r>
        <w:rPr>
          <w:rFonts w:ascii="宋体" w:hAnsi="宋体"/>
          <w:sz w:val="28"/>
          <w:szCs w:val="28"/>
          <w:u w:val="single"/>
        </w:rPr>
        <w:t>　　　　　　　　</w:t>
      </w:r>
      <w:r>
        <w:rPr>
          <w:rFonts w:hint="eastAsia" w:ascii="宋体" w:hAnsi="宋体"/>
          <w:sz w:val="28"/>
          <w:szCs w:val="28"/>
          <w:u w:val="single"/>
        </w:rPr>
        <w:t xml:space="preserve"> </w:t>
      </w:r>
      <w:r>
        <w:rPr>
          <w:rFonts w:hint="eastAsia" w:ascii="宋体" w:hAnsi="宋体"/>
          <w:color w:val="FF0000"/>
          <w:sz w:val="28"/>
          <w:szCs w:val="28"/>
        </w:rPr>
        <w:t xml:space="preserve">  </w:t>
      </w:r>
      <w:r>
        <w:rPr>
          <w:rFonts w:hint="eastAsia" w:ascii="宋体" w:hAnsi="宋体"/>
          <w:sz w:val="28"/>
          <w:szCs w:val="28"/>
        </w:rPr>
        <w:t xml:space="preserve">                           </w:t>
      </w:r>
    </w:p>
    <w:tbl>
      <w:tblPr>
        <w:tblStyle w:val="58"/>
        <w:tblpPr w:leftFromText="180" w:rightFromText="180" w:vertAnchor="text" w:horzAnchor="page" w:tblpX="1483" w:tblpY="141"/>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94"/>
        <w:gridCol w:w="551"/>
        <w:gridCol w:w="1365"/>
        <w:gridCol w:w="3260"/>
        <w:gridCol w:w="1701"/>
        <w:gridCol w:w="2268"/>
        <w:gridCol w:w="1560"/>
        <w:gridCol w:w="850"/>
        <w:gridCol w:w="1134"/>
        <w:gridCol w:w="992"/>
      </w:tblGrid>
      <w:tr w14:paraId="17EC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vAlign w:val="center"/>
          </w:tcPr>
          <w:p w14:paraId="63EE4531">
            <w:pPr>
              <w:spacing w:line="500" w:lineRule="exact"/>
              <w:jc w:val="center"/>
              <w:rPr>
                <w:rFonts w:ascii="宋体" w:hAnsi="宋体"/>
                <w:sz w:val="28"/>
                <w:szCs w:val="28"/>
              </w:rPr>
            </w:pPr>
            <w:r>
              <w:rPr>
                <w:rFonts w:hint="eastAsia" w:ascii="宋体" w:hAnsi="宋体"/>
                <w:sz w:val="28"/>
                <w:szCs w:val="28"/>
              </w:rPr>
              <w:t>序号</w:t>
            </w:r>
          </w:p>
        </w:tc>
        <w:tc>
          <w:tcPr>
            <w:tcW w:w="1045" w:type="dxa"/>
            <w:gridSpan w:val="2"/>
            <w:vAlign w:val="center"/>
          </w:tcPr>
          <w:p w14:paraId="342CE307">
            <w:pPr>
              <w:spacing w:line="500" w:lineRule="exact"/>
              <w:jc w:val="center"/>
              <w:rPr>
                <w:rFonts w:ascii="宋体" w:hAnsi="宋体"/>
                <w:sz w:val="28"/>
                <w:szCs w:val="28"/>
              </w:rPr>
            </w:pPr>
            <w:r>
              <w:rPr>
                <w:rFonts w:hint="eastAsia" w:ascii="宋体" w:hAnsi="宋体"/>
                <w:sz w:val="28"/>
                <w:szCs w:val="28"/>
              </w:rPr>
              <w:t>产品名称</w:t>
            </w:r>
          </w:p>
        </w:tc>
        <w:tc>
          <w:tcPr>
            <w:tcW w:w="1365" w:type="dxa"/>
            <w:vAlign w:val="center"/>
          </w:tcPr>
          <w:p w14:paraId="076591FE">
            <w:pPr>
              <w:spacing w:line="500" w:lineRule="exact"/>
              <w:jc w:val="center"/>
              <w:rPr>
                <w:rFonts w:ascii="宋体" w:hAnsi="宋体"/>
                <w:sz w:val="28"/>
                <w:szCs w:val="28"/>
              </w:rPr>
            </w:pPr>
            <w:r>
              <w:rPr>
                <w:rFonts w:hint="eastAsia" w:ascii="宋体" w:hAnsi="宋体"/>
                <w:sz w:val="28"/>
                <w:szCs w:val="28"/>
              </w:rPr>
              <w:t>品牌</w:t>
            </w:r>
          </w:p>
        </w:tc>
        <w:tc>
          <w:tcPr>
            <w:tcW w:w="3260" w:type="dxa"/>
            <w:vAlign w:val="center"/>
          </w:tcPr>
          <w:p w14:paraId="3EF46188">
            <w:pPr>
              <w:spacing w:line="500" w:lineRule="exact"/>
              <w:jc w:val="center"/>
              <w:rPr>
                <w:rFonts w:ascii="宋体" w:hAnsi="宋体"/>
                <w:sz w:val="28"/>
                <w:szCs w:val="28"/>
              </w:rPr>
            </w:pPr>
            <w:r>
              <w:rPr>
                <w:rFonts w:hint="eastAsia" w:ascii="宋体" w:hAnsi="宋体"/>
                <w:sz w:val="28"/>
                <w:szCs w:val="28"/>
              </w:rPr>
              <w:t>规格型号</w:t>
            </w:r>
          </w:p>
        </w:tc>
        <w:tc>
          <w:tcPr>
            <w:tcW w:w="1701" w:type="dxa"/>
          </w:tcPr>
          <w:p w14:paraId="456B6482">
            <w:pPr>
              <w:spacing w:line="500" w:lineRule="exact"/>
              <w:jc w:val="center"/>
              <w:rPr>
                <w:rFonts w:ascii="宋体" w:hAnsi="宋体"/>
                <w:sz w:val="28"/>
                <w:szCs w:val="28"/>
              </w:rPr>
            </w:pPr>
          </w:p>
          <w:p w14:paraId="5952394B">
            <w:pPr>
              <w:spacing w:line="500" w:lineRule="exact"/>
              <w:jc w:val="center"/>
              <w:rPr>
                <w:rFonts w:ascii="宋体" w:hAnsi="宋体"/>
                <w:sz w:val="28"/>
                <w:szCs w:val="28"/>
              </w:rPr>
            </w:pPr>
            <w:r>
              <w:rPr>
                <w:rFonts w:hint="eastAsia" w:ascii="宋体" w:hAnsi="宋体"/>
                <w:sz w:val="28"/>
                <w:szCs w:val="28"/>
              </w:rPr>
              <w:t>制造</w:t>
            </w:r>
            <w:r>
              <w:rPr>
                <w:rFonts w:ascii="宋体" w:hAnsi="宋体"/>
                <w:sz w:val="28"/>
                <w:szCs w:val="28"/>
              </w:rPr>
              <w:t>商名称</w:t>
            </w:r>
          </w:p>
        </w:tc>
        <w:tc>
          <w:tcPr>
            <w:tcW w:w="2268" w:type="dxa"/>
            <w:vAlign w:val="center"/>
          </w:tcPr>
          <w:p w14:paraId="219FBA64">
            <w:pPr>
              <w:spacing w:line="500" w:lineRule="exact"/>
              <w:jc w:val="center"/>
              <w:rPr>
                <w:rFonts w:ascii="宋体" w:hAnsi="宋体"/>
                <w:sz w:val="28"/>
                <w:szCs w:val="28"/>
              </w:rPr>
            </w:pPr>
            <w:r>
              <w:rPr>
                <w:rFonts w:hint="eastAsia" w:ascii="宋体" w:hAnsi="宋体"/>
                <w:sz w:val="28"/>
                <w:szCs w:val="28"/>
              </w:rPr>
              <w:t>数量及单位</w:t>
            </w:r>
          </w:p>
        </w:tc>
        <w:tc>
          <w:tcPr>
            <w:tcW w:w="1560" w:type="dxa"/>
          </w:tcPr>
          <w:p w14:paraId="0430EAD1">
            <w:pPr>
              <w:spacing w:line="500" w:lineRule="exact"/>
              <w:jc w:val="center"/>
              <w:rPr>
                <w:rFonts w:ascii="宋体" w:hAnsi="宋体"/>
                <w:sz w:val="28"/>
                <w:szCs w:val="28"/>
              </w:rPr>
            </w:pPr>
            <w:r>
              <w:rPr>
                <w:rFonts w:hint="eastAsia" w:ascii="宋体" w:hAnsi="宋体"/>
                <w:sz w:val="28"/>
                <w:szCs w:val="28"/>
              </w:rPr>
              <w:t>是否属于进口产品</w:t>
            </w:r>
          </w:p>
        </w:tc>
        <w:tc>
          <w:tcPr>
            <w:tcW w:w="850" w:type="dxa"/>
            <w:vAlign w:val="center"/>
          </w:tcPr>
          <w:p w14:paraId="2C7A310F">
            <w:pPr>
              <w:spacing w:line="500" w:lineRule="exact"/>
              <w:jc w:val="center"/>
              <w:rPr>
                <w:rFonts w:ascii="宋体" w:hAnsi="宋体"/>
                <w:sz w:val="28"/>
                <w:szCs w:val="28"/>
              </w:rPr>
            </w:pPr>
            <w:r>
              <w:rPr>
                <w:rFonts w:hint="eastAsia" w:ascii="宋体" w:hAnsi="宋体"/>
                <w:sz w:val="28"/>
                <w:szCs w:val="28"/>
              </w:rPr>
              <w:t>单价</w:t>
            </w:r>
          </w:p>
        </w:tc>
        <w:tc>
          <w:tcPr>
            <w:tcW w:w="1134" w:type="dxa"/>
            <w:vAlign w:val="center"/>
          </w:tcPr>
          <w:p w14:paraId="73919A5B">
            <w:pPr>
              <w:spacing w:line="500" w:lineRule="exact"/>
              <w:jc w:val="center"/>
              <w:rPr>
                <w:rFonts w:ascii="宋体" w:hAnsi="宋体"/>
                <w:sz w:val="28"/>
                <w:szCs w:val="28"/>
              </w:rPr>
            </w:pPr>
            <w:r>
              <w:rPr>
                <w:rFonts w:hint="eastAsia" w:ascii="宋体" w:hAnsi="宋体"/>
                <w:sz w:val="28"/>
                <w:szCs w:val="28"/>
              </w:rPr>
              <w:t>总价</w:t>
            </w:r>
          </w:p>
        </w:tc>
        <w:tc>
          <w:tcPr>
            <w:tcW w:w="992" w:type="dxa"/>
            <w:vAlign w:val="center"/>
          </w:tcPr>
          <w:p w14:paraId="41070B61">
            <w:pPr>
              <w:spacing w:line="500" w:lineRule="exact"/>
              <w:jc w:val="center"/>
              <w:rPr>
                <w:rFonts w:ascii="宋体" w:hAnsi="宋体"/>
                <w:sz w:val="28"/>
                <w:szCs w:val="28"/>
              </w:rPr>
            </w:pPr>
            <w:r>
              <w:rPr>
                <w:rFonts w:hint="eastAsia" w:ascii="宋体" w:hAnsi="宋体"/>
                <w:sz w:val="28"/>
                <w:szCs w:val="28"/>
              </w:rPr>
              <w:t>备注</w:t>
            </w:r>
          </w:p>
        </w:tc>
      </w:tr>
      <w:tr w14:paraId="2B55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188552E8">
            <w:pPr>
              <w:spacing w:line="500" w:lineRule="exact"/>
              <w:rPr>
                <w:rFonts w:ascii="宋体" w:hAnsi="宋体"/>
                <w:sz w:val="28"/>
                <w:szCs w:val="28"/>
              </w:rPr>
            </w:pPr>
            <w:r>
              <w:rPr>
                <w:rFonts w:hint="eastAsia" w:ascii="宋体" w:hAnsi="宋体"/>
                <w:sz w:val="28"/>
                <w:szCs w:val="28"/>
              </w:rPr>
              <w:t>1</w:t>
            </w:r>
          </w:p>
        </w:tc>
        <w:tc>
          <w:tcPr>
            <w:tcW w:w="1045" w:type="dxa"/>
            <w:gridSpan w:val="2"/>
            <w:vAlign w:val="center"/>
          </w:tcPr>
          <w:p w14:paraId="37C5CF87">
            <w:pPr>
              <w:spacing w:line="500" w:lineRule="exact"/>
              <w:rPr>
                <w:rFonts w:ascii="宋体" w:hAnsi="宋体"/>
                <w:sz w:val="28"/>
                <w:szCs w:val="28"/>
              </w:rPr>
            </w:pPr>
          </w:p>
        </w:tc>
        <w:tc>
          <w:tcPr>
            <w:tcW w:w="1365" w:type="dxa"/>
            <w:vAlign w:val="center"/>
          </w:tcPr>
          <w:p w14:paraId="3192BF97">
            <w:pPr>
              <w:spacing w:line="500" w:lineRule="exact"/>
              <w:rPr>
                <w:rFonts w:ascii="宋体" w:hAnsi="宋体"/>
                <w:sz w:val="28"/>
                <w:szCs w:val="28"/>
              </w:rPr>
            </w:pPr>
          </w:p>
        </w:tc>
        <w:tc>
          <w:tcPr>
            <w:tcW w:w="3260" w:type="dxa"/>
            <w:vAlign w:val="center"/>
          </w:tcPr>
          <w:p w14:paraId="0E393920">
            <w:pPr>
              <w:spacing w:line="500" w:lineRule="exact"/>
              <w:rPr>
                <w:rFonts w:ascii="宋体" w:hAnsi="宋体"/>
                <w:sz w:val="28"/>
                <w:szCs w:val="28"/>
              </w:rPr>
            </w:pPr>
          </w:p>
        </w:tc>
        <w:tc>
          <w:tcPr>
            <w:tcW w:w="1701" w:type="dxa"/>
          </w:tcPr>
          <w:p w14:paraId="1D45082F">
            <w:pPr>
              <w:spacing w:line="500" w:lineRule="exact"/>
              <w:rPr>
                <w:rFonts w:ascii="宋体" w:hAnsi="宋体"/>
                <w:sz w:val="28"/>
                <w:szCs w:val="28"/>
              </w:rPr>
            </w:pPr>
          </w:p>
        </w:tc>
        <w:tc>
          <w:tcPr>
            <w:tcW w:w="2268" w:type="dxa"/>
            <w:vAlign w:val="center"/>
          </w:tcPr>
          <w:p w14:paraId="3044BD22">
            <w:pPr>
              <w:spacing w:line="500" w:lineRule="exact"/>
              <w:rPr>
                <w:rFonts w:ascii="宋体" w:hAnsi="宋体"/>
                <w:sz w:val="28"/>
                <w:szCs w:val="28"/>
              </w:rPr>
            </w:pPr>
          </w:p>
        </w:tc>
        <w:tc>
          <w:tcPr>
            <w:tcW w:w="1560" w:type="dxa"/>
          </w:tcPr>
          <w:p w14:paraId="414AAEEF">
            <w:pPr>
              <w:spacing w:line="500" w:lineRule="exact"/>
              <w:rPr>
                <w:rFonts w:ascii="宋体" w:hAnsi="宋体"/>
                <w:sz w:val="28"/>
                <w:szCs w:val="28"/>
              </w:rPr>
            </w:pPr>
          </w:p>
        </w:tc>
        <w:tc>
          <w:tcPr>
            <w:tcW w:w="850" w:type="dxa"/>
            <w:vAlign w:val="center"/>
          </w:tcPr>
          <w:p w14:paraId="40D8A1D2">
            <w:pPr>
              <w:spacing w:line="500" w:lineRule="exact"/>
              <w:rPr>
                <w:rFonts w:ascii="宋体" w:hAnsi="宋体"/>
                <w:sz w:val="28"/>
                <w:szCs w:val="28"/>
              </w:rPr>
            </w:pPr>
          </w:p>
        </w:tc>
        <w:tc>
          <w:tcPr>
            <w:tcW w:w="1134" w:type="dxa"/>
            <w:vAlign w:val="center"/>
          </w:tcPr>
          <w:p w14:paraId="64969C90">
            <w:pPr>
              <w:spacing w:line="500" w:lineRule="exact"/>
              <w:rPr>
                <w:rFonts w:ascii="宋体" w:hAnsi="宋体"/>
                <w:sz w:val="28"/>
                <w:szCs w:val="28"/>
              </w:rPr>
            </w:pPr>
          </w:p>
        </w:tc>
        <w:tc>
          <w:tcPr>
            <w:tcW w:w="992" w:type="dxa"/>
            <w:vAlign w:val="center"/>
          </w:tcPr>
          <w:p w14:paraId="79AF5A9F">
            <w:pPr>
              <w:spacing w:line="500" w:lineRule="exact"/>
              <w:rPr>
                <w:rFonts w:ascii="宋体" w:hAnsi="宋体"/>
                <w:sz w:val="28"/>
                <w:szCs w:val="28"/>
              </w:rPr>
            </w:pPr>
          </w:p>
        </w:tc>
      </w:tr>
      <w:tr w14:paraId="5648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1E1C810A">
            <w:pPr>
              <w:spacing w:line="500" w:lineRule="exact"/>
              <w:rPr>
                <w:rFonts w:ascii="宋体" w:hAnsi="宋体"/>
                <w:sz w:val="28"/>
                <w:szCs w:val="28"/>
              </w:rPr>
            </w:pPr>
            <w:r>
              <w:rPr>
                <w:rFonts w:hint="eastAsia" w:ascii="宋体" w:hAnsi="宋体"/>
                <w:sz w:val="28"/>
                <w:szCs w:val="28"/>
              </w:rPr>
              <w:t>2</w:t>
            </w:r>
          </w:p>
        </w:tc>
        <w:tc>
          <w:tcPr>
            <w:tcW w:w="1045" w:type="dxa"/>
            <w:gridSpan w:val="2"/>
            <w:vAlign w:val="center"/>
          </w:tcPr>
          <w:p w14:paraId="3C410628">
            <w:pPr>
              <w:spacing w:line="500" w:lineRule="exact"/>
              <w:rPr>
                <w:rFonts w:ascii="宋体" w:hAnsi="宋体"/>
                <w:sz w:val="28"/>
                <w:szCs w:val="28"/>
              </w:rPr>
            </w:pPr>
          </w:p>
        </w:tc>
        <w:tc>
          <w:tcPr>
            <w:tcW w:w="1365" w:type="dxa"/>
            <w:vAlign w:val="center"/>
          </w:tcPr>
          <w:p w14:paraId="36A3865D">
            <w:pPr>
              <w:spacing w:line="500" w:lineRule="exact"/>
              <w:rPr>
                <w:rFonts w:ascii="宋体" w:hAnsi="宋体"/>
                <w:sz w:val="28"/>
                <w:szCs w:val="28"/>
              </w:rPr>
            </w:pPr>
          </w:p>
        </w:tc>
        <w:tc>
          <w:tcPr>
            <w:tcW w:w="3260" w:type="dxa"/>
            <w:vAlign w:val="center"/>
          </w:tcPr>
          <w:p w14:paraId="08E345F4">
            <w:pPr>
              <w:spacing w:line="500" w:lineRule="exact"/>
              <w:rPr>
                <w:rFonts w:ascii="宋体" w:hAnsi="宋体"/>
                <w:sz w:val="28"/>
                <w:szCs w:val="28"/>
              </w:rPr>
            </w:pPr>
          </w:p>
        </w:tc>
        <w:tc>
          <w:tcPr>
            <w:tcW w:w="1701" w:type="dxa"/>
          </w:tcPr>
          <w:p w14:paraId="2ED5A5C2">
            <w:pPr>
              <w:spacing w:line="500" w:lineRule="exact"/>
              <w:rPr>
                <w:rFonts w:ascii="宋体" w:hAnsi="宋体"/>
                <w:sz w:val="28"/>
                <w:szCs w:val="28"/>
              </w:rPr>
            </w:pPr>
          </w:p>
        </w:tc>
        <w:tc>
          <w:tcPr>
            <w:tcW w:w="2268" w:type="dxa"/>
            <w:vAlign w:val="center"/>
          </w:tcPr>
          <w:p w14:paraId="3DAE7549">
            <w:pPr>
              <w:spacing w:line="500" w:lineRule="exact"/>
              <w:rPr>
                <w:rFonts w:ascii="宋体" w:hAnsi="宋体"/>
                <w:sz w:val="28"/>
                <w:szCs w:val="28"/>
              </w:rPr>
            </w:pPr>
          </w:p>
        </w:tc>
        <w:tc>
          <w:tcPr>
            <w:tcW w:w="1560" w:type="dxa"/>
          </w:tcPr>
          <w:p w14:paraId="67900CFD">
            <w:pPr>
              <w:spacing w:line="500" w:lineRule="exact"/>
              <w:rPr>
                <w:rFonts w:ascii="宋体" w:hAnsi="宋体"/>
                <w:sz w:val="28"/>
                <w:szCs w:val="28"/>
              </w:rPr>
            </w:pPr>
          </w:p>
        </w:tc>
        <w:tc>
          <w:tcPr>
            <w:tcW w:w="850" w:type="dxa"/>
            <w:vAlign w:val="center"/>
          </w:tcPr>
          <w:p w14:paraId="62E7DA60">
            <w:pPr>
              <w:spacing w:line="500" w:lineRule="exact"/>
              <w:rPr>
                <w:rFonts w:ascii="宋体" w:hAnsi="宋体"/>
                <w:sz w:val="28"/>
                <w:szCs w:val="28"/>
              </w:rPr>
            </w:pPr>
          </w:p>
        </w:tc>
        <w:tc>
          <w:tcPr>
            <w:tcW w:w="1134" w:type="dxa"/>
            <w:vAlign w:val="center"/>
          </w:tcPr>
          <w:p w14:paraId="604CFE0F">
            <w:pPr>
              <w:spacing w:line="500" w:lineRule="exact"/>
              <w:rPr>
                <w:rFonts w:ascii="宋体" w:hAnsi="宋体"/>
                <w:sz w:val="28"/>
                <w:szCs w:val="28"/>
              </w:rPr>
            </w:pPr>
          </w:p>
        </w:tc>
        <w:tc>
          <w:tcPr>
            <w:tcW w:w="992" w:type="dxa"/>
            <w:vAlign w:val="center"/>
          </w:tcPr>
          <w:p w14:paraId="504C8435">
            <w:pPr>
              <w:spacing w:line="500" w:lineRule="exact"/>
              <w:rPr>
                <w:rFonts w:ascii="宋体" w:hAnsi="宋体"/>
                <w:sz w:val="28"/>
                <w:szCs w:val="28"/>
              </w:rPr>
            </w:pPr>
          </w:p>
        </w:tc>
      </w:tr>
      <w:tr w14:paraId="330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561B1583">
            <w:pPr>
              <w:spacing w:line="500" w:lineRule="exact"/>
              <w:rPr>
                <w:rFonts w:ascii="宋体" w:hAnsi="宋体"/>
                <w:sz w:val="28"/>
                <w:szCs w:val="28"/>
              </w:rPr>
            </w:pPr>
            <w:r>
              <w:rPr>
                <w:rFonts w:ascii="宋体" w:hAnsi="宋体"/>
                <w:sz w:val="28"/>
                <w:szCs w:val="28"/>
              </w:rPr>
              <w:t>…</w:t>
            </w:r>
          </w:p>
        </w:tc>
        <w:tc>
          <w:tcPr>
            <w:tcW w:w="1045" w:type="dxa"/>
            <w:gridSpan w:val="2"/>
            <w:vAlign w:val="center"/>
          </w:tcPr>
          <w:p w14:paraId="30B8D9AE">
            <w:pPr>
              <w:spacing w:line="500" w:lineRule="exact"/>
              <w:rPr>
                <w:rFonts w:ascii="宋体" w:hAnsi="宋体"/>
                <w:sz w:val="28"/>
                <w:szCs w:val="28"/>
              </w:rPr>
            </w:pPr>
          </w:p>
        </w:tc>
        <w:tc>
          <w:tcPr>
            <w:tcW w:w="1365" w:type="dxa"/>
            <w:vAlign w:val="center"/>
          </w:tcPr>
          <w:p w14:paraId="64534710">
            <w:pPr>
              <w:spacing w:line="500" w:lineRule="exact"/>
              <w:rPr>
                <w:rFonts w:ascii="宋体" w:hAnsi="宋体"/>
                <w:sz w:val="28"/>
                <w:szCs w:val="28"/>
              </w:rPr>
            </w:pPr>
          </w:p>
        </w:tc>
        <w:tc>
          <w:tcPr>
            <w:tcW w:w="3260" w:type="dxa"/>
            <w:vAlign w:val="center"/>
          </w:tcPr>
          <w:p w14:paraId="38891A0D">
            <w:pPr>
              <w:spacing w:line="500" w:lineRule="exact"/>
              <w:rPr>
                <w:rFonts w:ascii="宋体" w:hAnsi="宋体"/>
                <w:sz w:val="28"/>
                <w:szCs w:val="28"/>
              </w:rPr>
            </w:pPr>
          </w:p>
        </w:tc>
        <w:tc>
          <w:tcPr>
            <w:tcW w:w="1701" w:type="dxa"/>
          </w:tcPr>
          <w:p w14:paraId="63E1B8A5">
            <w:pPr>
              <w:spacing w:line="500" w:lineRule="exact"/>
              <w:rPr>
                <w:rFonts w:ascii="宋体" w:hAnsi="宋体"/>
                <w:sz w:val="28"/>
                <w:szCs w:val="28"/>
              </w:rPr>
            </w:pPr>
          </w:p>
        </w:tc>
        <w:tc>
          <w:tcPr>
            <w:tcW w:w="2268" w:type="dxa"/>
            <w:vAlign w:val="center"/>
          </w:tcPr>
          <w:p w14:paraId="2D2123CD">
            <w:pPr>
              <w:spacing w:line="500" w:lineRule="exact"/>
              <w:rPr>
                <w:rFonts w:ascii="宋体" w:hAnsi="宋体"/>
                <w:sz w:val="28"/>
                <w:szCs w:val="28"/>
              </w:rPr>
            </w:pPr>
          </w:p>
        </w:tc>
        <w:tc>
          <w:tcPr>
            <w:tcW w:w="1560" w:type="dxa"/>
          </w:tcPr>
          <w:p w14:paraId="305A5264">
            <w:pPr>
              <w:spacing w:line="500" w:lineRule="exact"/>
              <w:rPr>
                <w:rFonts w:ascii="宋体" w:hAnsi="宋体"/>
                <w:sz w:val="28"/>
                <w:szCs w:val="28"/>
              </w:rPr>
            </w:pPr>
          </w:p>
        </w:tc>
        <w:tc>
          <w:tcPr>
            <w:tcW w:w="850" w:type="dxa"/>
            <w:vAlign w:val="center"/>
          </w:tcPr>
          <w:p w14:paraId="5A804CD6">
            <w:pPr>
              <w:spacing w:line="500" w:lineRule="exact"/>
              <w:rPr>
                <w:rFonts w:ascii="宋体" w:hAnsi="宋体"/>
                <w:sz w:val="28"/>
                <w:szCs w:val="28"/>
              </w:rPr>
            </w:pPr>
          </w:p>
        </w:tc>
        <w:tc>
          <w:tcPr>
            <w:tcW w:w="1134" w:type="dxa"/>
            <w:vAlign w:val="center"/>
          </w:tcPr>
          <w:p w14:paraId="27AB19C4">
            <w:pPr>
              <w:spacing w:line="500" w:lineRule="exact"/>
              <w:rPr>
                <w:rFonts w:ascii="宋体" w:hAnsi="宋体"/>
                <w:sz w:val="28"/>
                <w:szCs w:val="28"/>
              </w:rPr>
            </w:pPr>
          </w:p>
        </w:tc>
        <w:tc>
          <w:tcPr>
            <w:tcW w:w="992" w:type="dxa"/>
            <w:vAlign w:val="center"/>
          </w:tcPr>
          <w:p w14:paraId="2590FFAE">
            <w:pPr>
              <w:spacing w:line="500" w:lineRule="exact"/>
              <w:rPr>
                <w:rFonts w:ascii="宋体" w:hAnsi="宋体"/>
                <w:sz w:val="28"/>
                <w:szCs w:val="28"/>
              </w:rPr>
            </w:pPr>
          </w:p>
        </w:tc>
      </w:tr>
      <w:tr w14:paraId="1836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69" w:type="dxa"/>
            <w:gridSpan w:val="2"/>
            <w:tcBorders>
              <w:top w:val="single" w:color="auto" w:sz="4" w:space="0"/>
              <w:bottom w:val="single" w:color="auto" w:sz="4" w:space="0"/>
            </w:tcBorders>
          </w:tcPr>
          <w:p w14:paraId="174B7912">
            <w:pPr>
              <w:spacing w:line="500" w:lineRule="exact"/>
              <w:rPr>
                <w:rFonts w:ascii="宋体" w:hAnsi="宋体"/>
                <w:sz w:val="28"/>
                <w:szCs w:val="28"/>
              </w:rPr>
            </w:pPr>
          </w:p>
        </w:tc>
        <w:tc>
          <w:tcPr>
            <w:tcW w:w="13681" w:type="dxa"/>
            <w:gridSpan w:val="9"/>
            <w:tcBorders>
              <w:top w:val="single" w:color="auto" w:sz="4" w:space="0"/>
              <w:bottom w:val="single" w:color="auto" w:sz="4" w:space="0"/>
            </w:tcBorders>
            <w:vAlign w:val="center"/>
          </w:tcPr>
          <w:p w14:paraId="14FCCA9E">
            <w:pPr>
              <w:spacing w:line="500" w:lineRule="exact"/>
              <w:rPr>
                <w:rFonts w:ascii="宋体" w:hAnsi="宋体"/>
                <w:sz w:val="28"/>
                <w:szCs w:val="28"/>
              </w:rPr>
            </w:pPr>
            <w:r>
              <w:rPr>
                <w:rFonts w:hint="eastAsia" w:ascii="宋体" w:hAnsi="宋体"/>
                <w:sz w:val="28"/>
                <w:szCs w:val="28"/>
              </w:rPr>
              <w:t>分项报价合计（元）：￥</w:t>
            </w:r>
            <w:r>
              <w:rPr>
                <w:rFonts w:hint="eastAsia" w:ascii="宋体" w:hAnsi="宋体"/>
                <w:sz w:val="28"/>
                <w:szCs w:val="28"/>
                <w:u w:val="single"/>
              </w:rPr>
              <w:t xml:space="preserve"> 　</w:t>
            </w:r>
            <w:r>
              <w:rPr>
                <w:rFonts w:ascii="宋体" w:hAnsi="宋体"/>
                <w:sz w:val="28"/>
                <w:szCs w:val="28"/>
                <w:u w:val="single"/>
              </w:rPr>
              <w:t>　　　　　　　</w:t>
            </w:r>
            <w:r>
              <w:rPr>
                <w:rFonts w:ascii="宋体" w:hAnsi="宋体"/>
                <w:sz w:val="28"/>
                <w:szCs w:val="28"/>
              </w:rPr>
              <w:t>　</w:t>
            </w:r>
            <w:r>
              <w:rPr>
                <w:rFonts w:hint="eastAsia" w:ascii="宋体" w:hAnsi="宋体"/>
                <w:sz w:val="28"/>
                <w:szCs w:val="28"/>
              </w:rPr>
              <w:t xml:space="preserve">  大写：</w:t>
            </w:r>
            <w:r>
              <w:rPr>
                <w:rFonts w:hint="eastAsia" w:ascii="宋体" w:hAnsi="宋体"/>
                <w:sz w:val="28"/>
                <w:szCs w:val="28"/>
                <w:u w:val="single"/>
              </w:rPr>
              <w:t>　</w:t>
            </w:r>
            <w:r>
              <w:rPr>
                <w:rFonts w:ascii="宋体" w:hAnsi="宋体"/>
                <w:sz w:val="28"/>
                <w:szCs w:val="28"/>
                <w:u w:val="single"/>
              </w:rPr>
              <w:t>　　　　　　　　　　　　　　</w:t>
            </w:r>
          </w:p>
        </w:tc>
      </w:tr>
    </w:tbl>
    <w:p w14:paraId="765158BA">
      <w:pPr>
        <w:spacing w:line="500" w:lineRule="exact"/>
        <w:rPr>
          <w:rFonts w:ascii="宋体" w:hAnsi="宋体"/>
          <w:sz w:val="28"/>
          <w:szCs w:val="28"/>
        </w:rPr>
      </w:pPr>
      <w:r>
        <w:rPr>
          <w:rFonts w:hint="eastAsia" w:ascii="宋体" w:hAnsi="宋体"/>
          <w:sz w:val="28"/>
          <w:szCs w:val="28"/>
        </w:rPr>
        <w:t>注：1、投标人必须按“分项报价明细表”的格式详细报出投标总价的各个组成部分的报价，否则作无效处理。</w:t>
      </w:r>
    </w:p>
    <w:p w14:paraId="1871B314">
      <w:pPr>
        <w:spacing w:line="500" w:lineRule="exact"/>
        <w:ind w:firstLine="480"/>
        <w:rPr>
          <w:rFonts w:ascii="宋体" w:hAnsi="宋体"/>
          <w:sz w:val="28"/>
          <w:szCs w:val="28"/>
        </w:rPr>
      </w:pPr>
      <w:r>
        <w:rPr>
          <w:rFonts w:hint="eastAsia" w:ascii="宋体" w:hAnsi="宋体"/>
          <w:sz w:val="28"/>
          <w:szCs w:val="28"/>
        </w:rPr>
        <w:t>2、“分项报价明细表”各分项报价合计应当与“报价汇总表”投标总报价相等。</w:t>
      </w:r>
    </w:p>
    <w:p w14:paraId="4674D421">
      <w:pPr>
        <w:spacing w:line="500" w:lineRule="exact"/>
        <w:ind w:firstLine="480"/>
        <w:rPr>
          <w:rFonts w:ascii="宋体" w:hAnsi="宋体"/>
          <w:sz w:val="28"/>
          <w:szCs w:val="28"/>
        </w:rPr>
      </w:pPr>
      <w:r>
        <w:rPr>
          <w:rFonts w:hint="eastAsia" w:ascii="宋体" w:hAnsi="宋体"/>
          <w:sz w:val="28"/>
          <w:szCs w:val="28"/>
        </w:rPr>
        <w:t>3、“分项报价明细表”以包为单位填写。</w:t>
      </w:r>
    </w:p>
    <w:p w14:paraId="469C04CE">
      <w:pPr>
        <w:spacing w:line="500" w:lineRule="exact"/>
        <w:ind w:firstLine="4620" w:firstLineChars="1650"/>
        <w:jc w:val="left"/>
        <w:rPr>
          <w:rFonts w:ascii="宋体" w:hAnsi="宋体"/>
          <w:sz w:val="28"/>
          <w:szCs w:val="28"/>
        </w:rPr>
      </w:pPr>
      <w:r>
        <w:rPr>
          <w:rFonts w:hint="eastAsia" w:ascii="宋体" w:hAnsi="宋体"/>
          <w:sz w:val="28"/>
          <w:szCs w:val="28"/>
        </w:rPr>
        <w:t>投标人全称：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2D56EB95">
      <w:pPr>
        <w:spacing w:line="500" w:lineRule="exact"/>
        <w:ind w:firstLine="5460" w:firstLineChars="1950"/>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0098CD7F">
      <w:pPr>
        <w:spacing w:line="500" w:lineRule="exact"/>
        <w:ind w:firstLine="5880" w:firstLineChars="2100"/>
        <w:jc w:val="left"/>
        <w:rPr>
          <w:rFonts w:ascii="宋体" w:hAnsi="宋体"/>
          <w:sz w:val="28"/>
          <w:szCs w:val="28"/>
        </w:rPr>
        <w:sectPr>
          <w:pgSz w:w="16838" w:h="11906" w:orient="landscape"/>
          <w:pgMar w:top="1797" w:right="1440" w:bottom="1797" w:left="1440" w:header="851" w:footer="992" w:gutter="0"/>
          <w:pgNumType w:fmt="decimal"/>
          <w:cols w:space="720" w:num="1"/>
          <w:docGrid w:linePitch="312" w:charSpace="0"/>
        </w:sect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07197855">
      <w:pPr>
        <w:spacing w:line="360" w:lineRule="auto"/>
        <w:ind w:right="480"/>
        <w:rPr>
          <w:rFonts w:ascii="宋体" w:hAnsi="宋体"/>
          <w:b/>
          <w:w w:val="90"/>
          <w:sz w:val="28"/>
          <w:szCs w:val="28"/>
        </w:rPr>
      </w:pPr>
      <w:bookmarkStart w:id="985" w:name="_Toc351825742"/>
      <w:bookmarkStart w:id="986" w:name="_Toc364060598"/>
      <w:bookmarkStart w:id="987" w:name="_Toc351729522"/>
      <w:bookmarkStart w:id="988" w:name="_Toc380508343"/>
      <w:bookmarkStart w:id="989" w:name="_Toc360693057"/>
      <w:bookmarkStart w:id="990" w:name="_Toc376959864"/>
      <w:bookmarkStart w:id="991" w:name="_Toc368908759"/>
      <w:bookmarkStart w:id="992" w:name="_Toc351729324"/>
      <w:bookmarkStart w:id="993" w:name="_Toc368916145"/>
      <w:bookmarkStart w:id="994" w:name="_Toc357011229"/>
      <w:bookmarkStart w:id="995" w:name="_Toc350875095"/>
      <w:bookmarkStart w:id="996" w:name="_Toc350948711"/>
      <w:bookmarkStart w:id="997" w:name="_Toc357011048"/>
      <w:bookmarkStart w:id="998" w:name="_Toc352764424"/>
      <w:bookmarkStart w:id="999" w:name="_Toc377399292"/>
      <w:bookmarkStart w:id="1000" w:name="_Toc364270472"/>
      <w:bookmarkStart w:id="1001" w:name="_Toc350959093"/>
      <w:bookmarkStart w:id="1002" w:name="_Toc377399215"/>
      <w:bookmarkStart w:id="1003" w:name="_Toc365441782"/>
      <w:bookmarkStart w:id="1004" w:name="_Toc350876193"/>
      <w:bookmarkStart w:id="1005" w:name="_Toc380508408"/>
      <w:bookmarkStart w:id="1006" w:name="_Toc351736529"/>
      <w:bookmarkStart w:id="1007" w:name="_Toc351825627"/>
      <w:bookmarkStart w:id="1008" w:name="_Toc368821484"/>
      <w:bookmarkStart w:id="1009" w:name="_Toc369881193"/>
      <w:bookmarkStart w:id="1010" w:name="_Toc365635565"/>
      <w:bookmarkStart w:id="1011" w:name="_Toc372025657"/>
      <w:bookmarkStart w:id="1012" w:name="_Toc368303251"/>
      <w:bookmarkStart w:id="1013" w:name="_Toc350848798"/>
      <w:bookmarkStart w:id="1014" w:name="_Toc368741318"/>
      <w:bookmarkStart w:id="1015" w:name="_Toc350959024"/>
      <w:bookmarkStart w:id="1016" w:name="_Toc350948772"/>
      <w:bookmarkStart w:id="1017" w:name="_Toc351729183"/>
      <w:bookmarkStart w:id="1018" w:name="OLE_LINK23"/>
      <w:bookmarkStart w:id="1019" w:name="_Toc370199662"/>
      <w:bookmarkStart w:id="1020" w:name="_Toc352764400"/>
      <w:bookmarkStart w:id="1021" w:name="_Toc350876074"/>
      <w:bookmarkStart w:id="1022" w:name="_Toc375820518"/>
      <w:bookmarkStart w:id="1023" w:name="_Toc349390077"/>
      <w:bookmarkStart w:id="1024" w:name="_Toc371947298"/>
      <w:bookmarkStart w:id="1025" w:name="_Toc365558474"/>
      <w:bookmarkStart w:id="1026" w:name="_Toc377399347"/>
      <w:bookmarkStart w:id="1027" w:name="_Toc351736414"/>
      <w:bookmarkStart w:id="1028" w:name="OLE_LINK22"/>
      <w:bookmarkStart w:id="1029" w:name="_Toc397604099"/>
      <w:bookmarkStart w:id="1030" w:name="_Toc365448903"/>
      <w:bookmarkStart w:id="1031" w:name="_Toc365612249"/>
      <w:bookmarkStart w:id="1032" w:name="_Toc349743947"/>
      <w:bookmarkStart w:id="1033" w:name="OLE_LINK21"/>
      <w:bookmarkStart w:id="1034" w:name="_Toc350948678"/>
      <w:bookmarkStart w:id="1035" w:name="_Toc367280542"/>
      <w:bookmarkStart w:id="1036" w:name="_Toc350848940"/>
      <w:bookmarkStart w:id="1037" w:name="_Toc351736499"/>
      <w:bookmarkStart w:id="1038" w:name="_Toc375820456"/>
      <w:bookmarkStart w:id="1039" w:name="_Toc361236037"/>
      <w:bookmarkStart w:id="1040" w:name="_Toc368302121"/>
      <w:r>
        <w:rPr>
          <w:rFonts w:hint="eastAsia" w:ascii="Arial" w:hAnsi="Arial" w:eastAsia="黑体"/>
          <w:b/>
          <w:bCs/>
          <w:sz w:val="32"/>
          <w:szCs w:val="32"/>
          <w:lang w:val="en-US" w:eastAsia="zh-CN"/>
        </w:rPr>
        <w:t>三</w:t>
      </w:r>
      <w:r>
        <w:rPr>
          <w:rFonts w:ascii="Arial" w:hAnsi="Arial" w:eastAsia="黑体"/>
          <w:b/>
          <w:bCs/>
          <w:sz w:val="32"/>
          <w:szCs w:val="32"/>
        </w:rPr>
        <w:t>、</w:t>
      </w:r>
      <w:r>
        <w:rPr>
          <w:rFonts w:hint="eastAsia" w:ascii="Arial" w:hAnsi="Arial" w:eastAsia="黑体"/>
          <w:b/>
          <w:bCs/>
          <w:sz w:val="32"/>
          <w:szCs w:val="32"/>
        </w:rPr>
        <w:t>环境标志产品明细表</w:t>
      </w:r>
      <w:r>
        <w:rPr>
          <w:rFonts w:hint="eastAsia" w:ascii="Arial" w:hAnsi="Arial" w:eastAsia="黑体"/>
          <w:b/>
          <w:bCs/>
          <w:color w:val="FF0000"/>
          <w:sz w:val="32"/>
          <w:szCs w:val="32"/>
        </w:rPr>
        <w:t>（</w:t>
      </w:r>
      <w:r>
        <w:rPr>
          <w:rFonts w:hint="eastAsia" w:ascii="Arial" w:hAnsi="Arial" w:eastAsia="黑体"/>
          <w:b/>
          <w:bCs/>
          <w:color w:val="FF0000"/>
          <w:w w:val="90"/>
          <w:sz w:val="32"/>
          <w:szCs w:val="32"/>
        </w:rPr>
        <w:t>根据项目要求需要是否保留本表）</w:t>
      </w:r>
    </w:p>
    <w:p w14:paraId="0CCE1026">
      <w:pPr>
        <w:spacing w:line="360" w:lineRule="auto"/>
        <w:ind w:right="-52"/>
        <w:rPr>
          <w:rFonts w:ascii="宋体" w:hAnsi="宋体"/>
          <w:b/>
          <w:color w:val="000000"/>
          <w:sz w:val="24"/>
        </w:rPr>
      </w:pPr>
      <w:r>
        <w:rPr>
          <w:rFonts w:hint="eastAsia"/>
          <w:color w:val="FF0000"/>
          <w:sz w:val="24"/>
          <w:lang w:eastAsia="zh-CN"/>
        </w:rPr>
        <w:t>采购计划文号</w:t>
      </w:r>
      <w:r>
        <w:rPr>
          <w:rFonts w:hint="eastAsia"/>
          <w:color w:val="FF0000"/>
          <w:sz w:val="24"/>
        </w:rPr>
        <w:t>：</w:t>
      </w:r>
      <w:r>
        <w:rPr>
          <w:rFonts w:hint="eastAsia"/>
          <w:sz w:val="24"/>
          <w:u w:val="single"/>
        </w:rPr>
        <w:t xml:space="preserve">                     </w:t>
      </w:r>
      <w:r>
        <w:rPr>
          <w:rFonts w:hint="eastAsia"/>
          <w:sz w:val="24"/>
        </w:rPr>
        <w:t xml:space="preserve">        </w:t>
      </w:r>
      <w:r>
        <w:rPr>
          <w:rFonts w:hint="eastAsia" w:ascii="宋体" w:hAnsi="宋体"/>
          <w:color w:val="000000"/>
          <w:sz w:val="24"/>
        </w:rPr>
        <w:t>价格单位；</w:t>
      </w:r>
      <w:r>
        <w:rPr>
          <w:rFonts w:hint="eastAsia" w:ascii="宋体" w:hAnsi="宋体"/>
          <w:color w:val="000000"/>
          <w:sz w:val="24"/>
          <w:u w:val="single"/>
        </w:rPr>
        <w:t xml:space="preserve">        </w:t>
      </w:r>
    </w:p>
    <w:tbl>
      <w:tblPr>
        <w:tblStyle w:val="58"/>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31"/>
        <w:gridCol w:w="1331"/>
        <w:gridCol w:w="1331"/>
        <w:gridCol w:w="1331"/>
        <w:gridCol w:w="1791"/>
        <w:gridCol w:w="1830"/>
        <w:gridCol w:w="955"/>
      </w:tblGrid>
      <w:tr w14:paraId="54FF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12" w:space="0"/>
              <w:left w:val="single" w:color="auto" w:sz="12" w:space="0"/>
            </w:tcBorders>
            <w:vAlign w:val="center"/>
          </w:tcPr>
          <w:p w14:paraId="14B3FF31">
            <w:pPr>
              <w:spacing w:line="360" w:lineRule="auto"/>
              <w:jc w:val="center"/>
              <w:rPr>
                <w:rFonts w:ascii="宋体" w:hAnsi="宋体"/>
                <w:color w:val="000000"/>
                <w:sz w:val="24"/>
              </w:rPr>
            </w:pPr>
            <w:r>
              <w:rPr>
                <w:rFonts w:hint="eastAsia" w:ascii="宋体" w:hAnsi="宋体"/>
                <w:color w:val="000000"/>
                <w:sz w:val="24"/>
              </w:rPr>
              <w:t>序号</w:t>
            </w:r>
          </w:p>
        </w:tc>
        <w:tc>
          <w:tcPr>
            <w:tcW w:w="1331" w:type="dxa"/>
            <w:tcBorders>
              <w:top w:val="single" w:color="auto" w:sz="12" w:space="0"/>
            </w:tcBorders>
            <w:vAlign w:val="center"/>
          </w:tcPr>
          <w:p w14:paraId="34973132">
            <w:pPr>
              <w:tabs>
                <w:tab w:val="left" w:pos="60"/>
                <w:tab w:val="center" w:pos="4777"/>
              </w:tabs>
              <w:spacing w:line="360" w:lineRule="auto"/>
              <w:jc w:val="center"/>
              <w:rPr>
                <w:rFonts w:ascii="宋体" w:hAnsi="宋体"/>
                <w:color w:val="000000"/>
                <w:sz w:val="24"/>
              </w:rPr>
            </w:pPr>
            <w:r>
              <w:rPr>
                <w:rFonts w:hint="eastAsia" w:ascii="宋体" w:hAnsi="宋体"/>
                <w:color w:val="000000"/>
                <w:sz w:val="24"/>
              </w:rPr>
              <w:t>产品名称</w:t>
            </w:r>
          </w:p>
        </w:tc>
        <w:tc>
          <w:tcPr>
            <w:tcW w:w="1331" w:type="dxa"/>
            <w:tcBorders>
              <w:top w:val="single" w:color="auto" w:sz="12" w:space="0"/>
            </w:tcBorders>
            <w:vAlign w:val="center"/>
          </w:tcPr>
          <w:p w14:paraId="749F861E">
            <w:pPr>
              <w:spacing w:line="360" w:lineRule="auto"/>
              <w:ind w:right="10" w:rightChars="5"/>
              <w:jc w:val="center"/>
              <w:rPr>
                <w:rFonts w:ascii="宋体" w:hAnsi="宋体"/>
                <w:color w:val="000000"/>
                <w:sz w:val="24"/>
              </w:rPr>
            </w:pPr>
            <w:r>
              <w:rPr>
                <w:rFonts w:hint="eastAsia" w:ascii="宋体" w:hAnsi="宋体"/>
                <w:color w:val="000000"/>
                <w:sz w:val="24"/>
              </w:rPr>
              <w:t>企业名称</w:t>
            </w:r>
          </w:p>
        </w:tc>
        <w:tc>
          <w:tcPr>
            <w:tcW w:w="1331" w:type="dxa"/>
            <w:tcBorders>
              <w:top w:val="single" w:color="auto" w:sz="12" w:space="0"/>
            </w:tcBorders>
            <w:vAlign w:val="center"/>
          </w:tcPr>
          <w:p w14:paraId="02395D23">
            <w:pPr>
              <w:spacing w:line="360" w:lineRule="auto"/>
              <w:jc w:val="center"/>
              <w:rPr>
                <w:rFonts w:ascii="宋体" w:hAnsi="宋体"/>
                <w:color w:val="000000"/>
                <w:sz w:val="24"/>
              </w:rPr>
            </w:pPr>
            <w:r>
              <w:rPr>
                <w:rFonts w:hint="eastAsia" w:ascii="宋体" w:hAnsi="宋体"/>
                <w:color w:val="000000"/>
                <w:sz w:val="24"/>
              </w:rPr>
              <w:t>注册商标</w:t>
            </w:r>
          </w:p>
        </w:tc>
        <w:tc>
          <w:tcPr>
            <w:tcW w:w="1331" w:type="dxa"/>
            <w:tcBorders>
              <w:top w:val="single" w:color="auto" w:sz="12" w:space="0"/>
            </w:tcBorders>
            <w:vAlign w:val="center"/>
          </w:tcPr>
          <w:p w14:paraId="5217CDBC">
            <w:pPr>
              <w:spacing w:line="360" w:lineRule="auto"/>
              <w:ind w:right="-19" w:rightChars="-9"/>
              <w:jc w:val="center"/>
              <w:rPr>
                <w:rFonts w:ascii="宋体" w:hAnsi="宋体"/>
                <w:color w:val="000000"/>
                <w:sz w:val="24"/>
              </w:rPr>
            </w:pPr>
            <w:r>
              <w:rPr>
                <w:rFonts w:hint="eastAsia" w:ascii="宋体" w:hAnsi="宋体"/>
                <w:color w:val="000000"/>
                <w:sz w:val="24"/>
              </w:rPr>
              <w:t>规格型号</w:t>
            </w:r>
          </w:p>
        </w:tc>
        <w:tc>
          <w:tcPr>
            <w:tcW w:w="1791" w:type="dxa"/>
            <w:tcBorders>
              <w:top w:val="single" w:color="auto" w:sz="12" w:space="0"/>
            </w:tcBorders>
            <w:vAlign w:val="center"/>
          </w:tcPr>
          <w:p w14:paraId="16413A7E">
            <w:pPr>
              <w:spacing w:line="360" w:lineRule="auto"/>
              <w:jc w:val="center"/>
              <w:rPr>
                <w:rFonts w:ascii="宋体" w:hAnsi="宋体"/>
                <w:color w:val="000000"/>
                <w:sz w:val="24"/>
              </w:rPr>
            </w:pPr>
            <w:r>
              <w:rPr>
                <w:rFonts w:hint="eastAsia" w:ascii="宋体" w:hAnsi="宋体"/>
                <w:color w:val="000000"/>
                <w:sz w:val="24"/>
              </w:rPr>
              <w:t>中国环境标志认证证书编号</w:t>
            </w:r>
          </w:p>
        </w:tc>
        <w:tc>
          <w:tcPr>
            <w:tcW w:w="1830" w:type="dxa"/>
            <w:tcBorders>
              <w:top w:val="single" w:color="auto" w:sz="12" w:space="0"/>
            </w:tcBorders>
            <w:vAlign w:val="center"/>
          </w:tcPr>
          <w:p w14:paraId="324A2659">
            <w:pPr>
              <w:spacing w:line="360" w:lineRule="auto"/>
              <w:jc w:val="center"/>
              <w:rPr>
                <w:rFonts w:ascii="宋体" w:hAnsi="宋体"/>
                <w:color w:val="000000"/>
                <w:sz w:val="24"/>
              </w:rPr>
            </w:pPr>
            <w:r>
              <w:rPr>
                <w:rFonts w:hint="eastAsia" w:ascii="宋体" w:hAnsi="宋体"/>
                <w:color w:val="000000"/>
                <w:sz w:val="24"/>
              </w:rPr>
              <w:t>认证证书有效截止日期</w:t>
            </w:r>
          </w:p>
        </w:tc>
        <w:tc>
          <w:tcPr>
            <w:tcW w:w="955" w:type="dxa"/>
            <w:tcBorders>
              <w:top w:val="single" w:color="auto" w:sz="12" w:space="0"/>
              <w:right w:val="single" w:color="auto" w:sz="12" w:space="0"/>
            </w:tcBorders>
            <w:vAlign w:val="center"/>
          </w:tcPr>
          <w:p w14:paraId="4992AC64">
            <w:pPr>
              <w:spacing w:line="360" w:lineRule="auto"/>
              <w:jc w:val="center"/>
              <w:rPr>
                <w:rFonts w:ascii="宋体" w:hAnsi="宋体"/>
                <w:color w:val="000000"/>
                <w:sz w:val="24"/>
              </w:rPr>
            </w:pPr>
            <w:r>
              <w:rPr>
                <w:rFonts w:hint="eastAsia" w:ascii="宋体" w:hAnsi="宋体"/>
                <w:color w:val="000000"/>
                <w:sz w:val="24"/>
              </w:rPr>
              <w:t>价格</w:t>
            </w:r>
          </w:p>
        </w:tc>
      </w:tr>
      <w:tr w14:paraId="2901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6217A088">
            <w:pPr>
              <w:spacing w:line="360" w:lineRule="auto"/>
              <w:jc w:val="center"/>
              <w:rPr>
                <w:rFonts w:ascii="宋体" w:hAnsi="宋体"/>
                <w:color w:val="000000"/>
                <w:sz w:val="24"/>
              </w:rPr>
            </w:pPr>
            <w:r>
              <w:rPr>
                <w:rFonts w:hint="eastAsia" w:ascii="宋体" w:hAnsi="宋体"/>
                <w:color w:val="000000"/>
                <w:sz w:val="24"/>
              </w:rPr>
              <w:t>1</w:t>
            </w:r>
          </w:p>
        </w:tc>
        <w:tc>
          <w:tcPr>
            <w:tcW w:w="1331" w:type="dxa"/>
            <w:vAlign w:val="center"/>
          </w:tcPr>
          <w:p w14:paraId="4810650D">
            <w:pPr>
              <w:spacing w:line="360" w:lineRule="auto"/>
              <w:jc w:val="center"/>
              <w:rPr>
                <w:rFonts w:ascii="宋体" w:hAnsi="宋体"/>
                <w:color w:val="000000"/>
                <w:sz w:val="24"/>
              </w:rPr>
            </w:pPr>
          </w:p>
        </w:tc>
        <w:tc>
          <w:tcPr>
            <w:tcW w:w="1331" w:type="dxa"/>
            <w:vAlign w:val="center"/>
          </w:tcPr>
          <w:p w14:paraId="368F35FD">
            <w:pPr>
              <w:spacing w:line="360" w:lineRule="auto"/>
              <w:ind w:right="10" w:rightChars="5"/>
              <w:jc w:val="center"/>
              <w:rPr>
                <w:rFonts w:ascii="宋体" w:hAnsi="宋体"/>
                <w:color w:val="000000"/>
                <w:sz w:val="24"/>
              </w:rPr>
            </w:pPr>
          </w:p>
        </w:tc>
        <w:tc>
          <w:tcPr>
            <w:tcW w:w="1331" w:type="dxa"/>
            <w:vAlign w:val="center"/>
          </w:tcPr>
          <w:p w14:paraId="6C59966F">
            <w:pPr>
              <w:spacing w:line="360" w:lineRule="auto"/>
              <w:jc w:val="center"/>
              <w:rPr>
                <w:rFonts w:ascii="宋体" w:hAnsi="宋体"/>
                <w:color w:val="000000"/>
                <w:sz w:val="24"/>
              </w:rPr>
            </w:pPr>
          </w:p>
        </w:tc>
        <w:tc>
          <w:tcPr>
            <w:tcW w:w="1331" w:type="dxa"/>
            <w:vAlign w:val="center"/>
          </w:tcPr>
          <w:p w14:paraId="62A1A46B">
            <w:pPr>
              <w:spacing w:line="360" w:lineRule="auto"/>
              <w:ind w:right="-19" w:rightChars="-9"/>
              <w:jc w:val="center"/>
              <w:rPr>
                <w:rFonts w:ascii="宋体" w:hAnsi="宋体"/>
                <w:color w:val="000000"/>
                <w:sz w:val="24"/>
              </w:rPr>
            </w:pPr>
          </w:p>
        </w:tc>
        <w:tc>
          <w:tcPr>
            <w:tcW w:w="1791" w:type="dxa"/>
            <w:vAlign w:val="center"/>
          </w:tcPr>
          <w:p w14:paraId="41E40ADB">
            <w:pPr>
              <w:spacing w:line="360" w:lineRule="auto"/>
              <w:jc w:val="center"/>
              <w:rPr>
                <w:rFonts w:ascii="宋体" w:hAnsi="宋体"/>
                <w:color w:val="000000"/>
                <w:sz w:val="24"/>
              </w:rPr>
            </w:pPr>
          </w:p>
        </w:tc>
        <w:tc>
          <w:tcPr>
            <w:tcW w:w="1830" w:type="dxa"/>
            <w:vAlign w:val="center"/>
          </w:tcPr>
          <w:p w14:paraId="612DA730">
            <w:pPr>
              <w:spacing w:line="360" w:lineRule="auto"/>
              <w:jc w:val="center"/>
              <w:rPr>
                <w:rFonts w:ascii="宋体" w:hAnsi="宋体"/>
                <w:color w:val="000000"/>
                <w:sz w:val="24"/>
              </w:rPr>
            </w:pPr>
          </w:p>
        </w:tc>
        <w:tc>
          <w:tcPr>
            <w:tcW w:w="955" w:type="dxa"/>
            <w:tcBorders>
              <w:right w:val="single" w:color="auto" w:sz="12" w:space="0"/>
            </w:tcBorders>
            <w:vAlign w:val="center"/>
          </w:tcPr>
          <w:p w14:paraId="56A58A63">
            <w:pPr>
              <w:spacing w:line="360" w:lineRule="auto"/>
              <w:jc w:val="center"/>
              <w:rPr>
                <w:rFonts w:ascii="宋体" w:hAnsi="宋体"/>
                <w:color w:val="000000"/>
                <w:sz w:val="24"/>
              </w:rPr>
            </w:pPr>
          </w:p>
        </w:tc>
      </w:tr>
      <w:tr w14:paraId="7DE8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7E7759BF">
            <w:pPr>
              <w:spacing w:line="360" w:lineRule="auto"/>
              <w:jc w:val="center"/>
              <w:rPr>
                <w:rFonts w:ascii="宋体" w:hAnsi="宋体"/>
                <w:color w:val="000000"/>
                <w:sz w:val="24"/>
              </w:rPr>
            </w:pPr>
            <w:r>
              <w:rPr>
                <w:rFonts w:hint="eastAsia" w:ascii="宋体" w:hAnsi="宋体"/>
                <w:color w:val="000000"/>
                <w:sz w:val="24"/>
              </w:rPr>
              <w:t>2</w:t>
            </w:r>
          </w:p>
        </w:tc>
        <w:tc>
          <w:tcPr>
            <w:tcW w:w="1331" w:type="dxa"/>
            <w:vAlign w:val="center"/>
          </w:tcPr>
          <w:p w14:paraId="7892D7AE">
            <w:pPr>
              <w:spacing w:line="360" w:lineRule="auto"/>
              <w:jc w:val="center"/>
              <w:rPr>
                <w:rFonts w:ascii="宋体" w:hAnsi="宋体"/>
                <w:color w:val="000000"/>
                <w:sz w:val="24"/>
              </w:rPr>
            </w:pPr>
          </w:p>
        </w:tc>
        <w:tc>
          <w:tcPr>
            <w:tcW w:w="1331" w:type="dxa"/>
            <w:vAlign w:val="center"/>
          </w:tcPr>
          <w:p w14:paraId="0758FA61">
            <w:pPr>
              <w:spacing w:line="360" w:lineRule="auto"/>
              <w:ind w:right="10" w:rightChars="5"/>
              <w:jc w:val="center"/>
              <w:rPr>
                <w:rFonts w:ascii="宋体" w:hAnsi="宋体"/>
                <w:color w:val="000000"/>
                <w:sz w:val="24"/>
              </w:rPr>
            </w:pPr>
          </w:p>
        </w:tc>
        <w:tc>
          <w:tcPr>
            <w:tcW w:w="1331" w:type="dxa"/>
            <w:vAlign w:val="center"/>
          </w:tcPr>
          <w:p w14:paraId="3899A0E1">
            <w:pPr>
              <w:spacing w:line="360" w:lineRule="auto"/>
              <w:jc w:val="center"/>
              <w:rPr>
                <w:rFonts w:ascii="宋体" w:hAnsi="宋体"/>
                <w:color w:val="000000"/>
                <w:sz w:val="24"/>
              </w:rPr>
            </w:pPr>
          </w:p>
        </w:tc>
        <w:tc>
          <w:tcPr>
            <w:tcW w:w="1331" w:type="dxa"/>
            <w:vAlign w:val="center"/>
          </w:tcPr>
          <w:p w14:paraId="16F1F444">
            <w:pPr>
              <w:spacing w:line="360" w:lineRule="auto"/>
              <w:ind w:right="-19" w:rightChars="-9"/>
              <w:jc w:val="center"/>
              <w:rPr>
                <w:rFonts w:ascii="宋体" w:hAnsi="宋体"/>
                <w:color w:val="000000"/>
                <w:sz w:val="24"/>
              </w:rPr>
            </w:pPr>
          </w:p>
        </w:tc>
        <w:tc>
          <w:tcPr>
            <w:tcW w:w="1791" w:type="dxa"/>
            <w:vAlign w:val="center"/>
          </w:tcPr>
          <w:p w14:paraId="7542C05B">
            <w:pPr>
              <w:spacing w:line="360" w:lineRule="auto"/>
              <w:jc w:val="center"/>
              <w:rPr>
                <w:rFonts w:ascii="宋体" w:hAnsi="宋体"/>
                <w:color w:val="000000"/>
                <w:sz w:val="24"/>
              </w:rPr>
            </w:pPr>
          </w:p>
        </w:tc>
        <w:tc>
          <w:tcPr>
            <w:tcW w:w="1830" w:type="dxa"/>
            <w:vAlign w:val="center"/>
          </w:tcPr>
          <w:p w14:paraId="142DA655">
            <w:pPr>
              <w:spacing w:line="360" w:lineRule="auto"/>
              <w:jc w:val="center"/>
              <w:rPr>
                <w:rFonts w:ascii="宋体" w:hAnsi="宋体"/>
                <w:color w:val="000000"/>
                <w:sz w:val="24"/>
              </w:rPr>
            </w:pPr>
          </w:p>
        </w:tc>
        <w:tc>
          <w:tcPr>
            <w:tcW w:w="955" w:type="dxa"/>
            <w:tcBorders>
              <w:right w:val="single" w:color="auto" w:sz="12" w:space="0"/>
            </w:tcBorders>
            <w:vAlign w:val="center"/>
          </w:tcPr>
          <w:p w14:paraId="715FB257">
            <w:pPr>
              <w:spacing w:line="360" w:lineRule="auto"/>
              <w:jc w:val="center"/>
              <w:rPr>
                <w:rFonts w:ascii="宋体" w:hAnsi="宋体"/>
                <w:color w:val="000000"/>
                <w:sz w:val="24"/>
              </w:rPr>
            </w:pPr>
          </w:p>
        </w:tc>
      </w:tr>
      <w:tr w14:paraId="79FF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70198E2D">
            <w:pPr>
              <w:spacing w:line="360" w:lineRule="auto"/>
              <w:jc w:val="center"/>
              <w:rPr>
                <w:rFonts w:ascii="宋体" w:hAnsi="宋体"/>
                <w:color w:val="000000"/>
                <w:sz w:val="24"/>
              </w:rPr>
            </w:pPr>
            <w:r>
              <w:rPr>
                <w:rFonts w:hint="eastAsia" w:ascii="宋体" w:hAnsi="宋体"/>
                <w:color w:val="000000"/>
                <w:sz w:val="24"/>
              </w:rPr>
              <w:t>3</w:t>
            </w:r>
          </w:p>
        </w:tc>
        <w:tc>
          <w:tcPr>
            <w:tcW w:w="1331" w:type="dxa"/>
            <w:vAlign w:val="center"/>
          </w:tcPr>
          <w:p w14:paraId="459A6A42">
            <w:pPr>
              <w:spacing w:line="360" w:lineRule="auto"/>
              <w:jc w:val="center"/>
              <w:rPr>
                <w:rFonts w:ascii="宋体" w:hAnsi="宋体"/>
                <w:color w:val="000000"/>
                <w:sz w:val="24"/>
              </w:rPr>
            </w:pPr>
          </w:p>
        </w:tc>
        <w:tc>
          <w:tcPr>
            <w:tcW w:w="1331" w:type="dxa"/>
            <w:vAlign w:val="center"/>
          </w:tcPr>
          <w:p w14:paraId="5A5B88F8">
            <w:pPr>
              <w:spacing w:line="360" w:lineRule="auto"/>
              <w:ind w:right="10" w:rightChars="5"/>
              <w:jc w:val="center"/>
              <w:rPr>
                <w:rFonts w:ascii="宋体" w:hAnsi="宋体"/>
                <w:color w:val="000000"/>
                <w:sz w:val="24"/>
              </w:rPr>
            </w:pPr>
          </w:p>
        </w:tc>
        <w:tc>
          <w:tcPr>
            <w:tcW w:w="1331" w:type="dxa"/>
            <w:vAlign w:val="center"/>
          </w:tcPr>
          <w:p w14:paraId="56D1CBB4">
            <w:pPr>
              <w:spacing w:line="360" w:lineRule="auto"/>
              <w:jc w:val="center"/>
              <w:rPr>
                <w:rFonts w:ascii="宋体" w:hAnsi="宋体"/>
                <w:color w:val="000000"/>
                <w:sz w:val="24"/>
              </w:rPr>
            </w:pPr>
          </w:p>
        </w:tc>
        <w:tc>
          <w:tcPr>
            <w:tcW w:w="1331" w:type="dxa"/>
            <w:vAlign w:val="center"/>
          </w:tcPr>
          <w:p w14:paraId="18AA9E26">
            <w:pPr>
              <w:spacing w:line="360" w:lineRule="auto"/>
              <w:ind w:right="-19" w:rightChars="-9"/>
              <w:jc w:val="center"/>
              <w:rPr>
                <w:rFonts w:ascii="宋体" w:hAnsi="宋体"/>
                <w:color w:val="000000"/>
                <w:sz w:val="24"/>
              </w:rPr>
            </w:pPr>
          </w:p>
        </w:tc>
        <w:tc>
          <w:tcPr>
            <w:tcW w:w="1791" w:type="dxa"/>
            <w:vAlign w:val="center"/>
          </w:tcPr>
          <w:p w14:paraId="2F2835CD">
            <w:pPr>
              <w:spacing w:line="360" w:lineRule="auto"/>
              <w:jc w:val="center"/>
              <w:rPr>
                <w:rFonts w:ascii="宋体" w:hAnsi="宋体"/>
                <w:color w:val="000000"/>
                <w:sz w:val="24"/>
              </w:rPr>
            </w:pPr>
          </w:p>
        </w:tc>
        <w:tc>
          <w:tcPr>
            <w:tcW w:w="1830" w:type="dxa"/>
            <w:vAlign w:val="center"/>
          </w:tcPr>
          <w:p w14:paraId="6A650E24">
            <w:pPr>
              <w:spacing w:line="360" w:lineRule="auto"/>
              <w:jc w:val="center"/>
              <w:rPr>
                <w:rFonts w:ascii="宋体" w:hAnsi="宋体"/>
                <w:color w:val="000000"/>
                <w:sz w:val="24"/>
              </w:rPr>
            </w:pPr>
          </w:p>
        </w:tc>
        <w:tc>
          <w:tcPr>
            <w:tcW w:w="955" w:type="dxa"/>
            <w:tcBorders>
              <w:right w:val="single" w:color="auto" w:sz="12" w:space="0"/>
            </w:tcBorders>
            <w:vAlign w:val="center"/>
          </w:tcPr>
          <w:p w14:paraId="37390876">
            <w:pPr>
              <w:spacing w:line="360" w:lineRule="auto"/>
              <w:jc w:val="center"/>
              <w:rPr>
                <w:rFonts w:ascii="宋体" w:hAnsi="宋体"/>
                <w:color w:val="000000"/>
                <w:sz w:val="24"/>
              </w:rPr>
            </w:pPr>
          </w:p>
        </w:tc>
      </w:tr>
      <w:tr w14:paraId="0918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tcBorders>
            <w:vAlign w:val="center"/>
          </w:tcPr>
          <w:p w14:paraId="7CF63F0C">
            <w:pPr>
              <w:spacing w:line="360" w:lineRule="auto"/>
              <w:jc w:val="center"/>
              <w:rPr>
                <w:rFonts w:ascii="宋体" w:hAnsi="宋体"/>
                <w:color w:val="000000"/>
                <w:sz w:val="24"/>
              </w:rPr>
            </w:pPr>
            <w:r>
              <w:rPr>
                <w:rFonts w:hint="eastAsia" w:ascii="宋体" w:hAnsi="宋体"/>
                <w:color w:val="000000"/>
                <w:sz w:val="24"/>
              </w:rPr>
              <w:t>4</w:t>
            </w:r>
          </w:p>
        </w:tc>
        <w:tc>
          <w:tcPr>
            <w:tcW w:w="1331" w:type="dxa"/>
            <w:vAlign w:val="center"/>
          </w:tcPr>
          <w:p w14:paraId="4ACF41E7">
            <w:pPr>
              <w:spacing w:line="360" w:lineRule="auto"/>
              <w:jc w:val="center"/>
              <w:rPr>
                <w:rFonts w:ascii="宋体" w:hAnsi="宋体"/>
                <w:color w:val="000000"/>
                <w:sz w:val="24"/>
              </w:rPr>
            </w:pPr>
            <w:r>
              <w:rPr>
                <w:rFonts w:hint="eastAsia" w:ascii="宋体" w:hAnsi="宋体"/>
                <w:color w:val="000000"/>
                <w:sz w:val="24"/>
              </w:rPr>
              <w:t>…</w:t>
            </w:r>
          </w:p>
        </w:tc>
        <w:tc>
          <w:tcPr>
            <w:tcW w:w="1331" w:type="dxa"/>
            <w:vAlign w:val="center"/>
          </w:tcPr>
          <w:p w14:paraId="13DB5413">
            <w:pPr>
              <w:spacing w:line="360" w:lineRule="auto"/>
              <w:ind w:right="10" w:rightChars="5"/>
              <w:jc w:val="center"/>
              <w:rPr>
                <w:rFonts w:ascii="宋体" w:hAnsi="宋体"/>
                <w:color w:val="000000"/>
                <w:sz w:val="24"/>
              </w:rPr>
            </w:pPr>
          </w:p>
        </w:tc>
        <w:tc>
          <w:tcPr>
            <w:tcW w:w="1331" w:type="dxa"/>
            <w:vAlign w:val="center"/>
          </w:tcPr>
          <w:p w14:paraId="1423FDB0">
            <w:pPr>
              <w:spacing w:line="360" w:lineRule="auto"/>
              <w:jc w:val="center"/>
              <w:rPr>
                <w:rFonts w:ascii="宋体" w:hAnsi="宋体"/>
                <w:color w:val="000000"/>
                <w:sz w:val="24"/>
              </w:rPr>
            </w:pPr>
          </w:p>
        </w:tc>
        <w:tc>
          <w:tcPr>
            <w:tcW w:w="1331" w:type="dxa"/>
            <w:vAlign w:val="center"/>
          </w:tcPr>
          <w:p w14:paraId="5527542F">
            <w:pPr>
              <w:spacing w:line="360" w:lineRule="auto"/>
              <w:ind w:right="-19" w:rightChars="-9"/>
              <w:jc w:val="center"/>
              <w:rPr>
                <w:rFonts w:ascii="宋体" w:hAnsi="宋体"/>
                <w:color w:val="000000"/>
                <w:sz w:val="24"/>
              </w:rPr>
            </w:pPr>
          </w:p>
        </w:tc>
        <w:tc>
          <w:tcPr>
            <w:tcW w:w="1791" w:type="dxa"/>
            <w:vAlign w:val="center"/>
          </w:tcPr>
          <w:p w14:paraId="779C6BCF">
            <w:pPr>
              <w:spacing w:line="360" w:lineRule="auto"/>
              <w:jc w:val="center"/>
              <w:rPr>
                <w:rFonts w:ascii="宋体" w:hAnsi="宋体"/>
                <w:color w:val="000000"/>
                <w:sz w:val="24"/>
              </w:rPr>
            </w:pPr>
          </w:p>
        </w:tc>
        <w:tc>
          <w:tcPr>
            <w:tcW w:w="1830" w:type="dxa"/>
            <w:vAlign w:val="center"/>
          </w:tcPr>
          <w:p w14:paraId="620BA5B2">
            <w:pPr>
              <w:spacing w:line="360" w:lineRule="auto"/>
              <w:jc w:val="center"/>
              <w:rPr>
                <w:rFonts w:ascii="宋体" w:hAnsi="宋体"/>
                <w:color w:val="000000"/>
                <w:sz w:val="24"/>
              </w:rPr>
            </w:pPr>
          </w:p>
        </w:tc>
        <w:tc>
          <w:tcPr>
            <w:tcW w:w="955" w:type="dxa"/>
            <w:tcBorders>
              <w:right w:val="single" w:color="auto" w:sz="12" w:space="0"/>
            </w:tcBorders>
            <w:vAlign w:val="center"/>
          </w:tcPr>
          <w:p w14:paraId="38C3CFE6">
            <w:pPr>
              <w:spacing w:line="360" w:lineRule="auto"/>
              <w:jc w:val="center"/>
              <w:rPr>
                <w:rFonts w:ascii="宋体" w:hAnsi="宋体"/>
                <w:color w:val="000000"/>
                <w:sz w:val="24"/>
              </w:rPr>
            </w:pPr>
          </w:p>
        </w:tc>
      </w:tr>
      <w:tr w14:paraId="7053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8" w:type="dxa"/>
            <w:tcBorders>
              <w:left w:val="single" w:color="auto" w:sz="12" w:space="0"/>
              <w:bottom w:val="single" w:color="auto" w:sz="12" w:space="0"/>
            </w:tcBorders>
            <w:vAlign w:val="center"/>
          </w:tcPr>
          <w:p w14:paraId="446D26A0">
            <w:pPr>
              <w:spacing w:line="360" w:lineRule="auto"/>
              <w:jc w:val="center"/>
              <w:rPr>
                <w:rFonts w:ascii="宋体" w:hAnsi="宋体"/>
                <w:color w:val="000000"/>
                <w:sz w:val="24"/>
              </w:rPr>
            </w:pPr>
          </w:p>
        </w:tc>
        <w:tc>
          <w:tcPr>
            <w:tcW w:w="1331" w:type="dxa"/>
            <w:tcBorders>
              <w:bottom w:val="single" w:color="auto" w:sz="12" w:space="0"/>
            </w:tcBorders>
            <w:vAlign w:val="center"/>
          </w:tcPr>
          <w:p w14:paraId="2521043A">
            <w:pPr>
              <w:spacing w:line="360" w:lineRule="auto"/>
              <w:ind w:firstLine="120" w:firstLineChars="50"/>
              <w:jc w:val="center"/>
              <w:rPr>
                <w:rFonts w:ascii="宋体" w:hAnsi="宋体"/>
                <w:color w:val="000000"/>
                <w:sz w:val="24"/>
              </w:rPr>
            </w:pPr>
            <w:r>
              <w:rPr>
                <w:rFonts w:hint="eastAsia" w:ascii="宋体" w:hAnsi="宋体"/>
                <w:color w:val="000000"/>
                <w:sz w:val="24"/>
              </w:rPr>
              <w:t>合计</w:t>
            </w:r>
          </w:p>
        </w:tc>
        <w:tc>
          <w:tcPr>
            <w:tcW w:w="1331" w:type="dxa"/>
            <w:tcBorders>
              <w:bottom w:val="single" w:color="auto" w:sz="12" w:space="0"/>
            </w:tcBorders>
            <w:vAlign w:val="center"/>
          </w:tcPr>
          <w:p w14:paraId="64BC9A96">
            <w:pPr>
              <w:spacing w:line="360" w:lineRule="auto"/>
              <w:ind w:right="10" w:rightChars="5"/>
              <w:jc w:val="center"/>
              <w:rPr>
                <w:rFonts w:ascii="宋体" w:hAnsi="宋体"/>
                <w:color w:val="000000"/>
                <w:sz w:val="24"/>
              </w:rPr>
            </w:pPr>
          </w:p>
        </w:tc>
        <w:tc>
          <w:tcPr>
            <w:tcW w:w="1331" w:type="dxa"/>
            <w:tcBorders>
              <w:bottom w:val="single" w:color="auto" w:sz="12" w:space="0"/>
            </w:tcBorders>
            <w:vAlign w:val="center"/>
          </w:tcPr>
          <w:p w14:paraId="2EE9D293">
            <w:pPr>
              <w:spacing w:line="360" w:lineRule="auto"/>
              <w:jc w:val="center"/>
              <w:rPr>
                <w:rFonts w:ascii="宋体" w:hAnsi="宋体"/>
                <w:color w:val="000000"/>
                <w:sz w:val="24"/>
              </w:rPr>
            </w:pPr>
          </w:p>
        </w:tc>
        <w:tc>
          <w:tcPr>
            <w:tcW w:w="1331" w:type="dxa"/>
            <w:tcBorders>
              <w:bottom w:val="single" w:color="auto" w:sz="12" w:space="0"/>
            </w:tcBorders>
            <w:vAlign w:val="center"/>
          </w:tcPr>
          <w:p w14:paraId="40F9636A">
            <w:pPr>
              <w:spacing w:line="360" w:lineRule="auto"/>
              <w:ind w:right="-19" w:rightChars="-9"/>
              <w:jc w:val="center"/>
              <w:rPr>
                <w:rFonts w:ascii="宋体" w:hAnsi="宋体"/>
                <w:color w:val="000000"/>
                <w:sz w:val="24"/>
              </w:rPr>
            </w:pPr>
          </w:p>
        </w:tc>
        <w:tc>
          <w:tcPr>
            <w:tcW w:w="1791" w:type="dxa"/>
            <w:tcBorders>
              <w:bottom w:val="single" w:color="auto" w:sz="12" w:space="0"/>
            </w:tcBorders>
            <w:vAlign w:val="center"/>
          </w:tcPr>
          <w:p w14:paraId="489D2C0A">
            <w:pPr>
              <w:spacing w:line="360" w:lineRule="auto"/>
              <w:jc w:val="center"/>
              <w:rPr>
                <w:rFonts w:ascii="宋体" w:hAnsi="宋体"/>
                <w:color w:val="000000"/>
                <w:sz w:val="24"/>
              </w:rPr>
            </w:pPr>
          </w:p>
        </w:tc>
        <w:tc>
          <w:tcPr>
            <w:tcW w:w="1830" w:type="dxa"/>
            <w:tcBorders>
              <w:bottom w:val="single" w:color="auto" w:sz="12" w:space="0"/>
            </w:tcBorders>
            <w:vAlign w:val="center"/>
          </w:tcPr>
          <w:p w14:paraId="3BD11AAB">
            <w:pPr>
              <w:spacing w:line="360" w:lineRule="auto"/>
              <w:jc w:val="center"/>
              <w:rPr>
                <w:rFonts w:ascii="宋体" w:hAnsi="宋体"/>
                <w:color w:val="000000"/>
                <w:sz w:val="24"/>
              </w:rPr>
            </w:pPr>
          </w:p>
        </w:tc>
        <w:tc>
          <w:tcPr>
            <w:tcW w:w="955" w:type="dxa"/>
            <w:tcBorders>
              <w:bottom w:val="single" w:color="auto" w:sz="12" w:space="0"/>
              <w:right w:val="single" w:color="auto" w:sz="12" w:space="0"/>
            </w:tcBorders>
            <w:vAlign w:val="center"/>
          </w:tcPr>
          <w:p w14:paraId="23A73219">
            <w:pPr>
              <w:spacing w:line="360" w:lineRule="auto"/>
              <w:jc w:val="center"/>
              <w:rPr>
                <w:rFonts w:ascii="宋体" w:hAnsi="宋体"/>
                <w:color w:val="000000"/>
                <w:sz w:val="24"/>
              </w:rPr>
            </w:pPr>
          </w:p>
        </w:tc>
      </w:tr>
    </w:tbl>
    <w:p w14:paraId="28B5E8B1">
      <w:pPr>
        <w:spacing w:line="360" w:lineRule="auto"/>
        <w:ind w:right="-88"/>
        <w:rPr>
          <w:rFonts w:ascii="宋体" w:hAnsi="宋体"/>
          <w:b/>
          <w:color w:val="0000CC"/>
          <w:sz w:val="24"/>
        </w:rPr>
      </w:pPr>
      <w:r>
        <w:rPr>
          <w:rFonts w:hint="eastAsia" w:ascii="宋体" w:hAnsi="宋体"/>
          <w:color w:val="000000"/>
          <w:sz w:val="24"/>
        </w:rPr>
        <w:t>说明：</w:t>
      </w:r>
      <w:r>
        <w:rPr>
          <w:rFonts w:hint="eastAsia" w:ascii="宋体" w:hAnsi="宋体"/>
          <w:b/>
          <w:color w:val="0000CC"/>
          <w:sz w:val="24"/>
        </w:rPr>
        <w:t>1、环境标志产品根据财政部、</w:t>
      </w:r>
      <w:r>
        <w:rPr>
          <w:rFonts w:ascii="宋体" w:hAnsi="宋体"/>
          <w:b/>
          <w:color w:val="0000CC"/>
          <w:sz w:val="24"/>
        </w:rPr>
        <w:t>生态环境</w:t>
      </w:r>
      <w:r>
        <w:rPr>
          <w:rFonts w:hint="eastAsia" w:ascii="宋体" w:hAnsi="宋体"/>
          <w:b/>
          <w:color w:val="0000CC"/>
          <w:sz w:val="24"/>
        </w:rPr>
        <w:t>部信</w:t>
      </w:r>
      <w:r>
        <w:rPr>
          <w:rFonts w:ascii="宋体" w:hAnsi="宋体"/>
          <w:b/>
          <w:color w:val="0000CC"/>
          <w:sz w:val="24"/>
        </w:rPr>
        <w:t>息发布平台</w:t>
      </w:r>
      <w:r>
        <w:rPr>
          <w:rFonts w:hint="eastAsia" w:ascii="宋体" w:hAnsi="宋体"/>
          <w:b/>
          <w:color w:val="0000CC"/>
          <w:sz w:val="24"/>
        </w:rPr>
        <w:t>和中</w:t>
      </w:r>
      <w:r>
        <w:rPr>
          <w:rFonts w:ascii="宋体" w:hAnsi="宋体"/>
          <w:b/>
          <w:color w:val="0000CC"/>
          <w:sz w:val="24"/>
        </w:rPr>
        <w:t>国政府采购网</w:t>
      </w:r>
      <w:r>
        <w:rPr>
          <w:rFonts w:hint="eastAsia" w:ascii="宋体" w:hAnsi="宋体"/>
          <w:b/>
          <w:color w:val="0000CC"/>
          <w:sz w:val="24"/>
        </w:rPr>
        <w:t>发布的，</w:t>
      </w:r>
      <w:r>
        <w:rPr>
          <w:rFonts w:ascii="宋体" w:hAnsi="宋体"/>
          <w:b/>
          <w:color w:val="0000CC"/>
          <w:sz w:val="24"/>
        </w:rPr>
        <w:t>最新</w:t>
      </w:r>
      <w:r>
        <w:rPr>
          <w:rFonts w:hint="eastAsia" w:ascii="宋体" w:hAnsi="宋体"/>
          <w:b/>
          <w:color w:val="0000CC"/>
          <w:sz w:val="24"/>
        </w:rPr>
        <w:t>适</w:t>
      </w:r>
      <w:r>
        <w:rPr>
          <w:rFonts w:ascii="宋体" w:hAnsi="宋体"/>
          <w:b/>
          <w:color w:val="0000CC"/>
          <w:sz w:val="24"/>
        </w:rPr>
        <w:t>时</w:t>
      </w:r>
      <w:r>
        <w:rPr>
          <w:rFonts w:hint="eastAsia" w:ascii="宋体" w:hAnsi="宋体"/>
          <w:b/>
          <w:color w:val="0000CC"/>
          <w:sz w:val="24"/>
        </w:rPr>
        <w:t>政</w:t>
      </w:r>
      <w:r>
        <w:rPr>
          <w:rFonts w:ascii="宋体" w:hAnsi="宋体"/>
          <w:b/>
          <w:color w:val="0000CC"/>
          <w:sz w:val="24"/>
        </w:rPr>
        <w:t>府</w:t>
      </w:r>
      <w:r>
        <w:rPr>
          <w:rFonts w:hint="eastAsia" w:ascii="宋体" w:hAnsi="宋体"/>
          <w:b/>
          <w:color w:val="0000CC"/>
          <w:sz w:val="24"/>
        </w:rPr>
        <w:t>采购环境标志产品品</w:t>
      </w:r>
      <w:r>
        <w:rPr>
          <w:rFonts w:ascii="宋体" w:hAnsi="宋体"/>
          <w:b/>
          <w:color w:val="0000CC"/>
          <w:sz w:val="24"/>
        </w:rPr>
        <w:t>目清</w:t>
      </w:r>
      <w:r>
        <w:rPr>
          <w:rFonts w:hint="eastAsia" w:ascii="宋体" w:hAnsi="宋体"/>
          <w:b/>
          <w:color w:val="0000CC"/>
          <w:sz w:val="24"/>
        </w:rPr>
        <w:t>单确定。</w:t>
      </w:r>
    </w:p>
    <w:p w14:paraId="2F46E706">
      <w:pPr>
        <w:spacing w:line="360" w:lineRule="auto"/>
        <w:ind w:right="-88" w:firstLine="711" w:firstLineChars="295"/>
        <w:rPr>
          <w:rFonts w:ascii="宋体" w:hAnsi="宋体"/>
          <w:b/>
          <w:color w:val="0000CC"/>
          <w:sz w:val="24"/>
        </w:rPr>
      </w:pPr>
      <w:r>
        <w:rPr>
          <w:rFonts w:hint="eastAsia" w:ascii="宋体" w:hAnsi="宋体"/>
          <w:b/>
          <w:color w:val="0000CC"/>
          <w:sz w:val="24"/>
        </w:rPr>
        <w:t>2、如所投产品为环保优先产品，须提供所投产品环境标志产品认证证书复印件，否则评审时不予认可。</w:t>
      </w:r>
    </w:p>
    <w:p w14:paraId="567EE7CD">
      <w:pPr>
        <w:spacing w:line="360" w:lineRule="auto"/>
        <w:ind w:firstLine="723" w:firstLineChars="300"/>
        <w:rPr>
          <w:rFonts w:ascii="宋体" w:hAnsi="宋体"/>
          <w:b/>
          <w:color w:val="0000CC"/>
          <w:sz w:val="24"/>
        </w:rPr>
      </w:pPr>
      <w:r>
        <w:rPr>
          <w:rFonts w:hint="eastAsia" w:ascii="宋体" w:hAnsi="宋体"/>
          <w:b/>
          <w:color w:val="0000CC"/>
          <w:sz w:val="24"/>
        </w:rPr>
        <w:t>3、如所投产品为</w:t>
      </w:r>
    </w:p>
    <w:p w14:paraId="23E01C71">
      <w:pPr>
        <w:spacing w:line="360" w:lineRule="auto"/>
        <w:ind w:firstLine="723" w:firstLineChars="300"/>
        <w:rPr>
          <w:rFonts w:ascii="宋体" w:hAnsi="宋体"/>
          <w:color w:val="FF0000"/>
          <w:sz w:val="24"/>
        </w:rPr>
      </w:pPr>
      <w:r>
        <w:rPr>
          <w:rFonts w:ascii="宋体" w:hAnsi="宋体"/>
          <w:b/>
          <w:color w:val="FF0000"/>
          <w:sz w:val="24"/>
        </w:rPr>
        <w:t>注：如</w:t>
      </w:r>
      <w:r>
        <w:rPr>
          <w:rFonts w:hint="eastAsia" w:ascii="宋体" w:hAnsi="宋体"/>
          <w:b/>
          <w:color w:val="FF0000"/>
          <w:sz w:val="24"/>
        </w:rPr>
        <w:t>所投产品未</w:t>
      </w:r>
      <w:r>
        <w:rPr>
          <w:rFonts w:ascii="宋体" w:hAnsi="宋体"/>
          <w:b/>
          <w:color w:val="FF0000"/>
          <w:sz w:val="24"/>
        </w:rPr>
        <w:t>列入品目清</w:t>
      </w:r>
      <w:r>
        <w:rPr>
          <w:rFonts w:hint="eastAsia" w:ascii="宋体" w:hAnsi="宋体"/>
          <w:b/>
          <w:color w:val="FF0000"/>
          <w:sz w:val="24"/>
        </w:rPr>
        <w:t>单的政</w:t>
      </w:r>
      <w:r>
        <w:rPr>
          <w:rFonts w:ascii="宋体" w:hAnsi="宋体"/>
          <w:b/>
          <w:color w:val="FF0000"/>
          <w:sz w:val="24"/>
        </w:rPr>
        <w:t>府采购环境标志产</w:t>
      </w:r>
      <w:r>
        <w:rPr>
          <w:rFonts w:hint="eastAsia" w:ascii="宋体" w:hAnsi="宋体"/>
          <w:b/>
          <w:color w:val="FF0000"/>
          <w:sz w:val="24"/>
        </w:rPr>
        <w:t>品，可不填写此表。</w:t>
      </w:r>
    </w:p>
    <w:p w14:paraId="7F07FDFA">
      <w:pPr>
        <w:spacing w:line="360" w:lineRule="auto"/>
        <w:ind w:firstLine="480" w:firstLineChars="200"/>
        <w:rPr>
          <w:rFonts w:ascii="宋体" w:hAnsi="宋体"/>
          <w:sz w:val="24"/>
        </w:rPr>
      </w:pPr>
    </w:p>
    <w:p w14:paraId="2035354B">
      <w:pPr>
        <w:spacing w:line="500" w:lineRule="exact"/>
        <w:jc w:val="left"/>
        <w:rPr>
          <w:rFonts w:ascii="宋体" w:hAnsi="宋体"/>
          <w:sz w:val="28"/>
          <w:szCs w:val="28"/>
        </w:rPr>
      </w:pPr>
      <w:r>
        <w:rPr>
          <w:rFonts w:hint="eastAsia" w:ascii="宋体" w:hAnsi="宋体"/>
          <w:sz w:val="28"/>
          <w:szCs w:val="28"/>
        </w:rPr>
        <w:t>投标人全称：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71FBD2A7">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1333CC9E">
      <w:pPr>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4E46DA18">
      <w:pPr>
        <w:spacing w:line="360" w:lineRule="auto"/>
        <w:rPr>
          <w:sz w:val="24"/>
        </w:rPr>
      </w:pPr>
    </w:p>
    <w:p w14:paraId="5CEEC25C">
      <w:pPr>
        <w:spacing w:line="360" w:lineRule="auto"/>
        <w:ind w:right="480"/>
        <w:rPr>
          <w:rFonts w:ascii="宋体" w:hAnsi="宋体"/>
          <w:b/>
          <w:sz w:val="28"/>
          <w:szCs w:val="28"/>
        </w:rPr>
      </w:pPr>
      <w:r>
        <w:rPr>
          <w:color w:val="000000"/>
          <w:sz w:val="24"/>
        </w:rPr>
        <w:br w:type="page"/>
      </w:r>
      <w:r>
        <w:rPr>
          <w:rFonts w:hint="eastAsia" w:ascii="Arial" w:hAnsi="Arial" w:eastAsia="黑体"/>
          <w:b/>
          <w:bCs/>
          <w:sz w:val="32"/>
          <w:szCs w:val="32"/>
          <w:lang w:val="en-US" w:eastAsia="zh-CN"/>
        </w:rPr>
        <w:t>四</w:t>
      </w:r>
      <w:r>
        <w:rPr>
          <w:rFonts w:ascii="Arial" w:hAnsi="Arial" w:eastAsia="黑体"/>
          <w:b/>
          <w:bCs/>
          <w:sz w:val="32"/>
          <w:szCs w:val="32"/>
        </w:rPr>
        <w:t>、</w:t>
      </w:r>
      <w:r>
        <w:rPr>
          <w:rFonts w:hint="eastAsia" w:ascii="Arial" w:hAnsi="Arial" w:eastAsia="黑体"/>
          <w:b/>
          <w:bCs/>
          <w:sz w:val="32"/>
          <w:szCs w:val="32"/>
        </w:rPr>
        <w:t>节能产品明细表</w:t>
      </w:r>
      <w:r>
        <w:rPr>
          <w:rFonts w:hint="eastAsia" w:ascii="Arial" w:hAnsi="Arial" w:eastAsia="黑体"/>
          <w:b/>
          <w:bCs/>
          <w:color w:val="FF0000"/>
          <w:sz w:val="32"/>
          <w:szCs w:val="32"/>
        </w:rPr>
        <w:t>（根据项目要求需要是否保留本表）</w:t>
      </w:r>
    </w:p>
    <w:p w14:paraId="2E65D56D">
      <w:pPr>
        <w:pStyle w:val="23"/>
        <w:spacing w:line="360" w:lineRule="auto"/>
      </w:pPr>
      <w:r>
        <w:rPr>
          <w:rFonts w:hint="eastAsia"/>
          <w:color w:val="FF0000"/>
          <w:lang w:eastAsia="zh-CN"/>
        </w:rPr>
        <w:t>采购计划文号</w:t>
      </w:r>
      <w:r>
        <w:rPr>
          <w:rFonts w:hint="eastAsia"/>
          <w:color w:val="FF0000"/>
        </w:rPr>
        <w:t>：</w:t>
      </w:r>
      <w:r>
        <w:rPr>
          <w:rFonts w:hint="eastAsia"/>
          <w:u w:val="single"/>
        </w:rPr>
        <w:t xml:space="preserve">                  </w:t>
      </w:r>
      <w:r>
        <w:rPr>
          <w:rFonts w:hint="eastAsia"/>
        </w:rPr>
        <w:t xml:space="preserve">      </w:t>
      </w:r>
      <w:r>
        <w:rPr>
          <w:rFonts w:hint="eastAsia" w:ascii="宋体" w:hAnsi="宋体"/>
          <w:color w:val="000000"/>
        </w:rPr>
        <w:t>价格单位；</w:t>
      </w:r>
      <w:r>
        <w:rPr>
          <w:rFonts w:hint="eastAsia" w:ascii="宋体" w:hAnsi="宋体"/>
          <w:color w:val="000000"/>
          <w:u w:val="single"/>
        </w:rPr>
        <w:t xml:space="preserve">       </w:t>
      </w:r>
    </w:p>
    <w:tbl>
      <w:tblPr>
        <w:tblStyle w:val="58"/>
        <w:tblW w:w="10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277"/>
        <w:gridCol w:w="1235"/>
        <w:gridCol w:w="1483"/>
        <w:gridCol w:w="1592"/>
        <w:gridCol w:w="1985"/>
        <w:gridCol w:w="709"/>
        <w:gridCol w:w="1784"/>
      </w:tblGrid>
      <w:tr w14:paraId="0FFC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tcBorders>
              <w:top w:val="single" w:color="auto" w:sz="12" w:space="0"/>
              <w:left w:val="single" w:color="auto" w:sz="12" w:space="0"/>
            </w:tcBorders>
            <w:vAlign w:val="center"/>
          </w:tcPr>
          <w:p w14:paraId="3E86E9CA">
            <w:pPr>
              <w:spacing w:line="360" w:lineRule="auto"/>
              <w:jc w:val="center"/>
              <w:rPr>
                <w:rFonts w:ascii="宋体" w:hAnsi="宋体"/>
                <w:color w:val="000000"/>
                <w:sz w:val="24"/>
              </w:rPr>
            </w:pPr>
            <w:r>
              <w:rPr>
                <w:rFonts w:hint="eastAsia" w:ascii="宋体" w:hAnsi="宋体"/>
                <w:color w:val="000000"/>
                <w:sz w:val="24"/>
              </w:rPr>
              <w:t>序号</w:t>
            </w:r>
          </w:p>
        </w:tc>
        <w:tc>
          <w:tcPr>
            <w:tcW w:w="1277" w:type="dxa"/>
            <w:tcBorders>
              <w:top w:val="single" w:color="auto" w:sz="12" w:space="0"/>
            </w:tcBorders>
            <w:vAlign w:val="center"/>
          </w:tcPr>
          <w:p w14:paraId="580F75CF">
            <w:pPr>
              <w:spacing w:line="360" w:lineRule="auto"/>
              <w:jc w:val="center"/>
              <w:rPr>
                <w:rFonts w:ascii="宋体" w:hAnsi="宋体"/>
                <w:color w:val="000000"/>
                <w:sz w:val="24"/>
              </w:rPr>
            </w:pPr>
            <w:r>
              <w:rPr>
                <w:rFonts w:hint="eastAsia" w:ascii="宋体" w:hAnsi="宋体"/>
                <w:color w:val="000000"/>
                <w:sz w:val="24"/>
              </w:rPr>
              <w:t>产品名称</w:t>
            </w:r>
          </w:p>
        </w:tc>
        <w:tc>
          <w:tcPr>
            <w:tcW w:w="1235" w:type="dxa"/>
            <w:tcBorders>
              <w:top w:val="single" w:color="auto" w:sz="12" w:space="0"/>
            </w:tcBorders>
            <w:vAlign w:val="center"/>
          </w:tcPr>
          <w:p w14:paraId="4F238588">
            <w:pPr>
              <w:spacing w:line="360" w:lineRule="auto"/>
              <w:jc w:val="center"/>
              <w:rPr>
                <w:rFonts w:ascii="宋体" w:hAnsi="宋体"/>
                <w:color w:val="000000"/>
                <w:sz w:val="24"/>
              </w:rPr>
            </w:pPr>
            <w:r>
              <w:rPr>
                <w:rFonts w:hint="eastAsia" w:ascii="宋体" w:hAnsi="宋体"/>
                <w:color w:val="000000"/>
                <w:sz w:val="24"/>
              </w:rPr>
              <w:t>制造商</w:t>
            </w:r>
          </w:p>
        </w:tc>
        <w:tc>
          <w:tcPr>
            <w:tcW w:w="1483" w:type="dxa"/>
            <w:tcBorders>
              <w:top w:val="single" w:color="auto" w:sz="12" w:space="0"/>
            </w:tcBorders>
            <w:vAlign w:val="center"/>
          </w:tcPr>
          <w:p w14:paraId="031BCA57">
            <w:pPr>
              <w:spacing w:line="360" w:lineRule="auto"/>
              <w:jc w:val="center"/>
              <w:rPr>
                <w:rFonts w:ascii="宋体" w:hAnsi="宋体"/>
                <w:color w:val="000000"/>
                <w:sz w:val="24"/>
              </w:rPr>
            </w:pPr>
            <w:r>
              <w:rPr>
                <w:rFonts w:hint="eastAsia" w:ascii="宋体" w:hAnsi="宋体"/>
                <w:color w:val="000000"/>
                <w:sz w:val="24"/>
              </w:rPr>
              <w:t>产品型号</w:t>
            </w:r>
          </w:p>
        </w:tc>
        <w:tc>
          <w:tcPr>
            <w:tcW w:w="1592" w:type="dxa"/>
            <w:tcBorders>
              <w:top w:val="single" w:color="auto" w:sz="12" w:space="0"/>
            </w:tcBorders>
            <w:vAlign w:val="center"/>
          </w:tcPr>
          <w:p w14:paraId="671034F0">
            <w:pPr>
              <w:spacing w:line="360" w:lineRule="auto"/>
              <w:jc w:val="center"/>
              <w:rPr>
                <w:rFonts w:ascii="宋体" w:hAnsi="宋体"/>
                <w:color w:val="000000"/>
                <w:sz w:val="24"/>
              </w:rPr>
            </w:pPr>
            <w:r>
              <w:rPr>
                <w:rFonts w:hint="eastAsia" w:ascii="宋体" w:hAnsi="宋体"/>
                <w:color w:val="000000"/>
                <w:sz w:val="24"/>
              </w:rPr>
              <w:t>节能标志认证证书号</w:t>
            </w:r>
          </w:p>
        </w:tc>
        <w:tc>
          <w:tcPr>
            <w:tcW w:w="1985" w:type="dxa"/>
            <w:tcBorders>
              <w:top w:val="single" w:color="auto" w:sz="12" w:space="0"/>
            </w:tcBorders>
            <w:vAlign w:val="center"/>
          </w:tcPr>
          <w:p w14:paraId="0BBF91FC">
            <w:pPr>
              <w:spacing w:line="360" w:lineRule="auto"/>
              <w:jc w:val="center"/>
              <w:rPr>
                <w:rFonts w:ascii="宋体" w:hAnsi="宋体"/>
                <w:color w:val="000000"/>
                <w:sz w:val="24"/>
              </w:rPr>
            </w:pPr>
            <w:r>
              <w:rPr>
                <w:rFonts w:hint="eastAsia" w:ascii="宋体" w:hAnsi="宋体"/>
                <w:color w:val="000000"/>
                <w:sz w:val="24"/>
              </w:rPr>
              <w:t>节能产品认证证书有效截止日期</w:t>
            </w:r>
          </w:p>
        </w:tc>
        <w:tc>
          <w:tcPr>
            <w:tcW w:w="709" w:type="dxa"/>
            <w:tcBorders>
              <w:top w:val="single" w:color="auto" w:sz="12" w:space="0"/>
            </w:tcBorders>
            <w:vAlign w:val="center"/>
          </w:tcPr>
          <w:p w14:paraId="182861DD">
            <w:pPr>
              <w:spacing w:line="360" w:lineRule="auto"/>
              <w:jc w:val="center"/>
              <w:rPr>
                <w:rFonts w:ascii="宋体" w:hAnsi="宋体"/>
                <w:color w:val="000000"/>
                <w:sz w:val="24"/>
              </w:rPr>
            </w:pPr>
            <w:r>
              <w:rPr>
                <w:rFonts w:hint="eastAsia" w:ascii="宋体" w:hAnsi="宋体"/>
                <w:color w:val="000000"/>
                <w:sz w:val="24"/>
              </w:rPr>
              <w:t>价格</w:t>
            </w:r>
          </w:p>
        </w:tc>
        <w:tc>
          <w:tcPr>
            <w:tcW w:w="1784" w:type="dxa"/>
            <w:tcBorders>
              <w:top w:val="single" w:color="auto" w:sz="12" w:space="0"/>
              <w:right w:val="single" w:color="auto" w:sz="12" w:space="0"/>
            </w:tcBorders>
            <w:vAlign w:val="center"/>
          </w:tcPr>
          <w:p w14:paraId="602D1B6A">
            <w:pPr>
              <w:spacing w:line="360" w:lineRule="auto"/>
              <w:jc w:val="center"/>
              <w:rPr>
                <w:rFonts w:ascii="宋体" w:hAnsi="宋体"/>
                <w:color w:val="000000"/>
                <w:szCs w:val="21"/>
              </w:rPr>
            </w:pPr>
            <w:r>
              <w:rPr>
                <w:rFonts w:hint="eastAsia" w:ascii="宋体" w:hAnsi="宋体"/>
                <w:szCs w:val="21"/>
              </w:rPr>
              <w:t>是否属于政府强制采购节能产品</w:t>
            </w:r>
          </w:p>
        </w:tc>
      </w:tr>
      <w:tr w14:paraId="3388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5C0E3338">
            <w:pPr>
              <w:spacing w:line="360" w:lineRule="auto"/>
              <w:jc w:val="center"/>
              <w:rPr>
                <w:rFonts w:ascii="宋体" w:hAnsi="宋体"/>
                <w:color w:val="000000"/>
                <w:sz w:val="24"/>
              </w:rPr>
            </w:pPr>
            <w:r>
              <w:rPr>
                <w:rFonts w:hint="eastAsia" w:ascii="宋体" w:hAnsi="宋体"/>
                <w:color w:val="000000"/>
                <w:sz w:val="24"/>
              </w:rPr>
              <w:t>1</w:t>
            </w:r>
          </w:p>
        </w:tc>
        <w:tc>
          <w:tcPr>
            <w:tcW w:w="1277" w:type="dxa"/>
            <w:vAlign w:val="center"/>
          </w:tcPr>
          <w:p w14:paraId="04689C79">
            <w:pPr>
              <w:spacing w:line="360" w:lineRule="auto"/>
              <w:jc w:val="center"/>
              <w:rPr>
                <w:rFonts w:ascii="宋体" w:hAnsi="宋体"/>
                <w:color w:val="000000"/>
                <w:sz w:val="24"/>
              </w:rPr>
            </w:pPr>
          </w:p>
        </w:tc>
        <w:tc>
          <w:tcPr>
            <w:tcW w:w="1235" w:type="dxa"/>
            <w:vAlign w:val="center"/>
          </w:tcPr>
          <w:p w14:paraId="5874A76F">
            <w:pPr>
              <w:spacing w:line="360" w:lineRule="auto"/>
              <w:jc w:val="center"/>
              <w:rPr>
                <w:rFonts w:ascii="宋体" w:hAnsi="宋体"/>
                <w:color w:val="000000"/>
                <w:sz w:val="24"/>
              </w:rPr>
            </w:pPr>
          </w:p>
        </w:tc>
        <w:tc>
          <w:tcPr>
            <w:tcW w:w="1483" w:type="dxa"/>
            <w:vAlign w:val="center"/>
          </w:tcPr>
          <w:p w14:paraId="01CF2035">
            <w:pPr>
              <w:spacing w:line="360" w:lineRule="auto"/>
              <w:jc w:val="center"/>
              <w:rPr>
                <w:rFonts w:ascii="宋体" w:hAnsi="宋体"/>
                <w:color w:val="000000"/>
                <w:sz w:val="24"/>
              </w:rPr>
            </w:pPr>
          </w:p>
        </w:tc>
        <w:tc>
          <w:tcPr>
            <w:tcW w:w="1592" w:type="dxa"/>
            <w:vAlign w:val="center"/>
          </w:tcPr>
          <w:p w14:paraId="755C74C4">
            <w:pPr>
              <w:spacing w:line="360" w:lineRule="auto"/>
              <w:jc w:val="center"/>
              <w:rPr>
                <w:rFonts w:ascii="宋体" w:hAnsi="宋体"/>
                <w:color w:val="000000"/>
                <w:sz w:val="24"/>
              </w:rPr>
            </w:pPr>
          </w:p>
        </w:tc>
        <w:tc>
          <w:tcPr>
            <w:tcW w:w="1985" w:type="dxa"/>
            <w:vAlign w:val="center"/>
          </w:tcPr>
          <w:p w14:paraId="29BA2801">
            <w:pPr>
              <w:spacing w:line="360" w:lineRule="auto"/>
              <w:jc w:val="center"/>
              <w:rPr>
                <w:rFonts w:ascii="宋体" w:hAnsi="宋体"/>
                <w:color w:val="000000"/>
                <w:sz w:val="24"/>
              </w:rPr>
            </w:pPr>
          </w:p>
        </w:tc>
        <w:tc>
          <w:tcPr>
            <w:tcW w:w="709" w:type="dxa"/>
          </w:tcPr>
          <w:p w14:paraId="71AE5556">
            <w:pPr>
              <w:spacing w:line="360" w:lineRule="auto"/>
              <w:jc w:val="center"/>
              <w:rPr>
                <w:rFonts w:ascii="宋体" w:hAnsi="宋体"/>
                <w:color w:val="000000"/>
                <w:sz w:val="24"/>
              </w:rPr>
            </w:pPr>
          </w:p>
        </w:tc>
        <w:tc>
          <w:tcPr>
            <w:tcW w:w="1784" w:type="dxa"/>
            <w:tcBorders>
              <w:right w:val="single" w:color="auto" w:sz="12" w:space="0"/>
            </w:tcBorders>
            <w:vAlign w:val="center"/>
          </w:tcPr>
          <w:p w14:paraId="1070643F">
            <w:pPr>
              <w:spacing w:line="360" w:lineRule="auto"/>
              <w:jc w:val="center"/>
              <w:rPr>
                <w:rFonts w:ascii="宋体" w:hAnsi="宋体"/>
                <w:color w:val="000000"/>
                <w:sz w:val="24"/>
              </w:rPr>
            </w:pPr>
          </w:p>
        </w:tc>
      </w:tr>
      <w:tr w14:paraId="244F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7860B642">
            <w:pPr>
              <w:spacing w:line="360" w:lineRule="auto"/>
              <w:jc w:val="center"/>
              <w:rPr>
                <w:rFonts w:ascii="宋体" w:hAnsi="宋体"/>
                <w:color w:val="000000"/>
                <w:sz w:val="24"/>
              </w:rPr>
            </w:pPr>
            <w:r>
              <w:rPr>
                <w:rFonts w:hint="eastAsia" w:ascii="宋体" w:hAnsi="宋体"/>
                <w:color w:val="000000"/>
                <w:sz w:val="24"/>
              </w:rPr>
              <w:t>2</w:t>
            </w:r>
          </w:p>
        </w:tc>
        <w:tc>
          <w:tcPr>
            <w:tcW w:w="1277" w:type="dxa"/>
            <w:vAlign w:val="center"/>
          </w:tcPr>
          <w:p w14:paraId="3D51C4FF">
            <w:pPr>
              <w:spacing w:line="360" w:lineRule="auto"/>
              <w:jc w:val="center"/>
              <w:rPr>
                <w:rFonts w:ascii="宋体" w:hAnsi="宋体"/>
                <w:color w:val="000000"/>
                <w:sz w:val="24"/>
              </w:rPr>
            </w:pPr>
          </w:p>
        </w:tc>
        <w:tc>
          <w:tcPr>
            <w:tcW w:w="1235" w:type="dxa"/>
            <w:vAlign w:val="center"/>
          </w:tcPr>
          <w:p w14:paraId="7FAA9376">
            <w:pPr>
              <w:spacing w:line="360" w:lineRule="auto"/>
              <w:jc w:val="center"/>
              <w:rPr>
                <w:rFonts w:ascii="宋体" w:hAnsi="宋体"/>
                <w:color w:val="000000"/>
                <w:sz w:val="24"/>
              </w:rPr>
            </w:pPr>
          </w:p>
        </w:tc>
        <w:tc>
          <w:tcPr>
            <w:tcW w:w="1483" w:type="dxa"/>
            <w:vAlign w:val="center"/>
          </w:tcPr>
          <w:p w14:paraId="52C4276C">
            <w:pPr>
              <w:spacing w:line="360" w:lineRule="auto"/>
              <w:jc w:val="center"/>
              <w:rPr>
                <w:rFonts w:ascii="宋体" w:hAnsi="宋体"/>
                <w:color w:val="000000"/>
                <w:sz w:val="24"/>
              </w:rPr>
            </w:pPr>
          </w:p>
        </w:tc>
        <w:tc>
          <w:tcPr>
            <w:tcW w:w="1592" w:type="dxa"/>
            <w:vAlign w:val="center"/>
          </w:tcPr>
          <w:p w14:paraId="101AF1F1">
            <w:pPr>
              <w:spacing w:line="360" w:lineRule="auto"/>
              <w:jc w:val="center"/>
              <w:rPr>
                <w:rFonts w:ascii="宋体" w:hAnsi="宋体"/>
                <w:color w:val="000000"/>
                <w:sz w:val="24"/>
              </w:rPr>
            </w:pPr>
          </w:p>
        </w:tc>
        <w:tc>
          <w:tcPr>
            <w:tcW w:w="1985" w:type="dxa"/>
            <w:vAlign w:val="center"/>
          </w:tcPr>
          <w:p w14:paraId="78FAD98F">
            <w:pPr>
              <w:spacing w:line="360" w:lineRule="auto"/>
              <w:jc w:val="center"/>
              <w:rPr>
                <w:rFonts w:ascii="宋体" w:hAnsi="宋体"/>
                <w:color w:val="000000"/>
                <w:sz w:val="24"/>
              </w:rPr>
            </w:pPr>
          </w:p>
        </w:tc>
        <w:tc>
          <w:tcPr>
            <w:tcW w:w="709" w:type="dxa"/>
          </w:tcPr>
          <w:p w14:paraId="6FFBC449">
            <w:pPr>
              <w:spacing w:line="360" w:lineRule="auto"/>
              <w:jc w:val="center"/>
              <w:rPr>
                <w:rFonts w:ascii="宋体" w:hAnsi="宋体"/>
                <w:color w:val="000000"/>
                <w:sz w:val="24"/>
              </w:rPr>
            </w:pPr>
          </w:p>
        </w:tc>
        <w:tc>
          <w:tcPr>
            <w:tcW w:w="1784" w:type="dxa"/>
            <w:tcBorders>
              <w:right w:val="single" w:color="auto" w:sz="12" w:space="0"/>
            </w:tcBorders>
            <w:vAlign w:val="center"/>
          </w:tcPr>
          <w:p w14:paraId="67B5FCE1">
            <w:pPr>
              <w:spacing w:line="360" w:lineRule="auto"/>
              <w:jc w:val="center"/>
              <w:rPr>
                <w:rFonts w:ascii="宋体" w:hAnsi="宋体"/>
                <w:color w:val="000000"/>
                <w:sz w:val="24"/>
              </w:rPr>
            </w:pPr>
          </w:p>
        </w:tc>
      </w:tr>
      <w:tr w14:paraId="2194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659652EA">
            <w:pPr>
              <w:spacing w:line="360" w:lineRule="auto"/>
              <w:jc w:val="center"/>
              <w:rPr>
                <w:rFonts w:ascii="宋体" w:hAnsi="宋体"/>
                <w:color w:val="000000"/>
                <w:sz w:val="24"/>
              </w:rPr>
            </w:pPr>
            <w:r>
              <w:rPr>
                <w:rFonts w:hint="eastAsia" w:ascii="宋体" w:hAnsi="宋体"/>
                <w:color w:val="000000"/>
                <w:sz w:val="24"/>
              </w:rPr>
              <w:t>3</w:t>
            </w:r>
          </w:p>
        </w:tc>
        <w:tc>
          <w:tcPr>
            <w:tcW w:w="1277" w:type="dxa"/>
            <w:vAlign w:val="center"/>
          </w:tcPr>
          <w:p w14:paraId="1D4C0700">
            <w:pPr>
              <w:spacing w:line="360" w:lineRule="auto"/>
              <w:jc w:val="center"/>
              <w:rPr>
                <w:rFonts w:ascii="宋体" w:hAnsi="宋体"/>
                <w:color w:val="000000"/>
                <w:sz w:val="24"/>
              </w:rPr>
            </w:pPr>
          </w:p>
        </w:tc>
        <w:tc>
          <w:tcPr>
            <w:tcW w:w="1235" w:type="dxa"/>
            <w:vAlign w:val="center"/>
          </w:tcPr>
          <w:p w14:paraId="18A781E4">
            <w:pPr>
              <w:spacing w:line="360" w:lineRule="auto"/>
              <w:jc w:val="center"/>
              <w:rPr>
                <w:rFonts w:ascii="宋体" w:hAnsi="宋体"/>
                <w:color w:val="000000"/>
                <w:sz w:val="24"/>
              </w:rPr>
            </w:pPr>
          </w:p>
        </w:tc>
        <w:tc>
          <w:tcPr>
            <w:tcW w:w="1483" w:type="dxa"/>
            <w:vAlign w:val="center"/>
          </w:tcPr>
          <w:p w14:paraId="79A1E63A">
            <w:pPr>
              <w:spacing w:line="360" w:lineRule="auto"/>
              <w:jc w:val="center"/>
              <w:rPr>
                <w:rFonts w:ascii="宋体" w:hAnsi="宋体"/>
                <w:color w:val="000000"/>
                <w:sz w:val="24"/>
              </w:rPr>
            </w:pPr>
          </w:p>
        </w:tc>
        <w:tc>
          <w:tcPr>
            <w:tcW w:w="1592" w:type="dxa"/>
            <w:vAlign w:val="center"/>
          </w:tcPr>
          <w:p w14:paraId="601D0B93">
            <w:pPr>
              <w:spacing w:line="360" w:lineRule="auto"/>
              <w:jc w:val="center"/>
              <w:rPr>
                <w:rFonts w:ascii="宋体" w:hAnsi="宋体"/>
                <w:color w:val="000000"/>
                <w:sz w:val="24"/>
              </w:rPr>
            </w:pPr>
          </w:p>
        </w:tc>
        <w:tc>
          <w:tcPr>
            <w:tcW w:w="1985" w:type="dxa"/>
            <w:vAlign w:val="center"/>
          </w:tcPr>
          <w:p w14:paraId="6C99A47E">
            <w:pPr>
              <w:spacing w:line="360" w:lineRule="auto"/>
              <w:jc w:val="center"/>
              <w:rPr>
                <w:rFonts w:ascii="宋体" w:hAnsi="宋体"/>
                <w:color w:val="000000"/>
                <w:sz w:val="24"/>
              </w:rPr>
            </w:pPr>
          </w:p>
        </w:tc>
        <w:tc>
          <w:tcPr>
            <w:tcW w:w="709" w:type="dxa"/>
          </w:tcPr>
          <w:p w14:paraId="6DDFB04E">
            <w:pPr>
              <w:spacing w:line="360" w:lineRule="auto"/>
              <w:jc w:val="center"/>
              <w:rPr>
                <w:rFonts w:ascii="宋体" w:hAnsi="宋体"/>
                <w:color w:val="000000"/>
                <w:sz w:val="24"/>
              </w:rPr>
            </w:pPr>
          </w:p>
        </w:tc>
        <w:tc>
          <w:tcPr>
            <w:tcW w:w="1784" w:type="dxa"/>
            <w:tcBorders>
              <w:right w:val="single" w:color="auto" w:sz="12" w:space="0"/>
            </w:tcBorders>
            <w:vAlign w:val="center"/>
          </w:tcPr>
          <w:p w14:paraId="4F8DCFE1">
            <w:pPr>
              <w:spacing w:line="360" w:lineRule="auto"/>
              <w:jc w:val="center"/>
              <w:rPr>
                <w:rFonts w:ascii="宋体" w:hAnsi="宋体"/>
                <w:color w:val="000000"/>
                <w:sz w:val="24"/>
              </w:rPr>
            </w:pPr>
          </w:p>
        </w:tc>
      </w:tr>
      <w:tr w14:paraId="652C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tcBorders>
            <w:vAlign w:val="center"/>
          </w:tcPr>
          <w:p w14:paraId="6E7EAF91">
            <w:pPr>
              <w:spacing w:line="360" w:lineRule="auto"/>
              <w:jc w:val="center"/>
              <w:rPr>
                <w:rFonts w:ascii="宋体" w:hAnsi="宋体"/>
                <w:color w:val="000000"/>
                <w:sz w:val="24"/>
              </w:rPr>
            </w:pPr>
            <w:r>
              <w:rPr>
                <w:rFonts w:hint="eastAsia" w:ascii="宋体" w:hAnsi="宋体"/>
                <w:color w:val="000000"/>
                <w:sz w:val="24"/>
              </w:rPr>
              <w:t>4</w:t>
            </w:r>
          </w:p>
        </w:tc>
        <w:tc>
          <w:tcPr>
            <w:tcW w:w="1277" w:type="dxa"/>
            <w:vAlign w:val="center"/>
          </w:tcPr>
          <w:p w14:paraId="1AA557D3">
            <w:pPr>
              <w:spacing w:line="360" w:lineRule="auto"/>
              <w:jc w:val="center"/>
              <w:rPr>
                <w:rFonts w:ascii="宋体" w:hAnsi="宋体"/>
                <w:color w:val="000000"/>
                <w:sz w:val="24"/>
              </w:rPr>
            </w:pPr>
            <w:r>
              <w:rPr>
                <w:rFonts w:hint="eastAsia" w:ascii="宋体" w:hAnsi="宋体"/>
                <w:color w:val="000000"/>
                <w:sz w:val="24"/>
              </w:rPr>
              <w:t>…</w:t>
            </w:r>
          </w:p>
        </w:tc>
        <w:tc>
          <w:tcPr>
            <w:tcW w:w="1235" w:type="dxa"/>
            <w:vAlign w:val="center"/>
          </w:tcPr>
          <w:p w14:paraId="6EB5947D">
            <w:pPr>
              <w:spacing w:line="360" w:lineRule="auto"/>
              <w:jc w:val="center"/>
              <w:rPr>
                <w:rFonts w:ascii="宋体" w:hAnsi="宋体"/>
                <w:color w:val="000000"/>
                <w:sz w:val="24"/>
              </w:rPr>
            </w:pPr>
          </w:p>
        </w:tc>
        <w:tc>
          <w:tcPr>
            <w:tcW w:w="1483" w:type="dxa"/>
            <w:vAlign w:val="center"/>
          </w:tcPr>
          <w:p w14:paraId="42BBF094">
            <w:pPr>
              <w:spacing w:line="360" w:lineRule="auto"/>
              <w:jc w:val="center"/>
              <w:rPr>
                <w:rFonts w:ascii="宋体" w:hAnsi="宋体"/>
                <w:color w:val="000000"/>
                <w:sz w:val="24"/>
              </w:rPr>
            </w:pPr>
          </w:p>
        </w:tc>
        <w:tc>
          <w:tcPr>
            <w:tcW w:w="1592" w:type="dxa"/>
            <w:vAlign w:val="center"/>
          </w:tcPr>
          <w:p w14:paraId="03BE0B64">
            <w:pPr>
              <w:spacing w:line="360" w:lineRule="auto"/>
              <w:jc w:val="center"/>
              <w:rPr>
                <w:rFonts w:ascii="宋体" w:hAnsi="宋体"/>
                <w:color w:val="000000"/>
                <w:sz w:val="24"/>
              </w:rPr>
            </w:pPr>
          </w:p>
        </w:tc>
        <w:tc>
          <w:tcPr>
            <w:tcW w:w="1985" w:type="dxa"/>
            <w:vAlign w:val="center"/>
          </w:tcPr>
          <w:p w14:paraId="076F14B7">
            <w:pPr>
              <w:spacing w:line="360" w:lineRule="auto"/>
              <w:jc w:val="center"/>
              <w:rPr>
                <w:rFonts w:ascii="宋体" w:hAnsi="宋体"/>
                <w:color w:val="000000"/>
                <w:sz w:val="24"/>
              </w:rPr>
            </w:pPr>
          </w:p>
        </w:tc>
        <w:tc>
          <w:tcPr>
            <w:tcW w:w="709" w:type="dxa"/>
          </w:tcPr>
          <w:p w14:paraId="1BA2E86E">
            <w:pPr>
              <w:spacing w:line="360" w:lineRule="auto"/>
              <w:jc w:val="center"/>
              <w:rPr>
                <w:rFonts w:ascii="宋体" w:hAnsi="宋体"/>
                <w:color w:val="000000"/>
                <w:sz w:val="24"/>
              </w:rPr>
            </w:pPr>
          </w:p>
        </w:tc>
        <w:tc>
          <w:tcPr>
            <w:tcW w:w="1784" w:type="dxa"/>
            <w:tcBorders>
              <w:right w:val="single" w:color="auto" w:sz="12" w:space="0"/>
            </w:tcBorders>
            <w:vAlign w:val="center"/>
          </w:tcPr>
          <w:p w14:paraId="78C7992A">
            <w:pPr>
              <w:spacing w:line="360" w:lineRule="auto"/>
              <w:jc w:val="center"/>
              <w:rPr>
                <w:rFonts w:ascii="宋体" w:hAnsi="宋体"/>
                <w:color w:val="000000"/>
                <w:sz w:val="24"/>
              </w:rPr>
            </w:pPr>
          </w:p>
        </w:tc>
      </w:tr>
      <w:tr w14:paraId="6351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86" w:type="dxa"/>
            <w:tcBorders>
              <w:left w:val="single" w:color="auto" w:sz="12" w:space="0"/>
              <w:bottom w:val="single" w:color="auto" w:sz="12" w:space="0"/>
            </w:tcBorders>
            <w:vAlign w:val="center"/>
          </w:tcPr>
          <w:p w14:paraId="07CB0785">
            <w:pPr>
              <w:spacing w:line="360" w:lineRule="auto"/>
              <w:jc w:val="center"/>
              <w:rPr>
                <w:rFonts w:ascii="宋体" w:hAnsi="宋体"/>
                <w:color w:val="000000"/>
                <w:sz w:val="24"/>
              </w:rPr>
            </w:pPr>
          </w:p>
        </w:tc>
        <w:tc>
          <w:tcPr>
            <w:tcW w:w="1277" w:type="dxa"/>
            <w:tcBorders>
              <w:bottom w:val="single" w:color="auto" w:sz="12" w:space="0"/>
            </w:tcBorders>
            <w:vAlign w:val="center"/>
          </w:tcPr>
          <w:p w14:paraId="5882FAD6">
            <w:pPr>
              <w:spacing w:line="360" w:lineRule="auto"/>
              <w:ind w:firstLine="120" w:firstLineChars="50"/>
              <w:jc w:val="center"/>
              <w:rPr>
                <w:rFonts w:ascii="宋体" w:hAnsi="宋体"/>
                <w:color w:val="000000"/>
                <w:sz w:val="24"/>
              </w:rPr>
            </w:pPr>
            <w:r>
              <w:rPr>
                <w:rFonts w:hint="eastAsia" w:ascii="宋体" w:hAnsi="宋体"/>
                <w:color w:val="000000"/>
                <w:sz w:val="24"/>
              </w:rPr>
              <w:t>合计</w:t>
            </w:r>
          </w:p>
        </w:tc>
        <w:tc>
          <w:tcPr>
            <w:tcW w:w="1235" w:type="dxa"/>
            <w:tcBorders>
              <w:bottom w:val="single" w:color="auto" w:sz="12" w:space="0"/>
            </w:tcBorders>
            <w:vAlign w:val="center"/>
          </w:tcPr>
          <w:p w14:paraId="00A5D35B">
            <w:pPr>
              <w:spacing w:line="360" w:lineRule="auto"/>
              <w:jc w:val="center"/>
              <w:rPr>
                <w:rFonts w:ascii="宋体" w:hAnsi="宋体"/>
                <w:color w:val="000000"/>
                <w:sz w:val="24"/>
              </w:rPr>
            </w:pPr>
          </w:p>
        </w:tc>
        <w:tc>
          <w:tcPr>
            <w:tcW w:w="1483" w:type="dxa"/>
            <w:tcBorders>
              <w:bottom w:val="single" w:color="auto" w:sz="12" w:space="0"/>
            </w:tcBorders>
            <w:vAlign w:val="center"/>
          </w:tcPr>
          <w:p w14:paraId="0EFDAAC2">
            <w:pPr>
              <w:spacing w:line="360" w:lineRule="auto"/>
              <w:jc w:val="center"/>
              <w:rPr>
                <w:rFonts w:ascii="宋体" w:hAnsi="宋体"/>
                <w:color w:val="000000"/>
                <w:sz w:val="24"/>
              </w:rPr>
            </w:pPr>
          </w:p>
        </w:tc>
        <w:tc>
          <w:tcPr>
            <w:tcW w:w="1592" w:type="dxa"/>
            <w:tcBorders>
              <w:bottom w:val="single" w:color="auto" w:sz="12" w:space="0"/>
            </w:tcBorders>
            <w:vAlign w:val="center"/>
          </w:tcPr>
          <w:p w14:paraId="69758F56">
            <w:pPr>
              <w:spacing w:line="360" w:lineRule="auto"/>
              <w:jc w:val="center"/>
              <w:rPr>
                <w:rFonts w:ascii="宋体" w:hAnsi="宋体"/>
                <w:color w:val="000000"/>
                <w:sz w:val="24"/>
              </w:rPr>
            </w:pPr>
          </w:p>
        </w:tc>
        <w:tc>
          <w:tcPr>
            <w:tcW w:w="1985" w:type="dxa"/>
            <w:tcBorders>
              <w:bottom w:val="single" w:color="auto" w:sz="12" w:space="0"/>
            </w:tcBorders>
            <w:vAlign w:val="center"/>
          </w:tcPr>
          <w:p w14:paraId="39C3CDBB">
            <w:pPr>
              <w:spacing w:line="360" w:lineRule="auto"/>
              <w:jc w:val="center"/>
              <w:rPr>
                <w:rFonts w:ascii="宋体" w:hAnsi="宋体"/>
                <w:color w:val="000000"/>
                <w:sz w:val="24"/>
              </w:rPr>
            </w:pPr>
          </w:p>
        </w:tc>
        <w:tc>
          <w:tcPr>
            <w:tcW w:w="709" w:type="dxa"/>
            <w:tcBorders>
              <w:bottom w:val="single" w:color="auto" w:sz="12" w:space="0"/>
            </w:tcBorders>
          </w:tcPr>
          <w:p w14:paraId="301B52AD">
            <w:pPr>
              <w:spacing w:line="360" w:lineRule="auto"/>
              <w:jc w:val="center"/>
              <w:rPr>
                <w:rFonts w:ascii="宋体" w:hAnsi="宋体"/>
                <w:color w:val="000000"/>
                <w:sz w:val="24"/>
              </w:rPr>
            </w:pPr>
          </w:p>
        </w:tc>
        <w:tc>
          <w:tcPr>
            <w:tcW w:w="1784" w:type="dxa"/>
            <w:tcBorders>
              <w:bottom w:val="single" w:color="auto" w:sz="12" w:space="0"/>
              <w:right w:val="single" w:color="auto" w:sz="12" w:space="0"/>
            </w:tcBorders>
            <w:vAlign w:val="center"/>
          </w:tcPr>
          <w:p w14:paraId="2A9EF2B2">
            <w:pPr>
              <w:spacing w:line="360" w:lineRule="auto"/>
              <w:jc w:val="center"/>
              <w:rPr>
                <w:rFonts w:ascii="宋体" w:hAnsi="宋体"/>
                <w:color w:val="000000"/>
                <w:sz w:val="24"/>
              </w:rPr>
            </w:pPr>
          </w:p>
        </w:tc>
      </w:tr>
    </w:tbl>
    <w:p w14:paraId="022C954D">
      <w:pPr>
        <w:spacing w:line="360" w:lineRule="auto"/>
        <w:ind w:right="-88"/>
        <w:rPr>
          <w:rFonts w:ascii="宋体" w:hAnsi="宋体"/>
          <w:b/>
          <w:color w:val="0000CC"/>
          <w:sz w:val="24"/>
        </w:rPr>
      </w:pPr>
      <w:r>
        <w:rPr>
          <w:rFonts w:hint="eastAsia" w:ascii="宋体" w:hAnsi="宋体"/>
          <w:color w:val="000000"/>
          <w:sz w:val="24"/>
        </w:rPr>
        <w:t>说明：</w:t>
      </w:r>
      <w:r>
        <w:rPr>
          <w:rFonts w:hint="eastAsia" w:ascii="宋体" w:hAnsi="宋体"/>
          <w:b/>
          <w:color w:val="0000CC"/>
          <w:sz w:val="24"/>
        </w:rPr>
        <w:t>1、节</w:t>
      </w:r>
      <w:r>
        <w:rPr>
          <w:rFonts w:ascii="宋体" w:hAnsi="宋体"/>
          <w:b/>
          <w:color w:val="0000CC"/>
          <w:sz w:val="24"/>
        </w:rPr>
        <w:t>能</w:t>
      </w:r>
      <w:r>
        <w:rPr>
          <w:rFonts w:hint="eastAsia" w:ascii="宋体" w:hAnsi="宋体"/>
          <w:b/>
          <w:color w:val="0000CC"/>
          <w:sz w:val="24"/>
        </w:rPr>
        <w:t>产品根据财政部、</w:t>
      </w:r>
      <w:r>
        <w:rPr>
          <w:rFonts w:ascii="宋体" w:hAnsi="宋体"/>
          <w:b/>
          <w:color w:val="0000CC"/>
          <w:sz w:val="24"/>
        </w:rPr>
        <w:t>发展改革委</w:t>
      </w:r>
      <w:r>
        <w:rPr>
          <w:rFonts w:hint="eastAsia" w:ascii="宋体" w:hAnsi="宋体"/>
          <w:b/>
          <w:color w:val="0000CC"/>
          <w:sz w:val="24"/>
        </w:rPr>
        <w:t>信</w:t>
      </w:r>
      <w:r>
        <w:rPr>
          <w:rFonts w:ascii="宋体" w:hAnsi="宋体"/>
          <w:b/>
          <w:color w:val="0000CC"/>
          <w:sz w:val="24"/>
        </w:rPr>
        <w:t>息发布平台</w:t>
      </w:r>
      <w:r>
        <w:rPr>
          <w:rFonts w:hint="eastAsia" w:ascii="宋体" w:hAnsi="宋体"/>
          <w:b/>
          <w:color w:val="0000CC"/>
          <w:sz w:val="24"/>
        </w:rPr>
        <w:t>和</w:t>
      </w:r>
      <w:r>
        <w:rPr>
          <w:rFonts w:ascii="宋体" w:hAnsi="宋体"/>
          <w:b/>
          <w:color w:val="0000CC"/>
          <w:sz w:val="24"/>
        </w:rPr>
        <w:t>中国政府</w:t>
      </w:r>
      <w:r>
        <w:rPr>
          <w:rFonts w:hint="eastAsia" w:ascii="宋体" w:hAnsi="宋体"/>
          <w:b/>
          <w:color w:val="0000CC"/>
          <w:sz w:val="24"/>
        </w:rPr>
        <w:t>采</w:t>
      </w:r>
      <w:r>
        <w:rPr>
          <w:rFonts w:ascii="宋体" w:hAnsi="宋体"/>
          <w:b/>
          <w:color w:val="0000CC"/>
          <w:sz w:val="24"/>
        </w:rPr>
        <w:t>购网</w:t>
      </w:r>
      <w:r>
        <w:rPr>
          <w:rFonts w:hint="eastAsia" w:ascii="宋体" w:hAnsi="宋体"/>
          <w:b/>
          <w:color w:val="0000CC"/>
          <w:sz w:val="24"/>
        </w:rPr>
        <w:t>发布的，</w:t>
      </w:r>
      <w:r>
        <w:rPr>
          <w:rFonts w:ascii="宋体" w:hAnsi="宋体"/>
          <w:b/>
          <w:color w:val="0000CC"/>
          <w:sz w:val="24"/>
        </w:rPr>
        <w:t>最新</w:t>
      </w:r>
      <w:r>
        <w:rPr>
          <w:rFonts w:hint="eastAsia" w:ascii="宋体" w:hAnsi="宋体"/>
          <w:b/>
          <w:color w:val="0000CC"/>
          <w:sz w:val="24"/>
        </w:rPr>
        <w:t>适</w:t>
      </w:r>
      <w:r>
        <w:rPr>
          <w:rFonts w:ascii="宋体" w:hAnsi="宋体"/>
          <w:b/>
          <w:color w:val="0000CC"/>
          <w:sz w:val="24"/>
        </w:rPr>
        <w:t>时</w:t>
      </w:r>
      <w:r>
        <w:rPr>
          <w:rFonts w:hint="eastAsia" w:ascii="宋体" w:hAnsi="宋体"/>
          <w:b/>
          <w:color w:val="0000CC"/>
          <w:sz w:val="24"/>
        </w:rPr>
        <w:t>政</w:t>
      </w:r>
      <w:r>
        <w:rPr>
          <w:rFonts w:ascii="宋体" w:hAnsi="宋体"/>
          <w:b/>
          <w:color w:val="0000CC"/>
          <w:sz w:val="24"/>
        </w:rPr>
        <w:t>府</w:t>
      </w:r>
      <w:r>
        <w:rPr>
          <w:rFonts w:hint="eastAsia" w:ascii="宋体" w:hAnsi="宋体"/>
          <w:b/>
          <w:color w:val="0000CC"/>
          <w:sz w:val="24"/>
        </w:rPr>
        <w:t>采购节</w:t>
      </w:r>
      <w:r>
        <w:rPr>
          <w:rFonts w:ascii="宋体" w:hAnsi="宋体"/>
          <w:b/>
          <w:color w:val="0000CC"/>
          <w:sz w:val="24"/>
        </w:rPr>
        <w:t>能</w:t>
      </w:r>
      <w:r>
        <w:rPr>
          <w:rFonts w:hint="eastAsia" w:ascii="宋体" w:hAnsi="宋体"/>
          <w:b/>
          <w:color w:val="0000CC"/>
          <w:sz w:val="24"/>
        </w:rPr>
        <w:t>产品品</w:t>
      </w:r>
      <w:r>
        <w:rPr>
          <w:rFonts w:ascii="宋体" w:hAnsi="宋体"/>
          <w:b/>
          <w:color w:val="0000CC"/>
          <w:sz w:val="24"/>
        </w:rPr>
        <w:t>目清</w:t>
      </w:r>
      <w:r>
        <w:rPr>
          <w:rFonts w:hint="eastAsia" w:ascii="宋体" w:hAnsi="宋体"/>
          <w:b/>
          <w:color w:val="0000CC"/>
          <w:sz w:val="24"/>
        </w:rPr>
        <w:t>单确定。</w:t>
      </w:r>
    </w:p>
    <w:p w14:paraId="26974B35">
      <w:pPr>
        <w:spacing w:line="360" w:lineRule="auto"/>
        <w:ind w:right="-88" w:firstLine="711" w:firstLineChars="295"/>
        <w:rPr>
          <w:rFonts w:ascii="宋体" w:hAnsi="宋体"/>
          <w:b/>
          <w:color w:val="0000CC"/>
          <w:sz w:val="24"/>
        </w:rPr>
      </w:pPr>
      <w:r>
        <w:rPr>
          <w:rFonts w:hint="eastAsia" w:ascii="宋体" w:hAnsi="宋体"/>
          <w:b/>
          <w:color w:val="0000CC"/>
          <w:sz w:val="24"/>
        </w:rPr>
        <w:t>2、如所投产品</w:t>
      </w:r>
      <w:r>
        <w:rPr>
          <w:rFonts w:hint="eastAsia" w:ascii="宋体" w:hAnsi="宋体"/>
          <w:b/>
          <w:sz w:val="24"/>
        </w:rPr>
        <w:t>属于品</w:t>
      </w:r>
      <w:r>
        <w:rPr>
          <w:rFonts w:ascii="宋体" w:hAnsi="宋体"/>
          <w:b/>
          <w:sz w:val="24"/>
        </w:rPr>
        <w:t>目清</w:t>
      </w:r>
      <w:r>
        <w:rPr>
          <w:rFonts w:hint="eastAsia" w:ascii="宋体" w:hAnsi="宋体"/>
          <w:b/>
          <w:sz w:val="24"/>
        </w:rPr>
        <w:t>单</w:t>
      </w:r>
      <w:r>
        <w:rPr>
          <w:rFonts w:ascii="宋体" w:hAnsi="宋体"/>
          <w:b/>
          <w:sz w:val="24"/>
        </w:rPr>
        <w:t>范围的</w:t>
      </w:r>
      <w:r>
        <w:rPr>
          <w:rFonts w:hint="eastAsia" w:ascii="宋体" w:hAnsi="宋体"/>
          <w:b/>
          <w:color w:val="0000CC"/>
          <w:sz w:val="24"/>
        </w:rPr>
        <w:t>节</w:t>
      </w:r>
      <w:r>
        <w:rPr>
          <w:rFonts w:ascii="宋体" w:hAnsi="宋体"/>
          <w:b/>
          <w:color w:val="0000CC"/>
          <w:sz w:val="24"/>
        </w:rPr>
        <w:t>能</w:t>
      </w:r>
      <w:r>
        <w:rPr>
          <w:rFonts w:hint="eastAsia" w:ascii="宋体" w:hAnsi="宋体"/>
          <w:b/>
          <w:color w:val="0000CC"/>
          <w:sz w:val="24"/>
        </w:rPr>
        <w:t>产品，具有国家认证机构出具的、在有效期内的获得认证证书的产品，必须在节能产品明细表中填报并注明，并提供所投产品政府采购节能产品认证</w:t>
      </w:r>
      <w:r>
        <w:rPr>
          <w:rFonts w:ascii="宋体" w:hAnsi="宋体"/>
          <w:b/>
          <w:color w:val="0000CC"/>
          <w:sz w:val="24"/>
        </w:rPr>
        <w:t>证书复印件</w:t>
      </w:r>
      <w:r>
        <w:rPr>
          <w:rFonts w:hint="eastAsia" w:ascii="宋体" w:hAnsi="宋体"/>
          <w:b/>
          <w:color w:val="0000CC"/>
          <w:sz w:val="24"/>
        </w:rPr>
        <w:t>，否则评审时不予认可。</w:t>
      </w:r>
    </w:p>
    <w:p w14:paraId="67EA2C67">
      <w:pPr>
        <w:spacing w:line="360" w:lineRule="auto"/>
        <w:ind w:right="-88" w:firstLine="711" w:firstLineChars="295"/>
        <w:rPr>
          <w:rFonts w:ascii="宋体" w:hAnsi="宋体"/>
          <w:b/>
          <w:color w:val="0000CC"/>
          <w:sz w:val="24"/>
        </w:rPr>
      </w:pPr>
      <w:r>
        <w:rPr>
          <w:rFonts w:hint="eastAsia" w:ascii="宋体" w:hAnsi="宋体"/>
          <w:b/>
          <w:color w:val="0000CC"/>
          <w:sz w:val="24"/>
        </w:rPr>
        <w:t>3、如所投产品为已列</w:t>
      </w:r>
      <w:r>
        <w:rPr>
          <w:rFonts w:ascii="宋体" w:hAnsi="宋体"/>
          <w:b/>
          <w:color w:val="0000CC"/>
          <w:sz w:val="24"/>
        </w:rPr>
        <w:t>入</w:t>
      </w:r>
      <w:r>
        <w:rPr>
          <w:rFonts w:hint="eastAsia" w:ascii="宋体" w:hAnsi="宋体"/>
          <w:b/>
          <w:color w:val="0000CC"/>
          <w:sz w:val="24"/>
        </w:rPr>
        <w:t>品</w:t>
      </w:r>
      <w:r>
        <w:rPr>
          <w:rFonts w:ascii="宋体" w:hAnsi="宋体"/>
          <w:b/>
          <w:color w:val="0000CC"/>
          <w:sz w:val="24"/>
        </w:rPr>
        <w:t>目清单</w:t>
      </w:r>
      <w:r>
        <w:rPr>
          <w:rFonts w:hint="eastAsia" w:ascii="宋体" w:hAnsi="宋体"/>
          <w:b/>
          <w:color w:val="0000CC"/>
          <w:sz w:val="24"/>
        </w:rPr>
        <w:t>节</w:t>
      </w:r>
      <w:r>
        <w:rPr>
          <w:rFonts w:ascii="宋体" w:hAnsi="宋体"/>
          <w:b/>
          <w:color w:val="0000CC"/>
          <w:sz w:val="24"/>
        </w:rPr>
        <w:t>能</w:t>
      </w:r>
      <w:r>
        <w:rPr>
          <w:rFonts w:hint="eastAsia" w:ascii="宋体" w:hAnsi="宋体"/>
          <w:b/>
          <w:color w:val="0000CC"/>
          <w:sz w:val="24"/>
        </w:rPr>
        <w:t>产品，须按规定格式逐项填写，否则评审时不予认可。</w:t>
      </w:r>
    </w:p>
    <w:p w14:paraId="5A3EAD6C">
      <w:pPr>
        <w:spacing w:line="360" w:lineRule="auto"/>
        <w:ind w:right="-88" w:firstLine="711" w:firstLineChars="295"/>
        <w:rPr>
          <w:rFonts w:ascii="宋体" w:hAnsi="宋体"/>
          <w:b/>
          <w:color w:val="FF0000"/>
          <w:sz w:val="24"/>
        </w:rPr>
      </w:pPr>
      <w:r>
        <w:rPr>
          <w:rFonts w:hint="eastAsia" w:ascii="宋体" w:hAnsi="宋体"/>
          <w:b/>
          <w:color w:val="FF0000"/>
          <w:sz w:val="24"/>
        </w:rPr>
        <w:t>注</w:t>
      </w:r>
      <w:r>
        <w:rPr>
          <w:rFonts w:ascii="宋体" w:hAnsi="宋体"/>
          <w:b/>
          <w:color w:val="FF0000"/>
          <w:sz w:val="24"/>
        </w:rPr>
        <w:t>：</w:t>
      </w:r>
      <w:r>
        <w:rPr>
          <w:rFonts w:hint="eastAsia" w:ascii="宋体" w:hAnsi="宋体"/>
          <w:b/>
          <w:color w:val="FF0000"/>
          <w:sz w:val="24"/>
        </w:rPr>
        <w:t>如所投产品未</w:t>
      </w:r>
      <w:r>
        <w:rPr>
          <w:rFonts w:ascii="宋体" w:hAnsi="宋体"/>
          <w:b/>
          <w:color w:val="FF0000"/>
          <w:sz w:val="24"/>
        </w:rPr>
        <w:t>列入品目清</w:t>
      </w:r>
      <w:r>
        <w:rPr>
          <w:rFonts w:hint="eastAsia" w:ascii="宋体" w:hAnsi="宋体"/>
          <w:b/>
          <w:color w:val="FF0000"/>
          <w:sz w:val="24"/>
        </w:rPr>
        <w:t>单的政</w:t>
      </w:r>
      <w:r>
        <w:rPr>
          <w:rFonts w:ascii="宋体" w:hAnsi="宋体"/>
          <w:b/>
          <w:color w:val="FF0000"/>
          <w:sz w:val="24"/>
        </w:rPr>
        <w:t>府采购</w:t>
      </w:r>
      <w:r>
        <w:rPr>
          <w:rFonts w:hint="eastAsia" w:ascii="宋体" w:hAnsi="宋体"/>
          <w:b/>
          <w:color w:val="FF0000"/>
          <w:sz w:val="24"/>
        </w:rPr>
        <w:t>节</w:t>
      </w:r>
      <w:r>
        <w:rPr>
          <w:rFonts w:ascii="宋体" w:hAnsi="宋体"/>
          <w:b/>
          <w:color w:val="FF0000"/>
          <w:sz w:val="24"/>
        </w:rPr>
        <w:t>能产</w:t>
      </w:r>
      <w:r>
        <w:rPr>
          <w:rFonts w:hint="eastAsia" w:ascii="宋体" w:hAnsi="宋体"/>
          <w:b/>
          <w:color w:val="FF0000"/>
          <w:sz w:val="24"/>
        </w:rPr>
        <w:t>品，可不填写此表。</w:t>
      </w:r>
    </w:p>
    <w:p w14:paraId="142691B4">
      <w:pPr>
        <w:spacing w:line="360" w:lineRule="auto"/>
        <w:ind w:firstLine="480" w:firstLineChars="200"/>
        <w:rPr>
          <w:rFonts w:ascii="宋体" w:hAnsi="宋体"/>
          <w:sz w:val="24"/>
        </w:rPr>
      </w:pPr>
    </w:p>
    <w:p w14:paraId="61DD26BB">
      <w:pPr>
        <w:spacing w:line="360" w:lineRule="auto"/>
        <w:ind w:firstLine="480" w:firstLineChars="200"/>
        <w:rPr>
          <w:rFonts w:ascii="宋体" w:hAnsi="宋体"/>
          <w:sz w:val="24"/>
        </w:rPr>
      </w:pPr>
    </w:p>
    <w:p w14:paraId="1690CC1A">
      <w:pPr>
        <w:spacing w:line="500" w:lineRule="exact"/>
        <w:jc w:val="left"/>
        <w:rPr>
          <w:rFonts w:ascii="宋体" w:hAnsi="宋体"/>
          <w:sz w:val="28"/>
          <w:szCs w:val="28"/>
        </w:rPr>
      </w:pPr>
      <w:r>
        <w:rPr>
          <w:rFonts w:hint="eastAsia" w:ascii="宋体" w:hAnsi="宋体"/>
          <w:sz w:val="28"/>
          <w:szCs w:val="28"/>
        </w:rPr>
        <w:t>投标人全称：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220DC93E">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0CC92B95">
      <w:pPr>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7127969A">
      <w:pPr>
        <w:spacing w:line="360" w:lineRule="auto"/>
        <w:ind w:right="480"/>
        <w:rPr>
          <w:rFonts w:ascii="宋体" w:hAnsi="宋体"/>
          <w:b/>
          <w:sz w:val="28"/>
          <w:szCs w:val="28"/>
        </w:rPr>
      </w:pPr>
      <w:r>
        <w:rPr>
          <w:color w:val="000000"/>
          <w:szCs w:val="21"/>
        </w:rPr>
        <w:br w:type="page"/>
      </w:r>
      <w:r>
        <w:rPr>
          <w:rFonts w:hint="eastAsia" w:ascii="Arial" w:hAnsi="Arial" w:eastAsia="黑体"/>
          <w:b/>
          <w:bCs/>
          <w:sz w:val="32"/>
          <w:szCs w:val="32"/>
          <w:lang w:val="en-US" w:eastAsia="zh-CN"/>
        </w:rPr>
        <w:t>五</w:t>
      </w:r>
      <w:r>
        <w:rPr>
          <w:rFonts w:ascii="Arial" w:hAnsi="Arial" w:eastAsia="黑体"/>
          <w:b/>
          <w:bCs/>
          <w:sz w:val="32"/>
          <w:szCs w:val="32"/>
        </w:rPr>
        <w:t>、</w:t>
      </w:r>
      <w:r>
        <w:rPr>
          <w:rFonts w:hint="eastAsia" w:ascii="Arial" w:hAnsi="Arial" w:eastAsia="黑体"/>
          <w:b/>
          <w:bCs/>
          <w:sz w:val="32"/>
          <w:szCs w:val="32"/>
          <w:lang w:val="en-US" w:eastAsia="zh-CN"/>
        </w:rPr>
        <w:t>中</w:t>
      </w:r>
      <w:r>
        <w:rPr>
          <w:rFonts w:hint="eastAsia" w:ascii="Arial" w:hAnsi="Arial" w:eastAsia="黑体"/>
          <w:b/>
          <w:bCs/>
          <w:sz w:val="32"/>
          <w:szCs w:val="32"/>
        </w:rPr>
        <w:t>、小</w:t>
      </w:r>
      <w:r>
        <w:rPr>
          <w:rFonts w:hint="eastAsia" w:ascii="Arial" w:hAnsi="Arial" w:eastAsia="黑体"/>
          <w:b/>
          <w:bCs/>
          <w:sz w:val="32"/>
          <w:szCs w:val="32"/>
          <w:lang w:eastAsia="zh-CN"/>
        </w:rPr>
        <w:t>、</w:t>
      </w:r>
      <w:r>
        <w:rPr>
          <w:rFonts w:hint="eastAsia" w:ascii="Arial" w:hAnsi="Arial" w:eastAsia="黑体"/>
          <w:b/>
          <w:bCs/>
          <w:sz w:val="32"/>
          <w:szCs w:val="32"/>
          <w:lang w:val="en-US" w:eastAsia="zh-CN"/>
        </w:rPr>
        <w:t>微</w:t>
      </w:r>
      <w:r>
        <w:rPr>
          <w:rFonts w:hint="eastAsia" w:ascii="Arial" w:hAnsi="Arial" w:eastAsia="黑体"/>
          <w:b/>
          <w:bCs/>
          <w:sz w:val="32"/>
          <w:szCs w:val="32"/>
        </w:rPr>
        <w:t>型企业产品明细表</w:t>
      </w:r>
    </w:p>
    <w:p w14:paraId="36B4EA48">
      <w:pPr>
        <w:pStyle w:val="23"/>
        <w:spacing w:line="360" w:lineRule="auto"/>
      </w:pPr>
      <w:r>
        <w:rPr>
          <w:rFonts w:hint="eastAsia"/>
          <w:lang w:eastAsia="zh-CN"/>
        </w:rPr>
        <w:t>采购计划文号</w:t>
      </w:r>
      <w:r>
        <w:rPr>
          <w:rFonts w:hint="eastAsia"/>
        </w:rPr>
        <w:t>：</w:t>
      </w:r>
      <w:r>
        <w:rPr>
          <w:rFonts w:hint="eastAsia"/>
          <w:u w:val="single"/>
        </w:rPr>
        <w:t xml:space="preserve">                    </w:t>
      </w:r>
      <w:r>
        <w:rPr>
          <w:rFonts w:hint="eastAsia"/>
        </w:rPr>
        <w:t xml:space="preserve">    </w:t>
      </w:r>
      <w:r>
        <w:rPr>
          <w:rFonts w:hint="eastAsia" w:ascii="宋体" w:hAnsi="宋体"/>
          <w:color w:val="000000"/>
        </w:rPr>
        <w:t>价格单位；</w:t>
      </w:r>
      <w:r>
        <w:rPr>
          <w:rFonts w:hint="eastAsia" w:ascii="宋体" w:hAnsi="宋体"/>
          <w:color w:val="000000"/>
          <w:u w:val="single"/>
        </w:rPr>
        <w:t xml:space="preserve">        </w:t>
      </w:r>
    </w:p>
    <w:tbl>
      <w:tblPr>
        <w:tblStyle w:val="58"/>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75"/>
        <w:gridCol w:w="1719"/>
        <w:gridCol w:w="2006"/>
        <w:gridCol w:w="1331"/>
        <w:gridCol w:w="1005"/>
      </w:tblGrid>
      <w:tr w14:paraId="2FE9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tcBorders>
              <w:top w:val="single" w:color="auto" w:sz="12" w:space="0"/>
              <w:left w:val="single" w:color="auto" w:sz="12" w:space="0"/>
            </w:tcBorders>
            <w:vAlign w:val="center"/>
          </w:tcPr>
          <w:p w14:paraId="118691EE">
            <w:pPr>
              <w:spacing w:line="360" w:lineRule="auto"/>
              <w:ind w:right="-2"/>
              <w:jc w:val="center"/>
              <w:rPr>
                <w:rFonts w:ascii="宋体" w:hAnsi="宋体"/>
                <w:color w:val="000000"/>
                <w:sz w:val="24"/>
              </w:rPr>
            </w:pPr>
            <w:r>
              <w:rPr>
                <w:rFonts w:hint="eastAsia" w:ascii="宋体" w:hAnsi="宋体"/>
                <w:color w:val="000000"/>
                <w:sz w:val="24"/>
              </w:rPr>
              <w:t>序号</w:t>
            </w:r>
          </w:p>
        </w:tc>
        <w:tc>
          <w:tcPr>
            <w:tcW w:w="1675" w:type="dxa"/>
            <w:tcBorders>
              <w:top w:val="single" w:color="auto" w:sz="12" w:space="0"/>
            </w:tcBorders>
            <w:vAlign w:val="center"/>
          </w:tcPr>
          <w:p w14:paraId="571E5EB9">
            <w:pPr>
              <w:tabs>
                <w:tab w:val="left" w:pos="1465"/>
                <w:tab w:val="center" w:pos="4777"/>
              </w:tabs>
              <w:spacing w:line="360" w:lineRule="auto"/>
              <w:ind w:right="-4" w:rightChars="-2"/>
              <w:jc w:val="center"/>
              <w:rPr>
                <w:rFonts w:ascii="宋体" w:hAnsi="宋体"/>
                <w:color w:val="000000"/>
                <w:sz w:val="24"/>
              </w:rPr>
            </w:pPr>
            <w:r>
              <w:rPr>
                <w:rFonts w:hint="eastAsia" w:ascii="宋体" w:hAnsi="宋体"/>
                <w:color w:val="000000"/>
                <w:sz w:val="24"/>
              </w:rPr>
              <w:t>产品名称</w:t>
            </w:r>
          </w:p>
        </w:tc>
        <w:tc>
          <w:tcPr>
            <w:tcW w:w="1719" w:type="dxa"/>
            <w:tcBorders>
              <w:top w:val="single" w:color="auto" w:sz="12" w:space="0"/>
            </w:tcBorders>
            <w:vAlign w:val="center"/>
          </w:tcPr>
          <w:p w14:paraId="3985797D">
            <w:pPr>
              <w:spacing w:line="360" w:lineRule="auto"/>
              <w:jc w:val="center"/>
              <w:rPr>
                <w:rFonts w:ascii="宋体" w:hAnsi="宋体"/>
                <w:color w:val="000000"/>
                <w:sz w:val="24"/>
              </w:rPr>
            </w:pPr>
            <w:r>
              <w:rPr>
                <w:rFonts w:hint="eastAsia" w:ascii="宋体" w:hAnsi="宋体"/>
                <w:color w:val="000000"/>
                <w:sz w:val="24"/>
              </w:rPr>
              <w:t>品牌型号</w:t>
            </w:r>
          </w:p>
        </w:tc>
        <w:tc>
          <w:tcPr>
            <w:tcW w:w="2006" w:type="dxa"/>
            <w:tcBorders>
              <w:top w:val="single" w:color="auto" w:sz="12" w:space="0"/>
            </w:tcBorders>
            <w:vAlign w:val="center"/>
          </w:tcPr>
          <w:p w14:paraId="39F23D3D">
            <w:pPr>
              <w:spacing w:line="360" w:lineRule="auto"/>
              <w:jc w:val="center"/>
              <w:rPr>
                <w:rFonts w:ascii="宋体" w:hAnsi="宋体"/>
                <w:color w:val="000000"/>
                <w:sz w:val="24"/>
              </w:rPr>
            </w:pPr>
            <w:r>
              <w:rPr>
                <w:rFonts w:hint="eastAsia" w:ascii="宋体" w:hAnsi="宋体"/>
                <w:color w:val="000000"/>
                <w:sz w:val="24"/>
              </w:rPr>
              <w:t>制造商</w:t>
            </w:r>
          </w:p>
        </w:tc>
        <w:tc>
          <w:tcPr>
            <w:tcW w:w="1331" w:type="dxa"/>
            <w:tcBorders>
              <w:top w:val="single" w:color="auto" w:sz="12" w:space="0"/>
            </w:tcBorders>
            <w:vAlign w:val="center"/>
          </w:tcPr>
          <w:p w14:paraId="72EA827D">
            <w:pPr>
              <w:spacing w:line="360" w:lineRule="auto"/>
              <w:jc w:val="center"/>
              <w:rPr>
                <w:rFonts w:ascii="宋体" w:hAnsi="宋体"/>
                <w:color w:val="000000"/>
                <w:sz w:val="24"/>
              </w:rPr>
            </w:pPr>
            <w:r>
              <w:rPr>
                <w:rFonts w:hint="eastAsia" w:ascii="宋体" w:hAnsi="宋体"/>
                <w:color w:val="000000"/>
                <w:sz w:val="24"/>
              </w:rPr>
              <w:t>产地</w:t>
            </w:r>
          </w:p>
        </w:tc>
        <w:tc>
          <w:tcPr>
            <w:tcW w:w="1005" w:type="dxa"/>
            <w:tcBorders>
              <w:top w:val="single" w:color="auto" w:sz="12" w:space="0"/>
              <w:right w:val="single" w:color="auto" w:sz="4" w:space="0"/>
            </w:tcBorders>
            <w:vAlign w:val="center"/>
          </w:tcPr>
          <w:p w14:paraId="5B61CAB4">
            <w:pPr>
              <w:spacing w:line="360" w:lineRule="auto"/>
              <w:jc w:val="center"/>
              <w:rPr>
                <w:rFonts w:ascii="宋体" w:hAnsi="宋体"/>
                <w:color w:val="000000"/>
                <w:sz w:val="24"/>
              </w:rPr>
            </w:pPr>
            <w:r>
              <w:rPr>
                <w:rFonts w:hint="eastAsia" w:ascii="宋体" w:hAnsi="宋体"/>
                <w:color w:val="000000"/>
                <w:sz w:val="24"/>
              </w:rPr>
              <w:t>价格</w:t>
            </w:r>
          </w:p>
        </w:tc>
      </w:tr>
      <w:tr w14:paraId="180B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1463DD87">
            <w:pPr>
              <w:spacing w:line="360" w:lineRule="auto"/>
              <w:ind w:right="-2"/>
              <w:jc w:val="center"/>
              <w:rPr>
                <w:rFonts w:ascii="宋体" w:hAnsi="宋体"/>
                <w:color w:val="000000"/>
                <w:sz w:val="24"/>
              </w:rPr>
            </w:pPr>
            <w:r>
              <w:rPr>
                <w:rFonts w:hint="eastAsia" w:ascii="宋体" w:hAnsi="宋体"/>
                <w:color w:val="000000"/>
                <w:sz w:val="24"/>
              </w:rPr>
              <w:t>1</w:t>
            </w:r>
          </w:p>
        </w:tc>
        <w:tc>
          <w:tcPr>
            <w:tcW w:w="1675" w:type="dxa"/>
            <w:vAlign w:val="center"/>
          </w:tcPr>
          <w:p w14:paraId="17B17705">
            <w:pPr>
              <w:tabs>
                <w:tab w:val="left" w:pos="1283"/>
              </w:tabs>
              <w:spacing w:line="360" w:lineRule="auto"/>
              <w:ind w:right="16"/>
              <w:jc w:val="center"/>
              <w:rPr>
                <w:rFonts w:ascii="宋体" w:hAnsi="宋体"/>
                <w:color w:val="000000"/>
                <w:sz w:val="24"/>
              </w:rPr>
            </w:pPr>
          </w:p>
        </w:tc>
        <w:tc>
          <w:tcPr>
            <w:tcW w:w="1719" w:type="dxa"/>
            <w:vAlign w:val="center"/>
          </w:tcPr>
          <w:p w14:paraId="28069FA8">
            <w:pPr>
              <w:spacing w:line="360" w:lineRule="auto"/>
              <w:jc w:val="center"/>
              <w:rPr>
                <w:rFonts w:ascii="宋体" w:hAnsi="宋体"/>
                <w:color w:val="000000"/>
                <w:sz w:val="24"/>
              </w:rPr>
            </w:pPr>
          </w:p>
        </w:tc>
        <w:tc>
          <w:tcPr>
            <w:tcW w:w="2006" w:type="dxa"/>
            <w:vAlign w:val="center"/>
          </w:tcPr>
          <w:p w14:paraId="1A4FCCE0">
            <w:pPr>
              <w:spacing w:line="360" w:lineRule="auto"/>
              <w:jc w:val="center"/>
              <w:rPr>
                <w:rFonts w:ascii="宋体" w:hAnsi="宋体"/>
                <w:color w:val="000000"/>
                <w:sz w:val="24"/>
              </w:rPr>
            </w:pPr>
          </w:p>
        </w:tc>
        <w:tc>
          <w:tcPr>
            <w:tcW w:w="1331" w:type="dxa"/>
            <w:vAlign w:val="center"/>
          </w:tcPr>
          <w:p w14:paraId="7E7C9EC7">
            <w:pPr>
              <w:spacing w:line="360" w:lineRule="auto"/>
              <w:jc w:val="center"/>
              <w:rPr>
                <w:rFonts w:ascii="宋体" w:hAnsi="宋体"/>
                <w:color w:val="000000"/>
                <w:sz w:val="24"/>
              </w:rPr>
            </w:pPr>
          </w:p>
        </w:tc>
        <w:tc>
          <w:tcPr>
            <w:tcW w:w="1005" w:type="dxa"/>
            <w:tcBorders>
              <w:right w:val="single" w:color="auto" w:sz="4" w:space="0"/>
            </w:tcBorders>
            <w:vAlign w:val="center"/>
          </w:tcPr>
          <w:p w14:paraId="3548E5C4">
            <w:pPr>
              <w:spacing w:line="360" w:lineRule="auto"/>
              <w:jc w:val="center"/>
              <w:rPr>
                <w:rFonts w:ascii="宋体" w:hAnsi="宋体"/>
                <w:color w:val="000000"/>
                <w:sz w:val="24"/>
              </w:rPr>
            </w:pPr>
          </w:p>
        </w:tc>
      </w:tr>
      <w:tr w14:paraId="01C2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07BD7564">
            <w:pPr>
              <w:spacing w:line="360" w:lineRule="auto"/>
              <w:ind w:right="-2"/>
              <w:jc w:val="center"/>
              <w:rPr>
                <w:rFonts w:ascii="宋体" w:hAnsi="宋体"/>
                <w:color w:val="000000"/>
                <w:sz w:val="24"/>
              </w:rPr>
            </w:pPr>
            <w:r>
              <w:rPr>
                <w:rFonts w:hint="eastAsia" w:ascii="宋体" w:hAnsi="宋体"/>
                <w:color w:val="000000"/>
                <w:sz w:val="24"/>
              </w:rPr>
              <w:t>2</w:t>
            </w:r>
          </w:p>
        </w:tc>
        <w:tc>
          <w:tcPr>
            <w:tcW w:w="1675" w:type="dxa"/>
            <w:vAlign w:val="center"/>
          </w:tcPr>
          <w:p w14:paraId="75560019">
            <w:pPr>
              <w:tabs>
                <w:tab w:val="left" w:pos="1283"/>
              </w:tabs>
              <w:spacing w:line="360" w:lineRule="auto"/>
              <w:jc w:val="center"/>
              <w:rPr>
                <w:rFonts w:ascii="宋体" w:hAnsi="宋体"/>
                <w:color w:val="000000"/>
                <w:sz w:val="24"/>
              </w:rPr>
            </w:pPr>
          </w:p>
        </w:tc>
        <w:tc>
          <w:tcPr>
            <w:tcW w:w="1719" w:type="dxa"/>
            <w:vAlign w:val="center"/>
          </w:tcPr>
          <w:p w14:paraId="79C0E0CD">
            <w:pPr>
              <w:spacing w:line="360" w:lineRule="auto"/>
              <w:jc w:val="center"/>
              <w:rPr>
                <w:rFonts w:ascii="宋体" w:hAnsi="宋体"/>
                <w:color w:val="000000"/>
                <w:sz w:val="24"/>
              </w:rPr>
            </w:pPr>
          </w:p>
        </w:tc>
        <w:tc>
          <w:tcPr>
            <w:tcW w:w="2006" w:type="dxa"/>
            <w:vAlign w:val="center"/>
          </w:tcPr>
          <w:p w14:paraId="28C7D8AE">
            <w:pPr>
              <w:spacing w:line="360" w:lineRule="auto"/>
              <w:jc w:val="center"/>
              <w:rPr>
                <w:rFonts w:ascii="宋体" w:hAnsi="宋体"/>
                <w:color w:val="000000"/>
                <w:sz w:val="24"/>
              </w:rPr>
            </w:pPr>
          </w:p>
        </w:tc>
        <w:tc>
          <w:tcPr>
            <w:tcW w:w="1331" w:type="dxa"/>
            <w:vAlign w:val="center"/>
          </w:tcPr>
          <w:p w14:paraId="2DAC22CE">
            <w:pPr>
              <w:spacing w:line="360" w:lineRule="auto"/>
              <w:jc w:val="center"/>
              <w:rPr>
                <w:rFonts w:ascii="宋体" w:hAnsi="宋体"/>
                <w:color w:val="000000"/>
                <w:sz w:val="24"/>
              </w:rPr>
            </w:pPr>
          </w:p>
        </w:tc>
        <w:tc>
          <w:tcPr>
            <w:tcW w:w="1005" w:type="dxa"/>
            <w:tcBorders>
              <w:right w:val="single" w:color="auto" w:sz="4" w:space="0"/>
            </w:tcBorders>
            <w:vAlign w:val="center"/>
          </w:tcPr>
          <w:p w14:paraId="4D59D339">
            <w:pPr>
              <w:spacing w:line="360" w:lineRule="auto"/>
              <w:jc w:val="center"/>
              <w:rPr>
                <w:rFonts w:ascii="宋体" w:hAnsi="宋体"/>
                <w:color w:val="000000"/>
                <w:sz w:val="24"/>
              </w:rPr>
            </w:pPr>
          </w:p>
        </w:tc>
      </w:tr>
      <w:tr w14:paraId="490B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06265073">
            <w:pPr>
              <w:spacing w:line="360" w:lineRule="auto"/>
              <w:ind w:right="-2"/>
              <w:jc w:val="center"/>
              <w:rPr>
                <w:rFonts w:ascii="宋体" w:hAnsi="宋体"/>
                <w:color w:val="000000"/>
                <w:sz w:val="24"/>
              </w:rPr>
            </w:pPr>
            <w:r>
              <w:rPr>
                <w:rFonts w:hint="eastAsia" w:ascii="宋体" w:hAnsi="宋体"/>
                <w:color w:val="000000"/>
                <w:sz w:val="24"/>
              </w:rPr>
              <w:t>3</w:t>
            </w:r>
          </w:p>
        </w:tc>
        <w:tc>
          <w:tcPr>
            <w:tcW w:w="1675" w:type="dxa"/>
            <w:vAlign w:val="center"/>
          </w:tcPr>
          <w:p w14:paraId="10816EBF">
            <w:pPr>
              <w:tabs>
                <w:tab w:val="left" w:pos="1283"/>
              </w:tabs>
              <w:spacing w:line="360" w:lineRule="auto"/>
              <w:ind w:right="16"/>
              <w:jc w:val="center"/>
              <w:rPr>
                <w:rFonts w:ascii="宋体" w:hAnsi="宋体"/>
                <w:color w:val="000000"/>
                <w:sz w:val="24"/>
              </w:rPr>
            </w:pPr>
          </w:p>
        </w:tc>
        <w:tc>
          <w:tcPr>
            <w:tcW w:w="1719" w:type="dxa"/>
            <w:vAlign w:val="center"/>
          </w:tcPr>
          <w:p w14:paraId="6AE42508">
            <w:pPr>
              <w:spacing w:line="360" w:lineRule="auto"/>
              <w:jc w:val="center"/>
              <w:rPr>
                <w:rFonts w:ascii="宋体" w:hAnsi="宋体"/>
                <w:color w:val="000000"/>
                <w:sz w:val="24"/>
              </w:rPr>
            </w:pPr>
          </w:p>
        </w:tc>
        <w:tc>
          <w:tcPr>
            <w:tcW w:w="2006" w:type="dxa"/>
            <w:vAlign w:val="center"/>
          </w:tcPr>
          <w:p w14:paraId="0A6CEEC1">
            <w:pPr>
              <w:spacing w:line="360" w:lineRule="auto"/>
              <w:jc w:val="center"/>
              <w:rPr>
                <w:rFonts w:ascii="宋体" w:hAnsi="宋体"/>
                <w:color w:val="000000"/>
                <w:sz w:val="24"/>
              </w:rPr>
            </w:pPr>
          </w:p>
        </w:tc>
        <w:tc>
          <w:tcPr>
            <w:tcW w:w="1331" w:type="dxa"/>
            <w:vAlign w:val="center"/>
          </w:tcPr>
          <w:p w14:paraId="74B834A1">
            <w:pPr>
              <w:spacing w:line="360" w:lineRule="auto"/>
              <w:jc w:val="center"/>
              <w:rPr>
                <w:rFonts w:ascii="宋体" w:hAnsi="宋体"/>
                <w:color w:val="000000"/>
                <w:sz w:val="24"/>
              </w:rPr>
            </w:pPr>
          </w:p>
        </w:tc>
        <w:tc>
          <w:tcPr>
            <w:tcW w:w="1005" w:type="dxa"/>
            <w:tcBorders>
              <w:right w:val="single" w:color="auto" w:sz="4" w:space="0"/>
            </w:tcBorders>
            <w:vAlign w:val="center"/>
          </w:tcPr>
          <w:p w14:paraId="7A8C4549">
            <w:pPr>
              <w:spacing w:line="360" w:lineRule="auto"/>
              <w:jc w:val="center"/>
              <w:rPr>
                <w:rFonts w:ascii="宋体" w:hAnsi="宋体"/>
                <w:color w:val="000000"/>
                <w:sz w:val="24"/>
              </w:rPr>
            </w:pPr>
          </w:p>
        </w:tc>
      </w:tr>
      <w:tr w14:paraId="4F38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tcBorders>
            <w:vAlign w:val="center"/>
          </w:tcPr>
          <w:p w14:paraId="6D404A8A">
            <w:pPr>
              <w:spacing w:line="360" w:lineRule="auto"/>
              <w:ind w:right="-2"/>
              <w:jc w:val="center"/>
              <w:rPr>
                <w:rFonts w:ascii="宋体" w:hAnsi="宋体"/>
                <w:color w:val="000000"/>
                <w:sz w:val="24"/>
              </w:rPr>
            </w:pPr>
            <w:r>
              <w:rPr>
                <w:rFonts w:hint="eastAsia" w:ascii="宋体" w:hAnsi="宋体"/>
                <w:color w:val="000000"/>
                <w:sz w:val="24"/>
              </w:rPr>
              <w:t>4</w:t>
            </w:r>
          </w:p>
        </w:tc>
        <w:tc>
          <w:tcPr>
            <w:tcW w:w="1675" w:type="dxa"/>
            <w:vAlign w:val="center"/>
          </w:tcPr>
          <w:p w14:paraId="7327EF1C">
            <w:pPr>
              <w:tabs>
                <w:tab w:val="left" w:pos="1283"/>
              </w:tabs>
              <w:spacing w:line="360" w:lineRule="auto"/>
              <w:ind w:right="16"/>
              <w:jc w:val="center"/>
              <w:rPr>
                <w:rFonts w:ascii="宋体" w:hAnsi="宋体"/>
                <w:color w:val="000000"/>
                <w:sz w:val="24"/>
              </w:rPr>
            </w:pPr>
            <w:r>
              <w:rPr>
                <w:rFonts w:hint="eastAsia" w:ascii="宋体" w:hAnsi="宋体"/>
                <w:color w:val="000000"/>
                <w:sz w:val="24"/>
              </w:rPr>
              <w:t>…</w:t>
            </w:r>
          </w:p>
        </w:tc>
        <w:tc>
          <w:tcPr>
            <w:tcW w:w="1719" w:type="dxa"/>
            <w:vAlign w:val="center"/>
          </w:tcPr>
          <w:p w14:paraId="01AB8F2B">
            <w:pPr>
              <w:spacing w:line="360" w:lineRule="auto"/>
              <w:jc w:val="center"/>
              <w:rPr>
                <w:rFonts w:ascii="宋体" w:hAnsi="宋体"/>
                <w:color w:val="000000"/>
                <w:sz w:val="24"/>
              </w:rPr>
            </w:pPr>
          </w:p>
        </w:tc>
        <w:tc>
          <w:tcPr>
            <w:tcW w:w="2006" w:type="dxa"/>
            <w:vAlign w:val="center"/>
          </w:tcPr>
          <w:p w14:paraId="60BF6E31">
            <w:pPr>
              <w:spacing w:line="360" w:lineRule="auto"/>
              <w:jc w:val="center"/>
              <w:rPr>
                <w:rFonts w:ascii="宋体" w:hAnsi="宋体"/>
                <w:color w:val="000000"/>
                <w:sz w:val="24"/>
              </w:rPr>
            </w:pPr>
          </w:p>
        </w:tc>
        <w:tc>
          <w:tcPr>
            <w:tcW w:w="1331" w:type="dxa"/>
            <w:vAlign w:val="center"/>
          </w:tcPr>
          <w:p w14:paraId="7504EBFF">
            <w:pPr>
              <w:spacing w:line="360" w:lineRule="auto"/>
              <w:jc w:val="center"/>
              <w:rPr>
                <w:rFonts w:ascii="宋体" w:hAnsi="宋体"/>
                <w:color w:val="000000"/>
                <w:sz w:val="24"/>
              </w:rPr>
            </w:pPr>
          </w:p>
        </w:tc>
        <w:tc>
          <w:tcPr>
            <w:tcW w:w="1005" w:type="dxa"/>
            <w:tcBorders>
              <w:right w:val="single" w:color="auto" w:sz="4" w:space="0"/>
            </w:tcBorders>
            <w:vAlign w:val="center"/>
          </w:tcPr>
          <w:p w14:paraId="5A1E3EA9">
            <w:pPr>
              <w:spacing w:line="360" w:lineRule="auto"/>
              <w:jc w:val="center"/>
              <w:rPr>
                <w:rFonts w:ascii="宋体" w:hAnsi="宋体"/>
                <w:color w:val="000000"/>
                <w:sz w:val="24"/>
              </w:rPr>
            </w:pPr>
          </w:p>
        </w:tc>
      </w:tr>
      <w:tr w14:paraId="5C2F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72" w:type="dxa"/>
            <w:tcBorders>
              <w:left w:val="single" w:color="auto" w:sz="12" w:space="0"/>
              <w:bottom w:val="single" w:color="auto" w:sz="12" w:space="0"/>
            </w:tcBorders>
            <w:vAlign w:val="center"/>
          </w:tcPr>
          <w:p w14:paraId="1CE3BF29">
            <w:pPr>
              <w:spacing w:line="360" w:lineRule="auto"/>
              <w:ind w:right="-2"/>
              <w:jc w:val="center"/>
              <w:rPr>
                <w:rFonts w:ascii="宋体" w:hAnsi="宋体"/>
                <w:color w:val="000000"/>
                <w:sz w:val="24"/>
              </w:rPr>
            </w:pPr>
          </w:p>
        </w:tc>
        <w:tc>
          <w:tcPr>
            <w:tcW w:w="1675" w:type="dxa"/>
            <w:tcBorders>
              <w:bottom w:val="single" w:color="auto" w:sz="12" w:space="0"/>
            </w:tcBorders>
            <w:vAlign w:val="center"/>
          </w:tcPr>
          <w:p w14:paraId="0A3F3EA5">
            <w:pPr>
              <w:tabs>
                <w:tab w:val="left" w:pos="1283"/>
              </w:tabs>
              <w:spacing w:line="360" w:lineRule="auto"/>
              <w:ind w:right="16"/>
              <w:jc w:val="center"/>
              <w:rPr>
                <w:rFonts w:ascii="宋体" w:hAnsi="宋体"/>
                <w:color w:val="000000"/>
                <w:sz w:val="24"/>
              </w:rPr>
            </w:pPr>
            <w:r>
              <w:rPr>
                <w:rFonts w:hint="eastAsia" w:ascii="宋体" w:hAnsi="宋体"/>
                <w:color w:val="000000"/>
                <w:sz w:val="24"/>
              </w:rPr>
              <w:t>合计</w:t>
            </w:r>
          </w:p>
        </w:tc>
        <w:tc>
          <w:tcPr>
            <w:tcW w:w="1719" w:type="dxa"/>
            <w:tcBorders>
              <w:bottom w:val="single" w:color="auto" w:sz="12" w:space="0"/>
            </w:tcBorders>
            <w:vAlign w:val="center"/>
          </w:tcPr>
          <w:p w14:paraId="0DA5D01F">
            <w:pPr>
              <w:spacing w:line="360" w:lineRule="auto"/>
              <w:jc w:val="center"/>
              <w:rPr>
                <w:rFonts w:ascii="宋体" w:hAnsi="宋体"/>
                <w:color w:val="000000"/>
                <w:sz w:val="24"/>
              </w:rPr>
            </w:pPr>
          </w:p>
        </w:tc>
        <w:tc>
          <w:tcPr>
            <w:tcW w:w="2006" w:type="dxa"/>
            <w:tcBorders>
              <w:bottom w:val="single" w:color="auto" w:sz="12" w:space="0"/>
            </w:tcBorders>
            <w:vAlign w:val="center"/>
          </w:tcPr>
          <w:p w14:paraId="209A2B20">
            <w:pPr>
              <w:spacing w:line="360" w:lineRule="auto"/>
              <w:jc w:val="center"/>
              <w:rPr>
                <w:rFonts w:ascii="宋体" w:hAnsi="宋体"/>
                <w:color w:val="000000"/>
                <w:sz w:val="24"/>
              </w:rPr>
            </w:pPr>
          </w:p>
        </w:tc>
        <w:tc>
          <w:tcPr>
            <w:tcW w:w="1331" w:type="dxa"/>
            <w:tcBorders>
              <w:bottom w:val="single" w:color="auto" w:sz="12" w:space="0"/>
            </w:tcBorders>
            <w:vAlign w:val="center"/>
          </w:tcPr>
          <w:p w14:paraId="6BA6342B">
            <w:pPr>
              <w:spacing w:line="360" w:lineRule="auto"/>
              <w:jc w:val="center"/>
              <w:rPr>
                <w:rFonts w:ascii="宋体" w:hAnsi="宋体"/>
                <w:color w:val="000000"/>
                <w:sz w:val="24"/>
              </w:rPr>
            </w:pPr>
          </w:p>
        </w:tc>
        <w:tc>
          <w:tcPr>
            <w:tcW w:w="1005" w:type="dxa"/>
            <w:tcBorders>
              <w:bottom w:val="single" w:color="auto" w:sz="12" w:space="0"/>
              <w:right w:val="single" w:color="auto" w:sz="4" w:space="0"/>
            </w:tcBorders>
            <w:vAlign w:val="center"/>
          </w:tcPr>
          <w:p w14:paraId="518AE038">
            <w:pPr>
              <w:spacing w:line="360" w:lineRule="auto"/>
              <w:jc w:val="center"/>
              <w:rPr>
                <w:rFonts w:ascii="宋体" w:hAnsi="宋体"/>
                <w:color w:val="000000"/>
                <w:sz w:val="24"/>
              </w:rPr>
            </w:pPr>
          </w:p>
        </w:tc>
      </w:tr>
    </w:tbl>
    <w:p w14:paraId="1EE02920">
      <w:pPr>
        <w:spacing w:line="360" w:lineRule="auto"/>
        <w:ind w:firstLine="480" w:firstLineChars="200"/>
        <w:rPr>
          <w:rFonts w:ascii="宋体" w:hAnsi="宋体"/>
          <w:sz w:val="24"/>
        </w:rPr>
      </w:pPr>
    </w:p>
    <w:p w14:paraId="6809FC6E">
      <w:pPr>
        <w:spacing w:line="360" w:lineRule="auto"/>
        <w:ind w:firstLine="480" w:firstLineChars="200"/>
        <w:rPr>
          <w:rFonts w:ascii="宋体" w:hAnsi="宋体"/>
          <w:sz w:val="24"/>
        </w:rPr>
      </w:pPr>
    </w:p>
    <w:p w14:paraId="471E28EE">
      <w:pPr>
        <w:spacing w:line="500" w:lineRule="exact"/>
        <w:jc w:val="left"/>
        <w:rPr>
          <w:rFonts w:ascii="宋体" w:hAnsi="宋体"/>
          <w:sz w:val="28"/>
          <w:szCs w:val="28"/>
        </w:rPr>
      </w:pPr>
      <w:r>
        <w:rPr>
          <w:rFonts w:hint="eastAsia" w:ascii="宋体" w:hAnsi="宋体"/>
          <w:sz w:val="28"/>
          <w:szCs w:val="28"/>
        </w:rPr>
        <w:t>投标人全称：</w:t>
      </w:r>
      <w:r>
        <w:rPr>
          <w:rFonts w:hint="eastAsia" w:ascii="宋体" w:hAnsi="宋体"/>
          <w:sz w:val="28"/>
          <w:szCs w:val="28"/>
          <w:u w:val="single"/>
        </w:rPr>
        <w:t xml:space="preserve">           　　</w:t>
      </w:r>
      <w:r>
        <w:rPr>
          <w:rFonts w:ascii="宋体" w:hAnsi="宋体"/>
          <w:sz w:val="28"/>
          <w:szCs w:val="28"/>
          <w:u w:val="single"/>
        </w:rPr>
        <w:t>　</w:t>
      </w:r>
      <w:r>
        <w:rPr>
          <w:rFonts w:hint="eastAsia" w:ascii="宋体" w:hAnsi="宋体"/>
          <w:sz w:val="28"/>
          <w:szCs w:val="28"/>
          <w:u w:val="single"/>
        </w:rPr>
        <w:t xml:space="preserve">             （盖单位公章）</w:t>
      </w:r>
    </w:p>
    <w:p w14:paraId="457E3D97">
      <w:pPr>
        <w:spacing w:line="500" w:lineRule="exact"/>
        <w:jc w:val="left"/>
        <w:rPr>
          <w:rFonts w:ascii="宋体" w:hAnsi="宋体"/>
          <w:sz w:val="28"/>
          <w:szCs w:val="28"/>
          <w:u w:val="single"/>
        </w:rPr>
      </w:pPr>
      <w:r>
        <w:rPr>
          <w:rFonts w:hint="eastAsia" w:ascii="宋体" w:hAnsi="宋体"/>
          <w:sz w:val="28"/>
          <w:szCs w:val="28"/>
        </w:rPr>
        <w:t>法定代表人或授权代表：</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（签字）</w:t>
      </w:r>
    </w:p>
    <w:p w14:paraId="1255415E">
      <w:pPr>
        <w:spacing w:line="500" w:lineRule="exact"/>
        <w:jc w:val="left"/>
        <w:rPr>
          <w:rFonts w:ascii="宋体" w:hAnsi="宋体"/>
          <w:sz w:val="28"/>
          <w:szCs w:val="28"/>
        </w:rPr>
      </w:pPr>
      <w:r>
        <w:rPr>
          <w:rFonts w:hint="eastAsia" w:ascii="宋体" w:hAnsi="宋体"/>
          <w:sz w:val="28"/>
          <w:szCs w:val="28"/>
        </w:rPr>
        <w:t>日期：</w:t>
      </w:r>
      <w:r>
        <w:rPr>
          <w:rFonts w:hint="eastAsia" w:ascii="宋体" w:hAnsi="宋体"/>
          <w:sz w:val="28"/>
          <w:szCs w:val="28"/>
          <w:u w:val="single"/>
        </w:rPr>
        <w:t>　　　</w:t>
      </w:r>
      <w:r>
        <w:rPr>
          <w:rFonts w:ascii="宋体" w:hAnsi="宋体"/>
          <w:sz w:val="28"/>
          <w:szCs w:val="28"/>
          <w:u w:val="single"/>
        </w:rPr>
        <w:t>　</w:t>
      </w:r>
      <w:r>
        <w:rPr>
          <w:rFonts w:hint="eastAsia" w:ascii="宋体" w:hAnsi="宋体"/>
          <w:sz w:val="28"/>
          <w:szCs w:val="28"/>
          <w:u w:val="single"/>
        </w:rPr>
        <w:t>年　　</w:t>
      </w:r>
      <w:r>
        <w:rPr>
          <w:rFonts w:ascii="宋体" w:hAnsi="宋体"/>
          <w:sz w:val="28"/>
          <w:szCs w:val="28"/>
          <w:u w:val="single"/>
        </w:rPr>
        <w:t>　　</w:t>
      </w:r>
      <w:r>
        <w:rPr>
          <w:rFonts w:hint="eastAsia" w:ascii="宋体" w:hAnsi="宋体"/>
          <w:sz w:val="28"/>
          <w:szCs w:val="28"/>
          <w:u w:val="single"/>
        </w:rPr>
        <w:t>月　　</w:t>
      </w:r>
      <w:r>
        <w:rPr>
          <w:rFonts w:ascii="宋体" w:hAnsi="宋体"/>
          <w:sz w:val="28"/>
          <w:szCs w:val="28"/>
          <w:u w:val="single"/>
        </w:rPr>
        <w:t>　　　</w:t>
      </w:r>
      <w:r>
        <w:rPr>
          <w:rFonts w:hint="eastAsia" w:ascii="宋体" w:hAnsi="宋体"/>
          <w:sz w:val="28"/>
          <w:szCs w:val="28"/>
          <w:u w:val="single"/>
        </w:rPr>
        <w:t>日</w:t>
      </w:r>
    </w:p>
    <w:p w14:paraId="3C7C110F">
      <w:pPr>
        <w:spacing w:line="500" w:lineRule="exact"/>
        <w:jc w:val="center"/>
        <w:rPr>
          <w:rFonts w:ascii="宋体" w:hAnsi="宋体"/>
          <w:b/>
          <w:sz w:val="28"/>
          <w:szCs w:val="28"/>
        </w:rPr>
      </w:pPr>
    </w:p>
    <w:p w14:paraId="5D6C6857">
      <w:pPr>
        <w:spacing w:line="500" w:lineRule="exact"/>
        <w:jc w:val="center"/>
        <w:rPr>
          <w:rFonts w:ascii="宋体" w:hAnsi="宋体"/>
          <w:b/>
          <w:sz w:val="28"/>
          <w:szCs w:val="28"/>
        </w:rPr>
      </w:pPr>
    </w:p>
    <w:p w14:paraId="58C93B86">
      <w:pPr>
        <w:spacing w:line="500" w:lineRule="exact"/>
        <w:jc w:val="both"/>
        <w:rPr>
          <w:rFonts w:ascii="宋体" w:hAnsi="宋体"/>
          <w:b/>
          <w:sz w:val="28"/>
          <w:szCs w:val="28"/>
        </w:rPr>
      </w:pPr>
    </w:p>
    <w:p w14:paraId="482AD596">
      <w:pPr>
        <w:spacing w:line="500" w:lineRule="exact"/>
        <w:jc w:val="center"/>
        <w:rPr>
          <w:rFonts w:ascii="宋体" w:hAnsi="宋体"/>
          <w:b/>
          <w:sz w:val="28"/>
          <w:szCs w:val="28"/>
        </w:rPr>
      </w:pPr>
    </w:p>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2E63FE4F">
      <w:pPr>
        <w:spacing w:line="500" w:lineRule="exact"/>
        <w:jc w:val="center"/>
        <w:rPr>
          <w:rFonts w:hint="eastAsia" w:ascii="Arial" w:hAnsi="Arial" w:eastAsia="黑体"/>
          <w:b/>
          <w:bCs/>
          <w:color w:val="FF0000"/>
          <w:sz w:val="32"/>
          <w:szCs w:val="32"/>
        </w:rPr>
      </w:pPr>
    </w:p>
    <w:p w14:paraId="2D2B66EB">
      <w:pPr>
        <w:spacing w:line="500" w:lineRule="exact"/>
        <w:jc w:val="center"/>
        <w:rPr>
          <w:rFonts w:hint="eastAsia" w:ascii="Arial" w:hAnsi="Arial" w:eastAsia="黑体"/>
          <w:b/>
          <w:bCs/>
          <w:color w:val="FF0000"/>
          <w:sz w:val="32"/>
          <w:szCs w:val="32"/>
        </w:rPr>
      </w:pPr>
    </w:p>
    <w:p w14:paraId="5AEA37B2">
      <w:pPr>
        <w:spacing w:line="500" w:lineRule="exact"/>
        <w:jc w:val="center"/>
        <w:rPr>
          <w:rFonts w:hint="eastAsia" w:ascii="Arial" w:hAnsi="Arial" w:eastAsia="黑体"/>
          <w:b/>
          <w:bCs/>
          <w:color w:val="FF0000"/>
          <w:sz w:val="32"/>
          <w:szCs w:val="32"/>
          <w:lang w:val="en-US" w:eastAsia="zh-CN"/>
        </w:rPr>
      </w:pPr>
    </w:p>
    <w:p w14:paraId="00221CAB">
      <w:pPr>
        <w:spacing w:line="500" w:lineRule="exact"/>
        <w:jc w:val="center"/>
        <w:rPr>
          <w:rFonts w:hint="eastAsia" w:ascii="Arial" w:hAnsi="Arial" w:eastAsia="黑体"/>
          <w:b/>
          <w:bCs/>
          <w:color w:val="FF0000"/>
          <w:sz w:val="32"/>
          <w:szCs w:val="32"/>
          <w:lang w:val="en-US" w:eastAsia="zh-CN"/>
        </w:rPr>
      </w:pPr>
    </w:p>
    <w:p w14:paraId="32D45286">
      <w:pPr>
        <w:spacing w:line="500" w:lineRule="exact"/>
        <w:jc w:val="center"/>
        <w:rPr>
          <w:rFonts w:hint="eastAsia" w:ascii="Arial" w:hAnsi="Arial" w:eastAsia="黑体"/>
          <w:b/>
          <w:bCs/>
          <w:color w:val="FF0000"/>
          <w:sz w:val="32"/>
          <w:szCs w:val="32"/>
          <w:lang w:val="en-US" w:eastAsia="zh-CN"/>
        </w:rPr>
      </w:pPr>
    </w:p>
    <w:p w14:paraId="77BA4EE1">
      <w:pPr>
        <w:spacing w:line="500" w:lineRule="exact"/>
        <w:jc w:val="center"/>
        <w:rPr>
          <w:rFonts w:hint="eastAsia" w:ascii="Arial" w:hAnsi="Arial" w:eastAsia="黑体"/>
          <w:b/>
          <w:bCs/>
          <w:color w:val="FF0000"/>
          <w:sz w:val="32"/>
          <w:szCs w:val="32"/>
          <w:lang w:val="en-US" w:eastAsia="zh-CN"/>
        </w:rPr>
      </w:pPr>
    </w:p>
    <w:p w14:paraId="54B482A5">
      <w:pPr>
        <w:spacing w:line="500" w:lineRule="exact"/>
        <w:jc w:val="center"/>
        <w:rPr>
          <w:rFonts w:hint="eastAsia" w:ascii="Arial" w:hAnsi="Arial" w:eastAsia="黑体"/>
          <w:b/>
          <w:bCs/>
          <w:color w:val="FF0000"/>
          <w:sz w:val="32"/>
          <w:szCs w:val="32"/>
          <w:lang w:val="en-US" w:eastAsia="zh-CN"/>
        </w:rPr>
      </w:pPr>
    </w:p>
    <w:p w14:paraId="686FACBE">
      <w:pPr>
        <w:spacing w:line="500" w:lineRule="exact"/>
        <w:jc w:val="center"/>
        <w:rPr>
          <w:rFonts w:hint="eastAsia" w:ascii="Arial" w:hAnsi="Arial" w:eastAsia="黑体"/>
          <w:b/>
          <w:bCs/>
          <w:color w:val="FF0000"/>
          <w:sz w:val="32"/>
          <w:szCs w:val="32"/>
          <w:lang w:val="en-US" w:eastAsia="zh-CN"/>
        </w:rPr>
      </w:pPr>
    </w:p>
    <w:p w14:paraId="5EC02480">
      <w:pPr>
        <w:spacing w:line="500" w:lineRule="exact"/>
        <w:jc w:val="center"/>
        <w:rPr>
          <w:rFonts w:ascii="Arial" w:hAnsi="Arial" w:eastAsia="黑体"/>
          <w:b/>
          <w:bCs/>
          <w:color w:val="FF0000"/>
          <w:sz w:val="32"/>
          <w:szCs w:val="32"/>
        </w:rPr>
      </w:pPr>
      <w:r>
        <w:rPr>
          <w:rFonts w:hint="eastAsia" w:ascii="Arial" w:hAnsi="Arial" w:eastAsia="黑体"/>
          <w:b/>
          <w:bCs/>
          <w:color w:val="FF0000"/>
          <w:sz w:val="32"/>
          <w:szCs w:val="32"/>
          <w:lang w:val="en-US" w:eastAsia="zh-CN"/>
        </w:rPr>
        <w:t>六</w:t>
      </w:r>
      <w:r>
        <w:rPr>
          <w:rFonts w:ascii="Arial" w:hAnsi="Arial" w:eastAsia="黑体"/>
          <w:b/>
          <w:bCs/>
          <w:color w:val="FF0000"/>
          <w:sz w:val="32"/>
          <w:szCs w:val="32"/>
        </w:rPr>
        <w:t>、</w:t>
      </w:r>
      <w:r>
        <w:rPr>
          <w:rFonts w:hint="eastAsia" w:ascii="Arial" w:hAnsi="Arial" w:eastAsia="黑体"/>
          <w:b/>
          <w:bCs/>
          <w:color w:val="FF0000"/>
          <w:sz w:val="32"/>
          <w:szCs w:val="32"/>
        </w:rPr>
        <w:t>中小企业声明函（货物）</w:t>
      </w:r>
    </w:p>
    <w:p w14:paraId="7BC1DE44">
      <w:pPr>
        <w:spacing w:line="500" w:lineRule="exact"/>
        <w:jc w:val="center"/>
        <w:rPr>
          <w:rFonts w:ascii="宋体" w:hAnsi="宋体"/>
          <w:b/>
          <w:sz w:val="28"/>
          <w:szCs w:val="28"/>
        </w:rPr>
      </w:pPr>
    </w:p>
    <w:p w14:paraId="690F938C">
      <w:pPr>
        <w:spacing w:line="500" w:lineRule="exact"/>
        <w:ind w:firstLine="560" w:firstLineChars="200"/>
        <w:rPr>
          <w:rFonts w:hint="eastAsia" w:ascii="宋体" w:hAnsi="宋体"/>
          <w:sz w:val="28"/>
          <w:szCs w:val="28"/>
        </w:rPr>
      </w:pPr>
      <w:r>
        <w:rPr>
          <w:rFonts w:hint="eastAsia" w:ascii="宋体" w:hAnsi="宋体"/>
          <w:sz w:val="28"/>
          <w:szCs w:val="28"/>
        </w:rPr>
        <w:t xml:space="preserve">本公司（联合体）郑重声明，根据《政府采购促进中小企业发展管理办法》（财库﹝2020﹞46 号）的规定，本公司 （联合体）参加 </w:t>
      </w:r>
      <w:r>
        <w:rPr>
          <w:rFonts w:hint="eastAsia" w:ascii="宋体" w:hAnsi="宋体"/>
          <w:sz w:val="28"/>
          <w:szCs w:val="28"/>
          <w:u w:val="single"/>
        </w:rPr>
        <w:t xml:space="preserve">（ 单 位 名 称 ） </w:t>
      </w:r>
      <w:r>
        <w:rPr>
          <w:rFonts w:hint="eastAsia" w:ascii="宋体" w:hAnsi="宋体"/>
          <w:sz w:val="28"/>
          <w:szCs w:val="28"/>
        </w:rPr>
        <w:t xml:space="preserve">的 </w:t>
      </w:r>
      <w:r>
        <w:rPr>
          <w:rFonts w:hint="eastAsia" w:ascii="宋体" w:hAnsi="宋体"/>
          <w:sz w:val="28"/>
          <w:szCs w:val="28"/>
          <w:u w:val="single"/>
        </w:rPr>
        <w:t>（ 项 目 名 称 ）</w:t>
      </w:r>
      <w:r>
        <w:rPr>
          <w:rFonts w:hint="eastAsia" w:ascii="宋体" w:hAnsi="宋体"/>
          <w:sz w:val="28"/>
          <w:szCs w:val="28"/>
        </w:rPr>
        <w:t xml:space="preserve"> 采购活动，</w:t>
      </w:r>
      <w:r>
        <w:rPr>
          <w:rFonts w:hint="eastAsia" w:ascii="宋体" w:hAnsi="宋体"/>
          <w:color w:val="FF0000"/>
          <w:sz w:val="28"/>
          <w:szCs w:val="28"/>
        </w:rPr>
        <w:t>提供的货物全部由符合政策要求的中小企业制造。</w:t>
      </w:r>
      <w:r>
        <w:rPr>
          <w:rFonts w:hint="eastAsia" w:ascii="宋体" w:hAnsi="宋体"/>
          <w:sz w:val="28"/>
          <w:szCs w:val="28"/>
        </w:rPr>
        <w:t>相关企业 （含联合体中的中小企业、签订分包意向协议的中小企业） 的具体情况如下：</w:t>
      </w:r>
    </w:p>
    <w:p w14:paraId="4680E9C9">
      <w:pPr>
        <w:numPr>
          <w:ilvl w:val="0"/>
          <w:numId w:val="0"/>
        </w:numPr>
        <w:spacing w:line="500" w:lineRule="exact"/>
        <w:ind w:firstLine="560" w:firstLineChars="200"/>
        <w:rPr>
          <w:rFonts w:hint="eastAsia" w:ascii="宋体" w:hAnsi="宋体"/>
          <w:sz w:val="28"/>
          <w:szCs w:val="28"/>
          <w:u w:val="single"/>
        </w:rPr>
      </w:pPr>
      <w:r>
        <w:rPr>
          <w:rFonts w:hint="eastAsia" w:ascii="宋体" w:hAnsi="宋体"/>
          <w:sz w:val="28"/>
          <w:szCs w:val="28"/>
          <w:lang w:val="en-US" w:eastAsia="zh-CN"/>
        </w:rPr>
        <w:t>1.</w:t>
      </w:r>
      <w:r>
        <w:rPr>
          <w:rFonts w:hint="eastAsia" w:ascii="宋体" w:hAnsi="宋体"/>
          <w:sz w:val="28"/>
          <w:szCs w:val="28"/>
          <w:u w:val="single"/>
        </w:rPr>
        <w:t>（ 标 的 名 称 ）</w:t>
      </w:r>
      <w:r>
        <w:rPr>
          <w:rFonts w:hint="eastAsia" w:ascii="宋体" w:hAnsi="宋体"/>
          <w:sz w:val="28"/>
          <w:szCs w:val="28"/>
        </w:rPr>
        <w:t xml:space="preserve"> ，属于 </w:t>
      </w:r>
      <w:r>
        <w:rPr>
          <w:rFonts w:hint="eastAsia" w:ascii="宋体" w:hAnsi="宋体"/>
          <w:sz w:val="28"/>
          <w:szCs w:val="28"/>
          <w:u w:val="single"/>
        </w:rPr>
        <w:t>（ 采 购 文 件 中 明 确 的 所 属 行 业 ） 行 业</w:t>
      </w:r>
      <w:r>
        <w:rPr>
          <w:rFonts w:hint="eastAsia" w:ascii="宋体" w:hAnsi="宋体"/>
          <w:sz w:val="28"/>
          <w:szCs w:val="28"/>
        </w:rPr>
        <w:t xml:space="preserve"> ；制造商为</w:t>
      </w:r>
      <w:r>
        <w:rPr>
          <w:rFonts w:hint="eastAsia" w:ascii="宋体" w:hAnsi="宋体"/>
          <w:sz w:val="28"/>
          <w:szCs w:val="28"/>
          <w:u w:val="single"/>
        </w:rPr>
        <w:t xml:space="preserve"> （ 企 业 名 称 ）</w:t>
      </w:r>
      <w:r>
        <w:rPr>
          <w:rFonts w:hint="eastAsia" w:ascii="宋体" w:hAnsi="宋体"/>
          <w:sz w:val="28"/>
          <w:szCs w:val="28"/>
        </w:rPr>
        <w:t xml:space="preserve"> ，从业人员</w:t>
      </w:r>
      <w:r>
        <w:rPr>
          <w:rFonts w:hint="eastAsia" w:ascii="宋体" w:hAnsi="宋体"/>
          <w:sz w:val="28"/>
          <w:szCs w:val="28"/>
          <w:u w:val="single"/>
          <w:lang w:val="en-US" w:eastAsia="zh-CN"/>
        </w:rPr>
        <w:t xml:space="preserve">   </w:t>
      </w:r>
      <w:r>
        <w:rPr>
          <w:rFonts w:hint="eastAsia" w:ascii="宋体" w:hAnsi="宋体"/>
          <w:sz w:val="28"/>
          <w:szCs w:val="28"/>
        </w:rPr>
        <w:t>人，营业收入为</w:t>
      </w:r>
      <w:r>
        <w:rPr>
          <w:rFonts w:hint="eastAsia" w:ascii="宋体" w:hAnsi="宋体"/>
          <w:sz w:val="28"/>
          <w:szCs w:val="28"/>
          <w:u w:val="single"/>
          <w:lang w:val="en-US" w:eastAsia="zh-CN"/>
        </w:rPr>
        <w:t xml:space="preserve">    </w:t>
      </w:r>
      <w:r>
        <w:rPr>
          <w:rFonts w:hint="eastAsia" w:ascii="宋体" w:hAnsi="宋体"/>
          <w:sz w:val="28"/>
          <w:szCs w:val="28"/>
        </w:rPr>
        <w:t>万元，资产总额为</w:t>
      </w:r>
      <w:r>
        <w:rPr>
          <w:rFonts w:hint="eastAsia" w:ascii="宋体" w:hAnsi="宋体"/>
          <w:sz w:val="28"/>
          <w:szCs w:val="28"/>
          <w:u w:val="single"/>
          <w:lang w:val="en-US" w:eastAsia="zh-CN"/>
        </w:rPr>
        <w:t xml:space="preserve">   </w:t>
      </w:r>
      <w:r>
        <w:rPr>
          <w:rFonts w:hint="eastAsia" w:ascii="宋体" w:hAnsi="宋体"/>
          <w:sz w:val="28"/>
          <w:szCs w:val="28"/>
        </w:rPr>
        <w:t>万元</w:t>
      </w:r>
      <w:r>
        <w:rPr>
          <w:rFonts w:hint="eastAsia" w:ascii="宋体" w:hAnsi="宋体"/>
          <w:sz w:val="28"/>
          <w:szCs w:val="28"/>
          <w:vertAlign w:val="superscript"/>
          <w:lang w:val="en-US" w:eastAsia="zh-CN"/>
        </w:rPr>
        <w:t>1</w:t>
      </w:r>
      <w:r>
        <w:rPr>
          <w:rFonts w:hint="eastAsia" w:ascii="宋体" w:hAnsi="宋体"/>
          <w:sz w:val="28"/>
          <w:szCs w:val="28"/>
        </w:rPr>
        <w:t xml:space="preserve">，属于 </w:t>
      </w:r>
      <w:r>
        <w:rPr>
          <w:rFonts w:hint="eastAsia" w:ascii="宋体" w:hAnsi="宋体"/>
          <w:sz w:val="28"/>
          <w:szCs w:val="28"/>
          <w:u w:val="single"/>
        </w:rPr>
        <w:t xml:space="preserve">（ 中 型 企 业 、 小 型 企 业 、 微 型 企 业 ） ； </w:t>
      </w:r>
    </w:p>
    <w:p w14:paraId="3893514E">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2. </w:t>
      </w:r>
      <w:r>
        <w:rPr>
          <w:rFonts w:hint="eastAsia" w:ascii="宋体" w:hAnsi="宋体"/>
          <w:sz w:val="28"/>
          <w:szCs w:val="28"/>
          <w:u w:val="single"/>
        </w:rPr>
        <w:t xml:space="preserve">（ 标 的 名 称 ） </w:t>
      </w:r>
      <w:r>
        <w:rPr>
          <w:rFonts w:hint="eastAsia" w:ascii="宋体" w:hAnsi="宋体"/>
          <w:sz w:val="28"/>
          <w:szCs w:val="28"/>
        </w:rPr>
        <w:t xml:space="preserve">，属于 </w:t>
      </w:r>
      <w:r>
        <w:rPr>
          <w:rFonts w:hint="eastAsia" w:ascii="宋体" w:hAnsi="宋体"/>
          <w:sz w:val="28"/>
          <w:szCs w:val="28"/>
          <w:u w:val="single"/>
        </w:rPr>
        <w:t xml:space="preserve">（ 采 购 文 件 中 明 确 的 所 属 行 业 ） 行 业 </w:t>
      </w:r>
      <w:r>
        <w:rPr>
          <w:rFonts w:hint="eastAsia" w:ascii="宋体" w:hAnsi="宋体"/>
          <w:sz w:val="28"/>
          <w:szCs w:val="28"/>
        </w:rPr>
        <w:t>；制造商为</w:t>
      </w:r>
      <w:r>
        <w:rPr>
          <w:rFonts w:hint="eastAsia" w:ascii="宋体" w:hAnsi="宋体"/>
          <w:sz w:val="28"/>
          <w:szCs w:val="28"/>
          <w:u w:val="single"/>
        </w:rPr>
        <w:t xml:space="preserve"> （ 企 业 名 称 ）</w:t>
      </w:r>
      <w:r>
        <w:rPr>
          <w:rFonts w:hint="eastAsia" w:ascii="宋体" w:hAnsi="宋体"/>
          <w:sz w:val="28"/>
          <w:szCs w:val="28"/>
        </w:rPr>
        <w:t xml:space="preserve"> ，从业人员</w:t>
      </w:r>
      <w:r>
        <w:rPr>
          <w:rFonts w:hint="eastAsia" w:ascii="宋体" w:hAnsi="宋体"/>
          <w:sz w:val="28"/>
          <w:szCs w:val="28"/>
          <w:u w:val="single"/>
          <w:lang w:val="en-US" w:eastAsia="zh-CN"/>
        </w:rPr>
        <w:t xml:space="preserve">   </w:t>
      </w:r>
      <w:r>
        <w:rPr>
          <w:rFonts w:hint="eastAsia" w:ascii="宋体" w:hAnsi="宋体"/>
          <w:sz w:val="28"/>
          <w:szCs w:val="28"/>
        </w:rPr>
        <w:t>人，营业收入为</w:t>
      </w:r>
      <w:r>
        <w:rPr>
          <w:rFonts w:hint="eastAsia" w:ascii="宋体" w:hAnsi="宋体"/>
          <w:sz w:val="28"/>
          <w:szCs w:val="28"/>
          <w:u w:val="single"/>
          <w:lang w:val="en-US" w:eastAsia="zh-CN"/>
        </w:rPr>
        <w:t xml:space="preserve">    </w:t>
      </w:r>
      <w:r>
        <w:rPr>
          <w:rFonts w:hint="eastAsia" w:ascii="宋体" w:hAnsi="宋体"/>
          <w:sz w:val="28"/>
          <w:szCs w:val="28"/>
        </w:rPr>
        <w:t>万元，资产总额为</w:t>
      </w:r>
      <w:r>
        <w:rPr>
          <w:rFonts w:hint="eastAsia" w:ascii="宋体" w:hAnsi="宋体"/>
          <w:sz w:val="28"/>
          <w:szCs w:val="28"/>
          <w:u w:val="single"/>
          <w:lang w:val="en-US" w:eastAsia="zh-CN"/>
        </w:rPr>
        <w:t xml:space="preserve">     </w:t>
      </w:r>
      <w:r>
        <w:rPr>
          <w:rFonts w:hint="eastAsia" w:ascii="宋体" w:hAnsi="宋体"/>
          <w:sz w:val="28"/>
          <w:szCs w:val="28"/>
        </w:rPr>
        <w:t>万元，属于</w:t>
      </w:r>
      <w:r>
        <w:rPr>
          <w:rFonts w:hint="eastAsia" w:ascii="宋体" w:hAnsi="宋体"/>
          <w:sz w:val="28"/>
          <w:szCs w:val="28"/>
          <w:u w:val="single"/>
        </w:rPr>
        <w:t xml:space="preserve"> （ 中 型 企 业 、 小 型 企 业 、 微 型 企 业 ）</w:t>
      </w:r>
      <w:r>
        <w:rPr>
          <w:rFonts w:hint="eastAsia" w:ascii="宋体" w:hAnsi="宋体"/>
          <w:sz w:val="28"/>
          <w:szCs w:val="28"/>
        </w:rPr>
        <w:t xml:space="preserve"> ；</w:t>
      </w:r>
    </w:p>
    <w:p w14:paraId="6462DF7B">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 ……</w:t>
      </w:r>
    </w:p>
    <w:p w14:paraId="05B0AD1A">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 以上企业，不属于大企业的分支机构，不存在控股股东 为大企业的情形，也不存在与大企业的负责人为同一人的情形。</w:t>
      </w:r>
    </w:p>
    <w:p w14:paraId="16525990">
      <w:pPr>
        <w:numPr>
          <w:ilvl w:val="0"/>
          <w:numId w:val="0"/>
        </w:numPr>
        <w:spacing w:line="500" w:lineRule="exact"/>
        <w:ind w:firstLine="560" w:firstLineChars="200"/>
        <w:rPr>
          <w:rFonts w:hint="eastAsia" w:ascii="宋体" w:hAnsi="宋体"/>
          <w:sz w:val="28"/>
          <w:szCs w:val="28"/>
        </w:rPr>
      </w:pPr>
      <w:r>
        <w:rPr>
          <w:rFonts w:hint="eastAsia" w:ascii="宋体" w:hAnsi="宋体"/>
          <w:sz w:val="28"/>
          <w:szCs w:val="28"/>
        </w:rPr>
        <w:t xml:space="preserve">本企业对上述声明内容的真实性负责。如有虚假，将依 法承担相应责任。 </w:t>
      </w:r>
    </w:p>
    <w:p w14:paraId="3D188EAA">
      <w:pPr>
        <w:numPr>
          <w:ilvl w:val="0"/>
          <w:numId w:val="0"/>
        </w:numPr>
        <w:spacing w:line="500" w:lineRule="exact"/>
        <w:ind w:firstLine="3360" w:firstLineChars="1200"/>
        <w:rPr>
          <w:rFonts w:hint="eastAsia" w:ascii="宋体" w:hAnsi="宋体"/>
          <w:sz w:val="28"/>
          <w:szCs w:val="28"/>
        </w:rPr>
      </w:pPr>
    </w:p>
    <w:p w14:paraId="65A3D276">
      <w:pPr>
        <w:numPr>
          <w:ilvl w:val="0"/>
          <w:numId w:val="0"/>
        </w:numPr>
        <w:spacing w:line="500" w:lineRule="exact"/>
        <w:ind w:firstLine="3360" w:firstLineChars="1200"/>
        <w:rPr>
          <w:rFonts w:hint="eastAsia" w:ascii="宋体" w:hAnsi="宋体"/>
          <w:sz w:val="28"/>
          <w:szCs w:val="28"/>
        </w:rPr>
      </w:pPr>
      <w:r>
        <w:rPr>
          <w:rFonts w:hint="eastAsia" w:ascii="宋体" w:hAnsi="宋体"/>
          <w:sz w:val="28"/>
          <w:szCs w:val="28"/>
        </w:rPr>
        <w:t xml:space="preserve">企业名称（盖章）： </w:t>
      </w:r>
    </w:p>
    <w:p w14:paraId="3461FE03">
      <w:pPr>
        <w:numPr>
          <w:ilvl w:val="0"/>
          <w:numId w:val="0"/>
        </w:numPr>
        <w:spacing w:line="500" w:lineRule="exact"/>
        <w:ind w:firstLine="3360" w:firstLineChars="1200"/>
        <w:rPr>
          <w:rFonts w:hint="eastAsia" w:ascii="宋体" w:hAnsi="宋体"/>
          <w:sz w:val="28"/>
          <w:szCs w:val="28"/>
        </w:rPr>
      </w:pPr>
      <w:r>
        <w:rPr>
          <w:rFonts w:hint="eastAsia" w:ascii="宋体" w:hAnsi="宋体"/>
          <w:sz w:val="28"/>
          <w:szCs w:val="28"/>
        </w:rPr>
        <w:t>日 期：</w:t>
      </w:r>
    </w:p>
    <w:p w14:paraId="105CA504">
      <w:pPr>
        <w:spacing w:line="500" w:lineRule="exact"/>
        <w:ind w:firstLine="560" w:firstLineChars="200"/>
        <w:rPr>
          <w:rFonts w:hint="eastAsia" w:ascii="宋体" w:hAnsi="宋体"/>
          <w:sz w:val="28"/>
          <w:szCs w:val="28"/>
        </w:rPr>
      </w:pPr>
    </w:p>
    <w:p w14:paraId="64015D6E">
      <w:pPr>
        <w:spacing w:line="500" w:lineRule="exact"/>
        <w:rPr>
          <w:rFonts w:ascii="宋体" w:hAnsi="宋体"/>
          <w:b/>
          <w:sz w:val="24"/>
          <w:szCs w:val="24"/>
        </w:rPr>
      </w:pPr>
      <w:r>
        <w:rPr>
          <w:rFonts w:hint="eastAsia" w:ascii="宋体" w:hAnsi="宋体"/>
          <w:sz w:val="20"/>
          <w:szCs w:val="20"/>
          <w:vertAlign w:val="superscript"/>
          <w:lang w:val="en-US" w:eastAsia="zh-CN"/>
        </w:rPr>
        <w:t>1</w:t>
      </w:r>
      <w:r>
        <w:rPr>
          <w:rFonts w:hint="eastAsia" w:ascii="宋体" w:hAnsi="宋体"/>
          <w:sz w:val="20"/>
          <w:szCs w:val="20"/>
        </w:rPr>
        <w:t>从业人员、营业收入、资产总额填报上一年度数据，无上一年度数据的新成立企业可不填报。</w:t>
      </w:r>
    </w:p>
    <w:p w14:paraId="58014191">
      <w:pPr>
        <w:spacing w:line="500" w:lineRule="exact"/>
        <w:jc w:val="center"/>
        <w:rPr>
          <w:rFonts w:ascii="宋体" w:hAnsi="宋体"/>
          <w:b/>
          <w:sz w:val="28"/>
          <w:szCs w:val="28"/>
        </w:rPr>
      </w:pPr>
    </w:p>
    <w:bookmarkEnd w:id="973"/>
    <w:p w14:paraId="2D97FC26">
      <w:pPr>
        <w:spacing w:line="500" w:lineRule="exact"/>
        <w:jc w:val="center"/>
        <w:rPr>
          <w:rFonts w:hint="eastAsia" w:ascii="Arial" w:hAnsi="Arial" w:eastAsia="黑体"/>
          <w:b/>
          <w:bCs/>
          <w:color w:val="FF0000"/>
          <w:sz w:val="32"/>
          <w:szCs w:val="32"/>
        </w:rPr>
      </w:pPr>
    </w:p>
    <w:p w14:paraId="065EF909">
      <w:pPr>
        <w:spacing w:line="500" w:lineRule="exact"/>
        <w:jc w:val="center"/>
        <w:rPr>
          <w:rFonts w:ascii="Arial" w:hAnsi="Arial" w:eastAsia="黑体"/>
          <w:b/>
          <w:bCs/>
          <w:sz w:val="32"/>
          <w:szCs w:val="32"/>
        </w:rPr>
      </w:pPr>
      <w:r>
        <w:rPr>
          <w:rFonts w:hint="eastAsia" w:ascii="Arial" w:hAnsi="Arial" w:eastAsia="黑体"/>
          <w:b/>
          <w:bCs/>
          <w:color w:val="FF0000"/>
          <w:sz w:val="32"/>
          <w:szCs w:val="32"/>
          <w:lang w:val="en-US" w:eastAsia="zh-CN"/>
        </w:rPr>
        <w:t>七</w:t>
      </w:r>
      <w:r>
        <w:rPr>
          <w:rFonts w:hint="eastAsia" w:ascii="Arial" w:hAnsi="Arial" w:eastAsia="黑体"/>
          <w:b/>
          <w:bCs/>
          <w:color w:val="FF0000"/>
          <w:sz w:val="32"/>
          <w:szCs w:val="32"/>
        </w:rPr>
        <w:t>、</w:t>
      </w:r>
      <w:r>
        <w:rPr>
          <w:rFonts w:ascii="Arial" w:hAnsi="Arial" w:eastAsia="黑体"/>
          <w:b/>
          <w:bCs/>
          <w:color w:val="FF0000"/>
          <w:sz w:val="32"/>
          <w:szCs w:val="32"/>
        </w:rPr>
        <w:t>残疾人福利性单位声明函</w:t>
      </w:r>
      <w:r>
        <w:rPr>
          <w:rFonts w:hint="eastAsia" w:ascii="Arial" w:hAnsi="Arial" w:eastAsia="黑体"/>
          <w:b/>
          <w:bCs/>
          <w:color w:val="FF0000"/>
          <w:sz w:val="32"/>
          <w:szCs w:val="32"/>
        </w:rPr>
        <w:t>（非</w:t>
      </w:r>
      <w:r>
        <w:rPr>
          <w:rFonts w:ascii="Arial" w:hAnsi="Arial" w:eastAsia="黑体"/>
          <w:b/>
          <w:bCs/>
          <w:color w:val="FF0000"/>
          <w:sz w:val="32"/>
          <w:szCs w:val="32"/>
        </w:rPr>
        <w:t>残疾人福利性单位</w:t>
      </w:r>
      <w:r>
        <w:rPr>
          <w:rFonts w:hint="eastAsia" w:ascii="Arial" w:hAnsi="Arial" w:eastAsia="黑体"/>
          <w:b/>
          <w:bCs/>
          <w:color w:val="FF0000"/>
          <w:sz w:val="32"/>
          <w:szCs w:val="32"/>
        </w:rPr>
        <w:t>不提供）</w:t>
      </w:r>
    </w:p>
    <w:p w14:paraId="128AA4D0">
      <w:pPr>
        <w:snapToGrid w:val="0"/>
        <w:spacing w:line="230" w:lineRule="auto"/>
        <w:ind w:firstLine="419"/>
        <w:jc w:val="center"/>
        <w:rPr>
          <w:rFonts w:ascii="宋体" w:hAnsi="宋体"/>
          <w:sz w:val="28"/>
          <w:szCs w:val="28"/>
        </w:rPr>
      </w:pPr>
    </w:p>
    <w:p w14:paraId="7431324B">
      <w:pPr>
        <w:snapToGrid w:val="0"/>
        <w:spacing w:line="230" w:lineRule="auto"/>
        <w:ind w:firstLine="419"/>
        <w:rPr>
          <w:rFonts w:ascii="宋体" w:hAnsi="宋体" w:cs="宋体"/>
          <w:kern w:val="0"/>
          <w:sz w:val="28"/>
          <w:szCs w:val="28"/>
        </w:rPr>
      </w:pPr>
    </w:p>
    <w:p w14:paraId="26102597">
      <w:pPr>
        <w:snapToGrid w:val="0"/>
        <w:spacing w:line="480" w:lineRule="auto"/>
        <w:ind w:firstLine="420"/>
        <w:rPr>
          <w:rFonts w:ascii="宋体" w:hAnsi="宋体" w:cs="宋体"/>
          <w:kern w:val="0"/>
          <w:sz w:val="28"/>
          <w:szCs w:val="28"/>
        </w:rPr>
      </w:pPr>
      <w:r>
        <w:rPr>
          <w:rFonts w:ascii="宋体" w:hAnsi="宋体" w:cs="宋体"/>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35F1B5">
      <w:pPr>
        <w:snapToGrid w:val="0"/>
        <w:spacing w:line="480" w:lineRule="auto"/>
        <w:ind w:firstLine="420"/>
        <w:rPr>
          <w:rFonts w:ascii="宋体" w:hAnsi="宋体" w:cs="宋体"/>
          <w:kern w:val="0"/>
          <w:sz w:val="28"/>
          <w:szCs w:val="28"/>
        </w:rPr>
      </w:pPr>
      <w:r>
        <w:rPr>
          <w:rFonts w:ascii="宋体" w:hAnsi="宋体" w:cs="宋体"/>
          <w:kern w:val="0"/>
          <w:sz w:val="28"/>
          <w:szCs w:val="28"/>
        </w:rPr>
        <w:t>本单位对上述声明的真实性负责。如有虚假，将依法承担相应责任。</w:t>
      </w:r>
    </w:p>
    <w:p w14:paraId="7C91E51D">
      <w:pPr>
        <w:snapToGrid w:val="0"/>
        <w:spacing w:line="360" w:lineRule="auto"/>
        <w:ind w:firstLine="419"/>
        <w:rPr>
          <w:rFonts w:ascii="宋体" w:hAnsi="宋体" w:cs="宋体"/>
          <w:kern w:val="0"/>
          <w:sz w:val="28"/>
          <w:szCs w:val="28"/>
        </w:rPr>
      </w:pPr>
    </w:p>
    <w:p w14:paraId="56D77CC0">
      <w:pPr>
        <w:tabs>
          <w:tab w:val="left" w:pos="4858"/>
        </w:tabs>
        <w:snapToGrid w:val="0"/>
        <w:spacing w:line="360" w:lineRule="auto"/>
        <w:ind w:firstLine="419"/>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 xml:space="preserve">                        </w:t>
      </w:r>
    </w:p>
    <w:p w14:paraId="59D04280">
      <w:pPr>
        <w:spacing w:line="500" w:lineRule="exact"/>
        <w:jc w:val="left"/>
        <w:rPr>
          <w:rFonts w:ascii="宋体"/>
          <w:sz w:val="24"/>
        </w:rPr>
      </w:pPr>
      <w:r>
        <w:rPr>
          <w:rFonts w:ascii="宋体"/>
          <w:sz w:val="24"/>
        </w:rPr>
        <w:t>企业名称：</w:t>
      </w:r>
      <w:r>
        <w:rPr>
          <w:rFonts w:hint="eastAsia" w:ascii="宋体"/>
          <w:sz w:val="24"/>
          <w:u w:val="single"/>
        </w:rPr>
        <w:t xml:space="preserve">                          </w:t>
      </w:r>
      <w:r>
        <w:rPr>
          <w:rFonts w:ascii="宋体"/>
          <w:sz w:val="24"/>
        </w:rPr>
        <w:t>（盖</w:t>
      </w:r>
      <w:r>
        <w:rPr>
          <w:rFonts w:hint="eastAsia" w:ascii="宋体"/>
          <w:sz w:val="24"/>
        </w:rPr>
        <w:t>单位</w:t>
      </w:r>
      <w:r>
        <w:rPr>
          <w:rFonts w:ascii="宋体"/>
          <w:sz w:val="24"/>
        </w:rPr>
        <w:t>公章）</w:t>
      </w:r>
    </w:p>
    <w:p w14:paraId="4F966841">
      <w:pPr>
        <w:spacing w:line="500" w:lineRule="exact"/>
        <w:jc w:val="left"/>
        <w:rPr>
          <w:rFonts w:ascii="宋体"/>
          <w:sz w:val="24"/>
        </w:rPr>
      </w:pPr>
      <w:r>
        <w:rPr>
          <w:rFonts w:hint="eastAsia" w:ascii="宋体"/>
          <w:sz w:val="24"/>
        </w:rPr>
        <w:t>法定代表人或授权代表：</w:t>
      </w:r>
      <w:r>
        <w:rPr>
          <w:rFonts w:hint="eastAsia" w:ascii="宋体"/>
          <w:sz w:val="24"/>
          <w:u w:val="single"/>
        </w:rPr>
        <w:t>　　</w:t>
      </w:r>
      <w:r>
        <w:rPr>
          <w:rFonts w:ascii="宋体"/>
          <w:sz w:val="24"/>
          <w:u w:val="single"/>
        </w:rPr>
        <w:t>　　　　　</w:t>
      </w:r>
      <w:r>
        <w:rPr>
          <w:rFonts w:hint="eastAsia" w:ascii="宋体"/>
          <w:sz w:val="24"/>
        </w:rPr>
        <w:t>（签字）</w:t>
      </w:r>
    </w:p>
    <w:p w14:paraId="6DD0D5C3">
      <w:pPr>
        <w:spacing w:line="500" w:lineRule="exact"/>
        <w:jc w:val="left"/>
        <w:rPr>
          <w:rFonts w:ascii="宋体" w:hAnsi="宋体"/>
          <w:sz w:val="28"/>
          <w:szCs w:val="28"/>
          <w:u w:val="single"/>
        </w:rPr>
      </w:pPr>
      <w:r>
        <w:rPr>
          <w:rFonts w:ascii="宋体"/>
          <w:sz w:val="24"/>
        </w:rPr>
        <w:t>日期：</w:t>
      </w:r>
      <w:r>
        <w:rPr>
          <w:rFonts w:hint="eastAsia" w:ascii="宋体"/>
          <w:sz w:val="24"/>
          <w:u w:val="single"/>
        </w:rPr>
        <w:t xml:space="preserve">                              </w:t>
      </w:r>
    </w:p>
    <w:p w14:paraId="76335293">
      <w:pPr>
        <w:tabs>
          <w:tab w:val="left" w:pos="4858"/>
        </w:tabs>
        <w:snapToGrid w:val="0"/>
        <w:spacing w:line="360" w:lineRule="auto"/>
        <w:ind w:firstLine="419"/>
        <w:rPr>
          <w:rFonts w:ascii="宋体" w:hAnsi="宋体" w:cs="宋体"/>
          <w:kern w:val="0"/>
          <w:sz w:val="28"/>
          <w:szCs w:val="28"/>
        </w:rPr>
      </w:pPr>
    </w:p>
    <w:p w14:paraId="76D81D9F">
      <w:pPr>
        <w:tabs>
          <w:tab w:val="left" w:pos="4858"/>
        </w:tabs>
        <w:snapToGrid w:val="0"/>
        <w:spacing w:line="360" w:lineRule="auto"/>
        <w:ind w:firstLine="419"/>
        <w:rPr>
          <w:rFonts w:ascii="宋体" w:hAnsi="宋体" w:cs="宋体"/>
          <w:kern w:val="0"/>
          <w:sz w:val="28"/>
          <w:szCs w:val="28"/>
        </w:rPr>
      </w:pPr>
      <w:r>
        <w:rPr>
          <w:rFonts w:hint="eastAsia" w:ascii="宋体" w:hAnsi="宋体" w:cs="宋体"/>
          <w:kern w:val="0"/>
          <w:sz w:val="28"/>
          <w:szCs w:val="28"/>
        </w:rPr>
        <w:t xml:space="preserve">                                     </w:t>
      </w:r>
    </w:p>
    <w:p w14:paraId="2C907CF4">
      <w:pPr>
        <w:tabs>
          <w:tab w:val="left" w:pos="4858"/>
        </w:tabs>
        <w:snapToGrid w:val="0"/>
        <w:spacing w:line="360" w:lineRule="auto"/>
        <w:ind w:firstLine="419"/>
        <w:rPr>
          <w:rFonts w:ascii="宋体" w:hAnsi="宋体" w:cs="宋体"/>
          <w:kern w:val="0"/>
          <w:sz w:val="28"/>
          <w:szCs w:val="28"/>
        </w:rPr>
      </w:pPr>
    </w:p>
    <w:p w14:paraId="1BDEED03">
      <w:pPr>
        <w:tabs>
          <w:tab w:val="left" w:pos="4858"/>
        </w:tabs>
        <w:snapToGrid w:val="0"/>
        <w:spacing w:line="360" w:lineRule="auto"/>
        <w:ind w:firstLine="419"/>
        <w:rPr>
          <w:rFonts w:ascii="宋体" w:hAnsi="宋体" w:cs="宋体"/>
          <w:kern w:val="0"/>
          <w:sz w:val="28"/>
          <w:szCs w:val="28"/>
        </w:rPr>
      </w:pPr>
    </w:p>
    <w:p w14:paraId="3FD57C6A">
      <w:pPr>
        <w:tabs>
          <w:tab w:val="left" w:pos="4858"/>
        </w:tabs>
        <w:snapToGrid w:val="0"/>
        <w:spacing w:line="360" w:lineRule="auto"/>
        <w:ind w:firstLine="419"/>
        <w:rPr>
          <w:rFonts w:ascii="宋体" w:hAnsi="宋体" w:cs="宋体"/>
          <w:kern w:val="0"/>
          <w:sz w:val="28"/>
          <w:szCs w:val="28"/>
        </w:rPr>
      </w:pPr>
    </w:p>
    <w:p w14:paraId="101BBCEC">
      <w:pPr>
        <w:tabs>
          <w:tab w:val="left" w:pos="4858"/>
        </w:tabs>
        <w:snapToGrid w:val="0"/>
        <w:spacing w:line="360" w:lineRule="auto"/>
        <w:ind w:firstLine="419"/>
        <w:rPr>
          <w:rFonts w:ascii="宋体" w:hAnsi="宋体" w:cs="宋体"/>
          <w:kern w:val="0"/>
          <w:sz w:val="28"/>
          <w:szCs w:val="28"/>
        </w:rPr>
      </w:pPr>
    </w:p>
    <w:p w14:paraId="77F406F9">
      <w:pPr>
        <w:tabs>
          <w:tab w:val="left" w:pos="4858"/>
        </w:tabs>
        <w:snapToGrid w:val="0"/>
        <w:spacing w:line="360" w:lineRule="auto"/>
        <w:ind w:firstLine="419"/>
        <w:rPr>
          <w:rFonts w:ascii="宋体" w:hAnsi="宋体" w:cs="宋体"/>
          <w:kern w:val="0"/>
          <w:sz w:val="28"/>
          <w:szCs w:val="28"/>
        </w:rPr>
      </w:pPr>
    </w:p>
    <w:p w14:paraId="36B1A5E3">
      <w:pPr>
        <w:tabs>
          <w:tab w:val="left" w:pos="4858"/>
        </w:tabs>
        <w:snapToGrid w:val="0"/>
        <w:spacing w:line="360" w:lineRule="auto"/>
        <w:ind w:firstLine="419"/>
        <w:rPr>
          <w:rFonts w:ascii="宋体" w:hAnsi="宋体" w:cs="宋体"/>
          <w:kern w:val="0"/>
          <w:sz w:val="28"/>
          <w:szCs w:val="28"/>
        </w:rPr>
      </w:pPr>
    </w:p>
    <w:p w14:paraId="1471456B">
      <w:pPr>
        <w:tabs>
          <w:tab w:val="left" w:pos="4858"/>
        </w:tabs>
        <w:snapToGrid w:val="0"/>
        <w:spacing w:line="360" w:lineRule="auto"/>
        <w:ind w:firstLine="419"/>
        <w:rPr>
          <w:rFonts w:ascii="宋体" w:hAnsi="宋体" w:cs="宋体"/>
          <w:kern w:val="0"/>
          <w:sz w:val="28"/>
          <w:szCs w:val="28"/>
        </w:rPr>
      </w:pPr>
    </w:p>
    <w:p w14:paraId="37DFCB67">
      <w:pPr>
        <w:spacing w:line="500" w:lineRule="exact"/>
        <w:jc w:val="left"/>
        <w:rPr>
          <w:rFonts w:ascii="黑体" w:hAnsi="宋体" w:eastAsia="黑体"/>
          <w:bCs/>
          <w:sz w:val="32"/>
          <w:szCs w:val="32"/>
        </w:rPr>
      </w:pPr>
      <w:r>
        <w:rPr>
          <w:rFonts w:hint="eastAsia" w:ascii="Arial" w:hAnsi="Arial" w:eastAsia="黑体"/>
          <w:b/>
          <w:bCs/>
          <w:color w:val="FF0000"/>
          <w:sz w:val="32"/>
          <w:szCs w:val="32"/>
          <w:lang w:val="en-US" w:eastAsia="zh-CN"/>
        </w:rPr>
        <w:t>八</w:t>
      </w:r>
      <w:r>
        <w:rPr>
          <w:rFonts w:hint="eastAsia" w:ascii="Arial" w:hAnsi="Arial" w:eastAsia="黑体"/>
          <w:b/>
          <w:bCs/>
          <w:color w:val="FF0000"/>
          <w:sz w:val="32"/>
          <w:szCs w:val="32"/>
        </w:rPr>
        <w:t>、监狱企业证明文件（非监狱企业证不提供）</w:t>
      </w:r>
    </w:p>
    <w:p w14:paraId="1A47D5BC">
      <w:pPr>
        <w:spacing w:line="500" w:lineRule="exact"/>
        <w:rPr>
          <w:rFonts w:ascii="宋体" w:hAnsi="宋体"/>
          <w:b/>
          <w:sz w:val="28"/>
          <w:szCs w:val="28"/>
        </w:rPr>
      </w:pPr>
    </w:p>
    <w:p w14:paraId="6C152848">
      <w:pPr>
        <w:spacing w:line="500" w:lineRule="exact"/>
        <w:jc w:val="left"/>
        <w:rPr>
          <w:rFonts w:ascii="Arial" w:hAnsi="Arial" w:eastAsia="黑体"/>
          <w:b/>
          <w:bCs/>
          <w:sz w:val="32"/>
          <w:szCs w:val="32"/>
        </w:rPr>
      </w:pPr>
      <w:r>
        <w:rPr>
          <w:rFonts w:hint="eastAsia" w:ascii="Arial" w:hAnsi="Arial" w:eastAsia="黑体"/>
          <w:b/>
          <w:bCs/>
          <w:sz w:val="32"/>
          <w:szCs w:val="32"/>
          <w:lang w:val="en-US" w:eastAsia="zh-CN"/>
        </w:rPr>
        <w:t>九</w:t>
      </w:r>
      <w:r>
        <w:rPr>
          <w:rFonts w:hint="eastAsia" w:ascii="Arial" w:hAnsi="Arial" w:eastAsia="黑体"/>
          <w:b/>
          <w:bCs/>
          <w:sz w:val="32"/>
          <w:szCs w:val="32"/>
        </w:rPr>
        <w:t>、招标文件要求提供的其他文件或资料</w:t>
      </w:r>
    </w:p>
    <w:p w14:paraId="113EF612">
      <w:pPr>
        <w:spacing w:line="500" w:lineRule="exact"/>
        <w:rPr>
          <w:rFonts w:ascii="宋体" w:hAnsi="宋体"/>
          <w:sz w:val="28"/>
          <w:szCs w:val="28"/>
        </w:rPr>
      </w:pPr>
    </w:p>
    <w:p w14:paraId="6D1AEE69">
      <w:pPr>
        <w:spacing w:line="500" w:lineRule="exact"/>
        <w:jc w:val="left"/>
        <w:rPr>
          <w:rFonts w:ascii="Arial" w:hAnsi="Arial" w:eastAsia="黑体"/>
          <w:b/>
          <w:bCs/>
          <w:sz w:val="32"/>
          <w:szCs w:val="32"/>
        </w:rPr>
      </w:pPr>
      <w:r>
        <w:rPr>
          <w:rFonts w:hint="eastAsia" w:ascii="Arial" w:hAnsi="Arial" w:eastAsia="黑体"/>
          <w:b/>
          <w:bCs/>
          <w:sz w:val="32"/>
          <w:szCs w:val="32"/>
        </w:rPr>
        <w:t>十、投标人认为需要提供的其他文件或资料</w:t>
      </w:r>
    </w:p>
    <w:p w14:paraId="0CE436D6">
      <w:pPr>
        <w:spacing w:line="500" w:lineRule="exact"/>
        <w:jc w:val="center"/>
        <w:rPr>
          <w:rFonts w:ascii="宋体" w:hAnsi="宋体"/>
          <w:b/>
          <w:sz w:val="28"/>
          <w:szCs w:val="28"/>
        </w:rPr>
      </w:pPr>
    </w:p>
    <w:p w14:paraId="1E61A335">
      <w:pPr>
        <w:spacing w:line="500" w:lineRule="exact"/>
        <w:jc w:val="center"/>
        <w:rPr>
          <w:rFonts w:ascii="宋体" w:hAnsi="宋体"/>
          <w:b/>
          <w:sz w:val="28"/>
          <w:szCs w:val="28"/>
        </w:rPr>
      </w:pPr>
    </w:p>
    <w:p w14:paraId="04DA9BD9">
      <w:pPr>
        <w:spacing w:line="500" w:lineRule="exact"/>
        <w:jc w:val="center"/>
        <w:rPr>
          <w:rFonts w:ascii="宋体" w:hAnsi="宋体"/>
          <w:b/>
          <w:sz w:val="28"/>
          <w:szCs w:val="28"/>
        </w:rPr>
      </w:pPr>
    </w:p>
    <w:p w14:paraId="0B7C9D7A">
      <w:pPr>
        <w:spacing w:line="500" w:lineRule="exact"/>
        <w:jc w:val="center"/>
        <w:rPr>
          <w:rFonts w:ascii="宋体" w:hAnsi="宋体"/>
          <w:b/>
          <w:sz w:val="28"/>
          <w:szCs w:val="28"/>
        </w:rPr>
      </w:pPr>
    </w:p>
    <w:p w14:paraId="4B7E8E87">
      <w:pPr>
        <w:spacing w:line="500" w:lineRule="exact"/>
        <w:jc w:val="center"/>
        <w:rPr>
          <w:rFonts w:ascii="宋体" w:hAnsi="宋体"/>
          <w:b/>
          <w:sz w:val="28"/>
          <w:szCs w:val="28"/>
        </w:rPr>
      </w:pPr>
    </w:p>
    <w:p w14:paraId="41565620">
      <w:pPr>
        <w:spacing w:line="500" w:lineRule="exact"/>
        <w:jc w:val="center"/>
        <w:rPr>
          <w:rFonts w:ascii="宋体" w:hAnsi="宋体"/>
          <w:b/>
          <w:sz w:val="28"/>
          <w:szCs w:val="28"/>
        </w:rPr>
      </w:pPr>
    </w:p>
    <w:p w14:paraId="40D4CBA4">
      <w:pPr>
        <w:spacing w:line="500" w:lineRule="exact"/>
        <w:jc w:val="center"/>
        <w:rPr>
          <w:rFonts w:ascii="宋体" w:hAnsi="宋体"/>
          <w:b/>
          <w:sz w:val="28"/>
          <w:szCs w:val="28"/>
        </w:rPr>
      </w:pPr>
    </w:p>
    <w:p w14:paraId="679F2C88">
      <w:pPr>
        <w:spacing w:line="500" w:lineRule="exact"/>
        <w:jc w:val="center"/>
        <w:rPr>
          <w:rFonts w:ascii="宋体" w:hAnsi="宋体"/>
          <w:b/>
          <w:sz w:val="28"/>
          <w:szCs w:val="28"/>
        </w:rPr>
      </w:pPr>
    </w:p>
    <w:p w14:paraId="08033998">
      <w:pPr>
        <w:spacing w:line="500" w:lineRule="exact"/>
        <w:jc w:val="center"/>
        <w:rPr>
          <w:rFonts w:ascii="宋体" w:hAnsi="宋体"/>
          <w:b/>
          <w:sz w:val="28"/>
          <w:szCs w:val="28"/>
        </w:rPr>
      </w:pPr>
    </w:p>
    <w:p w14:paraId="7A65ED75">
      <w:pPr>
        <w:spacing w:line="500" w:lineRule="exact"/>
        <w:jc w:val="center"/>
        <w:rPr>
          <w:rFonts w:ascii="宋体" w:hAnsi="宋体"/>
          <w:b/>
          <w:sz w:val="28"/>
          <w:szCs w:val="28"/>
        </w:rPr>
      </w:pPr>
    </w:p>
    <w:p w14:paraId="65F5B41D">
      <w:pPr>
        <w:spacing w:line="500" w:lineRule="exact"/>
        <w:jc w:val="center"/>
        <w:rPr>
          <w:rFonts w:ascii="宋体" w:hAnsi="宋体"/>
          <w:b/>
          <w:sz w:val="28"/>
          <w:szCs w:val="28"/>
        </w:rPr>
      </w:pPr>
    </w:p>
    <w:p w14:paraId="0858152B">
      <w:pPr>
        <w:spacing w:line="500" w:lineRule="exact"/>
        <w:jc w:val="center"/>
        <w:rPr>
          <w:rFonts w:ascii="宋体" w:hAnsi="宋体"/>
          <w:b/>
          <w:sz w:val="28"/>
          <w:szCs w:val="28"/>
        </w:rPr>
      </w:pPr>
    </w:p>
    <w:p w14:paraId="1E52E961">
      <w:pPr>
        <w:spacing w:line="500" w:lineRule="exact"/>
        <w:jc w:val="center"/>
        <w:rPr>
          <w:rFonts w:ascii="宋体" w:hAnsi="宋体"/>
          <w:b/>
          <w:sz w:val="28"/>
          <w:szCs w:val="28"/>
        </w:rPr>
      </w:pPr>
    </w:p>
    <w:p w14:paraId="289AC36A">
      <w:pPr>
        <w:spacing w:line="500" w:lineRule="exact"/>
        <w:jc w:val="center"/>
        <w:rPr>
          <w:rFonts w:ascii="宋体" w:hAnsi="宋体"/>
          <w:b/>
          <w:sz w:val="28"/>
          <w:szCs w:val="28"/>
        </w:rPr>
      </w:pPr>
    </w:p>
    <w:p w14:paraId="5A63C2AC">
      <w:pPr>
        <w:spacing w:line="500" w:lineRule="exact"/>
        <w:jc w:val="center"/>
        <w:rPr>
          <w:rFonts w:ascii="宋体" w:hAnsi="宋体"/>
          <w:b/>
          <w:sz w:val="28"/>
          <w:szCs w:val="28"/>
        </w:rPr>
      </w:pPr>
    </w:p>
    <w:p w14:paraId="3DE5E3BF">
      <w:pPr>
        <w:spacing w:line="500" w:lineRule="exact"/>
        <w:jc w:val="center"/>
        <w:rPr>
          <w:rFonts w:ascii="宋体" w:hAnsi="宋体"/>
          <w:b/>
          <w:sz w:val="28"/>
          <w:szCs w:val="28"/>
        </w:rPr>
      </w:pPr>
    </w:p>
    <w:p w14:paraId="7573AF84">
      <w:pPr>
        <w:spacing w:line="500" w:lineRule="exact"/>
        <w:jc w:val="center"/>
        <w:rPr>
          <w:rFonts w:ascii="宋体" w:hAnsi="宋体"/>
          <w:b/>
          <w:sz w:val="28"/>
          <w:szCs w:val="28"/>
        </w:rPr>
      </w:pPr>
    </w:p>
    <w:p w14:paraId="459B69A5">
      <w:pPr>
        <w:spacing w:line="500" w:lineRule="exact"/>
        <w:jc w:val="center"/>
        <w:rPr>
          <w:rFonts w:ascii="宋体" w:hAnsi="宋体"/>
          <w:b/>
          <w:sz w:val="28"/>
          <w:szCs w:val="28"/>
        </w:rPr>
      </w:pPr>
    </w:p>
    <w:p w14:paraId="23B0C86C">
      <w:pPr>
        <w:spacing w:line="500" w:lineRule="exact"/>
        <w:jc w:val="center"/>
        <w:rPr>
          <w:rFonts w:ascii="宋体" w:hAnsi="宋体"/>
          <w:b/>
          <w:sz w:val="28"/>
          <w:szCs w:val="28"/>
        </w:rPr>
      </w:pPr>
    </w:p>
    <w:p w14:paraId="684C0A2F">
      <w:pPr>
        <w:spacing w:line="500" w:lineRule="exact"/>
        <w:jc w:val="center"/>
        <w:rPr>
          <w:rFonts w:ascii="宋体" w:hAnsi="宋体"/>
          <w:b/>
          <w:sz w:val="28"/>
          <w:szCs w:val="28"/>
        </w:rPr>
      </w:pPr>
    </w:p>
    <w:p w14:paraId="50412764">
      <w:pPr>
        <w:spacing w:line="500" w:lineRule="exact"/>
        <w:jc w:val="center"/>
        <w:rPr>
          <w:rFonts w:ascii="宋体" w:hAnsi="宋体"/>
          <w:b/>
          <w:sz w:val="28"/>
          <w:szCs w:val="28"/>
        </w:rPr>
      </w:pPr>
    </w:p>
    <w:p w14:paraId="2CB67EC0">
      <w:pPr>
        <w:spacing w:line="500" w:lineRule="exact"/>
        <w:jc w:val="center"/>
        <w:rPr>
          <w:rFonts w:ascii="宋体" w:hAnsi="宋体"/>
          <w:b/>
          <w:sz w:val="28"/>
          <w:szCs w:val="28"/>
        </w:rPr>
      </w:pPr>
    </w:p>
    <w:p w14:paraId="06D1DDD3">
      <w:pPr>
        <w:spacing w:line="500" w:lineRule="exact"/>
        <w:jc w:val="center"/>
        <w:rPr>
          <w:rFonts w:ascii="Arial" w:hAnsi="Arial" w:eastAsia="黑体"/>
          <w:b/>
          <w:bCs/>
          <w:sz w:val="32"/>
          <w:szCs w:val="32"/>
        </w:rPr>
      </w:pPr>
      <w:r>
        <w:rPr>
          <w:rFonts w:hint="eastAsia" w:ascii="Arial" w:hAnsi="Arial" w:eastAsia="黑体"/>
          <w:b/>
          <w:bCs/>
          <w:sz w:val="32"/>
          <w:szCs w:val="32"/>
        </w:rPr>
        <w:t>十</w:t>
      </w:r>
      <w:r>
        <w:rPr>
          <w:rFonts w:hint="eastAsia" w:ascii="Arial" w:hAnsi="Arial" w:eastAsia="黑体"/>
          <w:b/>
          <w:bCs/>
          <w:sz w:val="32"/>
          <w:szCs w:val="32"/>
          <w:lang w:val="en-US" w:eastAsia="zh-CN"/>
        </w:rPr>
        <w:t>一</w:t>
      </w:r>
      <w:r>
        <w:rPr>
          <w:rFonts w:hint="eastAsia" w:ascii="Arial" w:hAnsi="Arial" w:eastAsia="黑体"/>
          <w:b/>
          <w:bCs/>
          <w:sz w:val="32"/>
          <w:szCs w:val="32"/>
        </w:rPr>
        <w:t>、开标一览表</w:t>
      </w:r>
    </w:p>
    <w:p w14:paraId="31E30D30">
      <w:pPr>
        <w:rPr>
          <w:rFonts w:ascii="宋体" w:hAnsi="宋体"/>
          <w:bCs/>
          <w:sz w:val="28"/>
          <w:szCs w:val="28"/>
        </w:rPr>
      </w:pPr>
    </w:p>
    <w:p w14:paraId="587AC61D">
      <w:pPr>
        <w:rPr>
          <w:rFonts w:ascii="宋体" w:hAnsi="宋体"/>
          <w:b/>
          <w:bCs/>
          <w:sz w:val="28"/>
          <w:szCs w:val="28"/>
        </w:rPr>
      </w:pPr>
      <w:r>
        <w:rPr>
          <w:rFonts w:hint="eastAsia" w:ascii="宋体" w:hAnsi="宋体"/>
          <w:sz w:val="28"/>
          <w:szCs w:val="28"/>
        </w:rPr>
        <w:t xml:space="preserve">  项目名称：</w:t>
      </w:r>
      <w:r>
        <w:rPr>
          <w:rFonts w:ascii="宋体" w:hAnsi="宋体"/>
          <w:b/>
          <w:bCs/>
          <w:sz w:val="28"/>
          <w:szCs w:val="28"/>
        </w:rPr>
        <w:t xml:space="preserve"> </w:t>
      </w:r>
    </w:p>
    <w:p w14:paraId="634CC2E7">
      <w:pPr>
        <w:rPr>
          <w:rFonts w:ascii="宋体" w:hAnsi="宋体"/>
          <w:bCs/>
          <w:color w:val="FF0000"/>
          <w:sz w:val="28"/>
          <w:szCs w:val="28"/>
        </w:rPr>
      </w:pPr>
      <w:r>
        <w:rPr>
          <w:rFonts w:hint="eastAsia" w:ascii="宋体" w:hAnsi="宋体"/>
          <w:bCs/>
          <w:sz w:val="28"/>
          <w:szCs w:val="28"/>
        </w:rPr>
        <w:t xml:space="preserve">  </w:t>
      </w:r>
      <w:r>
        <w:rPr>
          <w:rFonts w:hint="eastAsia" w:ascii="宋体" w:hAnsi="宋体"/>
          <w:bCs/>
          <w:sz w:val="28"/>
          <w:szCs w:val="28"/>
          <w:lang w:eastAsia="zh-CN"/>
        </w:rPr>
        <w:t>采购计划文号</w:t>
      </w:r>
      <w:r>
        <w:rPr>
          <w:rFonts w:hint="eastAsia" w:ascii="宋体" w:hAnsi="宋体"/>
          <w:b/>
          <w:bCs/>
          <w:color w:val="000000"/>
          <w:sz w:val="28"/>
          <w:szCs w:val="28"/>
        </w:rPr>
        <w:t xml:space="preserve">： </w:t>
      </w:r>
      <w:r>
        <w:rPr>
          <w:rFonts w:hint="eastAsia" w:ascii="宋体" w:hAnsi="宋体"/>
          <w:bCs/>
          <w:sz w:val="28"/>
          <w:szCs w:val="28"/>
        </w:rPr>
        <w:t xml:space="preserve">          </w:t>
      </w:r>
      <w:r>
        <w:rPr>
          <w:rFonts w:ascii="宋体" w:hAnsi="宋体"/>
          <w:bCs/>
          <w:sz w:val="28"/>
          <w:szCs w:val="28"/>
        </w:rPr>
        <w:t xml:space="preserve">                 </w:t>
      </w:r>
      <w:r>
        <w:rPr>
          <w:rFonts w:hint="eastAsia" w:ascii="宋体" w:hAnsi="宋体"/>
          <w:bCs/>
          <w:sz w:val="28"/>
          <w:szCs w:val="28"/>
        </w:rPr>
        <w:t>开标时间：</w:t>
      </w:r>
      <w:r>
        <w:rPr>
          <w:rFonts w:ascii="宋体" w:hAnsi="宋体"/>
          <w:bCs/>
          <w:sz w:val="28"/>
          <w:szCs w:val="28"/>
        </w:rPr>
        <w:t xml:space="preserve"> </w:t>
      </w:r>
    </w:p>
    <w:tbl>
      <w:tblPr>
        <w:tblStyle w:val="58"/>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1559"/>
        <w:gridCol w:w="1418"/>
        <w:gridCol w:w="1417"/>
      </w:tblGrid>
      <w:tr w14:paraId="4F02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809" w:type="dxa"/>
            <w:vAlign w:val="center"/>
          </w:tcPr>
          <w:p w14:paraId="262B9FF2">
            <w:pPr>
              <w:jc w:val="center"/>
              <w:rPr>
                <w:rFonts w:ascii="宋体" w:hAnsi="宋体"/>
                <w:bCs/>
                <w:sz w:val="24"/>
              </w:rPr>
            </w:pPr>
            <w:r>
              <w:rPr>
                <w:rFonts w:hint="eastAsia" w:ascii="宋体" w:hAnsi="宋体"/>
                <w:bCs/>
                <w:sz w:val="24"/>
              </w:rPr>
              <w:t>投标人</w:t>
            </w:r>
          </w:p>
          <w:p w14:paraId="2EE7E3DE">
            <w:pPr>
              <w:jc w:val="center"/>
              <w:rPr>
                <w:rFonts w:ascii="宋体" w:hAnsi="宋体"/>
                <w:bCs/>
                <w:sz w:val="24"/>
              </w:rPr>
            </w:pPr>
            <w:r>
              <w:rPr>
                <w:rFonts w:hint="eastAsia" w:ascii="宋体" w:hAnsi="宋体"/>
                <w:bCs/>
                <w:sz w:val="24"/>
              </w:rPr>
              <w:t>(公司名称)</w:t>
            </w:r>
          </w:p>
        </w:tc>
        <w:tc>
          <w:tcPr>
            <w:tcW w:w="1985" w:type="dxa"/>
            <w:vAlign w:val="center"/>
          </w:tcPr>
          <w:p w14:paraId="66E795E0">
            <w:pPr>
              <w:jc w:val="center"/>
              <w:rPr>
                <w:rFonts w:ascii="宋体" w:hAnsi="宋体"/>
                <w:bCs/>
                <w:sz w:val="24"/>
              </w:rPr>
            </w:pPr>
            <w:r>
              <w:rPr>
                <w:rFonts w:hint="eastAsia" w:ascii="宋体" w:hAnsi="宋体"/>
                <w:bCs/>
                <w:sz w:val="24"/>
              </w:rPr>
              <w:t>投标总报价</w:t>
            </w:r>
          </w:p>
          <w:p w14:paraId="27036C4F">
            <w:pPr>
              <w:jc w:val="center"/>
              <w:rPr>
                <w:rFonts w:ascii="宋体" w:hAnsi="宋体"/>
                <w:bCs/>
                <w:sz w:val="24"/>
              </w:rPr>
            </w:pPr>
            <w:r>
              <w:rPr>
                <w:rFonts w:hint="eastAsia" w:ascii="宋体" w:hAnsi="宋体"/>
                <w:bCs/>
                <w:sz w:val="24"/>
              </w:rPr>
              <w:t>（元）</w:t>
            </w:r>
          </w:p>
        </w:tc>
        <w:tc>
          <w:tcPr>
            <w:tcW w:w="1559" w:type="dxa"/>
            <w:vAlign w:val="center"/>
          </w:tcPr>
          <w:p w14:paraId="3A44FE82">
            <w:pPr>
              <w:jc w:val="center"/>
              <w:rPr>
                <w:rFonts w:ascii="宋体" w:hAnsi="宋体"/>
                <w:bCs/>
                <w:sz w:val="24"/>
              </w:rPr>
            </w:pPr>
            <w:r>
              <w:rPr>
                <w:rFonts w:ascii="宋体" w:hAnsi="宋体"/>
                <w:bCs/>
                <w:sz w:val="24"/>
              </w:rPr>
              <w:t>中小</w:t>
            </w:r>
            <w:r>
              <w:rPr>
                <w:rFonts w:hint="eastAsia" w:ascii="宋体" w:hAnsi="宋体"/>
                <w:bCs/>
                <w:sz w:val="24"/>
                <w:lang w:val="en-US" w:eastAsia="zh-CN"/>
              </w:rPr>
              <w:t>微</w:t>
            </w:r>
            <w:r>
              <w:rPr>
                <w:rFonts w:ascii="宋体" w:hAnsi="宋体"/>
                <w:bCs/>
                <w:sz w:val="24"/>
              </w:rPr>
              <w:t>企业</w:t>
            </w:r>
          </w:p>
          <w:p w14:paraId="306B907E">
            <w:pPr>
              <w:jc w:val="center"/>
              <w:rPr>
                <w:rFonts w:ascii="宋体" w:hAnsi="宋体"/>
                <w:bCs/>
                <w:sz w:val="24"/>
              </w:rPr>
            </w:pPr>
            <w:r>
              <w:rPr>
                <w:rFonts w:hint="eastAsia" w:ascii="宋体" w:hAnsi="宋体"/>
                <w:bCs/>
                <w:sz w:val="24"/>
              </w:rPr>
              <w:t>（是/否）</w:t>
            </w:r>
          </w:p>
        </w:tc>
        <w:tc>
          <w:tcPr>
            <w:tcW w:w="1418" w:type="dxa"/>
            <w:vAlign w:val="center"/>
          </w:tcPr>
          <w:p w14:paraId="231FAE5E">
            <w:pPr>
              <w:jc w:val="center"/>
              <w:rPr>
                <w:rFonts w:ascii="宋体" w:hAnsi="宋体"/>
                <w:bCs/>
                <w:sz w:val="24"/>
              </w:rPr>
            </w:pPr>
            <w:r>
              <w:rPr>
                <w:rFonts w:hint="eastAsia" w:ascii="宋体" w:hAnsi="宋体"/>
                <w:bCs/>
                <w:sz w:val="24"/>
              </w:rPr>
              <w:t>交货时间</w:t>
            </w:r>
          </w:p>
          <w:p w14:paraId="71CE3D04">
            <w:pPr>
              <w:jc w:val="center"/>
              <w:rPr>
                <w:rFonts w:ascii="宋体" w:hAnsi="宋体"/>
                <w:bCs/>
                <w:sz w:val="24"/>
              </w:rPr>
            </w:pPr>
          </w:p>
        </w:tc>
        <w:tc>
          <w:tcPr>
            <w:tcW w:w="1417" w:type="dxa"/>
            <w:vAlign w:val="center"/>
          </w:tcPr>
          <w:p w14:paraId="7BF98C75">
            <w:pPr>
              <w:jc w:val="center"/>
              <w:rPr>
                <w:rFonts w:ascii="宋体" w:hAnsi="宋体"/>
                <w:bCs/>
                <w:sz w:val="24"/>
              </w:rPr>
            </w:pPr>
            <w:r>
              <w:rPr>
                <w:rFonts w:hint="eastAsia" w:ascii="宋体" w:hAnsi="宋体"/>
                <w:bCs/>
                <w:sz w:val="24"/>
              </w:rPr>
              <w:t>备注</w:t>
            </w:r>
          </w:p>
        </w:tc>
      </w:tr>
      <w:tr w14:paraId="220A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809" w:type="dxa"/>
            <w:vAlign w:val="center"/>
          </w:tcPr>
          <w:p w14:paraId="51957BE4">
            <w:pPr>
              <w:jc w:val="center"/>
              <w:rPr>
                <w:rFonts w:ascii="宋体" w:hAnsi="宋体"/>
                <w:bCs/>
                <w:sz w:val="28"/>
                <w:szCs w:val="28"/>
              </w:rPr>
            </w:pPr>
          </w:p>
        </w:tc>
        <w:tc>
          <w:tcPr>
            <w:tcW w:w="1985" w:type="dxa"/>
            <w:vAlign w:val="center"/>
          </w:tcPr>
          <w:p w14:paraId="55DB489B">
            <w:pPr>
              <w:jc w:val="center"/>
              <w:rPr>
                <w:rFonts w:ascii="宋体" w:hAnsi="宋体"/>
                <w:bCs/>
                <w:sz w:val="28"/>
                <w:szCs w:val="28"/>
              </w:rPr>
            </w:pPr>
          </w:p>
        </w:tc>
        <w:tc>
          <w:tcPr>
            <w:tcW w:w="1559" w:type="dxa"/>
            <w:vAlign w:val="center"/>
          </w:tcPr>
          <w:p w14:paraId="208232BF">
            <w:pPr>
              <w:jc w:val="center"/>
              <w:rPr>
                <w:rFonts w:ascii="宋体" w:hAnsi="宋体"/>
                <w:bCs/>
                <w:sz w:val="28"/>
                <w:szCs w:val="28"/>
              </w:rPr>
            </w:pPr>
          </w:p>
        </w:tc>
        <w:tc>
          <w:tcPr>
            <w:tcW w:w="1418" w:type="dxa"/>
            <w:vAlign w:val="center"/>
          </w:tcPr>
          <w:p w14:paraId="02EAD0C3">
            <w:pPr>
              <w:jc w:val="center"/>
              <w:rPr>
                <w:rFonts w:ascii="宋体" w:hAnsi="宋体"/>
                <w:bCs/>
                <w:sz w:val="28"/>
                <w:szCs w:val="28"/>
              </w:rPr>
            </w:pPr>
          </w:p>
        </w:tc>
        <w:tc>
          <w:tcPr>
            <w:tcW w:w="1417" w:type="dxa"/>
            <w:vAlign w:val="center"/>
          </w:tcPr>
          <w:p w14:paraId="6B8D51F5">
            <w:pPr>
              <w:jc w:val="center"/>
              <w:rPr>
                <w:rFonts w:ascii="宋体" w:hAnsi="宋体"/>
                <w:bCs/>
                <w:sz w:val="28"/>
                <w:szCs w:val="28"/>
              </w:rPr>
            </w:pPr>
          </w:p>
        </w:tc>
      </w:tr>
    </w:tbl>
    <w:p w14:paraId="230FC7A3">
      <w:pPr>
        <w:ind w:left="720" w:hanging="720" w:hangingChars="300"/>
        <w:rPr>
          <w:rFonts w:ascii="宋体" w:hAnsi="宋体"/>
          <w:sz w:val="24"/>
        </w:rPr>
      </w:pPr>
      <w:r>
        <w:rPr>
          <w:rFonts w:hint="eastAsia" w:ascii="宋体" w:hAnsi="宋体"/>
          <w:bCs/>
          <w:sz w:val="24"/>
        </w:rPr>
        <w:t>注：1、《开标一览表》投标总报价应当与《报价汇总表》和《分项报价明细表》（</w:t>
      </w:r>
      <w:r>
        <w:rPr>
          <w:rFonts w:hint="eastAsia" w:ascii="宋体" w:hAnsi="宋体"/>
          <w:sz w:val="24"/>
        </w:rPr>
        <w:t>分项报价合计</w:t>
      </w:r>
      <w:r>
        <w:rPr>
          <w:rFonts w:hint="eastAsia" w:ascii="宋体" w:hAnsi="宋体"/>
          <w:bCs/>
          <w:sz w:val="24"/>
        </w:rPr>
        <w:t>）总报价一致,</w:t>
      </w:r>
      <w:r>
        <w:rPr>
          <w:rFonts w:hint="eastAsia" w:ascii="宋体" w:hAnsi="宋体"/>
          <w:sz w:val="24"/>
        </w:rPr>
        <w:t xml:space="preserve"> 包括投标人完成本项目所需的一切费用。</w:t>
      </w:r>
    </w:p>
    <w:p w14:paraId="2DC4B801">
      <w:pPr>
        <w:ind w:left="660" w:leftChars="200" w:hanging="240" w:hangingChars="100"/>
        <w:rPr>
          <w:rFonts w:ascii="宋体" w:hAnsi="宋体"/>
          <w:bCs/>
          <w:sz w:val="24"/>
        </w:rPr>
      </w:pPr>
      <w:r>
        <w:rPr>
          <w:rFonts w:hint="eastAsia" w:ascii="宋体" w:hAnsi="宋体"/>
          <w:bCs/>
          <w:sz w:val="24"/>
        </w:rPr>
        <w:t>2、本表为开标时唱标用。</w:t>
      </w:r>
    </w:p>
    <w:p w14:paraId="399373D1">
      <w:pPr>
        <w:ind w:firstLine="435"/>
        <w:rPr>
          <w:rFonts w:ascii="宋体" w:hAnsi="宋体"/>
          <w:bCs/>
          <w:sz w:val="24"/>
        </w:rPr>
      </w:pPr>
      <w:r>
        <w:rPr>
          <w:rFonts w:hint="eastAsia" w:ascii="宋体" w:hAnsi="宋体"/>
          <w:bCs/>
          <w:sz w:val="24"/>
          <w:lang w:val="en-US" w:eastAsia="zh-CN"/>
        </w:rPr>
        <w:t>3</w:t>
      </w:r>
      <w:r>
        <w:rPr>
          <w:rFonts w:hint="eastAsia" w:ascii="宋体" w:hAnsi="宋体"/>
          <w:bCs/>
          <w:sz w:val="24"/>
        </w:rPr>
        <w:t>、标明投标的公司全称。</w:t>
      </w:r>
    </w:p>
    <w:p w14:paraId="23933AFE">
      <w:pPr>
        <w:ind w:firstLine="435"/>
        <w:rPr>
          <w:rFonts w:hint="eastAsia" w:ascii="宋体" w:hAnsi="宋体" w:eastAsiaTheme="minorEastAsia"/>
          <w:sz w:val="24"/>
          <w:lang w:eastAsia="zh-CN"/>
        </w:rPr>
      </w:pPr>
      <w:r>
        <w:rPr>
          <w:rFonts w:hint="eastAsia" w:ascii="宋体" w:hAnsi="宋体"/>
          <w:sz w:val="24"/>
          <w:lang w:val="en-US" w:eastAsia="zh-CN"/>
        </w:rPr>
        <w:t>4</w:t>
      </w:r>
      <w:r>
        <w:rPr>
          <w:rFonts w:hint="eastAsia" w:ascii="宋体" w:hAnsi="宋体"/>
          <w:sz w:val="24"/>
        </w:rPr>
        <w:t>、投标文件要标明标段</w:t>
      </w:r>
      <w:r>
        <w:rPr>
          <w:rFonts w:hint="eastAsia" w:ascii="宋体" w:hAnsi="宋体"/>
          <w:sz w:val="24"/>
          <w:lang w:eastAsia="zh-CN"/>
        </w:rPr>
        <w:t>。</w:t>
      </w:r>
    </w:p>
    <w:p w14:paraId="51FA393B">
      <w:pPr>
        <w:rPr>
          <w:rFonts w:ascii="宋体" w:hAnsi="宋体"/>
          <w:bCs/>
          <w:sz w:val="24"/>
        </w:rPr>
      </w:pPr>
    </w:p>
    <w:p w14:paraId="322F12AA">
      <w:pPr>
        <w:rPr>
          <w:rFonts w:ascii="宋体" w:hAnsi="宋体"/>
          <w:bCs/>
          <w:sz w:val="24"/>
        </w:rPr>
      </w:pPr>
      <w:r>
        <w:rPr>
          <w:rFonts w:hint="eastAsia" w:ascii="宋体" w:hAnsi="宋体"/>
          <w:bCs/>
          <w:sz w:val="24"/>
        </w:rPr>
        <w:t xml:space="preserve">                法人或其被授权人(签字）</w:t>
      </w:r>
      <w:r>
        <w:rPr>
          <w:rFonts w:hint="eastAsia" w:ascii="宋体" w:hAnsi="宋体"/>
          <w:bCs/>
          <w:sz w:val="24"/>
          <w:u w:val="single"/>
        </w:rPr>
        <w:t xml:space="preserve">              </w:t>
      </w:r>
    </w:p>
    <w:p w14:paraId="002CAC93">
      <w:pPr>
        <w:rPr>
          <w:rFonts w:ascii="宋体" w:hAnsi="宋体"/>
          <w:bCs/>
          <w:sz w:val="24"/>
        </w:rPr>
      </w:pPr>
    </w:p>
    <w:p w14:paraId="258E45E2">
      <w:pPr>
        <w:ind w:firstLine="1920" w:firstLineChars="800"/>
        <w:jc w:val="left"/>
        <w:rPr>
          <w:rFonts w:ascii="宋体" w:hAnsi="宋体"/>
          <w:bCs/>
          <w:sz w:val="24"/>
        </w:rPr>
      </w:pPr>
      <w:r>
        <w:rPr>
          <w:rFonts w:hint="eastAsia" w:ascii="宋体" w:hAnsi="宋体"/>
          <w:bCs/>
          <w:sz w:val="24"/>
        </w:rPr>
        <w:t>投标人：（加盖公司公章）</w:t>
      </w:r>
      <w:r>
        <w:rPr>
          <w:rFonts w:hint="eastAsia" w:ascii="宋体" w:hAnsi="宋体"/>
          <w:bCs/>
          <w:sz w:val="24"/>
          <w:u w:val="single"/>
        </w:rPr>
        <w:t xml:space="preserve">              </w:t>
      </w:r>
    </w:p>
    <w:p w14:paraId="071FB1F8">
      <w:pPr>
        <w:rPr>
          <w:rFonts w:ascii="宋体" w:hAnsi="宋体"/>
          <w:bCs/>
          <w:sz w:val="24"/>
        </w:rPr>
      </w:pPr>
    </w:p>
    <w:p w14:paraId="471CC5D9">
      <w:pPr>
        <w:autoSpaceDE w:val="0"/>
        <w:autoSpaceDN w:val="0"/>
        <w:adjustRightInd w:val="0"/>
        <w:spacing w:line="400" w:lineRule="exact"/>
        <w:ind w:left="3120" w:hanging="3120" w:hangingChars="1300"/>
        <w:jc w:val="left"/>
        <w:rPr>
          <w:rFonts w:ascii="宋体" w:hAnsi="宋体" w:cs="宋体"/>
          <w:sz w:val="24"/>
        </w:rPr>
      </w:pPr>
      <w:r>
        <w:rPr>
          <w:rFonts w:hint="eastAsia" w:ascii="宋体" w:hAnsi="宋体"/>
          <w:bCs/>
          <w:sz w:val="24"/>
        </w:rPr>
        <w:t xml:space="preserve">                                                        </w:t>
      </w:r>
    </w:p>
    <w:p w14:paraId="1899E741">
      <w:pPr>
        <w:spacing w:line="500" w:lineRule="exact"/>
        <w:jc w:val="center"/>
        <w:rPr>
          <w:rFonts w:ascii="宋体" w:hAnsi="宋体"/>
          <w:bCs/>
          <w:sz w:val="24"/>
        </w:rPr>
      </w:pP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日</w:t>
      </w:r>
    </w:p>
    <w:p w14:paraId="641444BC">
      <w:pPr>
        <w:spacing w:line="500" w:lineRule="exact"/>
        <w:jc w:val="center"/>
        <w:rPr>
          <w:rFonts w:ascii="宋体" w:hAnsi="宋体"/>
          <w:b/>
          <w:sz w:val="28"/>
          <w:szCs w:val="28"/>
        </w:rPr>
      </w:pPr>
    </w:p>
    <w:p w14:paraId="06D4421F">
      <w:pPr>
        <w:tabs>
          <w:tab w:val="left" w:pos="4858"/>
        </w:tabs>
        <w:snapToGrid w:val="0"/>
        <w:spacing w:line="360" w:lineRule="auto"/>
        <w:rPr>
          <w:rFonts w:ascii="宋体" w:hAnsi="宋体" w:cs="宋体"/>
          <w:kern w:val="0"/>
          <w:sz w:val="28"/>
          <w:szCs w:val="28"/>
        </w:rPr>
      </w:pPr>
    </w:p>
    <w:p w14:paraId="63518ACD">
      <w:pPr>
        <w:spacing w:line="500" w:lineRule="exact"/>
        <w:jc w:val="left"/>
        <w:rPr>
          <w:rFonts w:ascii="宋体" w:hAnsi="宋体"/>
          <w:b/>
          <w:sz w:val="28"/>
          <w:szCs w:val="28"/>
        </w:rPr>
      </w:pPr>
    </w:p>
    <w:p w14:paraId="278D496A">
      <w:pPr>
        <w:spacing w:line="500" w:lineRule="exact"/>
        <w:jc w:val="left"/>
        <w:rPr>
          <w:rFonts w:ascii="宋体" w:hAnsi="宋体"/>
          <w:b/>
          <w:sz w:val="28"/>
          <w:szCs w:val="28"/>
        </w:rPr>
      </w:pPr>
    </w:p>
    <w:p w14:paraId="0262CB5E">
      <w:pPr>
        <w:spacing w:line="500" w:lineRule="exact"/>
        <w:jc w:val="left"/>
        <w:rPr>
          <w:rFonts w:ascii="宋体" w:hAnsi="宋体"/>
          <w:b/>
          <w:sz w:val="28"/>
          <w:szCs w:val="28"/>
        </w:rPr>
      </w:pPr>
    </w:p>
    <w:p w14:paraId="107FFD44">
      <w:pPr>
        <w:spacing w:line="500" w:lineRule="exact"/>
        <w:jc w:val="left"/>
        <w:rPr>
          <w:rFonts w:ascii="宋体" w:hAnsi="宋体"/>
          <w:b/>
          <w:sz w:val="28"/>
          <w:szCs w:val="28"/>
        </w:rPr>
      </w:pPr>
    </w:p>
    <w:p w14:paraId="4278FB11">
      <w:pPr>
        <w:spacing w:line="500" w:lineRule="exact"/>
        <w:jc w:val="left"/>
        <w:rPr>
          <w:rFonts w:ascii="宋体" w:hAnsi="宋体"/>
          <w:b/>
          <w:sz w:val="28"/>
          <w:szCs w:val="28"/>
        </w:rPr>
      </w:pPr>
    </w:p>
    <w:p w14:paraId="045B1013">
      <w:pPr>
        <w:spacing w:line="500" w:lineRule="exact"/>
        <w:jc w:val="left"/>
        <w:rPr>
          <w:rFonts w:ascii="宋体" w:hAnsi="宋体"/>
          <w:b/>
          <w:sz w:val="28"/>
          <w:szCs w:val="28"/>
        </w:rPr>
      </w:pPr>
    </w:p>
    <w:p w14:paraId="16BEB5E0">
      <w:pPr>
        <w:spacing w:line="500" w:lineRule="exact"/>
        <w:jc w:val="left"/>
        <w:rPr>
          <w:rFonts w:ascii="宋体" w:hAnsi="宋体"/>
          <w:b/>
          <w:sz w:val="28"/>
          <w:szCs w:val="28"/>
        </w:rPr>
      </w:pPr>
    </w:p>
    <w:p w14:paraId="2B081FAA">
      <w:pPr>
        <w:spacing w:line="500" w:lineRule="exact"/>
        <w:jc w:val="left"/>
        <w:rPr>
          <w:rFonts w:ascii="宋体" w:hAnsi="宋体"/>
          <w:b/>
          <w:sz w:val="28"/>
          <w:szCs w:val="28"/>
        </w:rPr>
      </w:pPr>
    </w:p>
    <w:p w14:paraId="15B0ED12">
      <w:pPr>
        <w:tabs>
          <w:tab w:val="right" w:pos="9525"/>
        </w:tabs>
        <w:autoSpaceDE w:val="0"/>
        <w:autoSpaceDN w:val="0"/>
        <w:adjustRightInd w:val="0"/>
        <w:spacing w:line="400" w:lineRule="exact"/>
        <w:ind w:firstLine="482"/>
        <w:rPr>
          <w:lang w:val="zh-CN"/>
        </w:rPr>
      </w:pPr>
      <w:r>
        <w:rPr>
          <w:rFonts w:ascii="宋体" w:hAnsi="宋体" w:cs="宋体"/>
          <w:bCs/>
          <w:color w:val="000000"/>
          <w:spacing w:val="-6"/>
          <w:sz w:val="24"/>
          <w:lang w:val="zh-CN"/>
        </w:rPr>
        <w:tab/>
      </w:r>
    </w:p>
    <w:sectPr>
      <w:footerReference r:id="rId9" w:type="default"/>
      <w:pgSz w:w="11906" w:h="16838"/>
      <w:pgMar w:top="1440" w:right="1797" w:bottom="1440" w:left="1797" w:header="907" w:footer="96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长城仿宋">
    <w:altName w:val="新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FrutigerNext LT Regular">
    <w:altName w:val="新宋体"/>
    <w:panose1 w:val="00000000000000000000"/>
    <w:charset w:val="86"/>
    <w:family w:val="swiss"/>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幼圆">
    <w:altName w:val="宋体"/>
    <w:panose1 w:val="0201050906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18AB9">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727FA">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F727FA">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7E222">
    <w:pPr>
      <w:pStyle w:val="35"/>
      <w:framePr w:wrap="around" w:vAnchor="text" w:hAnchor="margin" w:xAlign="center" w:y="1"/>
      <w:rPr>
        <w:rStyle w:val="62"/>
      </w:rPr>
    </w:pPr>
    <w:r>
      <w:rPr>
        <w:rStyle w:val="62"/>
      </w:rPr>
      <w:fldChar w:fldCharType="begin"/>
    </w:r>
    <w:r>
      <w:rPr>
        <w:rStyle w:val="62"/>
      </w:rPr>
      <w:instrText xml:space="preserve">PAGE  </w:instrText>
    </w:r>
    <w:r>
      <w:rPr>
        <w:rStyle w:val="62"/>
      </w:rPr>
      <w:fldChar w:fldCharType="separate"/>
    </w:r>
    <w:r>
      <w:rPr>
        <w:rStyle w:val="62"/>
      </w:rPr>
      <w:t xml:space="preserve"> </w:t>
    </w:r>
    <w:r>
      <w:rPr>
        <w:rStyle w:val="62"/>
      </w:rPr>
      <w:fldChar w:fldCharType="end"/>
    </w:r>
  </w:p>
  <w:p w14:paraId="315F7578">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B677">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62449">
                          <w:pPr>
                            <w:pStyle w:val="3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662449">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E21C4">
    <w:pPr>
      <w:pStyle w:val="3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ECE25">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2ECE25">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9723">
    <w:pPr>
      <w:pStyle w:val="35"/>
      <w:tabs>
        <w:tab w:val="center" w:pos="4216"/>
        <w:tab w:val="left" w:pos="4981"/>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B2F51">
                          <w:pPr>
                            <w:pStyle w:val="3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CB2F51">
                    <w:pPr>
                      <w:pStyle w:val="35"/>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D829C">
    <w:pPr>
      <w:pStyle w:val="36"/>
    </w:pPr>
    <w:r>
      <w:rPr>
        <w:lang w:val="zh-CN"/>
      </w:rPr>
      <w:t>[在此处键入]</w:t>
    </w:r>
  </w:p>
  <w:p w14:paraId="478B4C5A">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F6642">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580F2"/>
    <w:multiLevelType w:val="multilevel"/>
    <w:tmpl w:val="BE7580F2"/>
    <w:lvl w:ilvl="0" w:tentative="0">
      <w:start w:val="1"/>
      <w:numFmt w:val="upperLetter"/>
      <w:suff w:val="nothing"/>
      <w:lvlText w:val="附　录　%1"/>
      <w:lvlJc w:val="left"/>
      <w:pPr>
        <w:tabs>
          <w:tab w:val="left" w:pos="0"/>
        </w:tabs>
        <w:ind w:left="0" w:firstLine="0"/>
      </w:pPr>
      <w:rPr>
        <w:rFonts w:hint="default" w:ascii="黑体" w:hAnsi="Times New Roman" w:eastAsia="黑体"/>
        <w:b w:val="0"/>
        <w:i w:val="0"/>
        <w:spacing w:val="0"/>
        <w:w w:val="100"/>
        <w:sz w:val="28"/>
        <w:szCs w:val="28"/>
      </w:rPr>
    </w:lvl>
    <w:lvl w:ilvl="1" w:tentative="0">
      <w:start w:val="1"/>
      <w:numFmt w:val="decimal"/>
      <w:suff w:val="nothing"/>
      <w:lvlText w:val="%1.%2　"/>
      <w:lvlJc w:val="left"/>
      <w:pPr>
        <w:tabs>
          <w:tab w:val="left" w:pos="0"/>
        </w:tabs>
        <w:ind w:left="0" w:firstLine="0"/>
      </w:pPr>
      <w:rPr>
        <w:rFonts w:hint="default" w:ascii="黑体" w:hAnsi="Times New Roman" w:eastAsia="黑体"/>
        <w:b w:val="0"/>
        <w:i w:val="0"/>
        <w:snapToGrid/>
        <w:spacing w:val="0"/>
        <w:w w:val="100"/>
        <w:kern w:val="21"/>
        <w:sz w:val="32"/>
        <w:szCs w:val="32"/>
      </w:rPr>
    </w:lvl>
    <w:lvl w:ilvl="2" w:tentative="0">
      <w:start w:val="1"/>
      <w:numFmt w:val="decimal"/>
      <w:pStyle w:val="54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85D9644"/>
    <w:multiLevelType w:val="singleLevel"/>
    <w:tmpl w:val="C85D9644"/>
    <w:lvl w:ilvl="0" w:tentative="0">
      <w:start w:val="1"/>
      <w:numFmt w:val="decimal"/>
      <w:suff w:val="nothing"/>
      <w:lvlText w:val="（%1）"/>
      <w:lvlJc w:val="left"/>
      <w:pPr>
        <w:ind w:left="-60"/>
      </w:p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A"/>
    <w:multiLevelType w:val="singleLevel"/>
    <w:tmpl w:val="0000000A"/>
    <w:lvl w:ilvl="0" w:tentative="0">
      <w:start w:val="5"/>
      <w:numFmt w:val="decimal"/>
      <w:pStyle w:val="18"/>
      <w:suff w:val="nothing"/>
      <w:lvlText w:val="%1）"/>
      <w:lvlJc w:val="left"/>
    </w:lvl>
  </w:abstractNum>
  <w:abstractNum w:abstractNumId="9">
    <w:nsid w:val="0000000B"/>
    <w:multiLevelType w:val="multilevel"/>
    <w:tmpl w:val="0000000B"/>
    <w:lvl w:ilvl="0" w:tentative="0">
      <w:start w:val="1"/>
      <w:numFmt w:val="decimal"/>
      <w:pStyle w:val="470"/>
      <w:lvlText w:val="%1、"/>
      <w:lvlJc w:val="left"/>
      <w:pPr>
        <w:tabs>
          <w:tab w:val="left" w:pos="1259"/>
        </w:tabs>
        <w:ind w:left="1259" w:hanging="360"/>
      </w:pPr>
      <w:rPr>
        <w:rFonts w:hint="eastAsia"/>
      </w:rPr>
    </w:lvl>
    <w:lvl w:ilvl="1" w:tentative="0">
      <w:start w:val="1"/>
      <w:numFmt w:val="lowerLetter"/>
      <w:pStyle w:val="317"/>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0">
    <w:nsid w:val="0000000C"/>
    <w:multiLevelType w:val="multilevel"/>
    <w:tmpl w:val="0000000C"/>
    <w:lvl w:ilvl="0" w:tentative="0">
      <w:start w:val="1"/>
      <w:numFmt w:val="lowerLetter"/>
      <w:lvlText w:val="%1)"/>
      <w:lvlJc w:val="left"/>
      <w:pPr>
        <w:tabs>
          <w:tab w:val="left" w:pos="1155"/>
        </w:tabs>
        <w:ind w:left="1155" w:hanging="73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0E"/>
    <w:multiLevelType w:val="multilevel"/>
    <w:tmpl w:val="0000000E"/>
    <w:lvl w:ilvl="0" w:tentative="0">
      <w:start w:val="1"/>
      <w:numFmt w:val="decimal"/>
      <w:pStyle w:val="310"/>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F"/>
    <w:multiLevelType w:val="multilevel"/>
    <w:tmpl w:val="0000000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282"/>
      <w:lvlText w:val=""/>
      <w:lvlJc w:val="left"/>
      <w:pPr>
        <w:tabs>
          <w:tab w:val="left" w:pos="1680"/>
        </w:tabs>
        <w:ind w:left="1680" w:hanging="420"/>
      </w:pPr>
      <w:rPr>
        <w:rFonts w:hint="default" w:ascii="Wingdings" w:hAnsi="Wingdings"/>
      </w:rPr>
    </w:lvl>
    <w:lvl w:ilvl="4" w:tentative="0">
      <w:start w:val="1"/>
      <w:numFmt w:val="decimal"/>
      <w:pStyle w:val="281"/>
      <w:lvlText w:val="（%5）"/>
      <w:lvlJc w:val="left"/>
      <w:pPr>
        <w:tabs>
          <w:tab w:val="left" w:pos="2337"/>
        </w:tabs>
        <w:ind w:left="2337" w:hanging="657"/>
      </w:pPr>
      <w:rPr>
        <w:rFonts w:hint="eastAsia"/>
      </w:rPr>
    </w:lvl>
    <w:lvl w:ilvl="5" w:tentative="0">
      <w:start w:val="1"/>
      <w:numFmt w:val="decimal"/>
      <w:pStyle w:val="280"/>
      <w:lvlText w:val="%6、"/>
      <w:lvlJc w:val="left"/>
      <w:pPr>
        <w:tabs>
          <w:tab w:val="left" w:pos="2895"/>
        </w:tabs>
        <w:ind w:left="2895" w:hanging="795"/>
      </w:pPr>
      <w:rPr>
        <w:rFonts w:hint="default"/>
      </w:rPr>
    </w:lvl>
    <w:lvl w:ilvl="6" w:tentative="0">
      <w:start w:val="1"/>
      <w:numFmt w:val="bullet"/>
      <w:pStyle w:val="279"/>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0"/>
    <w:multiLevelType w:val="singleLevel"/>
    <w:tmpl w:val="00000010"/>
    <w:lvl w:ilvl="0" w:tentative="0">
      <w:start w:val="2"/>
      <w:numFmt w:val="decimal"/>
      <w:pStyle w:val="191"/>
      <w:lvlText w:val="1.%1 "/>
      <w:legacy w:legacy="1" w:legacySpace="0" w:legacyIndent="425"/>
      <w:lvlJc w:val="left"/>
      <w:pPr>
        <w:ind w:left="425" w:hanging="425"/>
      </w:pPr>
      <w:rPr>
        <w:b w:val="0"/>
        <w:i w:val="0"/>
        <w:sz w:val="24"/>
      </w:rPr>
    </w:lvl>
  </w:abstractNum>
  <w:abstractNum w:abstractNumId="14">
    <w:nsid w:val="00000011"/>
    <w:multiLevelType w:val="multilevel"/>
    <w:tmpl w:val="00000011"/>
    <w:lvl w:ilvl="0" w:tentative="0">
      <w:start w:val="1"/>
      <w:numFmt w:val="japaneseCounting"/>
      <w:pStyle w:val="415"/>
      <w:lvlText w:val="第%1章  "/>
      <w:lvlJc w:val="center"/>
      <w:pPr>
        <w:tabs>
          <w:tab w:val="left" w:pos="1134"/>
        </w:tabs>
        <w:ind w:left="113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2"/>
    <w:multiLevelType w:val="multilevel"/>
    <w:tmpl w:val="00000012"/>
    <w:lvl w:ilvl="0" w:tentative="0">
      <w:start w:val="1"/>
      <w:numFmt w:val="bullet"/>
      <w:pStyle w:val="119"/>
      <w:lvlText w:val=""/>
      <w:lvlJc w:val="left"/>
      <w:pPr>
        <w:tabs>
          <w:tab w:val="left" w:pos="227"/>
        </w:tabs>
        <w:ind w:left="0" w:firstLine="113"/>
      </w:pPr>
      <w:rPr>
        <w:rFonts w:hint="default" w:ascii="Wingdings" w:hAnsi="Wingdings"/>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default" w:ascii="Times New Roman" w:hAnsi="Times New Roman" w:cs="Times New Roman"/>
      </w:rPr>
    </w:lvl>
    <w:lvl w:ilvl="4" w:tentative="0">
      <w:start w:val="1"/>
      <w:numFmt w:val="decimal"/>
      <w:lvlText w:val="%1.%2.%3.%4.%5"/>
      <w:lvlJc w:val="left"/>
      <w:pPr>
        <w:tabs>
          <w:tab w:val="left" w:pos="2048"/>
        </w:tabs>
        <w:ind w:left="2048" w:hanging="1008"/>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16">
    <w:nsid w:val="00000013"/>
    <w:multiLevelType w:val="singleLevel"/>
    <w:tmpl w:val="00000013"/>
    <w:lvl w:ilvl="0" w:tentative="0">
      <w:start w:val="3"/>
      <w:numFmt w:val="decimal"/>
      <w:pStyle w:val="102"/>
      <w:suff w:val="nothing"/>
      <w:lvlText w:val="%1）"/>
      <w:lvlJc w:val="left"/>
    </w:lvl>
  </w:abstractNum>
  <w:abstractNum w:abstractNumId="17">
    <w:nsid w:val="00000014"/>
    <w:multiLevelType w:val="multilevel"/>
    <w:tmpl w:val="00000014"/>
    <w:lvl w:ilvl="0" w:tentative="0">
      <w:start w:val="1"/>
      <w:numFmt w:val="bullet"/>
      <w:pStyle w:val="294"/>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00000015"/>
    <w:multiLevelType w:val="multilevel"/>
    <w:tmpl w:val="00000015"/>
    <w:lvl w:ilvl="0" w:tentative="0">
      <w:start w:val="1"/>
      <w:numFmt w:val="bullet"/>
      <w:lvlText w:val=""/>
      <w:lvlJc w:val="left"/>
      <w:pPr>
        <w:tabs>
          <w:tab w:val="left" w:pos="660"/>
        </w:tabs>
        <w:ind w:left="66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pStyle w:val="260"/>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abstractNum w:abstractNumId="19">
    <w:nsid w:val="00000016"/>
    <w:multiLevelType w:val="multilevel"/>
    <w:tmpl w:val="00000016"/>
    <w:lvl w:ilvl="0" w:tentative="0">
      <w:start w:val="1"/>
      <w:numFmt w:val="decimal"/>
      <w:pStyle w:val="179"/>
      <w:lvlText w:val="%1)"/>
      <w:lvlJc w:val="left"/>
      <w:pPr>
        <w:tabs>
          <w:tab w:val="left" w:pos="420"/>
        </w:tabs>
        <w:ind w:left="420" w:hanging="420"/>
      </w:pPr>
    </w:lvl>
    <w:lvl w:ilvl="1" w:tentative="0">
      <w:start w:val="1"/>
      <w:numFmt w:val="lowerLetter"/>
      <w:lvlText w:val="%2) "/>
      <w:lvlJc w:val="left"/>
      <w:pPr>
        <w:tabs>
          <w:tab w:val="left" w:pos="845"/>
        </w:tabs>
        <w:ind w:left="845" w:hanging="425"/>
      </w:pPr>
      <w:rPr>
        <w:rFonts w:hint="default" w:ascii="Times New Roman" w:hAnsi="Times New Roman" w:eastAsia="宋体"/>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7"/>
    <w:multiLevelType w:val="multilevel"/>
    <w:tmpl w:val="00000017"/>
    <w:lvl w:ilvl="0" w:tentative="0">
      <w:start w:val="1"/>
      <w:numFmt w:val="bullet"/>
      <w:pStyle w:val="37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1">
    <w:nsid w:val="00000018"/>
    <w:multiLevelType w:val="multilevel"/>
    <w:tmpl w:val="00000018"/>
    <w:lvl w:ilvl="0" w:tentative="0">
      <w:start w:val="1"/>
      <w:numFmt w:val="bullet"/>
      <w:pStyle w:val="41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00000019"/>
    <w:multiLevelType w:val="multilevel"/>
    <w:tmpl w:val="00000019"/>
    <w:lvl w:ilvl="0" w:tentative="0">
      <w:start w:val="1"/>
      <w:numFmt w:val="bullet"/>
      <w:pStyle w:val="459"/>
      <w:lvlText w:val=""/>
      <w:lvlJc w:val="left"/>
      <w:pPr>
        <w:tabs>
          <w:tab w:val="left" w:pos="900"/>
        </w:tabs>
        <w:ind w:left="900" w:hanging="420"/>
      </w:pPr>
      <w:rPr>
        <w:rFonts w:hint="default" w:ascii="Wingdings" w:hAnsi="Wingdings"/>
      </w:rPr>
    </w:lvl>
    <w:lvl w:ilvl="1" w:tentative="0">
      <w:start w:val="1"/>
      <w:numFmt w:val="bullet"/>
      <w:pStyle w:val="131"/>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3">
    <w:nsid w:val="0000001A"/>
    <w:multiLevelType w:val="multilevel"/>
    <w:tmpl w:val="0000001A"/>
    <w:lvl w:ilvl="0" w:tentative="0">
      <w:start w:val="1"/>
      <w:numFmt w:val="bullet"/>
      <w:pStyle w:val="28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0000001B"/>
    <w:multiLevelType w:val="multilevel"/>
    <w:tmpl w:val="0000001B"/>
    <w:lvl w:ilvl="0" w:tentative="0">
      <w:start w:val="1"/>
      <w:numFmt w:val="none"/>
      <w:pStyle w:val="266"/>
      <w:suff w:val="nothing"/>
      <w:lvlText w:val="%1"/>
      <w:lvlJc w:val="left"/>
      <w:pPr>
        <w:ind w:left="0" w:firstLine="0"/>
      </w:pPr>
      <w:rPr>
        <w:rFonts w:hint="default" w:ascii="Times New Roman" w:hAnsi="Times New Roman"/>
        <w:b/>
        <w:i w:val="0"/>
        <w:sz w:val="21"/>
      </w:rPr>
    </w:lvl>
    <w:lvl w:ilvl="1" w:tentative="0">
      <w:start w:val="1"/>
      <w:numFmt w:val="decimal"/>
      <w:pStyle w:val="536"/>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8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00000020"/>
    <w:multiLevelType w:val="multilevel"/>
    <w:tmpl w:val="00000020"/>
    <w:lvl w:ilvl="0" w:tentative="0">
      <w:start w:val="1"/>
      <w:numFmt w:val="decimal"/>
      <w:pStyle w:val="537"/>
      <w:suff w:val="nothing"/>
      <w:lvlText w:val="图%1　"/>
      <w:lvlJc w:val="left"/>
      <w:pPr>
        <w:ind w:left="3969" w:firstLine="0"/>
      </w:pPr>
      <w:rPr>
        <w:rFonts w:hint="eastAsia" w:ascii="黑体" w:hAnsi="Times New Roman" w:eastAsia="黑体"/>
        <w:b w:val="0"/>
        <w:i w:val="0"/>
        <w:sz w:val="21"/>
      </w:rPr>
    </w:lvl>
    <w:lvl w:ilvl="1" w:tentative="0">
      <w:start w:val="1"/>
      <w:numFmt w:val="decimal"/>
      <w:suff w:val="nothing"/>
      <w:lvlText w:val="%1%2　"/>
      <w:lvlJc w:val="left"/>
      <w:pPr>
        <w:ind w:left="-1135" w:firstLine="0"/>
      </w:pPr>
      <w:rPr>
        <w:rFonts w:hint="default" w:ascii="Times New Roman" w:hAnsi="Times New Roman" w:eastAsia="黑体"/>
        <w:b w:val="0"/>
        <w:i w:val="0"/>
        <w:sz w:val="21"/>
      </w:rPr>
    </w:lvl>
    <w:lvl w:ilvl="2" w:tentative="0">
      <w:start w:val="1"/>
      <w:numFmt w:val="decimal"/>
      <w:suff w:val="nothing"/>
      <w:lvlText w:val="%1%2.%3　"/>
      <w:lvlJc w:val="left"/>
      <w:pPr>
        <w:ind w:left="-1135" w:firstLine="0"/>
      </w:pPr>
      <w:rPr>
        <w:rFonts w:hint="default" w:ascii="Times New Roman" w:hAnsi="Times New Roman" w:eastAsia="黑体"/>
        <w:b w:val="0"/>
        <w:i w:val="0"/>
        <w:sz w:val="21"/>
      </w:rPr>
    </w:lvl>
    <w:lvl w:ilvl="3" w:tentative="0">
      <w:start w:val="1"/>
      <w:numFmt w:val="decimal"/>
      <w:suff w:val="nothing"/>
      <w:lvlText w:val="%1%2.%3.%4　"/>
      <w:lvlJc w:val="left"/>
      <w:pPr>
        <w:ind w:left="-1135" w:firstLine="0"/>
      </w:pPr>
      <w:rPr>
        <w:rFonts w:hint="default" w:ascii="Times New Roman" w:hAnsi="Times New Roman" w:eastAsia="黑体"/>
        <w:b w:val="0"/>
        <w:i w:val="0"/>
        <w:sz w:val="21"/>
      </w:rPr>
    </w:lvl>
    <w:lvl w:ilvl="4" w:tentative="0">
      <w:start w:val="1"/>
      <w:numFmt w:val="decimal"/>
      <w:suff w:val="nothing"/>
      <w:lvlText w:val="%1%2.%3.%4.%5　"/>
      <w:lvlJc w:val="left"/>
      <w:pPr>
        <w:ind w:left="-1135" w:firstLine="0"/>
      </w:pPr>
      <w:rPr>
        <w:rFonts w:hint="default" w:ascii="Times New Roman" w:hAnsi="Times New Roman" w:eastAsia="黑体"/>
        <w:b w:val="0"/>
        <w:i w:val="0"/>
        <w:sz w:val="21"/>
      </w:rPr>
    </w:lvl>
    <w:lvl w:ilvl="5" w:tentative="0">
      <w:start w:val="1"/>
      <w:numFmt w:val="decimal"/>
      <w:suff w:val="nothing"/>
      <w:lvlText w:val="%1%2.%3.%4.%5.%6　"/>
      <w:lvlJc w:val="left"/>
      <w:pPr>
        <w:ind w:left="-1135" w:firstLine="0"/>
      </w:pPr>
      <w:rPr>
        <w:rFonts w:hint="default" w:ascii="Times New Roman" w:hAnsi="Times New Roman" w:eastAsia="黑体"/>
        <w:b w:val="0"/>
        <w:i w:val="0"/>
        <w:sz w:val="21"/>
      </w:rPr>
    </w:lvl>
    <w:lvl w:ilvl="6" w:tentative="0">
      <w:start w:val="1"/>
      <w:numFmt w:val="decimal"/>
      <w:suff w:val="nothing"/>
      <w:lvlText w:val="%1%2.%3.%4.%5.%6.%7　"/>
      <w:lvlJc w:val="left"/>
      <w:pPr>
        <w:ind w:left="-1135" w:firstLine="0"/>
      </w:pPr>
      <w:rPr>
        <w:rFonts w:hint="default" w:ascii="Times New Roman" w:hAnsi="Times New Roman" w:eastAsia="黑体"/>
        <w:b w:val="0"/>
        <w:i w:val="0"/>
        <w:sz w:val="21"/>
      </w:rPr>
    </w:lvl>
    <w:lvl w:ilvl="7" w:tentative="0">
      <w:start w:val="1"/>
      <w:numFmt w:val="decimal"/>
      <w:lvlText w:val="%1.%2.%3.%4.%5.%6.%7.%8"/>
      <w:lvlJc w:val="left"/>
      <w:pPr>
        <w:tabs>
          <w:tab w:val="left" w:pos="3216"/>
        </w:tabs>
        <w:ind w:left="2834" w:hanging="1418"/>
      </w:pPr>
      <w:rPr>
        <w:rFonts w:hint="eastAsia"/>
      </w:rPr>
    </w:lvl>
    <w:lvl w:ilvl="8" w:tentative="0">
      <w:start w:val="1"/>
      <w:numFmt w:val="decimal"/>
      <w:lvlText w:val="%1.%2.%3.%4.%5.%6.%7.%8.%9"/>
      <w:lvlJc w:val="left"/>
      <w:pPr>
        <w:tabs>
          <w:tab w:val="left" w:pos="3642"/>
        </w:tabs>
        <w:ind w:left="3542" w:hanging="1700"/>
      </w:pPr>
      <w:rPr>
        <w:rFonts w:hint="eastAsia"/>
      </w:rPr>
    </w:lvl>
  </w:abstractNum>
  <w:abstractNum w:abstractNumId="26">
    <w:nsid w:val="00000028"/>
    <w:multiLevelType w:val="multilevel"/>
    <w:tmpl w:val="00000028"/>
    <w:lvl w:ilvl="0" w:tentative="0">
      <w:start w:val="1"/>
      <w:numFmt w:val="decimal"/>
      <w:lvlText w:val=""/>
      <w:lvlJc w:val="left"/>
      <w:pPr>
        <w:ind w:left="561" w:hanging="413"/>
      </w:pPr>
      <w:rPr>
        <w:rFonts w:ascii="微软雅黑" w:eastAsia="微软雅黑"/>
        <w:b w:val="0"/>
        <w:i w:val="0"/>
        <w:color w:val="565656"/>
        <w:spacing w:val="0"/>
        <w:w w:val="100"/>
        <w:sz w:val="18"/>
        <w:u w:val="none"/>
        <w:vertAlign w:val="baseline"/>
        <w:em w:val="dot"/>
      </w:rPr>
    </w:lvl>
    <w:lvl w:ilvl="1" w:tentative="0">
      <w:start w:val="1"/>
      <w:numFmt w:val="decimal"/>
      <w:lvlText w:val=""/>
      <w:lvlJc w:val="left"/>
      <w:pPr>
        <w:ind w:left="980" w:hanging="413"/>
      </w:pPr>
      <w:rPr>
        <w:rFonts w:ascii="Times New Roman" w:eastAsia="宋体"/>
        <w:b w:val="0"/>
        <w:i w:val="0"/>
        <w:color w:val="0F0F0F"/>
        <w:spacing w:val="0"/>
        <w:w w:val="100"/>
        <w:sz w:val="21"/>
        <w:u w:val="none"/>
        <w:vertAlign w:val="baseline"/>
        <w:em w:val="dot"/>
      </w:rPr>
    </w:lvl>
    <w:lvl w:ilvl="2" w:tentative="0">
      <w:start w:val="1"/>
      <w:numFmt w:val="decimal"/>
      <w:lvlText w:val=""/>
      <w:lvlJc w:val="left"/>
      <w:pPr>
        <w:ind w:left="1400" w:hanging="413"/>
      </w:pPr>
      <w:rPr>
        <w:rFonts w:ascii="Times New Roman" w:eastAsia="宋体"/>
        <w:b w:val="0"/>
        <w:i w:val="0"/>
        <w:color w:val="0F0F0F"/>
        <w:spacing w:val="0"/>
        <w:w w:val="100"/>
        <w:sz w:val="21"/>
        <w:u w:val="none"/>
        <w:vertAlign w:val="baseline"/>
        <w:em w:val="dot"/>
      </w:rPr>
    </w:lvl>
    <w:lvl w:ilvl="3" w:tentative="0">
      <w:start w:val="1"/>
      <w:numFmt w:val="decimal"/>
      <w:lvlText w:val=""/>
      <w:lvlJc w:val="left"/>
      <w:pPr>
        <w:ind w:left="1819" w:hanging="413"/>
      </w:pPr>
      <w:rPr>
        <w:rFonts w:ascii="Times New Roman" w:eastAsia="宋体"/>
        <w:b w:val="0"/>
        <w:i w:val="0"/>
        <w:color w:val="0F0F0F"/>
        <w:spacing w:val="0"/>
        <w:w w:val="100"/>
        <w:sz w:val="21"/>
        <w:u w:val="none"/>
        <w:vertAlign w:val="baseline"/>
        <w:em w:val="dot"/>
      </w:rPr>
    </w:lvl>
    <w:lvl w:ilvl="4" w:tentative="0">
      <w:start w:val="1"/>
      <w:numFmt w:val="decimal"/>
      <w:lvlText w:val=""/>
      <w:lvlJc w:val="left"/>
      <w:pPr>
        <w:ind w:left="2245" w:hanging="413"/>
      </w:pPr>
      <w:rPr>
        <w:rFonts w:ascii="Times New Roman" w:eastAsia="宋体"/>
        <w:b w:val="0"/>
        <w:i w:val="0"/>
        <w:color w:val="0F0F0F"/>
        <w:spacing w:val="0"/>
        <w:w w:val="100"/>
        <w:sz w:val="21"/>
        <w:u w:val="none"/>
        <w:vertAlign w:val="baseline"/>
        <w:em w:val="dot"/>
      </w:rPr>
    </w:lvl>
    <w:lvl w:ilvl="5" w:tentative="0">
      <w:start w:val="1"/>
      <w:numFmt w:val="decimal"/>
      <w:lvlText w:val=""/>
      <w:lvlJc w:val="left"/>
      <w:pPr>
        <w:ind w:left="2664" w:hanging="413"/>
      </w:pPr>
      <w:rPr>
        <w:rFonts w:ascii="Times New Roman" w:eastAsia="宋体"/>
        <w:b w:val="0"/>
        <w:i w:val="0"/>
        <w:color w:val="0F0F0F"/>
        <w:spacing w:val="0"/>
        <w:w w:val="100"/>
        <w:sz w:val="21"/>
        <w:u w:val="none"/>
        <w:vertAlign w:val="baseline"/>
        <w:em w:val="dot"/>
      </w:rPr>
    </w:lvl>
    <w:lvl w:ilvl="6" w:tentative="0">
      <w:start w:val="1"/>
      <w:numFmt w:val="decimal"/>
      <w:lvlText w:val=""/>
      <w:lvlJc w:val="left"/>
      <w:pPr>
        <w:ind w:left="3084" w:hanging="413"/>
      </w:pPr>
      <w:rPr>
        <w:rFonts w:ascii="Times New Roman" w:eastAsia="宋体"/>
        <w:b w:val="0"/>
        <w:i w:val="0"/>
        <w:color w:val="0F0F0F"/>
        <w:spacing w:val="0"/>
        <w:w w:val="100"/>
        <w:sz w:val="21"/>
        <w:u w:val="none"/>
        <w:vertAlign w:val="baseline"/>
        <w:em w:val="dot"/>
      </w:rPr>
    </w:lvl>
    <w:lvl w:ilvl="7" w:tentative="0">
      <w:start w:val="1"/>
      <w:numFmt w:val="decimal"/>
      <w:lvlText w:val=""/>
      <w:lvlJc w:val="left"/>
      <w:pPr>
        <w:ind w:left="3503" w:hanging="413"/>
      </w:pPr>
      <w:rPr>
        <w:rFonts w:ascii="Times New Roman" w:eastAsia="宋体"/>
        <w:b w:val="0"/>
        <w:i w:val="0"/>
        <w:color w:val="0F0F0F"/>
        <w:spacing w:val="0"/>
        <w:w w:val="100"/>
        <w:sz w:val="21"/>
        <w:u w:val="none"/>
        <w:vertAlign w:val="baseline"/>
        <w:em w:val="dot"/>
      </w:rPr>
    </w:lvl>
    <w:lvl w:ilvl="8" w:tentative="0">
      <w:start w:val="1"/>
      <w:numFmt w:val="decimal"/>
      <w:lvlText w:val=""/>
      <w:lvlJc w:val="left"/>
      <w:pPr>
        <w:ind w:left="3923" w:hanging="413"/>
      </w:pPr>
      <w:rPr>
        <w:rFonts w:ascii="Times New Roman" w:eastAsia="宋体"/>
        <w:b w:val="0"/>
        <w:i w:val="0"/>
        <w:color w:val="0F0F0F"/>
        <w:spacing w:val="0"/>
        <w:w w:val="100"/>
        <w:sz w:val="21"/>
        <w:u w:val="none"/>
        <w:vertAlign w:val="baseline"/>
        <w:em w:val="dot"/>
      </w:rPr>
    </w:lvl>
  </w:abstractNum>
  <w:abstractNum w:abstractNumId="27">
    <w:nsid w:val="27D55C1D"/>
    <w:multiLevelType w:val="multilevel"/>
    <w:tmpl w:val="27D55C1D"/>
    <w:lvl w:ilvl="0" w:tentative="0">
      <w:start w:val="1"/>
      <w:numFmt w:val="lowerLetter"/>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28">
    <w:nsid w:val="2F61E576"/>
    <w:multiLevelType w:val="multilevel"/>
    <w:tmpl w:val="2F61E576"/>
    <w:lvl w:ilvl="0" w:tentative="0">
      <w:start w:val="1"/>
      <w:numFmt w:val="decimal"/>
      <w:lvlText w:val="%1"/>
      <w:lvlJc w:val="left"/>
      <w:pPr>
        <w:ind w:left="0" w:leftChars="0" w:firstLine="0" w:firstLineChars="0"/>
      </w:pPr>
      <w:rPr>
        <w:rFonts w:hint="default" w:eastAsia="黑体"/>
        <w:sz w:val="32"/>
      </w:rPr>
    </w:lvl>
    <w:lvl w:ilvl="1" w:tentative="0">
      <w:start w:val="1"/>
      <w:numFmt w:val="decimal"/>
      <w:lvlText w:val="%1.%2"/>
      <w:lvlJc w:val="left"/>
      <w:pPr>
        <w:ind w:left="0" w:firstLine="0"/>
      </w:pPr>
      <w:rPr>
        <w:rFonts w:hint="eastAsia" w:ascii="黑体" w:hAnsi="黑体" w:eastAsia="黑体"/>
      </w:rPr>
    </w:lvl>
    <w:lvl w:ilvl="2" w:tentative="0">
      <w:start w:val="1"/>
      <w:numFmt w:val="decimal"/>
      <w:lvlText w:val="%1.%2.%3"/>
      <w:lvlJc w:val="left"/>
      <w:pPr>
        <w:ind w:left="0" w:firstLine="0"/>
      </w:pPr>
      <w:rPr>
        <w:rFonts w:hint="eastAsia" w:ascii="黑体" w:hAnsi="黑体" w:eastAsia="黑体"/>
      </w:rPr>
    </w:lvl>
    <w:lvl w:ilvl="3" w:tentative="0">
      <w:start w:val="1"/>
      <w:numFmt w:val="decimal"/>
      <w:lvlText w:val="%1.%2.%3.%4"/>
      <w:lvlJc w:val="left"/>
      <w:pPr>
        <w:ind w:left="0" w:firstLine="0"/>
      </w:pPr>
      <w:rPr>
        <w:rFonts w:hint="eastAsia" w:ascii="黑体" w:hAnsi="黑体" w:eastAsia="黑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4EE039A9"/>
    <w:multiLevelType w:val="multilevel"/>
    <w:tmpl w:val="4EE039A9"/>
    <w:lvl w:ilvl="0" w:tentative="0">
      <w:start w:val="3"/>
      <w:numFmt w:val="decimal"/>
      <w:pStyle w:val="11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54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1">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7A0F6431"/>
    <w:multiLevelType w:val="singleLevel"/>
    <w:tmpl w:val="7A0F6431"/>
    <w:lvl w:ilvl="0" w:tentative="0">
      <w:start w:val="1"/>
      <w:numFmt w:val="decimal"/>
      <w:suff w:val="space"/>
      <w:lvlText w:val="%1."/>
      <w:lvlJc w:val="left"/>
    </w:lvl>
  </w:abstractNum>
  <w:num w:numId="1">
    <w:abstractNumId w:val="8"/>
  </w:num>
  <w:num w:numId="2">
    <w:abstractNumId w:val="16"/>
  </w:num>
  <w:num w:numId="3">
    <w:abstractNumId w:val="29"/>
  </w:num>
  <w:num w:numId="4">
    <w:abstractNumId w:val="15"/>
  </w:num>
  <w:num w:numId="5">
    <w:abstractNumId w:val="22"/>
  </w:num>
  <w:num w:numId="6">
    <w:abstractNumId w:val="19"/>
  </w:num>
  <w:num w:numId="7">
    <w:abstractNumId w:val="13"/>
  </w:num>
  <w:num w:numId="8">
    <w:abstractNumId w:val="18"/>
  </w:num>
  <w:num w:numId="9">
    <w:abstractNumId w:val="24"/>
  </w:num>
  <w:num w:numId="10">
    <w:abstractNumId w:val="12"/>
  </w:num>
  <w:num w:numId="11">
    <w:abstractNumId w:val="23"/>
  </w:num>
  <w:num w:numId="12">
    <w:abstractNumId w:val="17"/>
  </w:num>
  <w:num w:numId="13">
    <w:abstractNumId w:val="11"/>
  </w:num>
  <w:num w:numId="14">
    <w:abstractNumId w:val="9"/>
  </w:num>
  <w:num w:numId="15">
    <w:abstractNumId w:val="20"/>
  </w:num>
  <w:num w:numId="16">
    <w:abstractNumId w:val="14"/>
  </w:num>
  <w:num w:numId="17">
    <w:abstractNumId w:val="21"/>
  </w:num>
  <w:num w:numId="18">
    <w:abstractNumId w:val="25"/>
  </w:num>
  <w:num w:numId="19">
    <w:abstractNumId w:val="0"/>
  </w:num>
  <w:num w:numId="20">
    <w:abstractNumId w:val="30"/>
  </w:num>
  <w:num w:numId="21">
    <w:abstractNumId w:val="26"/>
  </w:num>
  <w:num w:numId="22">
    <w:abstractNumId w:val="2"/>
  </w:num>
  <w:num w:numId="23">
    <w:abstractNumId w:val="28"/>
  </w:num>
  <w:num w:numId="24">
    <w:abstractNumId w:val="27"/>
  </w:num>
  <w:num w:numId="25">
    <w:abstractNumId w:val="31"/>
  </w:num>
  <w:num w:numId="26">
    <w:abstractNumId w:val="10"/>
  </w:num>
  <w:num w:numId="27">
    <w:abstractNumId w:val="32"/>
  </w:num>
  <w:num w:numId="28">
    <w:abstractNumId w:val="3"/>
  </w:num>
  <w:num w:numId="29">
    <w:abstractNumId w:val="7"/>
  </w:num>
  <w:num w:numId="30">
    <w:abstractNumId w:val="5"/>
  </w:num>
  <w:num w:numId="31">
    <w:abstractNumId w:val="4"/>
  </w:num>
  <w:num w:numId="32">
    <w:abstractNumId w:val="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wODE5MjQ2NzQ5MTYwNDM5ZmUxMGVlZmQ3N2E3NzEifQ=="/>
  </w:docVars>
  <w:rsids>
    <w:rsidRoot w:val="006F67AB"/>
    <w:rsid w:val="003868A6"/>
    <w:rsid w:val="00476F8C"/>
    <w:rsid w:val="005D62CD"/>
    <w:rsid w:val="006E5B9D"/>
    <w:rsid w:val="006F57C3"/>
    <w:rsid w:val="006F67AB"/>
    <w:rsid w:val="008555A7"/>
    <w:rsid w:val="00A27AB6"/>
    <w:rsid w:val="00C77F43"/>
    <w:rsid w:val="00DE6F73"/>
    <w:rsid w:val="00E25595"/>
    <w:rsid w:val="01103A8F"/>
    <w:rsid w:val="01566F06"/>
    <w:rsid w:val="01973437"/>
    <w:rsid w:val="04904D39"/>
    <w:rsid w:val="06191097"/>
    <w:rsid w:val="06F54DC4"/>
    <w:rsid w:val="07F12DFA"/>
    <w:rsid w:val="094F0F0E"/>
    <w:rsid w:val="0967585E"/>
    <w:rsid w:val="098D23FC"/>
    <w:rsid w:val="0AFB3396"/>
    <w:rsid w:val="0C227E4E"/>
    <w:rsid w:val="0C4900D4"/>
    <w:rsid w:val="0C761FF4"/>
    <w:rsid w:val="0C7B519A"/>
    <w:rsid w:val="0CBE5C02"/>
    <w:rsid w:val="0F6C728B"/>
    <w:rsid w:val="0F820EFB"/>
    <w:rsid w:val="0FA44770"/>
    <w:rsid w:val="103510F8"/>
    <w:rsid w:val="118555A5"/>
    <w:rsid w:val="11AE4CBE"/>
    <w:rsid w:val="13DD0A74"/>
    <w:rsid w:val="13E1587A"/>
    <w:rsid w:val="142A5F91"/>
    <w:rsid w:val="159C53D9"/>
    <w:rsid w:val="15FB7D2D"/>
    <w:rsid w:val="1651030E"/>
    <w:rsid w:val="16C54931"/>
    <w:rsid w:val="16E318AE"/>
    <w:rsid w:val="17574496"/>
    <w:rsid w:val="18186483"/>
    <w:rsid w:val="186624B9"/>
    <w:rsid w:val="18864838"/>
    <w:rsid w:val="18B62AC7"/>
    <w:rsid w:val="18C046CA"/>
    <w:rsid w:val="198D771F"/>
    <w:rsid w:val="19A40D8D"/>
    <w:rsid w:val="19CF27BA"/>
    <w:rsid w:val="1B425D73"/>
    <w:rsid w:val="1B837F59"/>
    <w:rsid w:val="1BC16CF7"/>
    <w:rsid w:val="1D761072"/>
    <w:rsid w:val="1E6268D7"/>
    <w:rsid w:val="1E841194"/>
    <w:rsid w:val="1F3B11D3"/>
    <w:rsid w:val="1F575A56"/>
    <w:rsid w:val="20644DAA"/>
    <w:rsid w:val="20847ED5"/>
    <w:rsid w:val="20A3496D"/>
    <w:rsid w:val="20BF61B9"/>
    <w:rsid w:val="2113425B"/>
    <w:rsid w:val="212C396C"/>
    <w:rsid w:val="2146233A"/>
    <w:rsid w:val="21C60B9E"/>
    <w:rsid w:val="22A64BFE"/>
    <w:rsid w:val="22D73397"/>
    <w:rsid w:val="23953994"/>
    <w:rsid w:val="25AC73AC"/>
    <w:rsid w:val="25DC3F03"/>
    <w:rsid w:val="260828BF"/>
    <w:rsid w:val="26433A1A"/>
    <w:rsid w:val="26821E97"/>
    <w:rsid w:val="26CA6F36"/>
    <w:rsid w:val="26F25532"/>
    <w:rsid w:val="277D71B5"/>
    <w:rsid w:val="283425F5"/>
    <w:rsid w:val="28AE579C"/>
    <w:rsid w:val="29BD776F"/>
    <w:rsid w:val="2ACB1488"/>
    <w:rsid w:val="2B2D4356"/>
    <w:rsid w:val="2B5A0DBA"/>
    <w:rsid w:val="2B9827A7"/>
    <w:rsid w:val="2C46693B"/>
    <w:rsid w:val="2D264A29"/>
    <w:rsid w:val="2D2D3DFD"/>
    <w:rsid w:val="2D697B58"/>
    <w:rsid w:val="2D8F6DE0"/>
    <w:rsid w:val="2DD9534D"/>
    <w:rsid w:val="2EDA276E"/>
    <w:rsid w:val="2FDE6C5E"/>
    <w:rsid w:val="303E4B96"/>
    <w:rsid w:val="30B1570F"/>
    <w:rsid w:val="314F4C20"/>
    <w:rsid w:val="31716A86"/>
    <w:rsid w:val="31BC58DA"/>
    <w:rsid w:val="32E44B94"/>
    <w:rsid w:val="342C61EA"/>
    <w:rsid w:val="361E5DA3"/>
    <w:rsid w:val="363E18AF"/>
    <w:rsid w:val="381A22E7"/>
    <w:rsid w:val="383E1FDC"/>
    <w:rsid w:val="384856BF"/>
    <w:rsid w:val="38620204"/>
    <w:rsid w:val="38BD38B5"/>
    <w:rsid w:val="3A4243C4"/>
    <w:rsid w:val="3B945917"/>
    <w:rsid w:val="3BAB5677"/>
    <w:rsid w:val="3E2A5D8F"/>
    <w:rsid w:val="3E8377F1"/>
    <w:rsid w:val="3F7874B3"/>
    <w:rsid w:val="40510216"/>
    <w:rsid w:val="40595A64"/>
    <w:rsid w:val="41CE46F5"/>
    <w:rsid w:val="4237008A"/>
    <w:rsid w:val="429A4FBC"/>
    <w:rsid w:val="437156DB"/>
    <w:rsid w:val="437339E5"/>
    <w:rsid w:val="43F77C55"/>
    <w:rsid w:val="44B77C55"/>
    <w:rsid w:val="453709A3"/>
    <w:rsid w:val="456E55CE"/>
    <w:rsid w:val="45801C9F"/>
    <w:rsid w:val="46115240"/>
    <w:rsid w:val="46EC63A6"/>
    <w:rsid w:val="471B64EA"/>
    <w:rsid w:val="477D1617"/>
    <w:rsid w:val="47913A11"/>
    <w:rsid w:val="47B15CFC"/>
    <w:rsid w:val="48384338"/>
    <w:rsid w:val="48622633"/>
    <w:rsid w:val="493A5330"/>
    <w:rsid w:val="49883402"/>
    <w:rsid w:val="4997150A"/>
    <w:rsid w:val="4A487253"/>
    <w:rsid w:val="4B1B3D69"/>
    <w:rsid w:val="4D9E2719"/>
    <w:rsid w:val="4DDA3696"/>
    <w:rsid w:val="4E8C6D17"/>
    <w:rsid w:val="4F2558FF"/>
    <w:rsid w:val="4F906AE9"/>
    <w:rsid w:val="4FC551B8"/>
    <w:rsid w:val="50F53BF3"/>
    <w:rsid w:val="51A55E1E"/>
    <w:rsid w:val="524D7917"/>
    <w:rsid w:val="52505F43"/>
    <w:rsid w:val="55345C09"/>
    <w:rsid w:val="5673590B"/>
    <w:rsid w:val="56C97187"/>
    <w:rsid w:val="58B72672"/>
    <w:rsid w:val="593F5547"/>
    <w:rsid w:val="599225BA"/>
    <w:rsid w:val="59EB76C3"/>
    <w:rsid w:val="5A996D28"/>
    <w:rsid w:val="5AFB45B5"/>
    <w:rsid w:val="5B0E4671"/>
    <w:rsid w:val="5BB44A41"/>
    <w:rsid w:val="5C6E4053"/>
    <w:rsid w:val="5C7F04F0"/>
    <w:rsid w:val="5CB65714"/>
    <w:rsid w:val="5CC51718"/>
    <w:rsid w:val="61455EAF"/>
    <w:rsid w:val="61874C61"/>
    <w:rsid w:val="61E92284"/>
    <w:rsid w:val="621C486D"/>
    <w:rsid w:val="629C0D42"/>
    <w:rsid w:val="639F1C85"/>
    <w:rsid w:val="646B21D0"/>
    <w:rsid w:val="65A0165A"/>
    <w:rsid w:val="668E23F4"/>
    <w:rsid w:val="66CD5EB5"/>
    <w:rsid w:val="67E577BF"/>
    <w:rsid w:val="69236EB5"/>
    <w:rsid w:val="6AB33C15"/>
    <w:rsid w:val="6AB57DBC"/>
    <w:rsid w:val="6B5E4BDD"/>
    <w:rsid w:val="6BAB5DDA"/>
    <w:rsid w:val="6BC30A2F"/>
    <w:rsid w:val="6C5938FE"/>
    <w:rsid w:val="6C94588A"/>
    <w:rsid w:val="6C990E99"/>
    <w:rsid w:val="6D21370B"/>
    <w:rsid w:val="6DA97037"/>
    <w:rsid w:val="6E5E49DA"/>
    <w:rsid w:val="6EBF726B"/>
    <w:rsid w:val="6F18142A"/>
    <w:rsid w:val="6F584F06"/>
    <w:rsid w:val="6F824E39"/>
    <w:rsid w:val="6F9235F5"/>
    <w:rsid w:val="70067F51"/>
    <w:rsid w:val="70A61C28"/>
    <w:rsid w:val="70E41E4A"/>
    <w:rsid w:val="72C04632"/>
    <w:rsid w:val="7302141E"/>
    <w:rsid w:val="73AD16AC"/>
    <w:rsid w:val="73CE4B25"/>
    <w:rsid w:val="7460797B"/>
    <w:rsid w:val="75AD49D1"/>
    <w:rsid w:val="76ED7E1C"/>
    <w:rsid w:val="7745657A"/>
    <w:rsid w:val="77C827BB"/>
    <w:rsid w:val="77E701B9"/>
    <w:rsid w:val="78F543CA"/>
    <w:rsid w:val="79982FA7"/>
    <w:rsid w:val="7AB46E9F"/>
    <w:rsid w:val="7B0216BD"/>
    <w:rsid w:val="7C5457B5"/>
    <w:rsid w:val="7C7A3E1B"/>
    <w:rsid w:val="7CC61837"/>
    <w:rsid w:val="7D98521B"/>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7"/>
    <w:autoRedefine/>
    <w:qFormat/>
    <w:uiPriority w:val="0"/>
    <w:pPr>
      <w:keepNext/>
      <w:jc w:val="center"/>
      <w:outlineLvl w:val="0"/>
    </w:pPr>
    <w:rPr>
      <w:rFonts w:ascii="隶书" w:hAnsi="Times New Roman" w:eastAsia="隶书" w:cs="Times New Roman"/>
      <w:b/>
      <w:sz w:val="52"/>
      <w:szCs w:val="20"/>
    </w:rPr>
  </w:style>
  <w:style w:type="paragraph" w:styleId="4">
    <w:name w:val="heading 2"/>
    <w:basedOn w:val="1"/>
    <w:next w:val="1"/>
    <w:link w:val="78"/>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79"/>
    <w:autoRedefine/>
    <w:qFormat/>
    <w:uiPriority w:val="0"/>
    <w:pPr>
      <w:spacing w:before="120"/>
      <w:jc w:val="left"/>
      <w:outlineLvl w:val="2"/>
    </w:pPr>
    <w:rPr>
      <w:rFonts w:ascii="Times New Roman" w:hAnsi="Times New Roman" w:eastAsia="宋体" w:cs="Times New Roman"/>
      <w:b/>
      <w:bCs/>
      <w:sz w:val="24"/>
      <w:szCs w:val="24"/>
    </w:rPr>
  </w:style>
  <w:style w:type="paragraph" w:styleId="6">
    <w:name w:val="heading 4"/>
    <w:basedOn w:val="1"/>
    <w:next w:val="7"/>
    <w:link w:val="103"/>
    <w:autoRedefine/>
    <w:qFormat/>
    <w:uiPriority w:val="0"/>
    <w:pPr>
      <w:keepNext/>
      <w:keepLines/>
      <w:tabs>
        <w:tab w:val="left" w:pos="0"/>
      </w:tabs>
      <w:spacing w:line="500" w:lineRule="exact"/>
      <w:ind w:firstLine="522" w:firstLineChars="200"/>
      <w:outlineLvl w:val="3"/>
    </w:pPr>
    <w:rPr>
      <w:rFonts w:ascii="仿宋_GB2312" w:hAnsi="Arial" w:eastAsia="仿宋_GB2312" w:cs="Times New Roman"/>
      <w:b/>
      <w:sz w:val="26"/>
      <w:szCs w:val="26"/>
    </w:rPr>
  </w:style>
  <w:style w:type="paragraph" w:styleId="8">
    <w:name w:val="heading 5"/>
    <w:basedOn w:val="1"/>
    <w:next w:val="1"/>
    <w:link w:val="81"/>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82"/>
    <w:autoRedefine/>
    <w:qFormat/>
    <w:uiPriority w:val="0"/>
    <w:pPr>
      <w:keepNext/>
      <w:keepLines/>
      <w:adjustRightInd w:val="0"/>
      <w:spacing w:line="470" w:lineRule="exact"/>
      <w:ind w:left="862" w:hanging="862"/>
      <w:textAlignment w:val="baseline"/>
      <w:outlineLvl w:val="5"/>
    </w:pPr>
    <w:rPr>
      <w:rFonts w:ascii="Times New Roman" w:hAnsi="Times New Roman" w:eastAsia="仿宋_GB2312" w:cs="Times New Roman"/>
      <w:b/>
      <w:kern w:val="0"/>
      <w:sz w:val="26"/>
      <w:szCs w:val="26"/>
    </w:rPr>
  </w:style>
  <w:style w:type="paragraph" w:styleId="10">
    <w:name w:val="heading 7"/>
    <w:basedOn w:val="1"/>
    <w:next w:val="1"/>
    <w:link w:val="83"/>
    <w:autoRedefine/>
    <w:qFormat/>
    <w:uiPriority w:val="0"/>
    <w:pPr>
      <w:keepNext/>
      <w:keepLines/>
      <w:adjustRightInd w:val="0"/>
      <w:spacing w:before="100" w:beforeAutospacing="1" w:after="100" w:afterAutospacing="1" w:line="320" w:lineRule="atLeast"/>
      <w:ind w:left="1008" w:hanging="1296"/>
      <w:textAlignment w:val="baseline"/>
      <w:outlineLvl w:val="6"/>
    </w:pPr>
    <w:rPr>
      <w:rFonts w:ascii="Arial" w:hAnsi="Arial" w:eastAsia="宋体" w:cs="Times New Roman"/>
      <w:b/>
      <w:kern w:val="0"/>
      <w:sz w:val="24"/>
      <w:szCs w:val="20"/>
    </w:rPr>
  </w:style>
  <w:style w:type="paragraph" w:styleId="11">
    <w:name w:val="heading 8"/>
    <w:basedOn w:val="1"/>
    <w:next w:val="1"/>
    <w:link w:val="84"/>
    <w:autoRedefine/>
    <w:qFormat/>
    <w:uiPriority w:val="0"/>
    <w:pPr>
      <w:keepNext/>
      <w:keepLines/>
      <w:adjustRightInd w:val="0"/>
      <w:spacing w:line="360" w:lineRule="auto"/>
      <w:ind w:left="1152" w:hanging="1440"/>
      <w:jc w:val="center"/>
      <w:textAlignment w:val="baseline"/>
      <w:outlineLvl w:val="7"/>
    </w:pPr>
    <w:rPr>
      <w:rFonts w:ascii="Arial" w:hAnsi="Arial" w:eastAsia="宋体" w:cs="Times New Roman"/>
      <w:kern w:val="0"/>
      <w:szCs w:val="20"/>
    </w:rPr>
  </w:style>
  <w:style w:type="paragraph" w:styleId="12">
    <w:name w:val="heading 9"/>
    <w:basedOn w:val="1"/>
    <w:next w:val="1"/>
    <w:link w:val="85"/>
    <w:autoRedefine/>
    <w:qFormat/>
    <w:uiPriority w:val="0"/>
    <w:pPr>
      <w:keepNext/>
      <w:keepLines/>
      <w:adjustRightInd w:val="0"/>
      <w:spacing w:line="360" w:lineRule="auto"/>
      <w:ind w:left="-288" w:firstLine="288"/>
      <w:jc w:val="center"/>
      <w:textAlignment w:val="baseline"/>
      <w:outlineLvl w:val="8"/>
    </w:pPr>
    <w:rPr>
      <w:rFonts w:ascii="Arial" w:hAnsi="Arial" w:eastAsia="宋体" w:cs="Times New Roman"/>
      <w:kern w:val="0"/>
      <w:szCs w:val="20"/>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20"/>
    <w:autoRedefine/>
    <w:unhideWhenUsed/>
    <w:qFormat/>
    <w:uiPriority w:val="0"/>
    <w:pPr>
      <w:spacing w:after="120"/>
    </w:pPr>
  </w:style>
  <w:style w:type="paragraph" w:styleId="7">
    <w:name w:val="Normal Indent"/>
    <w:basedOn w:val="1"/>
    <w:link w:val="173"/>
    <w:autoRedefine/>
    <w:qFormat/>
    <w:uiPriority w:val="0"/>
    <w:pPr>
      <w:ind w:firstLine="420" w:firstLineChars="200"/>
    </w:pPr>
    <w:rPr>
      <w:rFonts w:eastAsia="宋体"/>
      <w:szCs w:val="24"/>
    </w:rPr>
  </w:style>
  <w:style w:type="paragraph" w:styleId="13">
    <w:name w:val="toc 7"/>
    <w:basedOn w:val="1"/>
    <w:next w:val="1"/>
    <w:autoRedefine/>
    <w:qFormat/>
    <w:uiPriority w:val="39"/>
    <w:pPr>
      <w:ind w:left="1260"/>
      <w:jc w:val="left"/>
    </w:pPr>
    <w:rPr>
      <w:rFonts w:ascii="Times New Roman" w:hAnsi="Times New Roman" w:eastAsia="宋体" w:cs="Times New Roman"/>
      <w:sz w:val="18"/>
      <w:szCs w:val="18"/>
    </w:rPr>
  </w:style>
  <w:style w:type="paragraph" w:styleId="14">
    <w:name w:val="index 8"/>
    <w:basedOn w:val="1"/>
    <w:next w:val="1"/>
    <w:autoRedefine/>
    <w:qFormat/>
    <w:uiPriority w:val="0"/>
    <w:pPr>
      <w:adjustRightInd w:val="0"/>
      <w:spacing w:line="360" w:lineRule="auto"/>
      <w:ind w:left="1920" w:hanging="240"/>
      <w:jc w:val="left"/>
    </w:pPr>
    <w:rPr>
      <w:rFonts w:ascii="Times New Roman" w:hAnsi="Times New Roman" w:eastAsia="宋体" w:cs="Times New Roman"/>
      <w:kern w:val="0"/>
      <w:sz w:val="20"/>
      <w:szCs w:val="20"/>
    </w:rPr>
  </w:style>
  <w:style w:type="paragraph" w:styleId="15">
    <w:name w:val="List Number"/>
    <w:basedOn w:val="1"/>
    <w:autoRedefine/>
    <w:qFormat/>
    <w:uiPriority w:val="0"/>
    <w:pPr>
      <w:tabs>
        <w:tab w:val="left" w:pos="432"/>
      </w:tabs>
      <w:snapToGrid w:val="0"/>
      <w:spacing w:after="60" w:line="300" w:lineRule="auto"/>
      <w:ind w:left="432" w:hanging="432" w:firstLineChars="200"/>
    </w:pPr>
    <w:rPr>
      <w:rFonts w:ascii="Times New Roman" w:hAnsi="Times New Roman" w:eastAsia="宋体" w:cs="Times New Roman"/>
      <w:sz w:val="24"/>
      <w:szCs w:val="20"/>
    </w:rPr>
  </w:style>
  <w:style w:type="paragraph" w:styleId="16">
    <w:name w:val="caption"/>
    <w:basedOn w:val="1"/>
    <w:next w:val="1"/>
    <w:link w:val="88"/>
    <w:autoRedefine/>
    <w:qFormat/>
    <w:uiPriority w:val="0"/>
    <w:rPr>
      <w:rFonts w:ascii="Arial" w:hAnsi="Arial" w:eastAsia="黑体" w:cs="Arial"/>
    </w:rPr>
  </w:style>
  <w:style w:type="paragraph" w:styleId="17">
    <w:name w:val="index 5"/>
    <w:basedOn w:val="1"/>
    <w:next w:val="1"/>
    <w:autoRedefine/>
    <w:qFormat/>
    <w:uiPriority w:val="0"/>
    <w:pPr>
      <w:adjustRightInd w:val="0"/>
      <w:spacing w:line="360" w:lineRule="auto"/>
      <w:ind w:left="1200" w:hanging="240"/>
      <w:jc w:val="left"/>
    </w:pPr>
    <w:rPr>
      <w:rFonts w:ascii="Times New Roman" w:hAnsi="Times New Roman" w:eastAsia="宋体" w:cs="Times New Roman"/>
      <w:kern w:val="0"/>
      <w:sz w:val="20"/>
      <w:szCs w:val="20"/>
    </w:rPr>
  </w:style>
  <w:style w:type="paragraph" w:styleId="18">
    <w:name w:val="List Bullet"/>
    <w:basedOn w:val="1"/>
    <w:autoRedefine/>
    <w:qFormat/>
    <w:uiPriority w:val="0"/>
    <w:pPr>
      <w:numPr>
        <w:ilvl w:val="0"/>
        <w:numId w:val="1"/>
      </w:numPr>
      <w:tabs>
        <w:tab w:val="left" w:pos="360"/>
      </w:tabs>
      <w:contextualSpacing/>
    </w:pPr>
    <w:rPr>
      <w:rFonts w:ascii="Times New Roman" w:hAnsi="Times New Roman" w:eastAsia="宋体" w:cs="Times New Roman"/>
      <w:szCs w:val="24"/>
    </w:rPr>
  </w:style>
  <w:style w:type="paragraph" w:styleId="19">
    <w:name w:val="Document Map"/>
    <w:basedOn w:val="1"/>
    <w:link w:val="223"/>
    <w:autoRedefine/>
    <w:qFormat/>
    <w:uiPriority w:val="0"/>
    <w:pPr>
      <w:shd w:val="clear" w:color="auto" w:fill="000080"/>
    </w:pPr>
    <w:rPr>
      <w:rFonts w:ascii="Times New Roman" w:hAnsi="Times New Roman" w:eastAsia="宋体" w:cs="Times New Roman"/>
      <w:szCs w:val="24"/>
    </w:rPr>
  </w:style>
  <w:style w:type="paragraph" w:styleId="20">
    <w:name w:val="toa heading"/>
    <w:basedOn w:val="1"/>
    <w:next w:val="1"/>
    <w:autoRedefine/>
    <w:qFormat/>
    <w:uiPriority w:val="0"/>
    <w:pPr>
      <w:spacing w:before="120" w:line="360" w:lineRule="auto"/>
      <w:ind w:firstLine="200" w:firstLineChars="200"/>
    </w:pPr>
    <w:rPr>
      <w:rFonts w:ascii="Arial" w:hAnsi="Arial" w:eastAsia="宋体" w:cs="Arial"/>
      <w:sz w:val="24"/>
      <w:szCs w:val="24"/>
    </w:rPr>
  </w:style>
  <w:style w:type="paragraph" w:styleId="21">
    <w:name w:val="annotation text"/>
    <w:basedOn w:val="1"/>
    <w:link w:val="217"/>
    <w:autoRedefine/>
    <w:unhideWhenUsed/>
    <w:qFormat/>
    <w:uiPriority w:val="0"/>
    <w:pPr>
      <w:jc w:val="left"/>
    </w:pPr>
  </w:style>
  <w:style w:type="paragraph" w:styleId="22">
    <w:name w:val="index 6"/>
    <w:basedOn w:val="1"/>
    <w:next w:val="1"/>
    <w:autoRedefine/>
    <w:qFormat/>
    <w:uiPriority w:val="0"/>
    <w:pPr>
      <w:adjustRightInd w:val="0"/>
      <w:spacing w:line="360" w:lineRule="auto"/>
      <w:ind w:left="1440" w:hanging="240"/>
      <w:jc w:val="left"/>
    </w:pPr>
    <w:rPr>
      <w:rFonts w:ascii="Times New Roman" w:hAnsi="Times New Roman" w:eastAsia="宋体" w:cs="Times New Roman"/>
      <w:kern w:val="0"/>
      <w:sz w:val="20"/>
      <w:szCs w:val="20"/>
    </w:rPr>
  </w:style>
  <w:style w:type="paragraph" w:styleId="23">
    <w:name w:val="Body Text Indent"/>
    <w:basedOn w:val="1"/>
    <w:link w:val="200"/>
    <w:autoRedefine/>
    <w:unhideWhenUsed/>
    <w:qFormat/>
    <w:uiPriority w:val="0"/>
    <w:pPr>
      <w:spacing w:after="120"/>
      <w:ind w:left="420" w:leftChars="200"/>
    </w:pPr>
  </w:style>
  <w:style w:type="paragraph" w:styleId="24">
    <w:name w:val="Block Text"/>
    <w:basedOn w:val="1"/>
    <w:autoRedefine/>
    <w:qFormat/>
    <w:uiPriority w:val="0"/>
    <w:pPr>
      <w:spacing w:line="360" w:lineRule="auto"/>
      <w:ind w:left="420" w:right="-334" w:rightChars="-159" w:firstLine="420" w:firstLineChars="200"/>
    </w:pPr>
    <w:rPr>
      <w:rFonts w:ascii="Times New Roman" w:hAnsi="Times New Roman" w:eastAsia="宋体" w:cs="Times New Roman"/>
      <w:spacing w:val="20"/>
      <w:sz w:val="24"/>
      <w:szCs w:val="24"/>
    </w:rPr>
  </w:style>
  <w:style w:type="paragraph" w:styleId="25">
    <w:name w:val="index 4"/>
    <w:basedOn w:val="1"/>
    <w:next w:val="1"/>
    <w:autoRedefine/>
    <w:qFormat/>
    <w:uiPriority w:val="0"/>
    <w:pPr>
      <w:adjustRightInd w:val="0"/>
      <w:spacing w:line="360" w:lineRule="auto"/>
      <w:ind w:left="960" w:hanging="240"/>
      <w:jc w:val="left"/>
    </w:pPr>
    <w:rPr>
      <w:rFonts w:ascii="Times New Roman" w:hAnsi="Times New Roman" w:eastAsia="宋体" w:cs="Times New Roman"/>
      <w:kern w:val="0"/>
      <w:sz w:val="20"/>
      <w:szCs w:val="20"/>
    </w:rPr>
  </w:style>
  <w:style w:type="paragraph" w:styleId="26">
    <w:name w:val="toc 5"/>
    <w:basedOn w:val="1"/>
    <w:next w:val="1"/>
    <w:autoRedefine/>
    <w:qFormat/>
    <w:uiPriority w:val="39"/>
    <w:pPr>
      <w:ind w:left="840"/>
      <w:jc w:val="left"/>
    </w:pPr>
    <w:rPr>
      <w:rFonts w:ascii="Times New Roman" w:hAnsi="Times New Roman" w:eastAsia="宋体" w:cs="Times New Roman"/>
      <w:sz w:val="18"/>
      <w:szCs w:val="18"/>
    </w:rPr>
  </w:style>
  <w:style w:type="paragraph" w:styleId="27">
    <w:name w:val="toc 3"/>
    <w:basedOn w:val="1"/>
    <w:next w:val="1"/>
    <w:autoRedefine/>
    <w:qFormat/>
    <w:uiPriority w:val="39"/>
    <w:pPr>
      <w:ind w:left="420"/>
      <w:jc w:val="left"/>
    </w:pPr>
    <w:rPr>
      <w:rFonts w:ascii="Times New Roman" w:hAnsi="Times New Roman" w:eastAsia="宋体" w:cs="Times New Roman"/>
      <w:i/>
      <w:iCs/>
      <w:sz w:val="20"/>
      <w:szCs w:val="20"/>
    </w:rPr>
  </w:style>
  <w:style w:type="paragraph" w:styleId="28">
    <w:name w:val="Plain Text"/>
    <w:basedOn w:val="1"/>
    <w:link w:val="188"/>
    <w:autoRedefine/>
    <w:qFormat/>
    <w:uiPriority w:val="0"/>
    <w:pPr>
      <w:spacing w:line="360" w:lineRule="auto"/>
      <w:ind w:firstLine="200" w:firstLineChars="200"/>
    </w:pPr>
    <w:rPr>
      <w:rFonts w:ascii="宋体" w:hAnsi="Courier New" w:eastAsia="宋体"/>
      <w:sz w:val="24"/>
    </w:rPr>
  </w:style>
  <w:style w:type="paragraph" w:styleId="29">
    <w:name w:val="List Bullet 5"/>
    <w:basedOn w:val="1"/>
    <w:autoRedefine/>
    <w:qFormat/>
    <w:uiPriority w:val="0"/>
    <w:pPr>
      <w:tabs>
        <w:tab w:val="left" w:pos="284"/>
      </w:tabs>
      <w:spacing w:line="360" w:lineRule="auto"/>
      <w:ind w:firstLine="284" w:firstLineChars="200"/>
    </w:pPr>
    <w:rPr>
      <w:rFonts w:ascii="Times New Roman" w:hAnsi="Times New Roman" w:eastAsia="宋体" w:cs="Times New Roman"/>
      <w:sz w:val="24"/>
      <w:szCs w:val="24"/>
    </w:rPr>
  </w:style>
  <w:style w:type="paragraph" w:styleId="30">
    <w:name w:val="toc 8"/>
    <w:basedOn w:val="1"/>
    <w:next w:val="1"/>
    <w:autoRedefine/>
    <w:qFormat/>
    <w:uiPriority w:val="39"/>
    <w:pPr>
      <w:ind w:left="1470"/>
      <w:jc w:val="left"/>
    </w:pPr>
    <w:rPr>
      <w:rFonts w:ascii="Times New Roman" w:hAnsi="Times New Roman" w:eastAsia="宋体" w:cs="Times New Roman"/>
      <w:sz w:val="18"/>
      <w:szCs w:val="18"/>
    </w:rPr>
  </w:style>
  <w:style w:type="paragraph" w:styleId="31">
    <w:name w:val="index 3"/>
    <w:basedOn w:val="1"/>
    <w:next w:val="1"/>
    <w:autoRedefine/>
    <w:qFormat/>
    <w:uiPriority w:val="0"/>
    <w:pPr>
      <w:adjustRightInd w:val="0"/>
      <w:spacing w:line="360" w:lineRule="auto"/>
      <w:ind w:left="720" w:hanging="240"/>
      <w:jc w:val="left"/>
    </w:pPr>
    <w:rPr>
      <w:rFonts w:ascii="Times New Roman" w:hAnsi="Times New Roman" w:eastAsia="宋体" w:cs="Times New Roman"/>
      <w:kern w:val="0"/>
      <w:sz w:val="20"/>
      <w:szCs w:val="20"/>
    </w:rPr>
  </w:style>
  <w:style w:type="paragraph" w:styleId="32">
    <w:name w:val="Date"/>
    <w:basedOn w:val="1"/>
    <w:next w:val="1"/>
    <w:link w:val="202"/>
    <w:autoRedefine/>
    <w:qFormat/>
    <w:uiPriority w:val="0"/>
    <w:rPr>
      <w:rFonts w:ascii="Times New Roman" w:hAnsi="Times New Roman" w:eastAsia="宋体" w:cs="Times New Roman"/>
      <w:sz w:val="24"/>
      <w:szCs w:val="20"/>
    </w:rPr>
  </w:style>
  <w:style w:type="paragraph" w:styleId="33">
    <w:name w:val="Body Text Indent 2"/>
    <w:basedOn w:val="1"/>
    <w:link w:val="207"/>
    <w:autoRedefine/>
    <w:qFormat/>
    <w:uiPriority w:val="0"/>
    <w:pPr>
      <w:spacing w:line="400" w:lineRule="atLeast"/>
      <w:ind w:firstLine="360" w:firstLineChars="150"/>
    </w:pPr>
    <w:rPr>
      <w:rFonts w:ascii="Times New Roman" w:hAnsi="Times New Roman" w:eastAsia="宋体" w:cs="Times New Roman"/>
      <w:sz w:val="24"/>
      <w:szCs w:val="20"/>
    </w:rPr>
  </w:style>
  <w:style w:type="paragraph" w:styleId="34">
    <w:name w:val="Balloon Text"/>
    <w:basedOn w:val="1"/>
    <w:link w:val="127"/>
    <w:autoRedefine/>
    <w:qFormat/>
    <w:uiPriority w:val="0"/>
    <w:rPr>
      <w:rFonts w:eastAsia="宋体"/>
      <w:sz w:val="18"/>
      <w:szCs w:val="18"/>
    </w:rPr>
  </w:style>
  <w:style w:type="paragraph" w:styleId="35">
    <w:name w:val="footer"/>
    <w:basedOn w:val="1"/>
    <w:link w:val="162"/>
    <w:autoRedefine/>
    <w:qFormat/>
    <w:uiPriority w:val="99"/>
    <w:pPr>
      <w:tabs>
        <w:tab w:val="center" w:pos="4153"/>
        <w:tab w:val="right" w:pos="8306"/>
      </w:tabs>
      <w:snapToGrid w:val="0"/>
      <w:jc w:val="left"/>
    </w:pPr>
    <w:rPr>
      <w:rFonts w:eastAsia="宋体"/>
      <w:sz w:val="18"/>
      <w:szCs w:val="24"/>
    </w:rPr>
  </w:style>
  <w:style w:type="paragraph" w:styleId="36">
    <w:name w:val="header"/>
    <w:basedOn w:val="1"/>
    <w:link w:val="16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宋体"/>
      <w:sz w:val="18"/>
      <w:szCs w:val="24"/>
    </w:rPr>
  </w:style>
  <w:style w:type="paragraph" w:styleId="37">
    <w:name w:val="Signature"/>
    <w:basedOn w:val="1"/>
    <w:link w:val="205"/>
    <w:autoRedefine/>
    <w:qFormat/>
    <w:uiPriority w:val="0"/>
    <w:pPr>
      <w:ind w:left="4320"/>
    </w:pPr>
    <w:rPr>
      <w:rFonts w:ascii="Times New Roman" w:hAnsi="Times New Roman" w:eastAsia="楷体_GB2312" w:cs="Times New Roman"/>
      <w:szCs w:val="20"/>
    </w:rPr>
  </w:style>
  <w:style w:type="paragraph" w:styleId="38">
    <w:name w:val="toc 1"/>
    <w:basedOn w:val="1"/>
    <w:next w:val="1"/>
    <w:autoRedefine/>
    <w:qFormat/>
    <w:uiPriority w:val="39"/>
    <w:pPr>
      <w:spacing w:before="120" w:after="120"/>
      <w:jc w:val="left"/>
    </w:pPr>
    <w:rPr>
      <w:rFonts w:ascii="Times New Roman" w:hAnsi="Times New Roman" w:eastAsia="宋体" w:cs="Times New Roman"/>
      <w:b/>
      <w:bCs/>
      <w:caps/>
      <w:sz w:val="20"/>
      <w:szCs w:val="20"/>
    </w:rPr>
  </w:style>
  <w:style w:type="paragraph" w:styleId="39">
    <w:name w:val="toc 4"/>
    <w:basedOn w:val="1"/>
    <w:next w:val="1"/>
    <w:autoRedefine/>
    <w:qFormat/>
    <w:uiPriority w:val="39"/>
    <w:pPr>
      <w:ind w:left="630"/>
      <w:jc w:val="left"/>
    </w:pPr>
    <w:rPr>
      <w:rFonts w:ascii="Times New Roman" w:hAnsi="Times New Roman" w:eastAsia="宋体" w:cs="Times New Roman"/>
      <w:sz w:val="18"/>
      <w:szCs w:val="18"/>
    </w:rPr>
  </w:style>
  <w:style w:type="paragraph" w:styleId="40">
    <w:name w:val="index heading"/>
    <w:basedOn w:val="1"/>
    <w:next w:val="41"/>
    <w:autoRedefine/>
    <w:qFormat/>
    <w:uiPriority w:val="0"/>
    <w:pPr>
      <w:adjustRightInd w:val="0"/>
      <w:spacing w:before="120" w:after="120" w:line="360" w:lineRule="auto"/>
      <w:jc w:val="left"/>
    </w:pPr>
    <w:rPr>
      <w:rFonts w:ascii="Times New Roman" w:hAnsi="Times New Roman" w:eastAsia="宋体" w:cs="Times New Roman"/>
      <w:b/>
      <w:bCs/>
      <w:i/>
      <w:iCs/>
      <w:kern w:val="0"/>
      <w:sz w:val="20"/>
      <w:szCs w:val="20"/>
    </w:rPr>
  </w:style>
  <w:style w:type="paragraph" w:styleId="41">
    <w:name w:val="index 1"/>
    <w:basedOn w:val="1"/>
    <w:next w:val="1"/>
    <w:autoRedefine/>
    <w:qFormat/>
    <w:uiPriority w:val="0"/>
    <w:rPr>
      <w:rFonts w:ascii="Times New Roman" w:hAnsi="Times New Roman" w:eastAsia="宋体" w:cs="Times New Roman"/>
      <w:szCs w:val="20"/>
    </w:rPr>
  </w:style>
  <w:style w:type="paragraph" w:styleId="42">
    <w:name w:val="footnote text"/>
    <w:basedOn w:val="1"/>
    <w:link w:val="522"/>
    <w:autoRedefine/>
    <w:unhideWhenUsed/>
    <w:qFormat/>
    <w:uiPriority w:val="99"/>
    <w:pPr>
      <w:snapToGrid w:val="0"/>
      <w:jc w:val="left"/>
    </w:pPr>
    <w:rPr>
      <w:rFonts w:ascii="Calibri" w:hAnsi="Calibri" w:eastAsia="宋体" w:cs="Times New Roman"/>
      <w:sz w:val="18"/>
      <w:szCs w:val="18"/>
    </w:rPr>
  </w:style>
  <w:style w:type="paragraph" w:styleId="43">
    <w:name w:val="toc 6"/>
    <w:basedOn w:val="1"/>
    <w:next w:val="1"/>
    <w:autoRedefine/>
    <w:qFormat/>
    <w:uiPriority w:val="39"/>
    <w:pPr>
      <w:ind w:left="1050"/>
      <w:jc w:val="left"/>
    </w:pPr>
    <w:rPr>
      <w:rFonts w:ascii="Times New Roman" w:hAnsi="Times New Roman" w:eastAsia="宋体" w:cs="Times New Roman"/>
      <w:sz w:val="18"/>
      <w:szCs w:val="18"/>
    </w:rPr>
  </w:style>
  <w:style w:type="paragraph" w:styleId="44">
    <w:name w:val="Body Text Indent 3"/>
    <w:basedOn w:val="1"/>
    <w:link w:val="159"/>
    <w:autoRedefine/>
    <w:qFormat/>
    <w:uiPriority w:val="0"/>
    <w:pPr>
      <w:spacing w:line="400" w:lineRule="atLeast"/>
      <w:ind w:firstLine="480" w:firstLineChars="200"/>
    </w:pPr>
    <w:rPr>
      <w:rFonts w:eastAsia="宋体"/>
      <w:bCs/>
      <w:sz w:val="24"/>
    </w:rPr>
  </w:style>
  <w:style w:type="paragraph" w:styleId="45">
    <w:name w:val="index 7"/>
    <w:basedOn w:val="1"/>
    <w:next w:val="1"/>
    <w:autoRedefine/>
    <w:qFormat/>
    <w:uiPriority w:val="0"/>
    <w:pPr>
      <w:adjustRightInd w:val="0"/>
      <w:spacing w:line="360" w:lineRule="auto"/>
      <w:ind w:left="1680" w:hanging="240"/>
      <w:jc w:val="left"/>
    </w:pPr>
    <w:rPr>
      <w:rFonts w:ascii="Times New Roman" w:hAnsi="Times New Roman" w:eastAsia="宋体" w:cs="Times New Roman"/>
      <w:kern w:val="0"/>
      <w:sz w:val="20"/>
      <w:szCs w:val="20"/>
    </w:rPr>
  </w:style>
  <w:style w:type="paragraph" w:styleId="46">
    <w:name w:val="index 9"/>
    <w:basedOn w:val="1"/>
    <w:next w:val="1"/>
    <w:autoRedefine/>
    <w:qFormat/>
    <w:uiPriority w:val="0"/>
    <w:pPr>
      <w:adjustRightInd w:val="0"/>
      <w:spacing w:line="360" w:lineRule="auto"/>
      <w:ind w:left="2160" w:hanging="240"/>
      <w:jc w:val="left"/>
    </w:pPr>
    <w:rPr>
      <w:rFonts w:ascii="Times New Roman" w:hAnsi="Times New Roman" w:eastAsia="宋体" w:cs="Times New Roman"/>
      <w:kern w:val="0"/>
      <w:sz w:val="20"/>
      <w:szCs w:val="20"/>
    </w:rPr>
  </w:style>
  <w:style w:type="paragraph" w:styleId="47">
    <w:name w:val="table of figures"/>
    <w:basedOn w:val="1"/>
    <w:next w:val="1"/>
    <w:autoRedefine/>
    <w:qFormat/>
    <w:uiPriority w:val="0"/>
    <w:pPr>
      <w:spacing w:line="360" w:lineRule="auto"/>
      <w:ind w:left="200" w:leftChars="200" w:hanging="200" w:hangingChars="200"/>
    </w:pPr>
    <w:rPr>
      <w:rFonts w:ascii="Times New Roman" w:hAnsi="Times New Roman" w:eastAsia="黑体" w:cs="Times New Roman"/>
      <w:sz w:val="20"/>
      <w:szCs w:val="24"/>
    </w:rPr>
  </w:style>
  <w:style w:type="paragraph" w:styleId="48">
    <w:name w:val="toc 2"/>
    <w:basedOn w:val="1"/>
    <w:next w:val="1"/>
    <w:autoRedefine/>
    <w:qFormat/>
    <w:uiPriority w:val="39"/>
    <w:pPr>
      <w:ind w:left="210"/>
      <w:jc w:val="left"/>
    </w:pPr>
    <w:rPr>
      <w:rFonts w:ascii="Times New Roman" w:hAnsi="Times New Roman" w:eastAsia="宋体" w:cs="Times New Roman"/>
      <w:smallCaps/>
      <w:sz w:val="20"/>
      <w:szCs w:val="20"/>
    </w:rPr>
  </w:style>
  <w:style w:type="paragraph" w:styleId="49">
    <w:name w:val="toc 9"/>
    <w:basedOn w:val="1"/>
    <w:next w:val="1"/>
    <w:autoRedefine/>
    <w:qFormat/>
    <w:uiPriority w:val="39"/>
    <w:pPr>
      <w:ind w:left="1680"/>
      <w:jc w:val="left"/>
    </w:pPr>
    <w:rPr>
      <w:rFonts w:ascii="Times New Roman" w:hAnsi="Times New Roman" w:eastAsia="宋体" w:cs="Times New Roman"/>
      <w:sz w:val="18"/>
      <w:szCs w:val="18"/>
    </w:rPr>
  </w:style>
  <w:style w:type="paragraph" w:styleId="50">
    <w:name w:val="Body Text 2"/>
    <w:basedOn w:val="1"/>
    <w:link w:val="228"/>
    <w:autoRedefine/>
    <w:qFormat/>
    <w:uiPriority w:val="0"/>
    <w:pPr>
      <w:adjustRightInd w:val="0"/>
      <w:snapToGrid w:val="0"/>
      <w:spacing w:line="120" w:lineRule="atLeast"/>
      <w:ind w:firstLine="200" w:firstLineChars="200"/>
    </w:pPr>
    <w:rPr>
      <w:rFonts w:ascii="Times New Roman" w:hAnsi="Times New Roman" w:eastAsia="宋体" w:cs="Times New Roman"/>
      <w:color w:val="000000"/>
      <w:sz w:val="24"/>
      <w:szCs w:val="24"/>
    </w:rPr>
  </w:style>
  <w:style w:type="paragraph" w:styleId="51">
    <w:name w:val="HTML Preformatted"/>
    <w:basedOn w:val="1"/>
    <w:link w:val="2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2">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53">
    <w:name w:val="index 2"/>
    <w:basedOn w:val="1"/>
    <w:next w:val="1"/>
    <w:autoRedefine/>
    <w:qFormat/>
    <w:uiPriority w:val="0"/>
    <w:pPr>
      <w:adjustRightInd w:val="0"/>
      <w:spacing w:line="360" w:lineRule="auto"/>
      <w:ind w:left="480" w:hanging="240"/>
      <w:jc w:val="left"/>
    </w:pPr>
    <w:rPr>
      <w:rFonts w:ascii="Times New Roman" w:hAnsi="Times New Roman" w:eastAsia="宋体" w:cs="Times New Roman"/>
      <w:kern w:val="0"/>
      <w:sz w:val="20"/>
      <w:szCs w:val="20"/>
    </w:rPr>
  </w:style>
  <w:style w:type="paragraph" w:styleId="54">
    <w:name w:val="Title"/>
    <w:basedOn w:val="1"/>
    <w:link w:val="222"/>
    <w:autoRedefine/>
    <w:qFormat/>
    <w:uiPriority w:val="0"/>
    <w:pPr>
      <w:spacing w:before="240" w:after="60"/>
      <w:jc w:val="center"/>
      <w:outlineLvl w:val="0"/>
    </w:pPr>
    <w:rPr>
      <w:rFonts w:ascii="Arial" w:hAnsi="Arial" w:eastAsia="宋体" w:cs="Arial"/>
      <w:b/>
      <w:bCs/>
      <w:sz w:val="32"/>
      <w:szCs w:val="32"/>
    </w:rPr>
  </w:style>
  <w:style w:type="paragraph" w:styleId="55">
    <w:name w:val="annotation subject"/>
    <w:basedOn w:val="21"/>
    <w:next w:val="21"/>
    <w:link w:val="218"/>
    <w:autoRedefine/>
    <w:qFormat/>
    <w:uiPriority w:val="0"/>
    <w:pPr>
      <w:spacing w:line="360" w:lineRule="auto"/>
      <w:ind w:firstLine="200" w:firstLineChars="200"/>
    </w:pPr>
    <w:rPr>
      <w:rFonts w:ascii="Times New Roman" w:hAnsi="Times New Roman" w:eastAsia="宋体" w:cs="Times New Roman"/>
      <w:b/>
      <w:bCs/>
      <w:sz w:val="24"/>
      <w:szCs w:val="24"/>
    </w:rPr>
  </w:style>
  <w:style w:type="paragraph" w:styleId="56">
    <w:name w:val="Body Text First Indent"/>
    <w:basedOn w:val="2"/>
    <w:link w:val="221"/>
    <w:autoRedefine/>
    <w:qFormat/>
    <w:uiPriority w:val="0"/>
    <w:pPr>
      <w:autoSpaceDE w:val="0"/>
      <w:autoSpaceDN w:val="0"/>
      <w:adjustRightInd w:val="0"/>
      <w:spacing w:line="360" w:lineRule="auto"/>
      <w:ind w:firstLine="420" w:firstLineChars="200"/>
      <w:jc w:val="left"/>
      <w:textAlignment w:val="baseline"/>
    </w:pPr>
    <w:rPr>
      <w:rFonts w:ascii="宋体" w:hAnsi="Times New Roman" w:eastAsia="宋体" w:cs="Times New Roman"/>
      <w:kern w:val="0"/>
      <w:sz w:val="34"/>
      <w:szCs w:val="20"/>
    </w:rPr>
  </w:style>
  <w:style w:type="paragraph" w:styleId="57">
    <w:name w:val="Body Text First Indent 2"/>
    <w:basedOn w:val="23"/>
    <w:link w:val="201"/>
    <w:autoRedefine/>
    <w:qFormat/>
    <w:uiPriority w:val="0"/>
    <w:pPr>
      <w:ind w:firstLine="420" w:firstLineChars="200"/>
    </w:pPr>
    <w:rPr>
      <w:rFonts w:ascii="Times New Roman" w:hAnsi="Times New Roman" w:eastAsia="宋体" w:cs="Times New Roman"/>
      <w:szCs w:val="24"/>
    </w:rPr>
  </w:style>
  <w:style w:type="table" w:styleId="59">
    <w:name w:val="Table Grid"/>
    <w:basedOn w:val="5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bCs/>
    </w:rPr>
  </w:style>
  <w:style w:type="character" w:styleId="62">
    <w:name w:val="page number"/>
    <w:basedOn w:val="60"/>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color w:val="C60A00"/>
    </w:rPr>
  </w:style>
  <w:style w:type="character" w:styleId="65">
    <w:name w:val="HTML Definition"/>
    <w:basedOn w:val="60"/>
    <w:autoRedefine/>
    <w:semiHidden/>
    <w:unhideWhenUsed/>
    <w:qFormat/>
    <w:uiPriority w:val="99"/>
  </w:style>
  <w:style w:type="character" w:styleId="66">
    <w:name w:val="HTML Typewriter"/>
    <w:basedOn w:val="60"/>
    <w:autoRedefine/>
    <w:semiHidden/>
    <w:unhideWhenUsed/>
    <w:qFormat/>
    <w:uiPriority w:val="99"/>
    <w:rPr>
      <w:rFonts w:hint="default" w:ascii="monospace" w:hAnsi="monospace" w:eastAsia="monospace" w:cs="monospace"/>
      <w:sz w:val="20"/>
    </w:rPr>
  </w:style>
  <w:style w:type="character" w:styleId="67">
    <w:name w:val="HTML Acronym"/>
    <w:basedOn w:val="60"/>
    <w:autoRedefine/>
    <w:semiHidden/>
    <w:unhideWhenUsed/>
    <w:qFormat/>
    <w:uiPriority w:val="99"/>
  </w:style>
  <w:style w:type="character" w:styleId="68">
    <w:name w:val="HTML Variable"/>
    <w:basedOn w:val="60"/>
    <w:autoRedefine/>
    <w:semiHidden/>
    <w:unhideWhenUsed/>
    <w:qFormat/>
    <w:uiPriority w:val="99"/>
  </w:style>
  <w:style w:type="character" w:styleId="69">
    <w:name w:val="Hyperlink"/>
    <w:autoRedefine/>
    <w:qFormat/>
    <w:uiPriority w:val="99"/>
    <w:rPr>
      <w:color w:val="0000FF"/>
      <w:u w:val="single"/>
    </w:rPr>
  </w:style>
  <w:style w:type="character" w:styleId="70">
    <w:name w:val="HTML Code"/>
    <w:basedOn w:val="60"/>
    <w:semiHidden/>
    <w:unhideWhenUsed/>
    <w:qFormat/>
    <w:uiPriority w:val="99"/>
    <w:rPr>
      <w:rFonts w:ascii="monospace" w:hAnsi="monospace" w:eastAsia="monospace" w:cs="monospace"/>
      <w:sz w:val="20"/>
    </w:rPr>
  </w:style>
  <w:style w:type="character" w:styleId="71">
    <w:name w:val="annotation reference"/>
    <w:qFormat/>
    <w:uiPriority w:val="0"/>
    <w:rPr>
      <w:sz w:val="21"/>
      <w:szCs w:val="21"/>
    </w:rPr>
  </w:style>
  <w:style w:type="character" w:styleId="72">
    <w:name w:val="HTML Cite"/>
    <w:basedOn w:val="60"/>
    <w:semiHidden/>
    <w:unhideWhenUsed/>
    <w:qFormat/>
    <w:uiPriority w:val="99"/>
  </w:style>
  <w:style w:type="character" w:styleId="73">
    <w:name w:val="footnote reference"/>
    <w:unhideWhenUsed/>
    <w:qFormat/>
    <w:uiPriority w:val="99"/>
    <w:rPr>
      <w:vertAlign w:val="superscript"/>
    </w:rPr>
  </w:style>
  <w:style w:type="character" w:styleId="74">
    <w:name w:val="HTML Keyboard"/>
    <w:basedOn w:val="60"/>
    <w:semiHidden/>
    <w:unhideWhenUsed/>
    <w:qFormat/>
    <w:uiPriority w:val="99"/>
    <w:rPr>
      <w:rFonts w:hint="default" w:ascii="monospace" w:hAnsi="monospace" w:eastAsia="monospace" w:cs="monospace"/>
      <w:sz w:val="20"/>
    </w:rPr>
  </w:style>
  <w:style w:type="character" w:styleId="75">
    <w:name w:val="HTML Sample"/>
    <w:basedOn w:val="60"/>
    <w:semiHidden/>
    <w:unhideWhenUsed/>
    <w:qFormat/>
    <w:uiPriority w:val="99"/>
    <w:rPr>
      <w:rFonts w:hint="default" w:ascii="monospace" w:hAnsi="monospace" w:eastAsia="monospace" w:cs="monospace"/>
    </w:rPr>
  </w:style>
  <w:style w:type="paragraph" w:customStyle="1" w:styleId="7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7">
    <w:name w:val="标题 1 字符"/>
    <w:basedOn w:val="60"/>
    <w:link w:val="3"/>
    <w:qFormat/>
    <w:uiPriority w:val="0"/>
    <w:rPr>
      <w:rFonts w:ascii="隶书" w:hAnsi="Times New Roman" w:eastAsia="隶书" w:cs="Times New Roman"/>
      <w:b/>
      <w:sz w:val="52"/>
      <w:szCs w:val="20"/>
    </w:rPr>
  </w:style>
  <w:style w:type="character" w:customStyle="1" w:styleId="78">
    <w:name w:val="标题 2 字符"/>
    <w:basedOn w:val="60"/>
    <w:link w:val="4"/>
    <w:autoRedefine/>
    <w:qFormat/>
    <w:uiPriority w:val="0"/>
    <w:rPr>
      <w:rFonts w:ascii="Arial" w:hAnsi="Arial" w:eastAsia="黑体" w:cs="Times New Roman"/>
      <w:b/>
      <w:bCs/>
      <w:sz w:val="32"/>
      <w:szCs w:val="32"/>
    </w:rPr>
  </w:style>
  <w:style w:type="character" w:customStyle="1" w:styleId="79">
    <w:name w:val="标题 3 字符"/>
    <w:basedOn w:val="60"/>
    <w:link w:val="5"/>
    <w:qFormat/>
    <w:uiPriority w:val="0"/>
    <w:rPr>
      <w:rFonts w:ascii="Times New Roman" w:hAnsi="Times New Roman" w:eastAsia="宋体" w:cs="Times New Roman"/>
      <w:b/>
      <w:bCs/>
      <w:sz w:val="24"/>
      <w:szCs w:val="24"/>
    </w:rPr>
  </w:style>
  <w:style w:type="character" w:customStyle="1" w:styleId="80">
    <w:name w:val="标题 4 Char"/>
    <w:basedOn w:val="60"/>
    <w:qFormat/>
    <w:uiPriority w:val="0"/>
    <w:rPr>
      <w:rFonts w:asciiTheme="majorHAnsi" w:hAnsiTheme="majorHAnsi" w:eastAsiaTheme="majorEastAsia" w:cstheme="majorBidi"/>
      <w:b/>
      <w:bCs/>
      <w:sz w:val="28"/>
      <w:szCs w:val="28"/>
    </w:rPr>
  </w:style>
  <w:style w:type="character" w:customStyle="1" w:styleId="81">
    <w:name w:val="标题 5 字符"/>
    <w:basedOn w:val="60"/>
    <w:link w:val="8"/>
    <w:qFormat/>
    <w:uiPriority w:val="0"/>
    <w:rPr>
      <w:rFonts w:ascii="Times New Roman" w:hAnsi="Times New Roman" w:eastAsia="宋体" w:cs="Times New Roman"/>
      <w:b/>
      <w:bCs/>
      <w:sz w:val="28"/>
      <w:szCs w:val="28"/>
    </w:rPr>
  </w:style>
  <w:style w:type="character" w:customStyle="1" w:styleId="82">
    <w:name w:val="标题 6 字符"/>
    <w:basedOn w:val="60"/>
    <w:link w:val="9"/>
    <w:qFormat/>
    <w:uiPriority w:val="0"/>
    <w:rPr>
      <w:rFonts w:ascii="Times New Roman" w:hAnsi="Times New Roman" w:eastAsia="仿宋_GB2312" w:cs="Times New Roman"/>
      <w:b/>
      <w:kern w:val="0"/>
      <w:sz w:val="26"/>
      <w:szCs w:val="26"/>
    </w:rPr>
  </w:style>
  <w:style w:type="character" w:customStyle="1" w:styleId="83">
    <w:name w:val="标题 7 字符"/>
    <w:basedOn w:val="60"/>
    <w:link w:val="10"/>
    <w:qFormat/>
    <w:uiPriority w:val="0"/>
    <w:rPr>
      <w:rFonts w:ascii="Arial" w:hAnsi="Arial" w:eastAsia="宋体" w:cs="Times New Roman"/>
      <w:b/>
      <w:kern w:val="0"/>
      <w:sz w:val="24"/>
      <w:szCs w:val="20"/>
    </w:rPr>
  </w:style>
  <w:style w:type="character" w:customStyle="1" w:styleId="84">
    <w:name w:val="标题 8 字符"/>
    <w:basedOn w:val="60"/>
    <w:link w:val="11"/>
    <w:qFormat/>
    <w:uiPriority w:val="0"/>
    <w:rPr>
      <w:rFonts w:ascii="Arial" w:hAnsi="Arial" w:eastAsia="宋体" w:cs="Times New Roman"/>
      <w:kern w:val="0"/>
      <w:szCs w:val="20"/>
    </w:rPr>
  </w:style>
  <w:style w:type="character" w:customStyle="1" w:styleId="85">
    <w:name w:val="标题 9 字符"/>
    <w:basedOn w:val="60"/>
    <w:link w:val="12"/>
    <w:qFormat/>
    <w:uiPriority w:val="0"/>
    <w:rPr>
      <w:rFonts w:ascii="Arial" w:hAnsi="Arial" w:eastAsia="宋体" w:cs="Times New Roman"/>
      <w:kern w:val="0"/>
      <w:szCs w:val="20"/>
    </w:rPr>
  </w:style>
  <w:style w:type="character" w:customStyle="1" w:styleId="86">
    <w:name w:val="Heading 1 Char"/>
    <w:qFormat/>
    <w:locked/>
    <w:uiPriority w:val="0"/>
    <w:rPr>
      <w:rFonts w:eastAsia="宋体"/>
      <w:b/>
      <w:bCs/>
      <w:kern w:val="44"/>
      <w:sz w:val="44"/>
      <w:szCs w:val="44"/>
      <w:lang w:val="en-US" w:eastAsia="zh-CN" w:bidi="ar-SA"/>
    </w:rPr>
  </w:style>
  <w:style w:type="character" w:customStyle="1" w:styleId="87">
    <w:name w:val="Char Char13"/>
    <w:qFormat/>
    <w:uiPriority w:val="0"/>
    <w:rPr>
      <w:rFonts w:eastAsia="宋体"/>
      <w:b/>
      <w:bCs/>
      <w:kern w:val="2"/>
      <w:sz w:val="28"/>
      <w:szCs w:val="28"/>
      <w:lang w:val="en-US" w:eastAsia="zh-CN" w:bidi="ar-SA"/>
    </w:rPr>
  </w:style>
  <w:style w:type="character" w:customStyle="1" w:styleId="88">
    <w:name w:val="题注 字符"/>
    <w:link w:val="16"/>
    <w:qFormat/>
    <w:uiPriority w:val="0"/>
    <w:rPr>
      <w:rFonts w:ascii="Arial" w:hAnsi="Arial" w:eastAsia="黑体" w:cs="Arial"/>
    </w:rPr>
  </w:style>
  <w:style w:type="character" w:customStyle="1" w:styleId="89">
    <w:name w:val="ca-3"/>
    <w:basedOn w:val="60"/>
    <w:autoRedefine/>
    <w:qFormat/>
    <w:uiPriority w:val="0"/>
  </w:style>
  <w:style w:type="character" w:customStyle="1" w:styleId="90">
    <w:name w:val="样式 标题 3Heading 3 - oldHeading 3H3l3CTBOD 03h33rd level...2 Char Char"/>
    <w:link w:val="91"/>
    <w:autoRedefine/>
    <w:qFormat/>
    <w:uiPriority w:val="0"/>
    <w:rPr>
      <w:rFonts w:ascii="宋体" w:hAnsi="宋体" w:eastAsia="宋体"/>
      <w:b/>
      <w:bCs/>
      <w:sz w:val="24"/>
      <w:szCs w:val="32"/>
    </w:rPr>
  </w:style>
  <w:style w:type="paragraph" w:customStyle="1" w:styleId="91">
    <w:name w:val="样式 标题 3Heading 3 - oldHeading 3H3l3CTBOD 03h33rd level...2"/>
    <w:basedOn w:val="5"/>
    <w:link w:val="90"/>
    <w:qFormat/>
    <w:uiPriority w:val="0"/>
    <w:pPr>
      <w:keepNext/>
      <w:keepLines/>
      <w:tabs>
        <w:tab w:val="left" w:pos="459"/>
      </w:tabs>
      <w:spacing w:after="120" w:line="360" w:lineRule="auto"/>
    </w:pPr>
    <w:rPr>
      <w:rFonts w:ascii="宋体" w:hAnsi="宋体" w:cstheme="minorBidi"/>
      <w:szCs w:val="32"/>
    </w:rPr>
  </w:style>
  <w:style w:type="character" w:customStyle="1" w:styleId="92">
    <w:name w:val="Header Char"/>
    <w:semiHidden/>
    <w:qFormat/>
    <w:locked/>
    <w:uiPriority w:val="0"/>
    <w:rPr>
      <w:rFonts w:ascii="Calibri" w:hAnsi="Calibri" w:eastAsia="宋体"/>
      <w:kern w:val="2"/>
      <w:sz w:val="18"/>
      <w:szCs w:val="18"/>
      <w:lang w:val="en-US" w:eastAsia="zh-CN" w:bidi="ar-SA"/>
    </w:rPr>
  </w:style>
  <w:style w:type="character" w:customStyle="1" w:styleId="93">
    <w:name w:val="正文1 Char Char"/>
    <w:link w:val="94"/>
    <w:qFormat/>
    <w:uiPriority w:val="0"/>
    <w:rPr>
      <w:rFonts w:ascii="宋体" w:hAnsi="宋体" w:eastAsia="宋体"/>
      <w:sz w:val="24"/>
      <w:szCs w:val="24"/>
    </w:rPr>
  </w:style>
  <w:style w:type="paragraph" w:customStyle="1" w:styleId="94">
    <w:name w:val="正文1"/>
    <w:basedOn w:val="1"/>
    <w:link w:val="93"/>
    <w:qFormat/>
    <w:uiPriority w:val="0"/>
    <w:pPr>
      <w:spacing w:line="360" w:lineRule="auto"/>
      <w:ind w:left="350" w:leftChars="350"/>
    </w:pPr>
    <w:rPr>
      <w:rFonts w:ascii="宋体" w:hAnsi="宋体" w:eastAsia="宋体"/>
      <w:sz w:val="24"/>
      <w:szCs w:val="24"/>
    </w:rPr>
  </w:style>
  <w:style w:type="character" w:customStyle="1" w:styleId="95">
    <w:name w:val="Char Char7"/>
    <w:autoRedefine/>
    <w:qFormat/>
    <w:uiPriority w:val="0"/>
    <w:rPr>
      <w:rFonts w:ascii="宋体" w:hAnsi="宋体" w:eastAsia="宋体"/>
      <w:kern w:val="2"/>
      <w:sz w:val="18"/>
      <w:szCs w:val="18"/>
      <w:lang w:val="en-US" w:eastAsia="zh-CN" w:bidi="ar-SA"/>
    </w:rPr>
  </w:style>
  <w:style w:type="character" w:customStyle="1" w:styleId="96">
    <w:name w:val="Char Char16"/>
    <w:autoRedefine/>
    <w:qFormat/>
    <w:uiPriority w:val="0"/>
    <w:rPr>
      <w:rFonts w:ascii="隶书" w:eastAsia="隶书"/>
      <w:b/>
      <w:kern w:val="2"/>
      <w:sz w:val="52"/>
      <w:szCs w:val="24"/>
      <w:lang w:val="en-US" w:eastAsia="zh-CN" w:bidi="ar-SA"/>
    </w:rPr>
  </w:style>
  <w:style w:type="character" w:customStyle="1" w:styleId="97">
    <w:name w:val="图表题头 Char Char"/>
    <w:link w:val="98"/>
    <w:autoRedefine/>
    <w:qFormat/>
    <w:uiPriority w:val="0"/>
    <w:rPr>
      <w:rFonts w:ascii="宋体" w:hAnsi="宋体" w:eastAsia="宋体" w:cs="宋体"/>
      <w:b/>
      <w:bCs/>
      <w:szCs w:val="24"/>
    </w:rPr>
  </w:style>
  <w:style w:type="paragraph" w:customStyle="1" w:styleId="98">
    <w:name w:val="图表题头"/>
    <w:basedOn w:val="1"/>
    <w:next w:val="1"/>
    <w:link w:val="97"/>
    <w:autoRedefine/>
    <w:qFormat/>
    <w:uiPriority w:val="0"/>
    <w:pPr>
      <w:tabs>
        <w:tab w:val="left" w:pos="480"/>
      </w:tabs>
      <w:spacing w:before="120" w:after="120"/>
      <w:jc w:val="center"/>
    </w:pPr>
    <w:rPr>
      <w:rFonts w:ascii="宋体" w:hAnsi="宋体" w:eastAsia="宋体" w:cs="宋体"/>
      <w:b/>
      <w:bCs/>
      <w:szCs w:val="24"/>
    </w:rPr>
  </w:style>
  <w:style w:type="character" w:customStyle="1" w:styleId="99">
    <w:name w:val="arc11"/>
    <w:autoRedefine/>
    <w:qFormat/>
    <w:uiPriority w:val="0"/>
    <w:rPr>
      <w:rFonts w:hint="default"/>
      <w:color w:val="333333"/>
      <w:sz w:val="24"/>
      <w:szCs w:val="24"/>
    </w:rPr>
  </w:style>
  <w:style w:type="character" w:customStyle="1" w:styleId="100">
    <w:name w:val="表正文 Char"/>
    <w:autoRedefine/>
    <w:qFormat/>
    <w:uiPriority w:val="0"/>
    <w:rPr>
      <w:rFonts w:eastAsia="宋体"/>
      <w:kern w:val="2"/>
      <w:sz w:val="21"/>
      <w:szCs w:val="24"/>
      <w:lang w:val="en-US" w:eastAsia="zh-CN" w:bidi="ar-SA"/>
    </w:rPr>
  </w:style>
  <w:style w:type="character" w:customStyle="1" w:styleId="101">
    <w:name w:val="小标题 Char Char"/>
    <w:link w:val="102"/>
    <w:autoRedefine/>
    <w:qFormat/>
    <w:uiPriority w:val="0"/>
    <w:rPr>
      <w:sz w:val="24"/>
      <w:szCs w:val="24"/>
    </w:rPr>
  </w:style>
  <w:style w:type="paragraph" w:customStyle="1" w:styleId="102">
    <w:name w:val="小标题"/>
    <w:basedOn w:val="1"/>
    <w:next w:val="1"/>
    <w:link w:val="101"/>
    <w:autoRedefine/>
    <w:qFormat/>
    <w:uiPriority w:val="0"/>
    <w:pPr>
      <w:numPr>
        <w:ilvl w:val="0"/>
        <w:numId w:val="2"/>
      </w:numPr>
      <w:spacing w:line="360" w:lineRule="auto"/>
      <w:ind w:firstLine="480" w:firstLineChars="200"/>
    </w:pPr>
    <w:rPr>
      <w:sz w:val="24"/>
      <w:szCs w:val="24"/>
    </w:rPr>
  </w:style>
  <w:style w:type="character" w:customStyle="1" w:styleId="103">
    <w:name w:val="标题 4 字符"/>
    <w:link w:val="6"/>
    <w:autoRedefine/>
    <w:qFormat/>
    <w:uiPriority w:val="0"/>
    <w:rPr>
      <w:rFonts w:ascii="仿宋_GB2312" w:hAnsi="Arial" w:eastAsia="仿宋_GB2312" w:cs="Times New Roman"/>
      <w:b/>
      <w:sz w:val="26"/>
      <w:szCs w:val="26"/>
    </w:rPr>
  </w:style>
  <w:style w:type="character" w:customStyle="1" w:styleId="104">
    <w:name w:val="正文（缩进） Char Char1"/>
    <w:autoRedefine/>
    <w:qFormat/>
    <w:uiPriority w:val="0"/>
    <w:rPr>
      <w:rFonts w:eastAsia="宋体"/>
      <w:kern w:val="2"/>
      <w:sz w:val="24"/>
      <w:szCs w:val="24"/>
      <w:lang w:val="en-US" w:eastAsia="zh-CN" w:bidi="ar-SA"/>
    </w:rPr>
  </w:style>
  <w:style w:type="character" w:customStyle="1" w:styleId="105">
    <w:name w:val="题注 Char Char"/>
    <w:autoRedefine/>
    <w:qFormat/>
    <w:uiPriority w:val="0"/>
    <w:rPr>
      <w:rFonts w:hint="default" w:ascii="Arial" w:hAnsi="Arial" w:eastAsia="黑体" w:cs="Arial"/>
      <w:kern w:val="2"/>
      <w:lang w:val="en-US" w:eastAsia="zh-CN" w:bidi="ar-SA"/>
    </w:rPr>
  </w:style>
  <w:style w:type="character" w:customStyle="1" w:styleId="106">
    <w:name w:val="Table Text Char1"/>
    <w:autoRedefine/>
    <w:qFormat/>
    <w:uiPriority w:val="0"/>
    <w:rPr>
      <w:rFonts w:ascii="Arial" w:hAnsi="Arial" w:eastAsia="宋体" w:cs="Arial"/>
      <w:sz w:val="18"/>
      <w:lang w:val="en-US" w:eastAsia="zh-CN" w:bidi="ar-SA"/>
    </w:rPr>
  </w:style>
  <w:style w:type="character" w:customStyle="1" w:styleId="107">
    <w:name w:val="普通文字 Char Char Char"/>
    <w:autoRedefine/>
    <w:qFormat/>
    <w:uiPriority w:val="0"/>
    <w:rPr>
      <w:rFonts w:ascii="宋体" w:hAnsi="Courier New" w:eastAsia="宋体"/>
      <w:kern w:val="2"/>
      <w:sz w:val="21"/>
      <w:lang w:val="en-US" w:eastAsia="zh-CN" w:bidi="ar-SA"/>
    </w:rPr>
  </w:style>
  <w:style w:type="character" w:customStyle="1" w:styleId="108">
    <w:name w:val="普通文字 Char Char Char Char Char Char Char Char Char Char Char"/>
    <w:autoRedefine/>
    <w:qFormat/>
    <w:uiPriority w:val="0"/>
    <w:rPr>
      <w:rFonts w:ascii="宋体" w:hAnsi="Courier New" w:eastAsia="宋体"/>
      <w:kern w:val="2"/>
      <w:sz w:val="21"/>
      <w:lang w:val="en-US" w:eastAsia="zh-CN" w:bidi="ar-SA"/>
    </w:rPr>
  </w:style>
  <w:style w:type="character" w:customStyle="1" w:styleId="109">
    <w:name w:val="Table Text Char Char"/>
    <w:autoRedefine/>
    <w:qFormat/>
    <w:uiPriority w:val="0"/>
    <w:rPr>
      <w:rFonts w:ascii="Arial" w:hAnsi="Arial" w:eastAsia="宋体" w:cs="Arial"/>
      <w:sz w:val="18"/>
      <w:lang w:val="en-US" w:eastAsia="zh-CN" w:bidi="ar-SA"/>
    </w:rPr>
  </w:style>
  <w:style w:type="character" w:customStyle="1" w:styleId="110">
    <w:name w:val="正文（缩进） Char1"/>
    <w:link w:val="111"/>
    <w:autoRedefine/>
    <w:qFormat/>
    <w:uiPriority w:val="0"/>
    <w:rPr>
      <w:rFonts w:eastAsia="宋体"/>
      <w:sz w:val="24"/>
      <w:szCs w:val="24"/>
    </w:rPr>
  </w:style>
  <w:style w:type="paragraph" w:customStyle="1" w:styleId="111">
    <w:name w:val="正文（缩进）"/>
    <w:basedOn w:val="1"/>
    <w:link w:val="110"/>
    <w:autoRedefine/>
    <w:qFormat/>
    <w:uiPriority w:val="0"/>
    <w:pPr>
      <w:spacing w:before="156" w:beforeLines="50" w:after="156" w:afterLines="50" w:line="360" w:lineRule="auto"/>
      <w:ind w:firstLine="480" w:firstLineChars="200"/>
    </w:pPr>
    <w:rPr>
      <w:rFonts w:eastAsia="宋体"/>
      <w:sz w:val="24"/>
      <w:szCs w:val="24"/>
    </w:rPr>
  </w:style>
  <w:style w:type="character" w:customStyle="1" w:styleId="112">
    <w:name w:val="表内文字 Char Char"/>
    <w:link w:val="113"/>
    <w:autoRedefine/>
    <w:qFormat/>
    <w:uiPriority w:val="0"/>
    <w:rPr>
      <w:rFonts w:ascii="宋体" w:hAnsi="宋体"/>
    </w:rPr>
  </w:style>
  <w:style w:type="paragraph" w:customStyle="1" w:styleId="113">
    <w:name w:val="表内文字"/>
    <w:link w:val="112"/>
    <w:autoRedefine/>
    <w:qFormat/>
    <w:uiPriority w:val="0"/>
    <w:rPr>
      <w:rFonts w:ascii="宋体" w:hAnsi="宋体" w:eastAsiaTheme="minorEastAsia" w:cstheme="minorBidi"/>
      <w:kern w:val="2"/>
      <w:sz w:val="21"/>
      <w:szCs w:val="22"/>
      <w:lang w:val="en-US" w:eastAsia="zh-CN" w:bidi="ar-SA"/>
    </w:rPr>
  </w:style>
  <w:style w:type="character" w:customStyle="1" w:styleId="114">
    <w:name w:val="zzz1"/>
    <w:autoRedefine/>
    <w:qFormat/>
    <w:uiPriority w:val="0"/>
    <w:rPr>
      <w:color w:val="333333"/>
      <w:sz w:val="18"/>
      <w:szCs w:val="18"/>
    </w:rPr>
  </w:style>
  <w:style w:type="character" w:customStyle="1" w:styleId="115">
    <w:name w:val="p14"/>
    <w:basedOn w:val="60"/>
    <w:autoRedefine/>
    <w:qFormat/>
    <w:uiPriority w:val="0"/>
  </w:style>
  <w:style w:type="character" w:customStyle="1" w:styleId="116">
    <w:name w:val="方框标题 Char Char"/>
    <w:link w:val="117"/>
    <w:autoRedefine/>
    <w:qFormat/>
    <w:uiPriority w:val="0"/>
    <w:rPr>
      <w:rFonts w:eastAsia="黑体"/>
      <w:szCs w:val="24"/>
    </w:rPr>
  </w:style>
  <w:style w:type="paragraph" w:customStyle="1" w:styleId="117">
    <w:name w:val="方框标题"/>
    <w:basedOn w:val="1"/>
    <w:next w:val="1"/>
    <w:link w:val="116"/>
    <w:autoRedefine/>
    <w:qFormat/>
    <w:uiPriority w:val="0"/>
    <w:pPr>
      <w:numPr>
        <w:ilvl w:val="0"/>
        <w:numId w:val="3"/>
      </w:numPr>
      <w:tabs>
        <w:tab w:val="left" w:pos="420"/>
      </w:tabs>
      <w:autoSpaceDE w:val="0"/>
      <w:autoSpaceDN w:val="0"/>
      <w:spacing w:line="360" w:lineRule="auto"/>
      <w:ind w:firstLine="0"/>
    </w:pPr>
    <w:rPr>
      <w:rFonts w:eastAsia="黑体"/>
      <w:szCs w:val="24"/>
    </w:rPr>
  </w:style>
  <w:style w:type="character" w:customStyle="1" w:styleId="118">
    <w:name w:val="加点正文缩进 Char Char"/>
    <w:link w:val="119"/>
    <w:autoRedefine/>
    <w:qFormat/>
    <w:uiPriority w:val="0"/>
    <w:rPr>
      <w:sz w:val="24"/>
      <w:szCs w:val="24"/>
    </w:rPr>
  </w:style>
  <w:style w:type="paragraph" w:customStyle="1" w:styleId="119">
    <w:name w:val="加点正文缩进"/>
    <w:basedOn w:val="1"/>
    <w:link w:val="118"/>
    <w:autoRedefine/>
    <w:qFormat/>
    <w:uiPriority w:val="0"/>
    <w:pPr>
      <w:numPr>
        <w:ilvl w:val="0"/>
        <w:numId w:val="4"/>
      </w:numPr>
      <w:tabs>
        <w:tab w:val="left" w:pos="1259"/>
      </w:tabs>
      <w:spacing w:line="300" w:lineRule="auto"/>
    </w:pPr>
    <w:rPr>
      <w:sz w:val="24"/>
      <w:szCs w:val="24"/>
    </w:rPr>
  </w:style>
  <w:style w:type="character" w:customStyle="1" w:styleId="120">
    <w:name w:val="样式 题注 + 宋体 小四 Char Char"/>
    <w:link w:val="121"/>
    <w:autoRedefine/>
    <w:qFormat/>
    <w:uiPriority w:val="0"/>
    <w:rPr>
      <w:rFonts w:ascii="宋体" w:hAnsi="宋体" w:eastAsia="宋体" w:cs="Arial"/>
      <w:sz w:val="24"/>
      <w:szCs w:val="24"/>
    </w:rPr>
  </w:style>
  <w:style w:type="paragraph" w:customStyle="1" w:styleId="121">
    <w:name w:val="样式 题注 + 宋体 小四"/>
    <w:basedOn w:val="16"/>
    <w:link w:val="120"/>
    <w:autoRedefine/>
    <w:qFormat/>
    <w:uiPriority w:val="0"/>
    <w:pPr>
      <w:spacing w:line="360" w:lineRule="auto"/>
      <w:ind w:firstLine="200" w:firstLineChars="200"/>
    </w:pPr>
    <w:rPr>
      <w:rFonts w:ascii="宋体" w:hAnsi="宋体" w:eastAsia="宋体"/>
      <w:sz w:val="24"/>
      <w:szCs w:val="24"/>
    </w:rPr>
  </w:style>
  <w:style w:type="character" w:customStyle="1" w:styleId="122">
    <w:name w:val="t11"/>
    <w:autoRedefine/>
    <w:qFormat/>
    <w:uiPriority w:val="0"/>
    <w:rPr>
      <w:b/>
      <w:bCs/>
      <w:sz w:val="18"/>
      <w:szCs w:val="18"/>
      <w:shd w:val="clear" w:color="auto" w:fill="FFFFFF"/>
    </w:rPr>
  </w:style>
  <w:style w:type="character" w:customStyle="1" w:styleId="123">
    <w:name w:val="pt9-hui-line201"/>
    <w:autoRedefine/>
    <w:qFormat/>
    <w:uiPriority w:val="0"/>
    <w:rPr>
      <w:color w:val="333333"/>
      <w:spacing w:val="300"/>
      <w:sz w:val="18"/>
      <w:szCs w:val="18"/>
      <w:u w:val="none"/>
    </w:rPr>
  </w:style>
  <w:style w:type="character" w:customStyle="1" w:styleId="124">
    <w:name w:val="Char Char14"/>
    <w:autoRedefine/>
    <w:qFormat/>
    <w:uiPriority w:val="0"/>
    <w:rPr>
      <w:rFonts w:ascii="仿宋_GB2312" w:hAnsi="Arial" w:eastAsia="仿宋_GB2312"/>
      <w:b/>
      <w:kern w:val="2"/>
      <w:sz w:val="26"/>
      <w:szCs w:val="26"/>
      <w:lang w:val="en-US" w:eastAsia="zh-CN" w:bidi="ar-SA"/>
    </w:rPr>
  </w:style>
  <w:style w:type="character" w:customStyle="1" w:styleId="125">
    <w:name w:val="unnamed21"/>
    <w:autoRedefine/>
    <w:qFormat/>
    <w:uiPriority w:val="0"/>
    <w:rPr>
      <w:rFonts w:ascii="Tahoma" w:hAnsi="Tahoma" w:eastAsia="宋体"/>
      <w:color w:val="CC6633"/>
      <w:kern w:val="2"/>
      <w:sz w:val="24"/>
      <w:u w:val="none"/>
      <w:lang w:val="en-US" w:eastAsia="zh-CN" w:bidi="ar-SA"/>
    </w:rPr>
  </w:style>
  <w:style w:type="character" w:customStyle="1" w:styleId="126">
    <w:name w:val="小标题 Char Char Char"/>
    <w:autoRedefine/>
    <w:qFormat/>
    <w:uiPriority w:val="0"/>
    <w:rPr>
      <w:kern w:val="2"/>
      <w:sz w:val="24"/>
      <w:szCs w:val="24"/>
    </w:rPr>
  </w:style>
  <w:style w:type="character" w:customStyle="1" w:styleId="127">
    <w:name w:val="批注框文本 字符"/>
    <w:link w:val="34"/>
    <w:qFormat/>
    <w:uiPriority w:val="0"/>
    <w:rPr>
      <w:rFonts w:eastAsia="宋体"/>
      <w:sz w:val="18"/>
      <w:szCs w:val="18"/>
    </w:rPr>
  </w:style>
  <w:style w:type="character" w:customStyle="1" w:styleId="128">
    <w:name w:val="普通文字 Char"/>
    <w:qFormat/>
    <w:uiPriority w:val="0"/>
    <w:rPr>
      <w:rFonts w:ascii="宋体" w:hAnsi="Courier New" w:eastAsia="宋体"/>
      <w:spacing w:val="-8"/>
      <w:kern w:val="2"/>
      <w:sz w:val="24"/>
      <w:lang w:val="en-US" w:eastAsia="zh-CN" w:bidi="ar-SA"/>
    </w:rPr>
  </w:style>
  <w:style w:type="character" w:customStyle="1" w:styleId="129">
    <w:name w:val="Char Char15"/>
    <w:qFormat/>
    <w:uiPriority w:val="0"/>
    <w:rPr>
      <w:rFonts w:ascii="Arial" w:hAnsi="Arial" w:eastAsia="黑体"/>
      <w:b/>
      <w:bCs/>
      <w:kern w:val="2"/>
      <w:sz w:val="32"/>
      <w:szCs w:val="32"/>
      <w:lang w:val="en-US" w:eastAsia="zh-CN" w:bidi="ar-SA"/>
    </w:rPr>
  </w:style>
  <w:style w:type="character" w:customStyle="1" w:styleId="130">
    <w:name w:val="ABC标题下的小点 Char Char"/>
    <w:link w:val="131"/>
    <w:qFormat/>
    <w:uiPriority w:val="0"/>
    <w:rPr>
      <w:rFonts w:ascii="宋体" w:hAnsi="宋体"/>
    </w:rPr>
  </w:style>
  <w:style w:type="paragraph" w:customStyle="1" w:styleId="131">
    <w:name w:val="ABC标题下的小点"/>
    <w:basedOn w:val="1"/>
    <w:link w:val="130"/>
    <w:qFormat/>
    <w:uiPriority w:val="0"/>
    <w:pPr>
      <w:numPr>
        <w:ilvl w:val="1"/>
        <w:numId w:val="5"/>
      </w:numPr>
      <w:tabs>
        <w:tab w:val="left" w:pos="1260"/>
      </w:tabs>
      <w:spacing w:line="360" w:lineRule="auto"/>
    </w:pPr>
    <w:rPr>
      <w:rFonts w:ascii="宋体" w:hAnsi="宋体"/>
    </w:rPr>
  </w:style>
  <w:style w:type="character" w:customStyle="1" w:styleId="132">
    <w:name w:val="正文2 Char Char"/>
    <w:link w:val="133"/>
    <w:qFormat/>
    <w:uiPriority w:val="0"/>
    <w:rPr>
      <w:rFonts w:ascii="仿宋_GB2312" w:hAnsi="Verdana" w:eastAsia="仿宋_GB2312" w:cs="Tahoma"/>
      <w:color w:val="000000"/>
      <w:sz w:val="28"/>
      <w:szCs w:val="28"/>
    </w:rPr>
  </w:style>
  <w:style w:type="paragraph" w:customStyle="1" w:styleId="133">
    <w:name w:val="正文2"/>
    <w:basedOn w:val="1"/>
    <w:link w:val="132"/>
    <w:qFormat/>
    <w:uiPriority w:val="0"/>
    <w:pPr>
      <w:widowControl/>
      <w:adjustRightInd w:val="0"/>
      <w:snapToGrid w:val="0"/>
    </w:pPr>
    <w:rPr>
      <w:rFonts w:ascii="仿宋_GB2312" w:hAnsi="Verdana" w:eastAsia="仿宋_GB2312" w:cs="Tahoma"/>
      <w:color w:val="000000"/>
      <w:sz w:val="28"/>
      <w:szCs w:val="28"/>
    </w:rPr>
  </w:style>
  <w:style w:type="character" w:customStyle="1" w:styleId="134">
    <w:name w:val="t_tag"/>
    <w:basedOn w:val="60"/>
    <w:qFormat/>
    <w:uiPriority w:val="0"/>
  </w:style>
  <w:style w:type="character" w:customStyle="1" w:styleId="135">
    <w:name w:val="Char Char5"/>
    <w:qFormat/>
    <w:uiPriority w:val="0"/>
    <w:rPr>
      <w:rFonts w:ascii="宋体" w:hAnsi="宋体" w:eastAsia="宋体"/>
      <w:kern w:val="2"/>
      <w:sz w:val="18"/>
      <w:szCs w:val="24"/>
      <w:lang w:val="en-US" w:eastAsia="zh-CN" w:bidi="ar-SA"/>
    </w:rPr>
  </w:style>
  <w:style w:type="character" w:customStyle="1" w:styleId="136">
    <w:name w:val="Char Char12"/>
    <w:qFormat/>
    <w:uiPriority w:val="0"/>
    <w:rPr>
      <w:rFonts w:eastAsia="仿宋_GB2312"/>
      <w:b/>
      <w:kern w:val="2"/>
      <w:sz w:val="26"/>
      <w:szCs w:val="26"/>
      <w:lang w:val="en-US" w:eastAsia="zh-CN" w:bidi="ar-SA"/>
    </w:rPr>
  </w:style>
  <w:style w:type="character" w:customStyle="1" w:styleId="137">
    <w:name w:val="yqlink"/>
    <w:basedOn w:val="60"/>
    <w:qFormat/>
    <w:uiPriority w:val="0"/>
  </w:style>
  <w:style w:type="character" w:customStyle="1" w:styleId="138">
    <w:name w:val="正文（小标题） Char Char"/>
    <w:link w:val="139"/>
    <w:qFormat/>
    <w:uiPriority w:val="0"/>
    <w:rPr>
      <w:rFonts w:ascii="黑体" w:hAnsi="黑体" w:eastAsia="黑体"/>
      <w:color w:val="0000FF"/>
      <w:sz w:val="24"/>
      <w:szCs w:val="24"/>
    </w:rPr>
  </w:style>
  <w:style w:type="paragraph" w:customStyle="1" w:styleId="139">
    <w:name w:val="正文（小标题）"/>
    <w:basedOn w:val="1"/>
    <w:next w:val="1"/>
    <w:link w:val="138"/>
    <w:qFormat/>
    <w:uiPriority w:val="0"/>
    <w:pPr>
      <w:spacing w:before="156" w:beforeLines="50" w:after="156" w:afterLines="50" w:line="360" w:lineRule="auto"/>
    </w:pPr>
    <w:rPr>
      <w:rFonts w:ascii="黑体" w:hAnsi="黑体" w:eastAsia="黑体"/>
      <w:color w:val="0000FF"/>
      <w:sz w:val="24"/>
      <w:szCs w:val="24"/>
    </w:rPr>
  </w:style>
  <w:style w:type="character" w:customStyle="1" w:styleId="140">
    <w:name w:val="图表正文 Char Char"/>
    <w:link w:val="141"/>
    <w:qFormat/>
    <w:uiPriority w:val="0"/>
    <w:rPr>
      <w:rFonts w:ascii="宋体" w:hAnsi="宋体" w:eastAsia="宋体" w:cs="宋体"/>
    </w:rPr>
  </w:style>
  <w:style w:type="paragraph" w:customStyle="1" w:styleId="141">
    <w:name w:val="图表正文"/>
    <w:basedOn w:val="1"/>
    <w:link w:val="140"/>
    <w:qFormat/>
    <w:uiPriority w:val="0"/>
    <w:pPr>
      <w:spacing w:line="300" w:lineRule="auto"/>
      <w:jc w:val="center"/>
    </w:pPr>
    <w:rPr>
      <w:rFonts w:ascii="宋体" w:hAnsi="宋体" w:eastAsia="宋体" w:cs="宋体"/>
    </w:rPr>
  </w:style>
  <w:style w:type="character" w:customStyle="1" w:styleId="142">
    <w:name w:val="列表段落 字符"/>
    <w:link w:val="143"/>
    <w:qFormat/>
    <w:uiPriority w:val="0"/>
    <w:rPr>
      <w:rFonts w:eastAsia="宋体"/>
      <w:szCs w:val="24"/>
    </w:rPr>
  </w:style>
  <w:style w:type="paragraph" w:styleId="143">
    <w:name w:val="List Paragraph"/>
    <w:basedOn w:val="1"/>
    <w:link w:val="142"/>
    <w:qFormat/>
    <w:uiPriority w:val="0"/>
    <w:pPr>
      <w:spacing w:line="360" w:lineRule="auto"/>
      <w:ind w:firstLine="420" w:firstLineChars="200"/>
    </w:pPr>
    <w:rPr>
      <w:rFonts w:eastAsia="宋体"/>
      <w:szCs w:val="24"/>
    </w:rPr>
  </w:style>
  <w:style w:type="character" w:customStyle="1" w:styleId="144">
    <w:name w:val="Char Char3"/>
    <w:qFormat/>
    <w:uiPriority w:val="0"/>
    <w:rPr>
      <w:rFonts w:eastAsia="宋体"/>
      <w:b/>
      <w:kern w:val="44"/>
      <w:sz w:val="44"/>
      <w:lang w:bidi="ar-SA"/>
    </w:rPr>
  </w:style>
  <w:style w:type="character" w:customStyle="1" w:styleId="145">
    <w:name w:val="unnamed11"/>
    <w:qFormat/>
    <w:uiPriority w:val="0"/>
    <w:rPr>
      <w:sz w:val="18"/>
      <w:szCs w:val="18"/>
    </w:rPr>
  </w:style>
  <w:style w:type="character" w:customStyle="1" w:styleId="146">
    <w:name w:val="标准 Char Char"/>
    <w:link w:val="147"/>
    <w:qFormat/>
    <w:uiPriority w:val="0"/>
    <w:rPr>
      <w:rFonts w:eastAsia="楷体_GB2312"/>
      <w:sz w:val="24"/>
    </w:rPr>
  </w:style>
  <w:style w:type="paragraph" w:customStyle="1" w:styleId="147">
    <w:name w:val="标准"/>
    <w:basedOn w:val="1"/>
    <w:link w:val="146"/>
    <w:qFormat/>
    <w:uiPriority w:val="0"/>
    <w:pPr>
      <w:overflowPunct w:val="0"/>
      <w:autoSpaceDE w:val="0"/>
      <w:autoSpaceDN w:val="0"/>
      <w:adjustRightInd w:val="0"/>
      <w:spacing w:line="240" w:lineRule="atLeast"/>
      <w:textAlignment w:val="baseline"/>
    </w:pPr>
    <w:rPr>
      <w:rFonts w:eastAsia="楷体_GB2312"/>
      <w:sz w:val="24"/>
    </w:rPr>
  </w:style>
  <w:style w:type="character" w:customStyle="1" w:styleId="148">
    <w:name w:val="列出段落 Char Char"/>
    <w:qFormat/>
    <w:uiPriority w:val="0"/>
    <w:rPr>
      <w:rFonts w:ascii="宋体" w:hAnsi="宋体" w:eastAsia="宋体"/>
      <w:kern w:val="2"/>
      <w:sz w:val="21"/>
      <w:szCs w:val="24"/>
      <w:lang w:val="en-US" w:eastAsia="zh-CN" w:bidi="ar-SA"/>
    </w:rPr>
  </w:style>
  <w:style w:type="character" w:customStyle="1" w:styleId="149">
    <w:name w:val="批注文字 Char"/>
    <w:qFormat/>
    <w:uiPriority w:val="0"/>
    <w:rPr>
      <w:rFonts w:eastAsia="宋体"/>
      <w:kern w:val="2"/>
      <w:sz w:val="21"/>
      <w:szCs w:val="24"/>
      <w:lang w:val="en-US" w:eastAsia="zh-CN" w:bidi="ar-SA"/>
    </w:rPr>
  </w:style>
  <w:style w:type="character" w:customStyle="1" w:styleId="150">
    <w:name w:val="Char Char10"/>
    <w:qFormat/>
    <w:uiPriority w:val="0"/>
    <w:rPr>
      <w:rFonts w:ascii="Arial" w:hAnsi="Arial" w:eastAsia="宋体"/>
      <w:kern w:val="2"/>
      <w:sz w:val="21"/>
      <w:szCs w:val="24"/>
      <w:lang w:val="en-US" w:eastAsia="zh-CN" w:bidi="ar-SA"/>
    </w:rPr>
  </w:style>
  <w:style w:type="character" w:customStyle="1" w:styleId="151">
    <w:name w:val="cnfont1"/>
    <w:qFormat/>
    <w:uiPriority w:val="0"/>
    <w:rPr>
      <w:rFonts w:ascii="Tahoma" w:hAnsi="Tahoma" w:eastAsia="宋体"/>
      <w:kern w:val="2"/>
      <w:sz w:val="24"/>
      <w:lang w:val="en-US" w:eastAsia="zh-CN" w:bidi="ar-SA"/>
    </w:rPr>
  </w:style>
  <w:style w:type="character" w:customStyle="1" w:styleId="152">
    <w:name w:val="方框小标题 Char Char"/>
    <w:link w:val="153"/>
    <w:qFormat/>
    <w:uiPriority w:val="0"/>
    <w:rPr>
      <w:sz w:val="24"/>
      <w:szCs w:val="24"/>
    </w:rPr>
  </w:style>
  <w:style w:type="paragraph" w:customStyle="1" w:styleId="153">
    <w:name w:val="方框小标题"/>
    <w:basedOn w:val="1"/>
    <w:next w:val="1"/>
    <w:link w:val="152"/>
    <w:qFormat/>
    <w:uiPriority w:val="0"/>
    <w:pPr>
      <w:spacing w:line="360" w:lineRule="auto"/>
    </w:pPr>
    <w:rPr>
      <w:sz w:val="24"/>
      <w:szCs w:val="24"/>
    </w:rPr>
  </w:style>
  <w:style w:type="character" w:customStyle="1" w:styleId="154">
    <w:name w:val="样式 小四 段前: 6 磅 段后: 6 磅 行距: 1.5 倍行距 Char Char"/>
    <w:link w:val="155"/>
    <w:qFormat/>
    <w:uiPriority w:val="0"/>
    <w:rPr>
      <w:rFonts w:ascii="宋体" w:hAnsi="宋体" w:eastAsia="宋体"/>
      <w:sz w:val="24"/>
    </w:rPr>
  </w:style>
  <w:style w:type="paragraph" w:customStyle="1" w:styleId="155">
    <w:name w:val="样式 小四 段前: 6 磅 段后: 6 磅 行距: 1.5 倍行距"/>
    <w:basedOn w:val="1"/>
    <w:link w:val="154"/>
    <w:qFormat/>
    <w:uiPriority w:val="0"/>
    <w:pPr>
      <w:spacing w:line="360" w:lineRule="auto"/>
      <w:ind w:firstLine="480" w:firstLineChars="200"/>
    </w:pPr>
    <w:rPr>
      <w:rFonts w:ascii="宋体" w:hAnsi="宋体" w:eastAsia="宋体"/>
      <w:sz w:val="24"/>
    </w:rPr>
  </w:style>
  <w:style w:type="character" w:customStyle="1" w:styleId="156">
    <w:name w:val="H1 Char"/>
    <w:autoRedefine/>
    <w:qFormat/>
    <w:uiPriority w:val="0"/>
    <w:rPr>
      <w:rFonts w:eastAsia="宋体"/>
      <w:b/>
      <w:bCs/>
      <w:kern w:val="44"/>
      <w:sz w:val="32"/>
      <w:szCs w:val="44"/>
      <w:lang w:val="en-US" w:eastAsia="zh-CN" w:bidi="ar-SA"/>
    </w:rPr>
  </w:style>
  <w:style w:type="character" w:customStyle="1" w:styleId="157">
    <w:name w:val="Table Text Char Char Char Char Char Char1 Char Char"/>
    <w:qFormat/>
    <w:uiPriority w:val="0"/>
    <w:rPr>
      <w:rFonts w:hint="default" w:ascii="Arial" w:hAnsi="Arial" w:eastAsia="宋体" w:cs="Arial"/>
      <w:sz w:val="18"/>
      <w:szCs w:val="21"/>
      <w:lang w:val="en-US" w:eastAsia="zh-CN" w:bidi="ar-SA"/>
    </w:rPr>
  </w:style>
  <w:style w:type="character" w:customStyle="1" w:styleId="158">
    <w:name w:val="ui-widget-title"/>
    <w:basedOn w:val="60"/>
    <w:qFormat/>
    <w:uiPriority w:val="0"/>
  </w:style>
  <w:style w:type="character" w:customStyle="1" w:styleId="159">
    <w:name w:val="正文文本缩进 3 字符"/>
    <w:link w:val="44"/>
    <w:qFormat/>
    <w:uiPriority w:val="0"/>
    <w:rPr>
      <w:rFonts w:eastAsia="宋体"/>
      <w:bCs/>
      <w:sz w:val="24"/>
    </w:rPr>
  </w:style>
  <w:style w:type="character" w:customStyle="1" w:styleId="160">
    <w:name w:val="p12"/>
    <w:basedOn w:val="60"/>
    <w:qFormat/>
    <w:uiPriority w:val="0"/>
  </w:style>
  <w:style w:type="character" w:customStyle="1" w:styleId="161">
    <w:name w:val="Char Char6"/>
    <w:qFormat/>
    <w:uiPriority w:val="0"/>
    <w:rPr>
      <w:rFonts w:ascii="宋体" w:hAnsi="宋体" w:eastAsia="宋体"/>
      <w:bCs/>
      <w:kern w:val="2"/>
      <w:sz w:val="24"/>
      <w:lang w:val="en-US" w:eastAsia="zh-CN" w:bidi="ar-SA"/>
    </w:rPr>
  </w:style>
  <w:style w:type="character" w:customStyle="1" w:styleId="162">
    <w:name w:val="页脚 字符"/>
    <w:link w:val="35"/>
    <w:qFormat/>
    <w:locked/>
    <w:uiPriority w:val="99"/>
    <w:rPr>
      <w:rFonts w:eastAsia="宋体"/>
      <w:sz w:val="18"/>
      <w:szCs w:val="24"/>
    </w:rPr>
  </w:style>
  <w:style w:type="character" w:customStyle="1" w:styleId="163">
    <w:name w:val="三级条标题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ascii="黑体" w:eastAsia="黑体"/>
      <w:sz w:val="21"/>
      <w:lang w:val="en-US" w:eastAsia="zh-CN" w:bidi="ar-SA"/>
    </w:rPr>
  </w:style>
  <w:style w:type="character" w:customStyle="1" w:styleId="164">
    <w:name w:val="页眉 字符"/>
    <w:link w:val="36"/>
    <w:qFormat/>
    <w:uiPriority w:val="0"/>
    <w:rPr>
      <w:rFonts w:eastAsia="宋体"/>
      <w:sz w:val="18"/>
      <w:szCs w:val="24"/>
    </w:rPr>
  </w:style>
  <w:style w:type="character" w:customStyle="1" w:styleId="165">
    <w:name w:val="h3 Char"/>
    <w:qFormat/>
    <w:uiPriority w:val="0"/>
    <w:rPr>
      <w:rFonts w:eastAsia="宋体"/>
      <w:b/>
      <w:bCs/>
      <w:kern w:val="2"/>
      <w:sz w:val="24"/>
      <w:szCs w:val="24"/>
      <w:lang w:val="en-US" w:eastAsia="zh-CN" w:bidi="ar-SA"/>
    </w:rPr>
  </w:style>
  <w:style w:type="character" w:customStyle="1" w:styleId="166">
    <w:name w:val="Char Char4"/>
    <w:qFormat/>
    <w:uiPriority w:val="0"/>
    <w:rPr>
      <w:rFonts w:ascii="宋体" w:hAnsi="宋体" w:eastAsia="宋体"/>
      <w:kern w:val="2"/>
      <w:sz w:val="21"/>
      <w:szCs w:val="24"/>
      <w:lang w:val="en-US" w:eastAsia="zh-CN" w:bidi="ar-SA"/>
    </w:rPr>
  </w:style>
  <w:style w:type="character" w:customStyle="1" w:styleId="167">
    <w:name w:val="样式 body + 仿宋_GB2312 三号"/>
    <w:qFormat/>
    <w:uiPriority w:val="0"/>
    <w:rPr>
      <w:rFonts w:hint="eastAsia" w:ascii="宋体" w:hAnsi="宋体" w:eastAsia="宋体"/>
      <w:kern w:val="0"/>
      <w:sz w:val="24"/>
      <w:lang w:val="en-US" w:eastAsia="zh-CN"/>
    </w:rPr>
  </w:style>
  <w:style w:type="character" w:customStyle="1" w:styleId="168">
    <w:name w:val="l151"/>
    <w:basedOn w:val="60"/>
    <w:qFormat/>
    <w:uiPriority w:val="0"/>
  </w:style>
  <w:style w:type="character" w:customStyle="1" w:styleId="169">
    <w:name w:val="首航缩进 Char Char"/>
    <w:qFormat/>
    <w:uiPriority w:val="0"/>
    <w:rPr>
      <w:rFonts w:eastAsia="仿宋_GB2312"/>
      <w:color w:val="000000"/>
      <w:kern w:val="2"/>
      <w:sz w:val="24"/>
      <w:szCs w:val="24"/>
      <w:lang w:val="en-US" w:eastAsia="zh-CN" w:bidi="ar-SA"/>
    </w:rPr>
  </w:style>
  <w:style w:type="character" w:customStyle="1" w:styleId="170">
    <w:name w:val="纯文本 Char"/>
    <w:semiHidden/>
    <w:qFormat/>
    <w:uiPriority w:val="0"/>
    <w:rPr>
      <w:rFonts w:ascii="宋体" w:hAnsi="Courier New" w:eastAsia="宋体" w:cs="Courier New"/>
      <w:kern w:val="2"/>
      <w:sz w:val="24"/>
      <w:szCs w:val="21"/>
      <w:lang w:val="en-US" w:eastAsia="zh-CN" w:bidi="ar-SA"/>
    </w:rPr>
  </w:style>
  <w:style w:type="character" w:customStyle="1" w:styleId="171">
    <w:name w:val="正文（编号） Char Char"/>
    <w:link w:val="172"/>
    <w:qFormat/>
    <w:uiPriority w:val="0"/>
    <w:rPr>
      <w:rFonts w:ascii="宋体" w:hAnsi="宋体" w:eastAsia="宋体"/>
      <w:sz w:val="24"/>
      <w:szCs w:val="24"/>
    </w:rPr>
  </w:style>
  <w:style w:type="paragraph" w:customStyle="1" w:styleId="172">
    <w:name w:val="正文（编号）"/>
    <w:basedOn w:val="111"/>
    <w:link w:val="171"/>
    <w:qFormat/>
    <w:uiPriority w:val="0"/>
    <w:pPr>
      <w:tabs>
        <w:tab w:val="left" w:pos="0"/>
        <w:tab w:val="left" w:pos="360"/>
        <w:tab w:val="left" w:pos="836"/>
      </w:tabs>
      <w:ind w:firstLine="0" w:firstLineChars="0"/>
    </w:pPr>
    <w:rPr>
      <w:rFonts w:ascii="宋体" w:hAnsi="宋体"/>
    </w:rPr>
  </w:style>
  <w:style w:type="character" w:customStyle="1" w:styleId="173">
    <w:name w:val="正文缩进 字符"/>
    <w:link w:val="7"/>
    <w:qFormat/>
    <w:uiPriority w:val="0"/>
    <w:rPr>
      <w:rFonts w:eastAsia="宋体"/>
      <w:szCs w:val="24"/>
    </w:rPr>
  </w:style>
  <w:style w:type="character" w:customStyle="1" w:styleId="174">
    <w:name w:val="正文格式 Char Char"/>
    <w:link w:val="175"/>
    <w:qFormat/>
    <w:uiPriority w:val="0"/>
    <w:rPr>
      <w:rFonts w:ascii="Arial" w:hAnsi="Arial" w:eastAsia="新宋体" w:cs="Arial"/>
      <w:sz w:val="24"/>
    </w:rPr>
  </w:style>
  <w:style w:type="paragraph" w:customStyle="1" w:styleId="175">
    <w:name w:val="正文格式"/>
    <w:basedOn w:val="1"/>
    <w:link w:val="174"/>
    <w:qFormat/>
    <w:uiPriority w:val="0"/>
    <w:pPr>
      <w:widowControl/>
      <w:tabs>
        <w:tab w:val="left" w:pos="960"/>
      </w:tabs>
      <w:adjustRightInd w:val="0"/>
      <w:snapToGrid w:val="0"/>
      <w:spacing w:line="300" w:lineRule="auto"/>
      <w:ind w:firstLine="482"/>
      <w:textAlignment w:val="baseline"/>
    </w:pPr>
    <w:rPr>
      <w:rFonts w:ascii="Arial" w:hAnsi="Arial" w:eastAsia="新宋体" w:cs="Arial"/>
      <w:sz w:val="24"/>
    </w:rPr>
  </w:style>
  <w:style w:type="character" w:customStyle="1" w:styleId="176">
    <w:name w:val="Char Char8"/>
    <w:qFormat/>
    <w:uiPriority w:val="0"/>
    <w:rPr>
      <w:rFonts w:eastAsia="宋体"/>
      <w:kern w:val="2"/>
      <w:sz w:val="21"/>
      <w:szCs w:val="24"/>
      <w:lang w:val="en-US" w:eastAsia="zh-CN" w:bidi="ar-SA"/>
    </w:rPr>
  </w:style>
  <w:style w:type="character" w:customStyle="1" w:styleId="177">
    <w:name w:val="h22"/>
    <w:basedOn w:val="60"/>
    <w:qFormat/>
    <w:uiPriority w:val="0"/>
  </w:style>
  <w:style w:type="character" w:customStyle="1" w:styleId="178">
    <w:name w:val="方框下的123标题 Char Char"/>
    <w:link w:val="179"/>
    <w:qFormat/>
    <w:uiPriority w:val="0"/>
    <w:rPr>
      <w:szCs w:val="24"/>
    </w:rPr>
  </w:style>
  <w:style w:type="paragraph" w:customStyle="1" w:styleId="179">
    <w:name w:val="方框下的123标题"/>
    <w:basedOn w:val="1"/>
    <w:link w:val="178"/>
    <w:qFormat/>
    <w:uiPriority w:val="0"/>
    <w:pPr>
      <w:numPr>
        <w:ilvl w:val="0"/>
        <w:numId w:val="6"/>
      </w:numPr>
      <w:spacing w:line="360" w:lineRule="auto"/>
      <w:ind w:firstLine="0"/>
    </w:pPr>
    <w:rPr>
      <w:szCs w:val="24"/>
    </w:rPr>
  </w:style>
  <w:style w:type="character" w:customStyle="1" w:styleId="180">
    <w:name w:val="样式2 Char Char"/>
    <w:qFormat/>
    <w:uiPriority w:val="0"/>
    <w:rPr>
      <w:rFonts w:eastAsia="宋体"/>
      <w:kern w:val="2"/>
      <w:sz w:val="18"/>
      <w:lang w:val="en-US" w:eastAsia="zh-CN" w:bidi="ar-SA"/>
    </w:rPr>
  </w:style>
  <w:style w:type="character" w:customStyle="1" w:styleId="181">
    <w:name w:val="编号1 Char Char"/>
    <w:link w:val="182"/>
    <w:qFormat/>
    <w:uiPriority w:val="0"/>
    <w:rPr>
      <w:rFonts w:eastAsia="宋体"/>
      <w:sz w:val="24"/>
      <w:szCs w:val="24"/>
    </w:rPr>
  </w:style>
  <w:style w:type="paragraph" w:customStyle="1" w:styleId="182">
    <w:name w:val="编号1"/>
    <w:basedOn w:val="1"/>
    <w:link w:val="181"/>
    <w:autoRedefine/>
    <w:qFormat/>
    <w:uiPriority w:val="0"/>
    <w:pPr>
      <w:spacing w:line="360" w:lineRule="auto"/>
    </w:pPr>
    <w:rPr>
      <w:rFonts w:eastAsia="宋体"/>
      <w:sz w:val="24"/>
      <w:szCs w:val="24"/>
    </w:rPr>
  </w:style>
  <w:style w:type="character" w:customStyle="1" w:styleId="183">
    <w:name w:val="font-121"/>
    <w:qFormat/>
    <w:uiPriority w:val="0"/>
    <w:rPr>
      <w:color w:val="666666"/>
      <w:sz w:val="18"/>
      <w:szCs w:val="18"/>
      <w:u w:val="none"/>
    </w:rPr>
  </w:style>
  <w:style w:type="character" w:customStyle="1" w:styleId="184">
    <w:name w:val="正文段落 Char Char"/>
    <w:link w:val="185"/>
    <w:qFormat/>
    <w:uiPriority w:val="0"/>
    <w:rPr>
      <w:rFonts w:ascii="宋体" w:hAnsi="宋体" w:eastAsia="宋体"/>
      <w:sz w:val="28"/>
    </w:rPr>
  </w:style>
  <w:style w:type="paragraph" w:customStyle="1" w:styleId="185">
    <w:name w:val="正文段落"/>
    <w:basedOn w:val="1"/>
    <w:link w:val="184"/>
    <w:qFormat/>
    <w:uiPriority w:val="0"/>
    <w:pPr>
      <w:ind w:firstLine="560" w:firstLineChars="200"/>
    </w:pPr>
    <w:rPr>
      <w:rFonts w:ascii="宋体" w:hAnsi="宋体" w:eastAsia="宋体"/>
      <w:sz w:val="28"/>
    </w:rPr>
  </w:style>
  <w:style w:type="character" w:customStyle="1" w:styleId="186">
    <w:name w:val="正文（黑体） Char Char"/>
    <w:link w:val="187"/>
    <w:qFormat/>
    <w:uiPriority w:val="0"/>
    <w:rPr>
      <w:rFonts w:ascii="黑体" w:hAnsi="黑体" w:eastAsia="黑体"/>
      <w:color w:val="000080"/>
      <w:sz w:val="24"/>
      <w:szCs w:val="24"/>
    </w:rPr>
  </w:style>
  <w:style w:type="paragraph" w:customStyle="1" w:styleId="187">
    <w:name w:val="正文（黑体）"/>
    <w:basedOn w:val="1"/>
    <w:next w:val="1"/>
    <w:link w:val="186"/>
    <w:autoRedefine/>
    <w:qFormat/>
    <w:uiPriority w:val="0"/>
    <w:pPr>
      <w:spacing w:before="156" w:beforeLines="50" w:after="156" w:afterLines="50" w:line="360" w:lineRule="auto"/>
      <w:ind w:firstLine="480" w:firstLineChars="200"/>
    </w:pPr>
    <w:rPr>
      <w:rFonts w:ascii="黑体" w:hAnsi="黑体" w:eastAsia="黑体"/>
      <w:color w:val="000080"/>
      <w:sz w:val="24"/>
      <w:szCs w:val="24"/>
    </w:rPr>
  </w:style>
  <w:style w:type="character" w:customStyle="1" w:styleId="188">
    <w:name w:val="纯文本 字符"/>
    <w:link w:val="28"/>
    <w:autoRedefine/>
    <w:qFormat/>
    <w:uiPriority w:val="0"/>
    <w:rPr>
      <w:rFonts w:ascii="宋体" w:hAnsi="Courier New" w:eastAsia="宋体"/>
      <w:sz w:val="24"/>
    </w:rPr>
  </w:style>
  <w:style w:type="character" w:customStyle="1" w:styleId="189">
    <w:name w:val="Heading 2 Char"/>
    <w:autoRedefine/>
    <w:qFormat/>
    <w:locked/>
    <w:uiPriority w:val="0"/>
    <w:rPr>
      <w:rFonts w:ascii="宋体" w:hAnsi="宋体" w:eastAsia="宋体" w:cs="宋体"/>
      <w:b/>
      <w:bCs/>
      <w:sz w:val="36"/>
      <w:szCs w:val="36"/>
      <w:lang w:val="en-US" w:eastAsia="zh-CN" w:bidi="ar-SA"/>
    </w:rPr>
  </w:style>
  <w:style w:type="character" w:customStyle="1" w:styleId="190">
    <w:name w:val="正文（标记） Char2"/>
    <w:link w:val="191"/>
    <w:autoRedefine/>
    <w:qFormat/>
    <w:uiPriority w:val="0"/>
    <w:rPr>
      <w:sz w:val="24"/>
      <w:szCs w:val="24"/>
    </w:rPr>
  </w:style>
  <w:style w:type="paragraph" w:customStyle="1" w:styleId="191">
    <w:name w:val="正文（标记）"/>
    <w:basedOn w:val="1"/>
    <w:link w:val="190"/>
    <w:autoRedefine/>
    <w:qFormat/>
    <w:uiPriority w:val="0"/>
    <w:pPr>
      <w:numPr>
        <w:ilvl w:val="0"/>
        <w:numId w:val="7"/>
      </w:numPr>
      <w:tabs>
        <w:tab w:val="left" w:pos="360"/>
      </w:tabs>
      <w:spacing w:before="156" w:beforeLines="50" w:after="156" w:afterLines="50"/>
      <w:ind w:left="0" w:firstLine="0"/>
    </w:pPr>
    <w:rPr>
      <w:sz w:val="24"/>
      <w:szCs w:val="24"/>
    </w:rPr>
  </w:style>
  <w:style w:type="character" w:customStyle="1" w:styleId="192">
    <w:name w:val="Char Char11"/>
    <w:autoRedefine/>
    <w:qFormat/>
    <w:uiPriority w:val="0"/>
    <w:rPr>
      <w:rFonts w:ascii="Arial" w:hAnsi="Arial" w:eastAsia="宋体"/>
      <w:b/>
      <w:kern w:val="2"/>
      <w:sz w:val="24"/>
      <w:szCs w:val="24"/>
      <w:lang w:val="en-US" w:eastAsia="zh-CN" w:bidi="ar-SA"/>
    </w:rPr>
  </w:style>
  <w:style w:type="character" w:customStyle="1" w:styleId="193">
    <w:name w:val="文字 Char Char"/>
    <w:link w:val="194"/>
    <w:autoRedefine/>
    <w:qFormat/>
    <w:uiPriority w:val="0"/>
    <w:rPr>
      <w:rFonts w:ascii="楷体_GB2312" w:eastAsia="楷体_GB2312"/>
      <w:sz w:val="28"/>
    </w:rPr>
  </w:style>
  <w:style w:type="paragraph" w:customStyle="1" w:styleId="194">
    <w:name w:val="文字"/>
    <w:basedOn w:val="1"/>
    <w:link w:val="193"/>
    <w:autoRedefine/>
    <w:qFormat/>
    <w:uiPriority w:val="0"/>
    <w:pPr>
      <w:tabs>
        <w:tab w:val="left" w:pos="8520"/>
      </w:tabs>
      <w:spacing w:line="312" w:lineRule="auto"/>
      <w:ind w:right="-210" w:firstLine="556"/>
    </w:pPr>
    <w:rPr>
      <w:rFonts w:ascii="楷体_GB2312" w:eastAsia="楷体_GB2312"/>
      <w:sz w:val="28"/>
    </w:rPr>
  </w:style>
  <w:style w:type="character" w:customStyle="1" w:styleId="195">
    <w:name w:val="apple-converted-space"/>
    <w:autoRedefine/>
    <w:qFormat/>
    <w:uiPriority w:val="0"/>
    <w:rPr>
      <w:rFonts w:hint="default" w:ascii="Times New Roman" w:hAnsi="Times New Roman" w:cs="Times New Roman"/>
    </w:rPr>
  </w:style>
  <w:style w:type="character" w:customStyle="1" w:styleId="196">
    <w:name w:val="p121"/>
    <w:autoRedefine/>
    <w:qFormat/>
    <w:uiPriority w:val="0"/>
    <w:rPr>
      <w:sz w:val="18"/>
      <w:szCs w:val="18"/>
    </w:rPr>
  </w:style>
  <w:style w:type="character" w:customStyle="1" w:styleId="197">
    <w:name w:val="pediy"/>
    <w:basedOn w:val="60"/>
    <w:autoRedefine/>
    <w:qFormat/>
    <w:uiPriority w:val="0"/>
  </w:style>
  <w:style w:type="character" w:customStyle="1" w:styleId="198">
    <w:name w:val="line2"/>
    <w:autoRedefine/>
    <w:qFormat/>
    <w:uiPriority w:val="0"/>
    <w:rPr>
      <w:rFonts w:hint="default" w:ascii="Times New Roman" w:hAnsi="Times New Roman" w:cs="Times New Roman"/>
    </w:rPr>
  </w:style>
  <w:style w:type="character" w:customStyle="1" w:styleId="199">
    <w:name w:val="ca-2"/>
    <w:basedOn w:val="60"/>
    <w:autoRedefine/>
    <w:qFormat/>
    <w:uiPriority w:val="0"/>
  </w:style>
  <w:style w:type="character" w:customStyle="1" w:styleId="200">
    <w:name w:val="正文文本缩进 字符"/>
    <w:basedOn w:val="60"/>
    <w:link w:val="23"/>
    <w:autoRedefine/>
    <w:qFormat/>
    <w:uiPriority w:val="99"/>
  </w:style>
  <w:style w:type="character" w:customStyle="1" w:styleId="201">
    <w:name w:val="正文文本首行缩进 2 字符"/>
    <w:basedOn w:val="200"/>
    <w:link w:val="57"/>
    <w:autoRedefine/>
    <w:qFormat/>
    <w:uiPriority w:val="0"/>
    <w:rPr>
      <w:rFonts w:ascii="Times New Roman" w:hAnsi="Times New Roman" w:eastAsia="宋体" w:cs="Times New Roman"/>
      <w:szCs w:val="24"/>
    </w:rPr>
  </w:style>
  <w:style w:type="character" w:customStyle="1" w:styleId="202">
    <w:name w:val="日期 字符"/>
    <w:basedOn w:val="60"/>
    <w:link w:val="32"/>
    <w:autoRedefine/>
    <w:qFormat/>
    <w:uiPriority w:val="0"/>
    <w:rPr>
      <w:rFonts w:ascii="Times New Roman" w:hAnsi="Times New Roman" w:eastAsia="宋体" w:cs="Times New Roman"/>
      <w:sz w:val="24"/>
      <w:szCs w:val="20"/>
    </w:rPr>
  </w:style>
  <w:style w:type="character" w:customStyle="1" w:styleId="203">
    <w:name w:val="纯文本 Char2"/>
    <w:basedOn w:val="60"/>
    <w:autoRedefine/>
    <w:semiHidden/>
    <w:qFormat/>
    <w:uiPriority w:val="99"/>
    <w:rPr>
      <w:rFonts w:ascii="宋体" w:hAnsi="Courier New" w:eastAsia="宋体" w:cs="Courier New"/>
      <w:szCs w:val="21"/>
    </w:rPr>
  </w:style>
  <w:style w:type="character" w:customStyle="1" w:styleId="204">
    <w:name w:val="批注框文本 Char1"/>
    <w:basedOn w:val="60"/>
    <w:autoRedefine/>
    <w:semiHidden/>
    <w:qFormat/>
    <w:uiPriority w:val="99"/>
    <w:rPr>
      <w:sz w:val="18"/>
      <w:szCs w:val="18"/>
    </w:rPr>
  </w:style>
  <w:style w:type="character" w:customStyle="1" w:styleId="205">
    <w:name w:val="签名 字符"/>
    <w:basedOn w:val="60"/>
    <w:link w:val="37"/>
    <w:autoRedefine/>
    <w:qFormat/>
    <w:uiPriority w:val="0"/>
    <w:rPr>
      <w:rFonts w:ascii="Times New Roman" w:hAnsi="Times New Roman" w:eastAsia="楷体_GB2312" w:cs="Times New Roman"/>
      <w:szCs w:val="20"/>
    </w:rPr>
  </w:style>
  <w:style w:type="character" w:customStyle="1" w:styleId="206">
    <w:name w:val="页脚 Char1"/>
    <w:basedOn w:val="60"/>
    <w:autoRedefine/>
    <w:semiHidden/>
    <w:qFormat/>
    <w:uiPriority w:val="99"/>
    <w:rPr>
      <w:sz w:val="18"/>
      <w:szCs w:val="18"/>
    </w:rPr>
  </w:style>
  <w:style w:type="character" w:customStyle="1" w:styleId="207">
    <w:name w:val="正文文本缩进 2 字符"/>
    <w:basedOn w:val="60"/>
    <w:link w:val="33"/>
    <w:autoRedefine/>
    <w:qFormat/>
    <w:uiPriority w:val="0"/>
    <w:rPr>
      <w:rFonts w:ascii="Times New Roman" w:hAnsi="Times New Roman" w:eastAsia="宋体" w:cs="Times New Roman"/>
      <w:sz w:val="24"/>
      <w:szCs w:val="20"/>
    </w:rPr>
  </w:style>
  <w:style w:type="character" w:customStyle="1" w:styleId="208">
    <w:name w:val="页眉 Char1"/>
    <w:basedOn w:val="60"/>
    <w:autoRedefine/>
    <w:semiHidden/>
    <w:qFormat/>
    <w:uiPriority w:val="99"/>
    <w:rPr>
      <w:sz w:val="18"/>
      <w:szCs w:val="18"/>
    </w:rPr>
  </w:style>
  <w:style w:type="paragraph" w:customStyle="1" w:styleId="209">
    <w:name w:val="CM1"/>
    <w:basedOn w:val="210"/>
    <w:next w:val="210"/>
    <w:autoRedefine/>
    <w:qFormat/>
    <w:uiPriority w:val="0"/>
    <w:rPr>
      <w:rFonts w:cs="Times New Roman"/>
      <w:color w:val="auto"/>
    </w:rPr>
  </w:style>
  <w:style w:type="paragraph" w:customStyle="1" w:styleId="210">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1">
    <w:name w:val="Char1 Char Char Char Char Char Char"/>
    <w:basedOn w:val="1"/>
    <w:autoRedefine/>
    <w:qFormat/>
    <w:uiPriority w:val="0"/>
    <w:rPr>
      <w:rFonts w:ascii="Tahoma" w:hAnsi="Tahoma" w:eastAsia="宋体" w:cs="Times New Roman"/>
      <w:sz w:val="24"/>
      <w:szCs w:val="20"/>
    </w:rPr>
  </w:style>
  <w:style w:type="paragraph" w:customStyle="1" w:styleId="212">
    <w:name w:val="Char1 Char Char Char"/>
    <w:basedOn w:val="1"/>
    <w:autoRedefine/>
    <w:qFormat/>
    <w:uiPriority w:val="0"/>
    <w:rPr>
      <w:rFonts w:ascii="Tahoma" w:hAnsi="Tahoma" w:eastAsia="宋体" w:cs="Times New Roman"/>
      <w:sz w:val="24"/>
      <w:szCs w:val="20"/>
    </w:rPr>
  </w:style>
  <w:style w:type="paragraph" w:customStyle="1" w:styleId="213">
    <w:name w:val="xl56"/>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4">
    <w:name w:val="样式 标题 1第A章标题 1 Char Char CharH1h1Level 1 Topic HeadingH11..."/>
    <w:autoRedefine/>
    <w:qFormat/>
    <w:uiPriority w:val="0"/>
    <w:pPr>
      <w:spacing w:before="100" w:after="100"/>
      <w:jc w:val="center"/>
    </w:pPr>
    <w:rPr>
      <w:rFonts w:ascii="黑体" w:hAnsi="Times New Roman" w:eastAsia="黑体" w:cs="Times New Roman"/>
      <w:b/>
      <w:kern w:val="44"/>
      <w:sz w:val="32"/>
      <w:lang w:val="en-US" w:eastAsia="zh-CN" w:bidi="ar-SA"/>
    </w:rPr>
  </w:style>
  <w:style w:type="paragraph" w:customStyle="1" w:styleId="215">
    <w:name w:val="封面"/>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216">
    <w:name w:val="xl60"/>
    <w:basedOn w:val="1"/>
    <w:autoRedefine/>
    <w:qFormat/>
    <w:uiPriority w:val="0"/>
    <w:pPr>
      <w:widowControl/>
      <w:pBdr>
        <w:top w:val="single" w:color="auto" w:sz="4" w:space="0"/>
        <w:bottom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217">
    <w:name w:val="批注文字 字符"/>
    <w:basedOn w:val="60"/>
    <w:link w:val="21"/>
    <w:autoRedefine/>
    <w:semiHidden/>
    <w:qFormat/>
    <w:uiPriority w:val="99"/>
  </w:style>
  <w:style w:type="character" w:customStyle="1" w:styleId="218">
    <w:name w:val="批注主题 字符"/>
    <w:basedOn w:val="217"/>
    <w:link w:val="55"/>
    <w:autoRedefine/>
    <w:qFormat/>
    <w:uiPriority w:val="0"/>
    <w:rPr>
      <w:rFonts w:ascii="Times New Roman" w:hAnsi="Times New Roman" w:eastAsia="宋体" w:cs="Times New Roman"/>
      <w:b/>
      <w:bCs/>
      <w:sz w:val="24"/>
      <w:szCs w:val="24"/>
    </w:rPr>
  </w:style>
  <w:style w:type="character" w:customStyle="1" w:styleId="219">
    <w:name w:val="HTML 预设格式 字符"/>
    <w:basedOn w:val="60"/>
    <w:link w:val="51"/>
    <w:autoRedefine/>
    <w:qFormat/>
    <w:uiPriority w:val="0"/>
    <w:rPr>
      <w:rFonts w:ascii="黑体" w:hAnsi="Courier New" w:eastAsia="黑体" w:cs="Courier New"/>
      <w:kern w:val="0"/>
      <w:sz w:val="20"/>
      <w:szCs w:val="20"/>
    </w:rPr>
  </w:style>
  <w:style w:type="character" w:customStyle="1" w:styleId="220">
    <w:name w:val="正文文本 字符"/>
    <w:basedOn w:val="60"/>
    <w:link w:val="2"/>
    <w:qFormat/>
    <w:uiPriority w:val="99"/>
  </w:style>
  <w:style w:type="character" w:customStyle="1" w:styleId="221">
    <w:name w:val="正文文本首行缩进 字符"/>
    <w:basedOn w:val="220"/>
    <w:link w:val="56"/>
    <w:qFormat/>
    <w:uiPriority w:val="0"/>
    <w:rPr>
      <w:rFonts w:ascii="宋体" w:hAnsi="Times New Roman" w:eastAsia="宋体" w:cs="Times New Roman"/>
      <w:kern w:val="0"/>
      <w:sz w:val="34"/>
      <w:szCs w:val="20"/>
    </w:rPr>
  </w:style>
  <w:style w:type="character" w:customStyle="1" w:styleId="222">
    <w:name w:val="标题 字符"/>
    <w:basedOn w:val="60"/>
    <w:link w:val="54"/>
    <w:qFormat/>
    <w:uiPriority w:val="0"/>
    <w:rPr>
      <w:rFonts w:ascii="Arial" w:hAnsi="Arial" w:eastAsia="宋体" w:cs="Arial"/>
      <w:b/>
      <w:bCs/>
      <w:sz w:val="32"/>
      <w:szCs w:val="32"/>
    </w:rPr>
  </w:style>
  <w:style w:type="character" w:customStyle="1" w:styleId="223">
    <w:name w:val="文档结构图 字符"/>
    <w:basedOn w:val="60"/>
    <w:link w:val="19"/>
    <w:qFormat/>
    <w:uiPriority w:val="0"/>
    <w:rPr>
      <w:rFonts w:ascii="Times New Roman" w:hAnsi="Times New Roman" w:eastAsia="宋体" w:cs="Times New Roman"/>
      <w:szCs w:val="24"/>
      <w:shd w:val="clear" w:color="auto" w:fill="000080"/>
    </w:rPr>
  </w:style>
  <w:style w:type="character" w:customStyle="1" w:styleId="224">
    <w:name w:val="正文文本缩进 3 Char1"/>
    <w:basedOn w:val="60"/>
    <w:semiHidden/>
    <w:qFormat/>
    <w:uiPriority w:val="99"/>
    <w:rPr>
      <w:sz w:val="16"/>
      <w:szCs w:val="16"/>
    </w:rPr>
  </w:style>
  <w:style w:type="paragraph" w:customStyle="1" w:styleId="225">
    <w:name w:val="xl23"/>
    <w:basedOn w:val="1"/>
    <w:qFormat/>
    <w:uiPriority w:val="0"/>
    <w:pPr>
      <w:widowControl/>
      <w:pBdr>
        <w:top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6">
    <w:name w:val="xl99"/>
    <w:basedOn w:val="1"/>
    <w:qFormat/>
    <w:uiPriority w:val="0"/>
    <w:pPr>
      <w:widowControl/>
      <w:pBdr>
        <w:top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227">
    <w:name w:val="xl90"/>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character" w:customStyle="1" w:styleId="228">
    <w:name w:val="正文文本 2 字符"/>
    <w:basedOn w:val="60"/>
    <w:link w:val="50"/>
    <w:qFormat/>
    <w:uiPriority w:val="0"/>
    <w:rPr>
      <w:rFonts w:ascii="Times New Roman" w:hAnsi="Times New Roman" w:eastAsia="宋体" w:cs="Times New Roman"/>
      <w:color w:val="000000"/>
      <w:sz w:val="24"/>
      <w:szCs w:val="24"/>
    </w:rPr>
  </w:style>
  <w:style w:type="paragraph" w:customStyle="1" w:styleId="229">
    <w:name w:val="Absatz2AL"/>
    <w:basedOn w:val="2"/>
    <w:next w:val="1"/>
    <w:autoRedefine/>
    <w:qFormat/>
    <w:uiPriority w:val="0"/>
    <w:pPr>
      <w:widowControl/>
      <w:overflowPunct w:val="0"/>
      <w:autoSpaceDE w:val="0"/>
      <w:autoSpaceDN w:val="0"/>
      <w:adjustRightInd w:val="0"/>
      <w:spacing w:after="0"/>
      <w:textAlignment w:val="baseline"/>
    </w:pPr>
    <w:rPr>
      <w:rFonts w:ascii="Times New Roman" w:hAnsi="Times New Roman" w:eastAsia="楷体_GB2312" w:cs="Times New Roman"/>
      <w:kern w:val="0"/>
      <w:sz w:val="24"/>
      <w:szCs w:val="20"/>
      <w:lang w:val="de-DE"/>
    </w:rPr>
  </w:style>
  <w:style w:type="paragraph" w:customStyle="1" w:styleId="23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31">
    <w:name w:val="xl5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2">
    <w:name w:val="xl65"/>
    <w:basedOn w:val="1"/>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xl92"/>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2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35">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6">
    <w:name w:val="xl4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37">
    <w:name w:val="Char Char2"/>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38">
    <w:name w:val="xl4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39">
    <w:name w:val="xl6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46"/>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1">
    <w:name w:val="tableheading"/>
    <w:basedOn w:val="1"/>
    <w:qFormat/>
    <w:uiPriority w:val="0"/>
    <w:pPr>
      <w:widowControl/>
      <w:snapToGrid w:val="0"/>
      <w:jc w:val="center"/>
    </w:pPr>
    <w:rPr>
      <w:rFonts w:ascii="Arial" w:hAnsi="Arial" w:eastAsia="宋体" w:cs="Arial"/>
      <w:kern w:val="0"/>
      <w:sz w:val="18"/>
      <w:szCs w:val="18"/>
    </w:rPr>
  </w:style>
  <w:style w:type="paragraph" w:customStyle="1" w:styleId="242">
    <w:name w:val="样式 14 磅"/>
    <w:basedOn w:val="1"/>
    <w:qFormat/>
    <w:uiPriority w:val="0"/>
    <w:pPr>
      <w:ind w:firstLine="200" w:firstLineChars="200"/>
    </w:pPr>
    <w:rPr>
      <w:rFonts w:ascii="Times New Roman" w:hAnsi="Times New Roman" w:eastAsia="宋体" w:cs="宋体"/>
      <w:sz w:val="28"/>
      <w:szCs w:val="20"/>
    </w:rPr>
  </w:style>
  <w:style w:type="paragraph" w:customStyle="1" w:styleId="243">
    <w:name w:val="目录"/>
    <w:basedOn w:val="1"/>
    <w:qFormat/>
    <w:uiPriority w:val="0"/>
    <w:pPr>
      <w:widowControl/>
      <w:jc w:val="center"/>
    </w:pPr>
    <w:rPr>
      <w:rFonts w:ascii="宋体" w:hAnsi="Times New Roman" w:eastAsia="宋体" w:cs="Times New Roman"/>
      <w:kern w:val="0"/>
      <w:sz w:val="36"/>
      <w:szCs w:val="20"/>
    </w:rPr>
  </w:style>
  <w:style w:type="paragraph" w:customStyle="1" w:styleId="244">
    <w:name w:val="Char Char Char Char Char Char Char Char Char Char Char Char Char Char Char Char"/>
    <w:basedOn w:val="1"/>
    <w:qFormat/>
    <w:uiPriority w:val="0"/>
    <w:pPr>
      <w:tabs>
        <w:tab w:val="left" w:pos="432"/>
      </w:tabs>
      <w:spacing w:before="156" w:beforeLines="50" w:after="156" w:afterLines="50"/>
      <w:ind w:left="864" w:hanging="432"/>
      <w:jc w:val="center"/>
    </w:pPr>
    <w:rPr>
      <w:rFonts w:ascii="Verdana" w:hAnsi="Verdana" w:eastAsia="宋体" w:cs="Times New Roman"/>
      <w:kern w:val="0"/>
      <w:szCs w:val="20"/>
      <w:lang w:eastAsia="en-US"/>
    </w:rPr>
  </w:style>
  <w:style w:type="paragraph" w:customStyle="1" w:styleId="245">
    <w:name w:val="Char Char Char1"/>
    <w:basedOn w:val="1"/>
    <w:qFormat/>
    <w:uiPriority w:val="0"/>
    <w:rPr>
      <w:rFonts w:ascii="Tahoma" w:hAnsi="Tahoma" w:eastAsia="宋体" w:cs="Times New Roman"/>
      <w:sz w:val="24"/>
      <w:szCs w:val="20"/>
    </w:rPr>
  </w:style>
  <w:style w:type="paragraph" w:customStyle="1" w:styleId="246">
    <w:name w:val="Char"/>
    <w:basedOn w:val="1"/>
    <w:next w:val="54"/>
    <w:qFormat/>
    <w:uiPriority w:val="0"/>
    <w:pPr>
      <w:widowControl/>
      <w:snapToGrid w:val="0"/>
      <w:spacing w:line="400" w:lineRule="exact"/>
      <w:jc w:val="center"/>
    </w:pPr>
    <w:rPr>
      <w:rFonts w:ascii="Verdana" w:hAnsi="Verdana" w:eastAsia="宋体" w:cs="Times New Roman"/>
      <w:kern w:val="0"/>
      <w:sz w:val="24"/>
      <w:szCs w:val="20"/>
      <w:lang w:eastAsia="en-US"/>
    </w:rPr>
  </w:style>
  <w:style w:type="paragraph" w:customStyle="1" w:styleId="247">
    <w:name w:val="p4"/>
    <w:basedOn w:val="1"/>
    <w:qFormat/>
    <w:uiPriority w:val="0"/>
    <w:pPr>
      <w:widowControl/>
      <w:spacing w:after="60" w:line="360" w:lineRule="auto"/>
      <w:ind w:firstLine="360"/>
      <w:jc w:val="left"/>
    </w:pPr>
    <w:rPr>
      <w:rFonts w:ascii="宋体" w:hAnsi="宋体" w:eastAsia="宋体" w:cs="Times New Roman"/>
      <w:kern w:val="0"/>
      <w:sz w:val="24"/>
      <w:szCs w:val="24"/>
    </w:rPr>
  </w:style>
  <w:style w:type="paragraph" w:customStyle="1" w:styleId="248">
    <w:name w:val="样式 标题 3Heading 3 - oldHeading 3H3l3CTBOD 03h33rd level..."/>
    <w:basedOn w:val="5"/>
    <w:autoRedefine/>
    <w:qFormat/>
    <w:uiPriority w:val="0"/>
    <w:pPr>
      <w:keepNext/>
      <w:keepLines/>
      <w:tabs>
        <w:tab w:val="left" w:pos="1035"/>
        <w:tab w:val="left" w:pos="4500"/>
      </w:tabs>
      <w:spacing w:after="120" w:line="360" w:lineRule="auto"/>
      <w:ind w:left="2907" w:hanging="567"/>
    </w:pPr>
    <w:rPr>
      <w:rFonts w:eastAsia="黑体" w:cs="宋体"/>
      <w:sz w:val="28"/>
      <w:szCs w:val="28"/>
    </w:rPr>
  </w:style>
  <w:style w:type="paragraph" w:customStyle="1" w:styleId="249">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250">
    <w:name w:val="Char Char Char Char Char Char Char Char Char Char Char Char Char Char Char Char Char Char Char"/>
    <w:basedOn w:val="1"/>
    <w:qFormat/>
    <w:uiPriority w:val="0"/>
    <w:pPr>
      <w:tabs>
        <w:tab w:val="left" w:pos="432"/>
      </w:tabs>
      <w:spacing w:before="156" w:beforeLines="50" w:after="156" w:afterLines="50"/>
      <w:ind w:left="432" w:hanging="432"/>
      <w:jc w:val="center"/>
    </w:pPr>
    <w:rPr>
      <w:rFonts w:ascii="Times New Roman" w:hAnsi="Times New Roman" w:eastAsia="宋体" w:cs="Times New Roman"/>
      <w:sz w:val="24"/>
      <w:szCs w:val="24"/>
    </w:rPr>
  </w:style>
  <w:style w:type="paragraph" w:customStyle="1" w:styleId="251">
    <w:name w:val="正文居中"/>
    <w:basedOn w:val="1"/>
    <w:autoRedefine/>
    <w:qFormat/>
    <w:uiPriority w:val="0"/>
    <w:pPr>
      <w:spacing w:before="50" w:after="50" w:line="300" w:lineRule="auto"/>
      <w:ind w:firstLine="200" w:firstLineChars="200"/>
      <w:jc w:val="center"/>
    </w:pPr>
    <w:rPr>
      <w:rFonts w:ascii="Times New Roman" w:hAnsi="Times New Roman" w:eastAsia="宋体" w:cs="Times New Roman"/>
      <w:sz w:val="24"/>
      <w:szCs w:val="24"/>
    </w:rPr>
  </w:style>
  <w:style w:type="paragraph" w:customStyle="1" w:styleId="252">
    <w:name w:val="xl10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3">
    <w:name w:val="Style Heading 3H31.1.1标题 3Level 3 Headlevel_3PIM 3h3sect1.2...."/>
    <w:basedOn w:val="5"/>
    <w:qFormat/>
    <w:uiPriority w:val="0"/>
    <w:pPr>
      <w:keepNext/>
      <w:keepLines/>
      <w:tabs>
        <w:tab w:val="left" w:pos="1035"/>
        <w:tab w:val="left" w:pos="1571"/>
      </w:tabs>
      <w:spacing w:after="120" w:line="360" w:lineRule="auto"/>
      <w:ind w:left="1571" w:hanging="720"/>
      <w:jc w:val="center"/>
    </w:pPr>
    <w:rPr>
      <w:rFonts w:ascii="宋体" w:eastAsia="黑体"/>
      <w:kern w:val="21"/>
      <w:sz w:val="28"/>
      <w:szCs w:val="20"/>
    </w:rPr>
  </w:style>
  <w:style w:type="paragraph" w:customStyle="1" w:styleId="254">
    <w:name w:val="普通 (Web)"/>
    <w:basedOn w:val="210"/>
    <w:next w:val="210"/>
    <w:qFormat/>
    <w:uiPriority w:val="0"/>
    <w:pPr>
      <w:spacing w:before="100" w:after="100"/>
    </w:pPr>
    <w:rPr>
      <w:rFonts w:ascii="黑体" w:hAnsi="Times New Roman" w:eastAsia="黑体" w:cs="Times New Roman"/>
      <w:color w:val="auto"/>
    </w:rPr>
  </w:style>
  <w:style w:type="paragraph" w:customStyle="1" w:styleId="255">
    <w:name w:val="Char Char23"/>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256">
    <w:name w:val="CM2"/>
    <w:basedOn w:val="210"/>
    <w:next w:val="210"/>
    <w:qFormat/>
    <w:uiPriority w:val="0"/>
    <w:pPr>
      <w:spacing w:after="310"/>
    </w:pPr>
    <w:rPr>
      <w:rFonts w:cs="Times New Roman"/>
      <w:color w:val="auto"/>
    </w:rPr>
  </w:style>
  <w:style w:type="paragraph" w:customStyle="1" w:styleId="257">
    <w:name w:val="样式 题注 + 首行缩进:  2 字符2"/>
    <w:basedOn w:val="16"/>
    <w:qFormat/>
    <w:uiPriority w:val="0"/>
    <w:pPr>
      <w:spacing w:line="360" w:lineRule="auto"/>
      <w:ind w:firstLine="200" w:firstLineChars="200"/>
    </w:pPr>
    <w:rPr>
      <w:rFonts w:ascii="Times New Roman" w:hAnsi="Times New Roman" w:eastAsia="宋体" w:cs="宋体"/>
      <w:sz w:val="24"/>
      <w:szCs w:val="24"/>
    </w:rPr>
  </w:style>
  <w:style w:type="paragraph" w:customStyle="1" w:styleId="25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259">
    <w:name w:val="a1"/>
    <w:basedOn w:val="1"/>
    <w:qFormat/>
    <w:uiPriority w:val="0"/>
    <w:pPr>
      <w:widowControl/>
      <w:spacing w:line="300" w:lineRule="atLeast"/>
      <w:jc w:val="left"/>
    </w:pPr>
    <w:rPr>
      <w:rFonts w:ascii="宋体" w:hAnsi="宋体" w:eastAsia="宋体" w:cs="宋体"/>
      <w:kern w:val="0"/>
      <w:sz w:val="18"/>
      <w:szCs w:val="18"/>
    </w:rPr>
  </w:style>
  <w:style w:type="paragraph" w:customStyle="1" w:styleId="260">
    <w:name w:val="样式 标题 5第四层条Titre5H5h5PIM 5Titre 5 lettreheading 5h51hea..."/>
    <w:basedOn w:val="8"/>
    <w:qFormat/>
    <w:uiPriority w:val="0"/>
    <w:pPr>
      <w:numPr>
        <w:ilvl w:val="4"/>
        <w:numId w:val="8"/>
      </w:numPr>
      <w:spacing w:before="100" w:beforeAutospacing="1" w:after="100" w:afterAutospacing="1" w:line="360" w:lineRule="auto"/>
    </w:pPr>
    <w:rPr>
      <w:rFonts w:cs="宋体"/>
      <w:szCs w:val="20"/>
    </w:rPr>
  </w:style>
  <w:style w:type="paragraph" w:customStyle="1" w:styleId="261">
    <w:name w:val="文档正文"/>
    <w:basedOn w:val="1"/>
    <w:qFormat/>
    <w:uiPriority w:val="0"/>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262">
    <w:name w:val="xl101"/>
    <w:basedOn w:val="1"/>
    <w:qFormat/>
    <w:uiPriority w:val="0"/>
    <w:pPr>
      <w:widowControl/>
      <w:pBdr>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263">
    <w:name w:val="xl57"/>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64">
    <w:name w:val="大纲(无缩进)"/>
    <w:basedOn w:val="1"/>
    <w:qFormat/>
    <w:uiPriority w:val="0"/>
    <w:pPr>
      <w:ind w:left="360" w:hanging="360"/>
      <w:jc w:val="left"/>
    </w:pPr>
    <w:rPr>
      <w:rFonts w:ascii="Times New Roman" w:hAnsi="Times New Roman" w:eastAsia="宋体" w:cs="Times New Roman"/>
      <w:sz w:val="24"/>
      <w:szCs w:val="24"/>
    </w:rPr>
  </w:style>
  <w:style w:type="paragraph" w:customStyle="1" w:styleId="265">
    <w:name w:val="缺省文本"/>
    <w:basedOn w:val="1"/>
    <w:qFormat/>
    <w:uiPriority w:val="0"/>
    <w:pPr>
      <w:jc w:val="left"/>
    </w:pPr>
    <w:rPr>
      <w:rFonts w:ascii="Times New Roman" w:hAnsi="Times New Roman" w:eastAsia="宋体" w:cs="Times New Roman"/>
      <w:sz w:val="24"/>
      <w:szCs w:val="24"/>
    </w:rPr>
  </w:style>
  <w:style w:type="paragraph" w:customStyle="1" w:styleId="266">
    <w:name w:val="Char4"/>
    <w:basedOn w:val="1"/>
    <w:autoRedefine/>
    <w:qFormat/>
    <w:uiPriority w:val="0"/>
    <w:pPr>
      <w:numPr>
        <w:ilvl w:val="0"/>
        <w:numId w:val="9"/>
      </w:numPr>
    </w:pPr>
    <w:rPr>
      <w:rFonts w:ascii="Times New Roman" w:hAnsi="Times New Roman" w:eastAsia="宋体" w:cs="Times New Roman"/>
      <w:sz w:val="24"/>
      <w:szCs w:val="24"/>
    </w:rPr>
  </w:style>
  <w:style w:type="paragraph" w:customStyle="1" w:styleId="267">
    <w:name w:val="xl88"/>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268">
    <w:name w:val="Char Char1 Char Char"/>
    <w:basedOn w:val="1"/>
    <w:qFormat/>
    <w:uiPriority w:val="0"/>
    <w:rPr>
      <w:rFonts w:ascii="Times New Roman" w:hAnsi="Times New Roman" w:eastAsia="宋体" w:cs="Times New Roman"/>
      <w:szCs w:val="20"/>
    </w:rPr>
  </w:style>
  <w:style w:type="paragraph" w:customStyle="1" w:styleId="26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0">
    <w:name w:val="CSS1级正文"/>
    <w:basedOn w:val="2"/>
    <w:qFormat/>
    <w:uiPriority w:val="0"/>
    <w:pPr>
      <w:adjustRightInd w:val="0"/>
      <w:snapToGrid w:val="0"/>
      <w:spacing w:after="0" w:line="360" w:lineRule="auto"/>
      <w:ind w:firstLine="480" w:firstLineChars="200"/>
    </w:pPr>
    <w:rPr>
      <w:rFonts w:ascii="Times New Roman" w:hAnsi="Times New Roman" w:eastAsia="宋体" w:cs="宋体"/>
      <w:sz w:val="24"/>
      <w:szCs w:val="20"/>
    </w:rPr>
  </w:style>
  <w:style w:type="paragraph" w:customStyle="1" w:styleId="271">
    <w:name w:val="项目符号 1"/>
    <w:basedOn w:val="1"/>
    <w:qFormat/>
    <w:uiPriority w:val="0"/>
    <w:pPr>
      <w:ind w:left="360" w:hanging="360"/>
      <w:jc w:val="left"/>
    </w:pPr>
    <w:rPr>
      <w:rFonts w:ascii="Times New Roman" w:hAnsi="Times New Roman" w:eastAsia="宋体" w:cs="Times New Roman"/>
      <w:sz w:val="24"/>
      <w:szCs w:val="24"/>
    </w:rPr>
  </w:style>
  <w:style w:type="paragraph" w:customStyle="1" w:styleId="272">
    <w:name w:val="正文（缩进） Char Char"/>
    <w:basedOn w:val="1"/>
    <w:qFormat/>
    <w:uiPriority w:val="0"/>
    <w:pPr>
      <w:spacing w:before="156" w:beforeLines="50" w:after="156" w:afterLines="50" w:line="360" w:lineRule="auto"/>
      <w:ind w:firstLine="480" w:firstLineChars="200"/>
    </w:pPr>
    <w:rPr>
      <w:rFonts w:ascii="Times New Roman" w:hAnsi="Times New Roman" w:eastAsia="宋体" w:cs="Times New Roman"/>
      <w:sz w:val="24"/>
      <w:szCs w:val="24"/>
    </w:rPr>
  </w:style>
  <w:style w:type="paragraph" w:customStyle="1" w:styleId="273">
    <w:name w:val="Table Text"/>
    <w:basedOn w:val="1"/>
    <w:qFormat/>
    <w:uiPriority w:val="0"/>
    <w:pPr>
      <w:widowControl/>
      <w:tabs>
        <w:tab w:val="decimal" w:pos="0"/>
      </w:tabs>
      <w:autoSpaceDE w:val="0"/>
      <w:autoSpaceDN w:val="0"/>
      <w:adjustRightInd w:val="0"/>
      <w:spacing w:before="80" w:after="80"/>
    </w:pPr>
    <w:rPr>
      <w:rFonts w:ascii="Arial" w:hAnsi="Arial" w:eastAsia="宋体" w:cs="Arial"/>
      <w:kern w:val="0"/>
      <w:sz w:val="18"/>
      <w:szCs w:val="20"/>
    </w:rPr>
  </w:style>
  <w:style w:type="paragraph" w:customStyle="1" w:styleId="274">
    <w:name w:val="文件标题"/>
    <w:basedOn w:val="1"/>
    <w:qFormat/>
    <w:uiPriority w:val="0"/>
    <w:pPr>
      <w:spacing w:after="240"/>
      <w:jc w:val="center"/>
    </w:pPr>
    <w:rPr>
      <w:rFonts w:ascii="Arial Black" w:hAnsi="Arial Black" w:eastAsia="宋体" w:cs="Arial Black"/>
      <w:sz w:val="48"/>
      <w:szCs w:val="48"/>
    </w:rPr>
  </w:style>
  <w:style w:type="paragraph" w:customStyle="1" w:styleId="275">
    <w:name w:val="xl32"/>
    <w:basedOn w:val="1"/>
    <w:qFormat/>
    <w:uiPriority w:val="0"/>
    <w:pPr>
      <w:widowControl/>
      <w:pBdr>
        <w:top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6">
    <w:name w:val="样式 标题 4小节标题H44th levelh4PIM 4bulletblbb高3heading 4TOC...1"/>
    <w:basedOn w:val="6"/>
    <w:qFormat/>
    <w:uiPriority w:val="0"/>
    <w:pPr>
      <w:tabs>
        <w:tab w:val="left" w:pos="1389"/>
        <w:tab w:val="left" w:pos="2356"/>
        <w:tab w:val="clear" w:pos="0"/>
      </w:tabs>
      <w:adjustRightInd w:val="0"/>
      <w:spacing w:before="124" w:beforeLines="40" w:after="156" w:afterLines="50" w:line="416" w:lineRule="atLeast"/>
      <w:ind w:left="1984" w:hanging="708" w:firstLineChars="0"/>
      <w:jc w:val="left"/>
    </w:pPr>
    <w:rPr>
      <w:rFonts w:eastAsia="宋体"/>
      <w:b w:val="0"/>
      <w:bCs/>
      <w:szCs w:val="30"/>
    </w:rPr>
  </w:style>
  <w:style w:type="paragraph" w:customStyle="1" w:styleId="277">
    <w:name w:val="编号列表"/>
    <w:basedOn w:val="1"/>
    <w:autoRedefine/>
    <w:qFormat/>
    <w:uiPriority w:val="0"/>
    <w:pPr>
      <w:ind w:left="360" w:hanging="360"/>
      <w:jc w:val="left"/>
    </w:pPr>
    <w:rPr>
      <w:rFonts w:ascii="Times New Roman" w:hAnsi="Times New Roman" w:eastAsia="宋体" w:cs="Times New Roman"/>
      <w:sz w:val="24"/>
      <w:szCs w:val="24"/>
    </w:rPr>
  </w:style>
  <w:style w:type="paragraph" w:customStyle="1" w:styleId="278">
    <w:name w:val="表正文"/>
    <w:basedOn w:val="1"/>
    <w:next w:val="7"/>
    <w:autoRedefine/>
    <w:qFormat/>
    <w:uiPriority w:val="0"/>
    <w:pPr>
      <w:ind w:firstLine="420"/>
    </w:pPr>
    <w:rPr>
      <w:rFonts w:ascii="Times New Roman" w:hAnsi="Times New Roman" w:eastAsia="宋体" w:cs="Times New Roman"/>
      <w:szCs w:val="20"/>
    </w:rPr>
  </w:style>
  <w:style w:type="paragraph" w:customStyle="1" w:styleId="279">
    <w:name w:val="五级条标题"/>
    <w:basedOn w:val="280"/>
    <w:next w:val="1"/>
    <w:autoRedefine/>
    <w:qFormat/>
    <w:uiPriority w:val="0"/>
    <w:pPr>
      <w:numPr>
        <w:ilvl w:val="6"/>
      </w:numPr>
      <w:tabs>
        <w:tab w:val="left" w:pos="1680"/>
      </w:tabs>
      <w:outlineLvl w:val="6"/>
    </w:pPr>
  </w:style>
  <w:style w:type="paragraph" w:customStyle="1" w:styleId="280">
    <w:name w:val="四级条标题"/>
    <w:basedOn w:val="281"/>
    <w:next w:val="1"/>
    <w:qFormat/>
    <w:uiPriority w:val="0"/>
    <w:pPr>
      <w:numPr>
        <w:ilvl w:val="5"/>
      </w:numPr>
      <w:tabs>
        <w:tab w:val="left" w:pos="1680"/>
      </w:tabs>
      <w:outlineLvl w:val="5"/>
    </w:pPr>
  </w:style>
  <w:style w:type="paragraph" w:customStyle="1" w:styleId="281">
    <w:name w:val="三级条标题"/>
    <w:basedOn w:val="282"/>
    <w:next w:val="269"/>
    <w:autoRedefine/>
    <w:qFormat/>
    <w:uiPriority w:val="0"/>
    <w:pPr>
      <w:numPr>
        <w:ilvl w:val="4"/>
      </w:numPr>
      <w:tabs>
        <w:tab w:val="left" w:pos="1680"/>
      </w:tabs>
      <w:outlineLvl w:val="4"/>
    </w:pPr>
  </w:style>
  <w:style w:type="paragraph" w:customStyle="1" w:styleId="282">
    <w:name w:val="二级条标题"/>
    <w:basedOn w:val="1"/>
    <w:next w:val="269"/>
    <w:qFormat/>
    <w:uiPriority w:val="0"/>
    <w:pPr>
      <w:widowControl/>
      <w:numPr>
        <w:ilvl w:val="3"/>
        <w:numId w:val="10"/>
      </w:numPr>
      <w:jc w:val="left"/>
      <w:outlineLvl w:val="3"/>
    </w:pPr>
    <w:rPr>
      <w:rFonts w:ascii="Times New Roman" w:hAnsi="Times New Roman" w:eastAsia="黑体" w:cs="Times New Roman"/>
      <w:kern w:val="0"/>
      <w:szCs w:val="20"/>
    </w:rPr>
  </w:style>
  <w:style w:type="paragraph" w:customStyle="1" w:styleId="283">
    <w:name w:val="Table Body"/>
    <w:basedOn w:val="1"/>
    <w:qFormat/>
    <w:uiPriority w:val="0"/>
    <w:pPr>
      <w:widowControl/>
      <w:jc w:val="center"/>
    </w:pPr>
    <w:rPr>
      <w:rFonts w:ascii="Arial" w:hAnsi="Arial" w:eastAsia="宋体" w:cs="Times New Roman"/>
      <w:snapToGrid w:val="0"/>
      <w:kern w:val="0"/>
      <w:sz w:val="18"/>
      <w:szCs w:val="20"/>
    </w:rPr>
  </w:style>
  <w:style w:type="paragraph" w:customStyle="1" w:styleId="2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993366"/>
      <w:kern w:val="0"/>
      <w:sz w:val="28"/>
      <w:szCs w:val="28"/>
    </w:rPr>
  </w:style>
  <w:style w:type="paragraph" w:customStyle="1" w:styleId="2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6">
    <w:name w:val="Char5 Char Char1 Char"/>
    <w:basedOn w:val="1"/>
    <w:qFormat/>
    <w:uiPriority w:val="0"/>
    <w:rPr>
      <w:rFonts w:ascii="Tahoma" w:hAnsi="Tahoma" w:eastAsia="宋体" w:cs="Times New Roman"/>
      <w:sz w:val="24"/>
      <w:szCs w:val="20"/>
    </w:rPr>
  </w:style>
  <w:style w:type="paragraph" w:customStyle="1" w:styleId="287">
    <w:name w:val="大纲(缩进)"/>
    <w:basedOn w:val="1"/>
    <w:qFormat/>
    <w:uiPriority w:val="0"/>
    <w:pPr>
      <w:ind w:left="360" w:hanging="360"/>
      <w:jc w:val="left"/>
    </w:pPr>
    <w:rPr>
      <w:rFonts w:ascii="Times New Roman" w:hAnsi="Times New Roman" w:eastAsia="宋体" w:cs="Times New Roman"/>
      <w:sz w:val="24"/>
      <w:szCs w:val="24"/>
    </w:rPr>
  </w:style>
  <w:style w:type="paragraph" w:customStyle="1" w:styleId="288">
    <w:name w:val="Heading 2 节"/>
    <w:next w:val="1"/>
    <w:qFormat/>
    <w:uiPriority w:val="0"/>
    <w:pPr>
      <w:tabs>
        <w:tab w:val="left" w:pos="360"/>
      </w:tabs>
      <w:spacing w:before="109" w:beforeLines="35" w:after="109" w:afterLines="35" w:line="440" w:lineRule="exact"/>
      <w:jc w:val="center"/>
    </w:pPr>
    <w:rPr>
      <w:rFonts w:ascii="Times New Roman" w:hAnsi="Times New Roman" w:eastAsia="黑体" w:cs="Times New Roman"/>
      <w:b/>
      <w:bCs/>
      <w:kern w:val="2"/>
      <w:sz w:val="28"/>
      <w:szCs w:val="28"/>
      <w:lang w:val="en-US" w:eastAsia="zh-CN" w:bidi="ar-SA"/>
    </w:rPr>
  </w:style>
  <w:style w:type="paragraph" w:customStyle="1" w:styleId="289">
    <w:name w:val="标题4（新）"/>
    <w:basedOn w:val="1"/>
    <w:qFormat/>
    <w:uiPriority w:val="0"/>
    <w:pPr>
      <w:numPr>
        <w:ilvl w:val="0"/>
        <w:numId w:val="11"/>
      </w:numPr>
      <w:spacing w:line="360" w:lineRule="auto"/>
    </w:pPr>
    <w:rPr>
      <w:rFonts w:ascii="宋体" w:hAnsi="宋体" w:eastAsia="宋体" w:cs="Times New Roman"/>
      <w:b/>
      <w:szCs w:val="21"/>
    </w:rPr>
  </w:style>
  <w:style w:type="paragraph" w:customStyle="1" w:styleId="290">
    <w:name w:val="z-窗体底端1"/>
    <w:basedOn w:val="1"/>
    <w:next w:val="1"/>
    <w:link w:val="291"/>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291">
    <w:name w:val="z-窗体底端 Char"/>
    <w:basedOn w:val="60"/>
    <w:link w:val="290"/>
    <w:qFormat/>
    <w:uiPriority w:val="0"/>
    <w:rPr>
      <w:rFonts w:ascii="Arial" w:hAnsi="Arial" w:eastAsia="宋体" w:cs="Arial"/>
      <w:vanish/>
      <w:kern w:val="0"/>
      <w:sz w:val="16"/>
      <w:szCs w:val="16"/>
    </w:rPr>
  </w:style>
  <w:style w:type="paragraph" w:customStyle="1" w:styleId="292">
    <w:name w:val="xl24"/>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293">
    <w:name w:val="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94">
    <w:name w:val="图标题"/>
    <w:basedOn w:val="1"/>
    <w:next w:val="1"/>
    <w:autoRedefine/>
    <w:qFormat/>
    <w:uiPriority w:val="0"/>
    <w:pPr>
      <w:numPr>
        <w:ilvl w:val="0"/>
        <w:numId w:val="12"/>
      </w:numPr>
      <w:spacing w:line="360" w:lineRule="atLeast"/>
      <w:ind w:left="0"/>
      <w:jc w:val="center"/>
    </w:pPr>
    <w:rPr>
      <w:rFonts w:ascii="Times New Roman" w:hAnsi="Times New Roman" w:eastAsia="宋体" w:cs="Times New Roman"/>
      <w:bCs/>
      <w:szCs w:val="24"/>
    </w:rPr>
  </w:style>
  <w:style w:type="paragraph" w:customStyle="1" w:styleId="295">
    <w:name w:val="Char1 Char Char Char Char Char Char2"/>
    <w:basedOn w:val="1"/>
    <w:qFormat/>
    <w:uiPriority w:val="0"/>
    <w:rPr>
      <w:rFonts w:ascii="Tahoma" w:hAnsi="Tahoma" w:eastAsia="宋体" w:cs="Times New Roman"/>
      <w:sz w:val="24"/>
      <w:szCs w:val="20"/>
    </w:rPr>
  </w:style>
  <w:style w:type="paragraph" w:customStyle="1" w:styleId="296">
    <w:name w:val="样式 标题 3h33rd levelH3Level 3 Headlevel_3PIM 3Heading 3 - o...1"/>
    <w:basedOn w:val="5"/>
    <w:qFormat/>
    <w:uiPriority w:val="0"/>
    <w:pPr>
      <w:keepNext/>
      <w:keepLines/>
      <w:spacing w:after="120" w:line="460" w:lineRule="exact"/>
    </w:pPr>
    <w:rPr>
      <w:bCs w:val="0"/>
      <w:sz w:val="32"/>
      <w:szCs w:val="20"/>
    </w:rPr>
  </w:style>
  <w:style w:type="paragraph" w:customStyle="1" w:styleId="297">
    <w:name w:val="表格头"/>
    <w:basedOn w:val="298"/>
    <w:qFormat/>
    <w:uiPriority w:val="0"/>
    <w:pPr>
      <w:jc w:val="center"/>
    </w:pPr>
    <w:rPr>
      <w:rFonts w:eastAsia="楷体_GB2312"/>
      <w:b/>
      <w:sz w:val="28"/>
    </w:rPr>
  </w:style>
  <w:style w:type="paragraph" w:customStyle="1" w:styleId="298">
    <w:name w:val="表格正文"/>
    <w:basedOn w:val="1"/>
    <w:qFormat/>
    <w:uiPriority w:val="0"/>
    <w:rPr>
      <w:rFonts w:ascii="Times New Roman" w:hAnsi="Times New Roman" w:eastAsia="宋体" w:cs="Times New Roman"/>
      <w:sz w:val="24"/>
      <w:szCs w:val="20"/>
    </w:rPr>
  </w:style>
  <w:style w:type="paragraph" w:customStyle="1" w:styleId="299">
    <w:name w:val="项目"/>
    <w:basedOn w:val="1"/>
    <w:qFormat/>
    <w:uiPriority w:val="0"/>
    <w:pPr>
      <w:adjustRightInd w:val="0"/>
      <w:snapToGrid w:val="0"/>
      <w:spacing w:before="120" w:after="120"/>
      <w:ind w:left="106" w:leftChars="-201" w:hanging="522" w:hangingChars="175"/>
      <w:jc w:val="left"/>
    </w:pPr>
    <w:rPr>
      <w:rFonts w:ascii="宋体" w:hAnsi="宋体" w:eastAsia="宋体" w:cs="Times New Roman"/>
      <w:b/>
      <w:kern w:val="0"/>
      <w:sz w:val="30"/>
      <w:szCs w:val="20"/>
    </w:rPr>
  </w:style>
  <w:style w:type="paragraph" w:customStyle="1" w:styleId="300">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01">
    <w:name w:val="4"/>
    <w:basedOn w:val="1"/>
    <w:next w:val="1"/>
    <w:qFormat/>
    <w:uiPriority w:val="0"/>
    <w:rPr>
      <w:rFonts w:ascii="Times New Roman" w:hAnsi="Times New Roman" w:eastAsia="宋体" w:cs="Times New Roman"/>
      <w:szCs w:val="24"/>
    </w:rPr>
  </w:style>
  <w:style w:type="paragraph" w:customStyle="1" w:styleId="302">
    <w:name w:val="样式5"/>
    <w:basedOn w:val="303"/>
    <w:next w:val="303"/>
    <w:qFormat/>
    <w:uiPriority w:val="0"/>
    <w:pPr>
      <w:tabs>
        <w:tab w:val="right" w:leader="dot" w:pos="9458"/>
      </w:tabs>
    </w:pPr>
  </w:style>
  <w:style w:type="paragraph" w:customStyle="1" w:styleId="303">
    <w:name w:val="样式4"/>
    <w:basedOn w:val="38"/>
    <w:qFormat/>
    <w:uiPriority w:val="0"/>
    <w:pPr>
      <w:tabs>
        <w:tab w:val="right" w:leader="dot" w:pos="9458"/>
      </w:tabs>
    </w:pPr>
    <w:rPr>
      <w:b w:val="0"/>
      <w:sz w:val="21"/>
      <w:szCs w:val="24"/>
    </w:rPr>
  </w:style>
  <w:style w:type="paragraph" w:customStyle="1" w:styleId="304">
    <w:name w:val="xl74"/>
    <w:basedOn w:val="1"/>
    <w:qFormat/>
    <w:uiPriority w:val="0"/>
    <w:pPr>
      <w:widowControl/>
      <w:spacing w:before="100" w:beforeAutospacing="1" w:after="100" w:afterAutospacing="1"/>
      <w:jc w:val="center"/>
      <w:textAlignment w:val="center"/>
    </w:pPr>
    <w:rPr>
      <w:rFonts w:ascii="宋体" w:hAnsi="宋体" w:eastAsia="宋体" w:cs="宋体"/>
      <w:kern w:val="0"/>
      <w:sz w:val="36"/>
      <w:szCs w:val="36"/>
    </w:rPr>
  </w:style>
  <w:style w:type="paragraph" w:customStyle="1" w:styleId="30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06">
    <w:name w:val="样式 标题 2H2标题 1.1Title2h2Underrubrik1prop2标题二H21Heading 2...1"/>
    <w:basedOn w:val="4"/>
    <w:next w:val="54"/>
    <w:qFormat/>
    <w:uiPriority w:val="0"/>
    <w:pPr>
      <w:widowControl/>
      <w:autoSpaceDE w:val="0"/>
      <w:autoSpaceDN w:val="0"/>
      <w:adjustRightInd w:val="0"/>
      <w:spacing w:before="100" w:after="100" w:line="240" w:lineRule="auto"/>
    </w:pPr>
    <w:rPr>
      <w:rFonts w:ascii="黑体" w:hAnsi="宋体"/>
      <w:b w:val="0"/>
      <w:bCs w:val="0"/>
      <w:spacing w:val="24"/>
      <w:kern w:val="0"/>
      <w:sz w:val="24"/>
      <w:szCs w:val="20"/>
    </w:rPr>
  </w:style>
  <w:style w:type="paragraph" w:customStyle="1" w:styleId="307">
    <w:name w:val="Char Char Char Char Char Char Char Char Char Char"/>
    <w:basedOn w:val="1"/>
    <w:qFormat/>
    <w:uiPriority w:val="0"/>
    <w:pPr>
      <w:tabs>
        <w:tab w:val="left" w:pos="360"/>
      </w:tabs>
    </w:pPr>
    <w:rPr>
      <w:rFonts w:ascii="Times New Roman" w:hAnsi="Times New Roman" w:eastAsia="宋体" w:cs="Times New Roman"/>
      <w:sz w:val="24"/>
      <w:szCs w:val="20"/>
    </w:rPr>
  </w:style>
  <w:style w:type="paragraph" w:customStyle="1" w:styleId="308">
    <w:name w:val="样式 正文 +"/>
    <w:basedOn w:val="1"/>
    <w:qFormat/>
    <w:uiPriority w:val="0"/>
    <w:pPr>
      <w:spacing w:line="360" w:lineRule="auto"/>
      <w:jc w:val="left"/>
    </w:pPr>
    <w:rPr>
      <w:rFonts w:ascii="仿宋_GB2312" w:hAnsi="Times New Roman" w:eastAsia="仿宋_GB2312" w:cs="宋体"/>
      <w:sz w:val="28"/>
      <w:szCs w:val="20"/>
    </w:rPr>
  </w:style>
  <w:style w:type="paragraph" w:customStyle="1" w:styleId="309">
    <w:name w:val="Char Char1 Char Char2"/>
    <w:basedOn w:val="1"/>
    <w:qFormat/>
    <w:uiPriority w:val="0"/>
    <w:rPr>
      <w:rFonts w:ascii="Times New Roman" w:hAnsi="Times New Roman" w:eastAsia="宋体" w:cs="Times New Roman"/>
      <w:szCs w:val="20"/>
    </w:rPr>
  </w:style>
  <w:style w:type="paragraph" w:customStyle="1" w:styleId="310">
    <w:name w:val="样式二"/>
    <w:basedOn w:val="1"/>
    <w:qFormat/>
    <w:uiPriority w:val="0"/>
    <w:pPr>
      <w:numPr>
        <w:ilvl w:val="0"/>
        <w:numId w:val="13"/>
      </w:numPr>
      <w:tabs>
        <w:tab w:val="left" w:pos="61"/>
      </w:tabs>
      <w:spacing w:line="360" w:lineRule="auto"/>
      <w:jc w:val="left"/>
    </w:pPr>
    <w:rPr>
      <w:rFonts w:ascii="楷体_GB2312" w:hAnsi="Times New Roman" w:eastAsia="宋体" w:cs="宋体"/>
      <w:sz w:val="24"/>
      <w:szCs w:val="20"/>
    </w:rPr>
  </w:style>
  <w:style w:type="paragraph" w:customStyle="1" w:styleId="31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12">
    <w:name w:val="xl63"/>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13">
    <w:name w:val="xl21"/>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14">
    <w:name w:val="样式 标题 3H31.1.1标题 3h3sect1.2.3BOD 03rd levellevel_3PIM 3...2"/>
    <w:basedOn w:val="5"/>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31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16">
    <w:name w:val="Y-图片"/>
    <w:basedOn w:val="1"/>
    <w:next w:val="1"/>
    <w:qFormat/>
    <w:uiPriority w:val="0"/>
    <w:pPr>
      <w:spacing w:before="120" w:after="120" w:line="360" w:lineRule="auto"/>
      <w:jc w:val="center"/>
    </w:pPr>
    <w:rPr>
      <w:rFonts w:ascii="黑体" w:hAnsi="黑体" w:eastAsia="宋体" w:cs="Times New Roman"/>
      <w:sz w:val="24"/>
      <w:szCs w:val="24"/>
    </w:rPr>
  </w:style>
  <w:style w:type="paragraph" w:customStyle="1" w:styleId="317">
    <w:name w:val="序列a)b)"/>
    <w:basedOn w:val="1"/>
    <w:qFormat/>
    <w:uiPriority w:val="0"/>
    <w:pPr>
      <w:widowControl/>
      <w:numPr>
        <w:ilvl w:val="1"/>
        <w:numId w:val="14"/>
      </w:numPr>
      <w:tabs>
        <w:tab w:val="left" w:pos="845"/>
      </w:tabs>
      <w:adjustRightInd w:val="0"/>
      <w:snapToGrid w:val="0"/>
      <w:spacing w:line="300" w:lineRule="auto"/>
      <w:jc w:val="left"/>
      <w:textAlignment w:val="baseline"/>
    </w:pPr>
    <w:rPr>
      <w:rFonts w:ascii="Times New Roman" w:hAnsi="Times New Roman" w:eastAsia="宋体" w:cs="Times New Roman"/>
      <w:kern w:val="0"/>
      <w:sz w:val="24"/>
      <w:szCs w:val="20"/>
    </w:rPr>
  </w:style>
  <w:style w:type="paragraph" w:customStyle="1" w:styleId="318">
    <w:name w:val="Table Text Char Char Char Char Char Char1"/>
    <w:qFormat/>
    <w:uiPriority w:val="0"/>
    <w:pPr>
      <w:snapToGrid w:val="0"/>
      <w:spacing w:before="80" w:after="80"/>
    </w:pPr>
    <w:rPr>
      <w:rFonts w:ascii="Arial" w:hAnsi="Arial" w:eastAsia="宋体" w:cs="Arial"/>
      <w:sz w:val="18"/>
      <w:szCs w:val="21"/>
      <w:lang w:val="en-US" w:eastAsia="zh-CN" w:bidi="ar-SA"/>
    </w:rPr>
  </w:style>
  <w:style w:type="paragraph" w:customStyle="1" w:styleId="319">
    <w:name w:val="首行缩进"/>
    <w:basedOn w:val="1"/>
    <w:autoRedefine/>
    <w:qFormat/>
    <w:uiPriority w:val="0"/>
    <w:pPr>
      <w:ind w:firstLine="720"/>
      <w:jc w:val="left"/>
    </w:pPr>
    <w:rPr>
      <w:rFonts w:ascii="Times New Roman" w:hAnsi="Times New Roman" w:eastAsia="宋体" w:cs="Times New Roman"/>
      <w:sz w:val="24"/>
      <w:szCs w:val="24"/>
    </w:rPr>
  </w:style>
  <w:style w:type="paragraph" w:customStyle="1" w:styleId="320">
    <w:name w:val="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21">
    <w:name w:val="正文下的123"/>
    <w:basedOn w:val="1"/>
    <w:next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322">
    <w:name w:val="样式1"/>
    <w:basedOn w:val="36"/>
    <w:qFormat/>
    <w:uiPriority w:val="0"/>
    <w:pPr>
      <w:pBdr>
        <w:top w:val="none" w:color="auto" w:sz="0" w:space="0"/>
        <w:left w:val="none" w:color="auto" w:sz="0" w:space="0"/>
        <w:bottom w:val="none" w:color="auto" w:sz="0" w:space="0"/>
        <w:right w:val="none" w:color="auto" w:sz="0" w:space="0"/>
      </w:pBdr>
      <w:tabs>
        <w:tab w:val="clear" w:pos="4153"/>
        <w:tab w:val="clear" w:pos="8306"/>
      </w:tabs>
      <w:autoSpaceDE w:val="0"/>
      <w:autoSpaceDN w:val="0"/>
      <w:adjustRightInd w:val="0"/>
      <w:spacing w:line="240" w:lineRule="atLeast"/>
      <w:ind w:firstLine="360"/>
      <w:jc w:val="center"/>
      <w:textAlignment w:val="baseline"/>
    </w:pPr>
    <w:rPr>
      <w:color w:val="000000"/>
      <w:kern w:val="0"/>
      <w:szCs w:val="18"/>
    </w:rPr>
  </w:style>
  <w:style w:type="paragraph" w:customStyle="1" w:styleId="323">
    <w:name w:val="图表目录1"/>
    <w:basedOn w:val="29"/>
    <w:qFormat/>
    <w:uiPriority w:val="0"/>
    <w:pPr>
      <w:tabs>
        <w:tab w:val="clear" w:pos="284"/>
      </w:tabs>
      <w:spacing w:after="120"/>
      <w:ind w:firstLine="0" w:firstLineChars="0"/>
      <w:jc w:val="center"/>
    </w:pPr>
    <w:rPr>
      <w:rFonts w:ascii="楷体"/>
      <w:sz w:val="28"/>
      <w:szCs w:val="20"/>
    </w:rPr>
  </w:style>
  <w:style w:type="paragraph" w:customStyle="1" w:styleId="324">
    <w:name w:val="Char Char Char Char Char Char Char Char Char Char Char Char Char Char Char Char Char Char Char2"/>
    <w:basedOn w:val="1"/>
    <w:qFormat/>
    <w:uiPriority w:val="0"/>
    <w:pPr>
      <w:tabs>
        <w:tab w:val="left" w:pos="432"/>
      </w:tabs>
      <w:spacing w:before="156" w:beforeLines="50" w:after="156" w:afterLines="50"/>
      <w:ind w:left="864" w:hanging="432"/>
      <w:jc w:val="center"/>
    </w:pPr>
    <w:rPr>
      <w:rFonts w:ascii="Times New Roman" w:hAnsi="Times New Roman" w:eastAsia="宋体" w:cs="Times New Roman"/>
      <w:sz w:val="24"/>
      <w:szCs w:val="24"/>
    </w:rPr>
  </w:style>
  <w:style w:type="paragraph" w:customStyle="1" w:styleId="325">
    <w:name w:val="标题5"/>
    <w:basedOn w:val="1"/>
    <w:qFormat/>
    <w:uiPriority w:val="0"/>
    <w:pPr>
      <w:spacing w:before="120" w:after="120"/>
    </w:pPr>
    <w:rPr>
      <w:rFonts w:ascii="宋体" w:hAnsi="Times New Roman" w:eastAsia="宋体" w:cs="Times New Roman"/>
      <w:b/>
      <w:sz w:val="28"/>
      <w:szCs w:val="24"/>
    </w:rPr>
  </w:style>
  <w:style w:type="paragraph" w:customStyle="1" w:styleId="326">
    <w:name w:val="_Style 88"/>
    <w:basedOn w:val="1"/>
    <w:autoRedefine/>
    <w:qFormat/>
    <w:uiPriority w:val="0"/>
    <w:pPr>
      <w:spacing w:line="360" w:lineRule="auto"/>
      <w:ind w:firstLine="200" w:firstLineChars="200"/>
    </w:pPr>
    <w:rPr>
      <w:rFonts w:ascii="Times New Roman" w:hAnsi="Times New Roman" w:eastAsia="宋体" w:cs="Times New Roman"/>
      <w:szCs w:val="24"/>
    </w:rPr>
  </w:style>
  <w:style w:type="paragraph" w:customStyle="1" w:styleId="327">
    <w:name w:val="xl3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8">
    <w:name w:val="加点正文"/>
    <w:basedOn w:val="1"/>
    <w:autoRedefine/>
    <w:qFormat/>
    <w:uiPriority w:val="0"/>
    <w:pPr>
      <w:spacing w:line="300" w:lineRule="auto"/>
      <w:ind w:left="420" w:hanging="420" w:firstLineChars="200"/>
    </w:pPr>
    <w:rPr>
      <w:rFonts w:ascii="Times New Roman" w:hAnsi="Times New Roman" w:eastAsia="宋体" w:cs="Times New Roman"/>
      <w:kern w:val="0"/>
      <w:sz w:val="24"/>
      <w:szCs w:val="24"/>
    </w:rPr>
  </w:style>
  <w:style w:type="paragraph" w:customStyle="1" w:styleId="329">
    <w:name w:val="xl3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0">
    <w:name w:val="CM59"/>
    <w:basedOn w:val="1"/>
    <w:next w:val="1"/>
    <w:qFormat/>
    <w:uiPriority w:val="0"/>
    <w:pPr>
      <w:autoSpaceDE w:val="0"/>
      <w:autoSpaceDN w:val="0"/>
      <w:adjustRightInd w:val="0"/>
      <w:spacing w:after="330"/>
      <w:jc w:val="left"/>
    </w:pPr>
    <w:rPr>
      <w:rFonts w:ascii="FrutigerNext LT Regular" w:hAnsi="Times New Roman" w:eastAsia="FrutigerNext LT Regular" w:cs="Times New Roman"/>
      <w:kern w:val="0"/>
      <w:sz w:val="24"/>
      <w:szCs w:val="24"/>
    </w:rPr>
  </w:style>
  <w:style w:type="paragraph" w:customStyle="1" w:styleId="331">
    <w:name w:val="xl54"/>
    <w:basedOn w:val="1"/>
    <w:qFormat/>
    <w:uiPriority w:val="0"/>
    <w:pPr>
      <w:widowControl/>
      <w:pBdr>
        <w:top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32">
    <w:name w:val="xl94"/>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333">
    <w:name w:val="xl87"/>
    <w:basedOn w:val="1"/>
    <w:qFormat/>
    <w:uiPriority w:val="0"/>
    <w:pPr>
      <w:widowControl/>
      <w:pBdr>
        <w:top w:val="single" w:color="auto" w:sz="8"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334">
    <w:name w:val="表格第一列"/>
    <w:basedOn w:val="298"/>
    <w:qFormat/>
    <w:uiPriority w:val="0"/>
    <w:pPr>
      <w:ind w:left="-108" w:leftChars="-54" w:right="-105" w:rightChars="-50" w:hanging="5" w:hangingChars="2"/>
      <w:jc w:val="center"/>
    </w:pPr>
    <w:rPr>
      <w:rFonts w:ascii="仿宋_GB2312" w:hAnsi="宋体" w:eastAsia="仿宋_GB2312"/>
    </w:rPr>
  </w:style>
  <w:style w:type="paragraph" w:customStyle="1" w:styleId="335">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36">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37">
    <w:name w:val="样式 标题 2h2sect 1.2二级H22nd level2Header 2l2Titre2Head 2..."/>
    <w:basedOn w:val="4"/>
    <w:qFormat/>
    <w:uiPriority w:val="0"/>
    <w:pPr>
      <w:tabs>
        <w:tab w:val="left" w:pos="786"/>
      </w:tabs>
      <w:spacing w:before="120" w:after="120" w:line="360" w:lineRule="auto"/>
    </w:pPr>
    <w:rPr>
      <w:rFonts w:ascii="Times New Roman" w:hAnsi="Times New Roman" w:cs="宋体"/>
      <w:sz w:val="30"/>
      <w:szCs w:val="30"/>
    </w:rPr>
  </w:style>
  <w:style w:type="paragraph" w:customStyle="1" w:styleId="338">
    <w:name w:val="样式 题注 + 首行缩进:  2 字符"/>
    <w:basedOn w:val="16"/>
    <w:qFormat/>
    <w:uiPriority w:val="0"/>
    <w:pPr>
      <w:spacing w:line="360" w:lineRule="auto"/>
      <w:ind w:firstLine="400" w:firstLineChars="200"/>
    </w:pPr>
    <w:rPr>
      <w:rFonts w:ascii="Times New Roman" w:hAnsi="Times New Roman" w:eastAsia="宋体" w:cs="宋体"/>
      <w:sz w:val="24"/>
      <w:szCs w:val="24"/>
    </w:rPr>
  </w:style>
  <w:style w:type="paragraph" w:customStyle="1" w:styleId="339">
    <w:name w:val="规范正文"/>
    <w:basedOn w:val="1"/>
    <w:qFormat/>
    <w:uiPriority w:val="0"/>
    <w:pPr>
      <w:adjustRightInd w:val="0"/>
      <w:spacing w:line="360" w:lineRule="auto"/>
      <w:ind w:left="480"/>
      <w:textAlignment w:val="baseline"/>
    </w:pPr>
    <w:rPr>
      <w:rFonts w:ascii="Times New Roman" w:hAnsi="Times New Roman" w:eastAsia="宋体" w:cs="Times New Roman"/>
      <w:kern w:val="0"/>
      <w:sz w:val="24"/>
      <w:szCs w:val="20"/>
    </w:rPr>
  </w:style>
  <w:style w:type="paragraph" w:customStyle="1" w:styleId="340">
    <w:name w:val="标题 2 + 行距: 单倍行距"/>
    <w:basedOn w:val="4"/>
    <w:next w:val="28"/>
    <w:qFormat/>
    <w:uiPriority w:val="0"/>
    <w:pPr>
      <w:spacing w:line="360" w:lineRule="auto"/>
    </w:pPr>
    <w:rPr>
      <w:rFonts w:ascii="Cambria" w:hAnsi="Cambria" w:eastAsia="宋体" w:cs="宋体"/>
      <w:kern w:val="0"/>
      <w:sz w:val="30"/>
      <w:szCs w:val="20"/>
    </w:rPr>
  </w:style>
  <w:style w:type="paragraph" w:customStyle="1" w:styleId="341">
    <w:name w:val="项目符号 2"/>
    <w:basedOn w:val="1"/>
    <w:qFormat/>
    <w:uiPriority w:val="0"/>
    <w:pPr>
      <w:ind w:left="360" w:hanging="360"/>
      <w:jc w:val="left"/>
    </w:pPr>
    <w:rPr>
      <w:rFonts w:ascii="Times New Roman" w:hAnsi="Times New Roman" w:eastAsia="宋体" w:cs="Times New Roman"/>
      <w:sz w:val="24"/>
      <w:szCs w:val="24"/>
    </w:rPr>
  </w:style>
  <w:style w:type="paragraph" w:customStyle="1" w:styleId="342">
    <w:name w:val="样式 标题 3H31.1.1标题 3h3sect1.2.3BOD 03rd levellevel_3PIM 3...1"/>
    <w:basedOn w:val="5"/>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343">
    <w:name w:val="自定义样式 正文"/>
    <w:basedOn w:val="1"/>
    <w:autoRedefine/>
    <w:qFormat/>
    <w:uiPriority w:val="0"/>
    <w:pPr>
      <w:spacing w:line="360" w:lineRule="auto"/>
      <w:ind w:firstLine="480" w:firstLineChars="200"/>
    </w:pPr>
    <w:rPr>
      <w:rFonts w:ascii="Arial" w:hAnsi="Arial" w:eastAsia="仿宋_GB2312" w:cs="Times New Roman"/>
      <w:bCs/>
      <w:sz w:val="24"/>
      <w:szCs w:val="24"/>
    </w:rPr>
  </w:style>
  <w:style w:type="paragraph" w:customStyle="1" w:styleId="344">
    <w:name w:val="xl93"/>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345">
    <w:name w:val="样式 左  0 字符"/>
    <w:basedOn w:val="1"/>
    <w:qFormat/>
    <w:uiPriority w:val="0"/>
    <w:pPr>
      <w:spacing w:line="360" w:lineRule="auto"/>
      <w:ind w:firstLine="200" w:firstLineChars="200"/>
    </w:pPr>
    <w:rPr>
      <w:rFonts w:ascii="Times New Roman" w:hAnsi="Times New Roman" w:eastAsia="宋体" w:cs="宋体"/>
      <w:sz w:val="24"/>
      <w:szCs w:val="20"/>
    </w:rPr>
  </w:style>
  <w:style w:type="paragraph" w:customStyle="1" w:styleId="346">
    <w:name w:val="样式 题注 + 首行缩进:  2 字符3"/>
    <w:basedOn w:val="16"/>
    <w:qFormat/>
    <w:uiPriority w:val="0"/>
    <w:pPr>
      <w:spacing w:line="360" w:lineRule="auto"/>
      <w:ind w:firstLine="200" w:firstLineChars="200"/>
    </w:pPr>
    <w:rPr>
      <w:rFonts w:ascii="Times New Roman" w:hAnsi="Times New Roman" w:eastAsia="宋体" w:cs="宋体"/>
      <w:sz w:val="24"/>
      <w:szCs w:val="24"/>
    </w:rPr>
  </w:style>
  <w:style w:type="paragraph" w:customStyle="1" w:styleId="347">
    <w:name w:val="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Cs w:val="21"/>
    </w:rPr>
  </w:style>
  <w:style w:type="paragraph" w:customStyle="1" w:styleId="349">
    <w:name w:val="Char Char1 Char Char Char Char Char Char Char Char Char Char Char Char Char Char2"/>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50">
    <w:name w:val="z-窗体顶端1"/>
    <w:basedOn w:val="1"/>
    <w:next w:val="1"/>
    <w:link w:val="351"/>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351">
    <w:name w:val="z-窗体顶端 Char"/>
    <w:basedOn w:val="60"/>
    <w:link w:val="350"/>
    <w:qFormat/>
    <w:uiPriority w:val="0"/>
    <w:rPr>
      <w:rFonts w:ascii="Arial" w:hAnsi="Arial" w:eastAsia="宋体" w:cs="Arial"/>
      <w:vanish/>
      <w:kern w:val="0"/>
      <w:sz w:val="16"/>
      <w:szCs w:val="16"/>
    </w:rPr>
  </w:style>
  <w:style w:type="paragraph" w:customStyle="1" w:styleId="352">
    <w:name w:val="公文正文"/>
    <w:qFormat/>
    <w:uiPriority w:val="0"/>
    <w:pPr>
      <w:ind w:firstLine="200" w:firstLineChars="200"/>
    </w:pPr>
    <w:rPr>
      <w:rFonts w:ascii="仿宋_GB2312" w:hAnsi="宋体" w:eastAsia="仿宋_GB2312" w:cs="Times New Roman"/>
      <w:kern w:val="28"/>
      <w:sz w:val="28"/>
      <w:szCs w:val="24"/>
      <w:lang w:val="en-US" w:eastAsia="zh-CN" w:bidi="ar-SA"/>
    </w:rPr>
  </w:style>
  <w:style w:type="paragraph" w:customStyle="1" w:styleId="353">
    <w:name w:val="Table Heading"/>
    <w:next w:val="21"/>
    <w:qFormat/>
    <w:uiPriority w:val="0"/>
    <w:pPr>
      <w:snapToGrid w:val="0"/>
      <w:jc w:val="center"/>
    </w:pPr>
    <w:rPr>
      <w:rFonts w:ascii="Arial" w:hAnsi="Arial" w:eastAsia="黑体" w:cs="Times New Roman"/>
      <w:sz w:val="18"/>
      <w:lang w:val="en-US" w:eastAsia="zh-CN" w:bidi="ar-SA"/>
    </w:rPr>
  </w:style>
  <w:style w:type="paragraph" w:customStyle="1" w:styleId="3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355">
    <w:name w:val="默认段落字体 Para Char Char Char Char Char Char Char"/>
    <w:basedOn w:val="1"/>
    <w:qFormat/>
    <w:uiPriority w:val="0"/>
    <w:rPr>
      <w:rFonts w:ascii="Times New Roman" w:hAnsi="Times New Roman" w:eastAsia="宋体" w:cs="Times New Roman"/>
      <w:szCs w:val="20"/>
    </w:rPr>
  </w:style>
  <w:style w:type="paragraph" w:customStyle="1" w:styleId="356">
    <w:name w:val="Char Char Char"/>
    <w:basedOn w:val="1"/>
    <w:qFormat/>
    <w:uiPriority w:val="0"/>
    <w:rPr>
      <w:rFonts w:ascii="Tahoma" w:hAnsi="Tahoma" w:eastAsia="宋体" w:cs="Times New Roman"/>
      <w:sz w:val="24"/>
      <w:szCs w:val="20"/>
    </w:rPr>
  </w:style>
  <w:style w:type="paragraph" w:customStyle="1" w:styleId="357">
    <w:name w:val="附录章标题"/>
    <w:next w:val="269"/>
    <w:qFormat/>
    <w:uiPriority w:val="0"/>
    <w:pPr>
      <w:tabs>
        <w:tab w:val="left" w:pos="840"/>
      </w:tabs>
      <w:wordWrap w:val="0"/>
      <w:overflowPunct w:val="0"/>
      <w:autoSpaceDE w:val="0"/>
      <w:spacing w:before="156" w:beforeLines="50" w:after="156"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358">
    <w:name w:val="文本框正文"/>
    <w:basedOn w:val="1"/>
    <w:qFormat/>
    <w:uiPriority w:val="0"/>
    <w:pPr>
      <w:spacing w:line="360" w:lineRule="auto"/>
      <w:ind w:firstLine="200" w:firstLineChars="200"/>
      <w:jc w:val="center"/>
    </w:pPr>
    <w:rPr>
      <w:rFonts w:ascii="Times New Roman" w:hAnsi="Times New Roman" w:eastAsia="宋体" w:cs="Times New Roman"/>
      <w:b/>
      <w:sz w:val="24"/>
      <w:szCs w:val="24"/>
    </w:rPr>
  </w:style>
  <w:style w:type="paragraph" w:customStyle="1" w:styleId="359">
    <w:name w:val="A"/>
    <w:basedOn w:val="265"/>
    <w:qFormat/>
    <w:uiPriority w:val="0"/>
    <w:pPr>
      <w:widowControl/>
      <w:tabs>
        <w:tab w:val="left" w:pos="0"/>
        <w:tab w:val="left" w:pos="510"/>
        <w:tab w:val="left" w:pos="567"/>
        <w:tab w:val="left" w:pos="601"/>
      </w:tabs>
      <w:autoSpaceDE w:val="0"/>
      <w:autoSpaceDN w:val="0"/>
      <w:adjustRightInd w:val="0"/>
      <w:spacing w:before="312" w:beforeLines="100" w:line="360" w:lineRule="auto"/>
      <w:jc w:val="center"/>
    </w:pPr>
    <w:rPr>
      <w:rFonts w:ascii="华文细黑" w:hAnsi="华文细黑" w:eastAsia="华文细黑"/>
      <w:b/>
      <w:bCs/>
      <w:snapToGrid w:val="0"/>
      <w:kern w:val="0"/>
      <w:sz w:val="28"/>
      <w:szCs w:val="28"/>
    </w:rPr>
  </w:style>
  <w:style w:type="paragraph" w:customStyle="1" w:styleId="360">
    <w:name w:val="xl5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1">
    <w:name w:val="正文表标题"/>
    <w:next w:val="1"/>
    <w:qFormat/>
    <w:uiPriority w:val="0"/>
    <w:pPr>
      <w:tabs>
        <w:tab w:val="left" w:pos="366"/>
      </w:tabs>
      <w:ind w:left="593" w:hanging="113"/>
      <w:jc w:val="center"/>
    </w:pPr>
    <w:rPr>
      <w:rFonts w:ascii="黑体" w:hAnsi="Times New Roman" w:eastAsia="黑体" w:cs="Times New Roman"/>
      <w:sz w:val="21"/>
      <w:lang w:val="en-US" w:eastAsia="zh-CN" w:bidi="ar-SA"/>
    </w:rPr>
  </w:style>
  <w:style w:type="paragraph" w:customStyle="1" w:styleId="362">
    <w:name w:val="图表内文字"/>
    <w:qFormat/>
    <w:uiPriority w:val="0"/>
    <w:pPr>
      <w:widowControl w:val="0"/>
      <w:spacing w:line="360" w:lineRule="auto"/>
      <w:jc w:val="center"/>
    </w:pPr>
    <w:rPr>
      <w:rFonts w:ascii="Times New Roman" w:hAnsi="Times New Roman" w:eastAsia="宋体" w:cs="Times New Roman"/>
      <w:kern w:val="2"/>
      <w:sz w:val="24"/>
      <w:szCs w:val="28"/>
      <w:lang w:val="en-US" w:eastAsia="zh-CN" w:bidi="ar-SA"/>
    </w:rPr>
  </w:style>
  <w:style w:type="paragraph" w:customStyle="1" w:styleId="36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64">
    <w:name w:val="Char Char Char Char Char Char Char Char Char Char Char Char Char2"/>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65">
    <w:name w:val="xl9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366">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FF"/>
      <w:kern w:val="0"/>
      <w:sz w:val="24"/>
      <w:szCs w:val="24"/>
    </w:rPr>
  </w:style>
  <w:style w:type="paragraph" w:customStyle="1" w:styleId="367">
    <w:name w:val="Char1"/>
    <w:basedOn w:val="1"/>
    <w:qFormat/>
    <w:uiPriority w:val="0"/>
    <w:rPr>
      <w:rFonts w:ascii="Times New Roman" w:hAnsi="Times New Roman" w:eastAsia="宋体" w:cs="Times New Roman"/>
      <w:szCs w:val="24"/>
    </w:rPr>
  </w:style>
  <w:style w:type="paragraph" w:customStyle="1" w:styleId="368">
    <w:name w:val="默认段落字体 Para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369">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370">
    <w:name w:val="实施日期"/>
    <w:basedOn w:val="1"/>
    <w:qFormat/>
    <w:uiPriority w:val="0"/>
    <w:pPr>
      <w:widowControl/>
      <w:jc w:val="right"/>
    </w:pPr>
    <w:rPr>
      <w:rFonts w:ascii="Times New Roman" w:hAnsi="Times New Roman" w:eastAsia="黑体" w:cs="Times New Roman"/>
      <w:kern w:val="0"/>
      <w:sz w:val="28"/>
      <w:szCs w:val="20"/>
    </w:rPr>
  </w:style>
  <w:style w:type="paragraph" w:customStyle="1" w:styleId="371">
    <w:name w:val="D标题1"/>
    <w:basedOn w:val="1"/>
    <w:next w:val="1"/>
    <w:qFormat/>
    <w:uiPriority w:val="0"/>
    <w:pPr>
      <w:keepLines/>
      <w:pageBreakBefore/>
      <w:numPr>
        <w:ilvl w:val="0"/>
        <w:numId w:val="15"/>
      </w:numPr>
      <w:spacing w:after="100" w:afterAutospacing="1"/>
      <w:ind w:right="210"/>
      <w:outlineLvl w:val="0"/>
    </w:pPr>
    <w:rPr>
      <w:rFonts w:ascii="Arial" w:hAnsi="Arial" w:eastAsia="黑体" w:cs="Arial"/>
      <w:bCs/>
      <w:kern w:val="44"/>
      <w:sz w:val="44"/>
      <w:szCs w:val="44"/>
    </w:rPr>
  </w:style>
  <w:style w:type="paragraph" w:customStyle="1" w:styleId="372">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3">
    <w:name w:val="xl34"/>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374">
    <w:name w:val="xl30"/>
    <w:basedOn w:val="1"/>
    <w:autoRedefine/>
    <w:qFormat/>
    <w:uiPriority w:val="0"/>
    <w:pPr>
      <w:widowControl/>
      <w:spacing w:before="100" w:beforeAutospacing="1" w:after="100" w:afterAutospacing="1"/>
      <w:jc w:val="right"/>
      <w:textAlignment w:val="center"/>
    </w:pPr>
    <w:rPr>
      <w:rFonts w:ascii="宋体" w:hAnsi="宋体" w:eastAsia="宋体" w:cs="宋体"/>
      <w:kern w:val="0"/>
      <w:sz w:val="20"/>
      <w:szCs w:val="20"/>
    </w:rPr>
  </w:style>
  <w:style w:type="paragraph" w:customStyle="1" w:styleId="375">
    <w:name w:val="z1"/>
    <w:basedOn w:val="1"/>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eastAsia="宋体" w:cs="Times New Roman"/>
      <w:sz w:val="24"/>
      <w:szCs w:val="21"/>
    </w:rPr>
  </w:style>
  <w:style w:type="paragraph" w:customStyle="1" w:styleId="376">
    <w:name w:val="Char Char21"/>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377">
    <w:name w:val="三级无标题条"/>
    <w:basedOn w:val="1"/>
    <w:qFormat/>
    <w:uiPriority w:val="0"/>
    <w:rPr>
      <w:rFonts w:ascii="Times New Roman" w:hAnsi="Times New Roman" w:eastAsia="宋体" w:cs="Times New Roman"/>
      <w:szCs w:val="24"/>
    </w:rPr>
  </w:style>
  <w:style w:type="paragraph" w:customStyle="1" w:styleId="378">
    <w:name w:val="表格文本"/>
    <w:basedOn w:val="1"/>
    <w:qFormat/>
    <w:uiPriority w:val="0"/>
    <w:pPr>
      <w:tabs>
        <w:tab w:val="decimal" w:pos="0"/>
      </w:tabs>
      <w:jc w:val="left"/>
    </w:pPr>
    <w:rPr>
      <w:rFonts w:ascii="Times New Roman" w:hAnsi="Times New Roman" w:eastAsia="宋体" w:cs="Times New Roman"/>
      <w:sz w:val="24"/>
      <w:szCs w:val="24"/>
    </w:rPr>
  </w:style>
  <w:style w:type="paragraph" w:customStyle="1" w:styleId="379">
    <w:name w:val="Style First line:  2 ch"/>
    <w:basedOn w:val="1"/>
    <w:qFormat/>
    <w:uiPriority w:val="0"/>
    <w:pPr>
      <w:spacing w:line="440" w:lineRule="exact"/>
      <w:ind w:firstLine="200" w:firstLineChars="200"/>
    </w:pPr>
    <w:rPr>
      <w:rFonts w:ascii="Times New Roman" w:hAnsi="Times New Roman" w:eastAsia="宋体" w:cs="Times New Roman"/>
      <w:sz w:val="24"/>
      <w:szCs w:val="24"/>
    </w:rPr>
  </w:style>
  <w:style w:type="paragraph" w:customStyle="1" w:styleId="380">
    <w:name w:val="样式 标题 3Heading 3 - oldHeading 3H3l3CTBOD 03h33rd level...1"/>
    <w:basedOn w:val="5"/>
    <w:qFormat/>
    <w:uiPriority w:val="0"/>
    <w:pPr>
      <w:keepNext/>
      <w:keepLines/>
      <w:tabs>
        <w:tab w:val="left" w:pos="459"/>
      </w:tabs>
      <w:spacing w:after="120" w:line="360" w:lineRule="auto"/>
    </w:pPr>
    <w:rPr>
      <w:rFonts w:eastAsia="黑体" w:cs="宋体"/>
      <w:b w:val="0"/>
      <w:sz w:val="30"/>
      <w:szCs w:val="30"/>
    </w:rPr>
  </w:style>
  <w:style w:type="paragraph" w:customStyle="1" w:styleId="381">
    <w:name w:val="xl8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382">
    <w:name w:val="样式3"/>
    <w:qFormat/>
    <w:uiPriority w:val="0"/>
    <w:pPr>
      <w:jc w:val="both"/>
    </w:pPr>
    <w:rPr>
      <w:rFonts w:ascii="Arial" w:hAnsi="Arial" w:eastAsia="黑体" w:cs="Times New Roman"/>
      <w:b/>
      <w:spacing w:val="24"/>
      <w:sz w:val="24"/>
      <w:lang w:val="en-US" w:eastAsia="zh-CN" w:bidi="ar-SA"/>
    </w:rPr>
  </w:style>
  <w:style w:type="paragraph" w:customStyle="1" w:styleId="383">
    <w:name w:val="样式 题注 + 居中 首行缩进:  2 字符"/>
    <w:basedOn w:val="16"/>
    <w:qFormat/>
    <w:uiPriority w:val="0"/>
    <w:pPr>
      <w:spacing w:line="360" w:lineRule="auto"/>
      <w:ind w:firstLine="400" w:firstLineChars="200"/>
      <w:jc w:val="center"/>
    </w:pPr>
    <w:rPr>
      <w:rFonts w:ascii="Times New Roman" w:hAnsi="Times New Roman" w:eastAsia="宋体" w:cs="宋体"/>
      <w:sz w:val="24"/>
      <w:szCs w:val="24"/>
    </w:rPr>
  </w:style>
  <w:style w:type="paragraph" w:customStyle="1" w:styleId="384">
    <w:name w:val="Char1 Char Char Char2"/>
    <w:basedOn w:val="1"/>
    <w:qFormat/>
    <w:uiPriority w:val="0"/>
    <w:rPr>
      <w:rFonts w:ascii="Tahoma" w:hAnsi="Tahoma" w:eastAsia="宋体" w:cs="Times New Roman"/>
      <w:sz w:val="24"/>
      <w:szCs w:val="20"/>
    </w:rPr>
  </w:style>
  <w:style w:type="paragraph" w:customStyle="1" w:styleId="385">
    <w:name w:val="xl83"/>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386">
    <w:name w:val="Char Char Char Char Char Char Char"/>
    <w:basedOn w:val="1"/>
    <w:qFormat/>
    <w:uiPriority w:val="0"/>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387">
    <w:name w:val="xl20"/>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88">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9">
    <w:name w:val="xl6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90">
    <w:name w:val="Char2"/>
    <w:basedOn w:val="1"/>
    <w:qFormat/>
    <w:uiPriority w:val="0"/>
    <w:rPr>
      <w:rFonts w:ascii="Tahoma" w:hAnsi="Tahoma" w:eastAsia="宋体" w:cs="Times New Roman"/>
      <w:sz w:val="24"/>
      <w:szCs w:val="20"/>
    </w:rPr>
  </w:style>
  <w:style w:type="paragraph" w:customStyle="1" w:styleId="391">
    <w:name w:val="xl4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92">
    <w:name w:val="正文小四"/>
    <w:basedOn w:val="1"/>
    <w:qFormat/>
    <w:uiPriority w:val="0"/>
    <w:pPr>
      <w:spacing w:before="120" w:after="120" w:line="360" w:lineRule="auto"/>
      <w:ind w:firstLine="480" w:firstLineChars="200"/>
      <w:jc w:val="left"/>
    </w:pPr>
    <w:rPr>
      <w:rFonts w:ascii="Times New Roman" w:hAnsi="Times New Roman" w:eastAsia="宋体" w:cs="Times New Roman"/>
      <w:sz w:val="24"/>
      <w:szCs w:val="24"/>
    </w:rPr>
  </w:style>
  <w:style w:type="paragraph" w:customStyle="1" w:styleId="393">
    <w:name w:val="图表名称"/>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394">
    <w:name w:val="xl36"/>
    <w:basedOn w:val="1"/>
    <w:qFormat/>
    <w:uiPriority w:val="0"/>
    <w:pPr>
      <w:widowControl/>
      <w:pBdr>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95">
    <w:name w:val="样式 样式 首行缩进:  2 字符 + 首行缩进:  2 字符"/>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3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397">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98">
    <w:name w:val="Char22"/>
    <w:basedOn w:val="1"/>
    <w:qFormat/>
    <w:uiPriority w:val="0"/>
    <w:rPr>
      <w:rFonts w:ascii="Tahoma" w:hAnsi="Tahoma" w:eastAsia="宋体" w:cs="Times New Roman"/>
      <w:sz w:val="24"/>
      <w:szCs w:val="20"/>
    </w:rPr>
  </w:style>
  <w:style w:type="paragraph" w:customStyle="1" w:styleId="399">
    <w:name w:val="xl9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40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Cs w:val="21"/>
    </w:rPr>
  </w:style>
  <w:style w:type="paragraph" w:customStyle="1" w:styleId="401">
    <w:name w:val="Char Char Char Char"/>
    <w:basedOn w:val="57"/>
    <w:next w:val="1"/>
    <w:qFormat/>
    <w:uiPriority w:val="0"/>
    <w:pPr>
      <w:spacing w:line="360" w:lineRule="auto"/>
      <w:ind w:firstLine="482"/>
    </w:pPr>
    <w:rPr>
      <w:b/>
      <w:sz w:val="24"/>
    </w:rPr>
  </w:style>
  <w:style w:type="paragraph" w:customStyle="1" w:styleId="402">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403">
    <w:name w:val="表格格式"/>
    <w:basedOn w:val="1"/>
    <w:qFormat/>
    <w:uiPriority w:val="0"/>
    <w:pPr>
      <w:tabs>
        <w:tab w:val="left" w:pos="0"/>
      </w:tabs>
      <w:autoSpaceDE w:val="0"/>
      <w:autoSpaceDN w:val="0"/>
      <w:spacing w:line="300" w:lineRule="auto"/>
      <w:jc w:val="center"/>
    </w:pPr>
    <w:rPr>
      <w:rFonts w:ascii="Times New Roman" w:hAnsi="Times New Roman" w:eastAsia="宋体" w:cs="宋体"/>
      <w:color w:val="FF0000"/>
      <w:sz w:val="24"/>
      <w:szCs w:val="20"/>
    </w:rPr>
  </w:style>
  <w:style w:type="paragraph" w:customStyle="1" w:styleId="404">
    <w:name w:val="xl31"/>
    <w:basedOn w:val="1"/>
    <w:qFormat/>
    <w:uiPriority w:val="0"/>
    <w:pPr>
      <w:widowControl/>
      <w:pBdr>
        <w:bottom w:val="single" w:color="auto" w:sz="8"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405">
    <w:name w:val="样式 题注 + 首行缩进:  2 字符1"/>
    <w:basedOn w:val="16"/>
    <w:qFormat/>
    <w:uiPriority w:val="0"/>
    <w:pPr>
      <w:spacing w:line="360" w:lineRule="auto"/>
      <w:ind w:firstLine="200" w:firstLineChars="200"/>
    </w:pPr>
    <w:rPr>
      <w:rFonts w:ascii="Times New Roman" w:hAnsi="Times New Roman" w:eastAsia="宋体" w:cs="宋体"/>
      <w:sz w:val="24"/>
      <w:szCs w:val="24"/>
    </w:rPr>
  </w:style>
  <w:style w:type="paragraph" w:customStyle="1" w:styleId="406">
    <w:name w:val="xl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07">
    <w:name w:val="a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8">
    <w:name w:val="示例"/>
    <w:next w:val="269"/>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409">
    <w:name w:val="xl7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410">
    <w:name w:val="Default Paragraph Font Para Char"/>
    <w:basedOn w:val="1"/>
    <w:qFormat/>
    <w:uiPriority w:val="0"/>
    <w:pPr>
      <w:widowControl/>
      <w:spacing w:after="160" w:line="240" w:lineRule="exact"/>
      <w:jc w:val="left"/>
    </w:pPr>
    <w:rPr>
      <w:rFonts w:ascii="Verdana" w:hAnsi="Verdana" w:eastAsia="宋体" w:cs="Times New Roman"/>
      <w:kern w:val="0"/>
      <w:sz w:val="24"/>
      <w:szCs w:val="20"/>
      <w:lang w:eastAsia="en-US"/>
    </w:rPr>
  </w:style>
  <w:style w:type="paragraph" w:customStyle="1" w:styleId="411">
    <w:name w:val="样式 标题 4H44th levelTitre4第三层条PIM 4h4sect 1.2.3.4Ref Headi..."/>
    <w:basedOn w:val="6"/>
    <w:next w:val="1"/>
    <w:qFormat/>
    <w:uiPriority w:val="0"/>
    <w:pPr>
      <w:tabs>
        <w:tab w:val="left" w:pos="864"/>
        <w:tab w:val="clear" w:pos="0"/>
      </w:tabs>
      <w:spacing w:before="120" w:after="120"/>
      <w:ind w:left="864" w:hanging="864"/>
    </w:pPr>
    <w:rPr>
      <w:rFonts w:cs="宋体"/>
      <w:b w:val="0"/>
      <w:bCs/>
      <w:sz w:val="28"/>
      <w:szCs w:val="28"/>
    </w:rPr>
  </w:style>
  <w:style w:type="paragraph" w:customStyle="1" w:styleId="412">
    <w:name w:val="样式 标题 4小节标题H44th levelh4PIM 4bulletblbb高3heading 4TOC...2"/>
    <w:basedOn w:val="6"/>
    <w:autoRedefine/>
    <w:qFormat/>
    <w:uiPriority w:val="0"/>
    <w:pPr>
      <w:adjustRightInd w:val="0"/>
      <w:spacing w:before="124" w:beforeLines="40" w:after="156" w:afterLines="50" w:line="416" w:lineRule="atLeast"/>
      <w:ind w:firstLine="0"/>
      <w:jc w:val="left"/>
      <w:outlineLvl w:val="4"/>
    </w:pPr>
    <w:rPr>
      <w:rFonts w:eastAsia="宋体"/>
      <w:bCs/>
      <w:sz w:val="24"/>
      <w:szCs w:val="24"/>
    </w:rPr>
  </w:style>
  <w:style w:type="paragraph" w:customStyle="1" w:styleId="413">
    <w:name w:val="前言、引言标题"/>
    <w:next w:val="1"/>
    <w:qFormat/>
    <w:uiPriority w:val="0"/>
    <w:pPr>
      <w:shd w:val="clear" w:color="FFFFFF" w:fill="FFFFFF"/>
      <w:tabs>
        <w:tab w:val="left" w:pos="840"/>
      </w:tabs>
      <w:spacing w:before="640" w:after="560"/>
      <w:ind w:left="781" w:hanging="301"/>
      <w:jc w:val="center"/>
      <w:outlineLvl w:val="0"/>
    </w:pPr>
    <w:rPr>
      <w:rFonts w:ascii="黑体" w:hAnsi="Times New Roman" w:eastAsia="黑体" w:cs="Times New Roman"/>
      <w:sz w:val="32"/>
      <w:lang w:val="en-US" w:eastAsia="zh-CN" w:bidi="ar-SA"/>
    </w:rPr>
  </w:style>
  <w:style w:type="paragraph" w:customStyle="1" w:styleId="414">
    <w:name w:val="单行主体文本"/>
    <w:basedOn w:val="1"/>
    <w:qFormat/>
    <w:uiPriority w:val="0"/>
    <w:pPr>
      <w:jc w:val="left"/>
    </w:pPr>
    <w:rPr>
      <w:rFonts w:ascii="Times New Roman" w:hAnsi="Times New Roman" w:eastAsia="宋体" w:cs="Times New Roman"/>
      <w:sz w:val="24"/>
      <w:szCs w:val="24"/>
    </w:rPr>
  </w:style>
  <w:style w:type="paragraph" w:customStyle="1" w:styleId="415">
    <w:name w:val="项目编号"/>
    <w:basedOn w:val="345"/>
    <w:qFormat/>
    <w:uiPriority w:val="0"/>
    <w:pPr>
      <w:numPr>
        <w:ilvl w:val="0"/>
        <w:numId w:val="16"/>
      </w:numPr>
      <w:tabs>
        <w:tab w:val="left" w:pos="900"/>
      </w:tabs>
    </w:pPr>
  </w:style>
  <w:style w:type="paragraph" w:customStyle="1" w:styleId="416">
    <w:name w:val="xl8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41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18">
    <w:name w:val="仿宋正文"/>
    <w:basedOn w:val="1"/>
    <w:qFormat/>
    <w:uiPriority w:val="0"/>
    <w:pPr>
      <w:adjustRightInd w:val="0"/>
      <w:snapToGrid w:val="0"/>
      <w:spacing w:line="360" w:lineRule="auto"/>
      <w:ind w:firstLine="200" w:firstLineChars="200"/>
      <w:textAlignment w:val="baseline"/>
    </w:pPr>
    <w:rPr>
      <w:rFonts w:ascii="仿宋_GB2312" w:hAnsi="宋体" w:eastAsia="仿宋_GB2312" w:cs="Times New Roman"/>
      <w:snapToGrid w:val="0"/>
      <w:kern w:val="0"/>
      <w:sz w:val="28"/>
      <w:szCs w:val="28"/>
    </w:rPr>
  </w:style>
  <w:style w:type="paragraph" w:customStyle="1" w:styleId="419">
    <w:name w:val="Heading 1 章"/>
    <w:next w:val="1"/>
    <w:qFormat/>
    <w:uiPriority w:val="0"/>
    <w:pPr>
      <w:numPr>
        <w:ilvl w:val="0"/>
        <w:numId w:val="17"/>
      </w:numPr>
      <w:tabs>
        <w:tab w:val="left" w:pos="1134"/>
      </w:tabs>
      <w:spacing w:before="312" w:beforeLines="100" w:after="312" w:afterLines="100" w:line="440" w:lineRule="exact"/>
      <w:jc w:val="center"/>
    </w:pPr>
    <w:rPr>
      <w:rFonts w:ascii="黑体" w:hAnsi="黑体" w:eastAsia="黑体" w:cs="宋体"/>
      <w:b/>
      <w:bCs/>
      <w:kern w:val="44"/>
      <w:sz w:val="32"/>
      <w:lang w:val="en-US" w:eastAsia="zh-CN" w:bidi="ar-SA"/>
    </w:rPr>
  </w:style>
  <w:style w:type="paragraph" w:customStyle="1" w:styleId="420">
    <w:name w:val="xl58"/>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21">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eastAsia="宋体" w:cs="Times New Roman"/>
      <w:kern w:val="0"/>
      <w:sz w:val="24"/>
      <w:szCs w:val="20"/>
    </w:rPr>
  </w:style>
  <w:style w:type="paragraph" w:customStyle="1" w:styleId="422">
    <w:name w:val="xl8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423">
    <w:name w:val="tabletext"/>
    <w:basedOn w:val="1"/>
    <w:qFormat/>
    <w:uiPriority w:val="0"/>
    <w:pPr>
      <w:widowControl/>
      <w:snapToGrid w:val="0"/>
      <w:spacing w:before="80" w:after="80"/>
      <w:jc w:val="left"/>
    </w:pPr>
    <w:rPr>
      <w:rFonts w:ascii="Arial" w:hAnsi="Arial" w:eastAsia="宋体" w:cs="Arial"/>
      <w:kern w:val="0"/>
      <w:sz w:val="18"/>
      <w:szCs w:val="18"/>
    </w:rPr>
  </w:style>
  <w:style w:type="paragraph" w:customStyle="1" w:styleId="424">
    <w:name w:val="样式 仿宋_GB2312 小三 左侧:  1.06 厘米"/>
    <w:basedOn w:val="1"/>
    <w:qFormat/>
    <w:uiPriority w:val="0"/>
    <w:pPr>
      <w:spacing w:line="360" w:lineRule="auto"/>
      <w:ind w:left="601"/>
    </w:pPr>
    <w:rPr>
      <w:rFonts w:ascii="仿宋_GB2312" w:hAnsi="Times New Roman" w:eastAsia="仿宋_GB2312" w:cs="宋体"/>
      <w:sz w:val="24"/>
      <w:szCs w:val="20"/>
    </w:rPr>
  </w:style>
  <w:style w:type="paragraph" w:customStyle="1" w:styleId="425">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426">
    <w:name w:val="封面标准号2"/>
    <w:basedOn w:val="1"/>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427">
    <w:name w:val="样式 标题 2H2标题 1.1Title2h2Underrubrik1prop2标题二H21Heading 2..."/>
    <w:qFormat/>
    <w:uiPriority w:val="0"/>
    <w:pPr>
      <w:spacing w:before="100" w:after="100"/>
      <w:jc w:val="both"/>
    </w:pPr>
    <w:rPr>
      <w:rFonts w:ascii="宋体" w:hAnsi="宋体" w:eastAsia="宋体" w:cs="Times New Roman"/>
      <w:spacing w:val="24"/>
      <w:sz w:val="24"/>
      <w:lang w:val="en-US" w:eastAsia="zh-CN" w:bidi="ar-SA"/>
    </w:rPr>
  </w:style>
  <w:style w:type="paragraph" w:customStyle="1" w:styleId="428">
    <w:name w:val="font5"/>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429">
    <w:name w:val="Char12"/>
    <w:basedOn w:val="1"/>
    <w:qFormat/>
    <w:uiPriority w:val="0"/>
    <w:pPr>
      <w:tabs>
        <w:tab w:val="left" w:pos="360"/>
      </w:tabs>
    </w:pPr>
    <w:rPr>
      <w:rFonts w:ascii="Times New Roman" w:hAnsi="Times New Roman" w:eastAsia="宋体" w:cs="Times New Roman"/>
      <w:sz w:val="24"/>
      <w:szCs w:val="20"/>
    </w:rPr>
  </w:style>
  <w:style w:type="paragraph" w:customStyle="1" w:styleId="430">
    <w:name w:val="xl97"/>
    <w:basedOn w:val="1"/>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431">
    <w:name w:val="xl45"/>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32">
    <w:name w:val="首航缩进"/>
    <w:basedOn w:val="1"/>
    <w:qFormat/>
    <w:uiPriority w:val="0"/>
    <w:pPr>
      <w:spacing w:line="360" w:lineRule="auto"/>
      <w:ind w:firstLine="480" w:firstLineChars="200"/>
    </w:pPr>
    <w:rPr>
      <w:rFonts w:ascii="Times New Roman" w:hAnsi="Times New Roman" w:eastAsia="宋体" w:cs="Times New Roman"/>
      <w:color w:val="FF0000"/>
      <w:sz w:val="24"/>
      <w:szCs w:val="24"/>
    </w:rPr>
  </w:style>
  <w:style w:type="paragraph" w:customStyle="1" w:styleId="433">
    <w:name w:val="样式 标题 3H31.1.1标题 3h3sect1.2.3BOD 03rd levellevel_3PIM 3..."/>
    <w:basedOn w:val="5"/>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434">
    <w:name w:val="一级条标题"/>
    <w:basedOn w:val="3"/>
    <w:next w:val="269"/>
    <w:qFormat/>
    <w:uiPriority w:val="0"/>
    <w:pPr>
      <w:keepNext w:val="0"/>
      <w:widowControl/>
      <w:jc w:val="both"/>
      <w:outlineLvl w:val="2"/>
    </w:pPr>
    <w:rPr>
      <w:rFonts w:ascii="黑体" w:eastAsia="黑体"/>
      <w:b w:val="0"/>
      <w:kern w:val="0"/>
      <w:sz w:val="21"/>
    </w:rPr>
  </w:style>
  <w:style w:type="paragraph" w:customStyle="1" w:styleId="435">
    <w:name w:val="题目1"/>
    <w:basedOn w:val="1"/>
    <w:qFormat/>
    <w:uiPriority w:val="0"/>
    <w:pPr>
      <w:tabs>
        <w:tab w:val="left" w:pos="1320"/>
      </w:tabs>
      <w:adjustRightInd w:val="0"/>
      <w:spacing w:line="312" w:lineRule="atLeast"/>
      <w:ind w:left="1320"/>
      <w:textAlignment w:val="baseline"/>
    </w:pPr>
    <w:rPr>
      <w:rFonts w:ascii="Times New Roman" w:hAnsi="Times New Roman" w:eastAsia="宋体" w:cs="Times New Roman"/>
      <w:kern w:val="0"/>
      <w:szCs w:val="20"/>
    </w:rPr>
  </w:style>
  <w:style w:type="paragraph" w:customStyle="1" w:styleId="436">
    <w:name w:val="xl29"/>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437">
    <w:name w:val="样式 标题 3h3Heading 3 - oldH33rd level3sect1.2.3Level 3 Head..."/>
    <w:basedOn w:val="5"/>
    <w:qFormat/>
    <w:uiPriority w:val="0"/>
    <w:pPr>
      <w:keepNext/>
      <w:keepLines/>
      <w:tabs>
        <w:tab w:val="left" w:pos="2520"/>
      </w:tabs>
      <w:adjustRightInd w:val="0"/>
      <w:spacing w:before="124" w:beforeLines="40" w:after="156" w:afterLines="50" w:line="360" w:lineRule="auto"/>
      <w:outlineLvl w:val="1"/>
    </w:pPr>
    <w:rPr>
      <w:rFonts w:ascii="宋体" w:hAnsi="宋体"/>
      <w:sz w:val="30"/>
      <w:szCs w:val="20"/>
    </w:rPr>
  </w:style>
  <w:style w:type="paragraph" w:customStyle="1" w:styleId="438">
    <w:name w:val="xl2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9">
    <w:name w:val="样式 (中文) 仿宋_GB2312 14 磅 行距: 固定值 28 磅"/>
    <w:basedOn w:val="1"/>
    <w:qFormat/>
    <w:uiPriority w:val="0"/>
    <w:pPr>
      <w:spacing w:line="560" w:lineRule="exact"/>
      <w:ind w:firstLine="200" w:firstLineChars="200"/>
    </w:pPr>
    <w:rPr>
      <w:rFonts w:ascii="Times New Roman" w:hAnsi="Times New Roman" w:eastAsia="仿宋_GB2312" w:cs="宋体"/>
      <w:sz w:val="28"/>
      <w:szCs w:val="20"/>
    </w:rPr>
  </w:style>
  <w:style w:type="paragraph" w:customStyle="1" w:styleId="440">
    <w:name w:val="样式 标题 3H31.1.1标题 3h3sect1.2.3BOD 03rd levellevel_3PIM 3...3"/>
    <w:basedOn w:val="5"/>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441">
    <w:name w:val="正文内容"/>
    <w:basedOn w:val="1"/>
    <w:autoRedefine/>
    <w:qFormat/>
    <w:uiPriority w:val="0"/>
    <w:rPr>
      <w:rFonts w:ascii="Arial" w:hAnsi="Arial" w:eastAsia="宋体" w:cs="Times New Roman"/>
      <w:spacing w:val="-12"/>
      <w:szCs w:val="20"/>
    </w:rPr>
  </w:style>
  <w:style w:type="paragraph" w:customStyle="1" w:styleId="442">
    <w:name w:val="xl107"/>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43">
    <w:name w:val="xl10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444">
    <w:name w:val="xl6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45">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46">
    <w:name w:val="xl68"/>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47">
    <w:name w:val="正文3"/>
    <w:qFormat/>
    <w:uiPriority w:val="0"/>
    <w:rPr>
      <w:rFonts w:ascii="Times New Roman" w:hAnsi="Times New Roman" w:eastAsia="宋体" w:cs="Times New Roman"/>
      <w:lang w:val="ru-RU" w:eastAsia="ru-RU" w:bidi="ar-SA"/>
    </w:rPr>
  </w:style>
  <w:style w:type="paragraph" w:customStyle="1" w:styleId="448">
    <w:name w:val="图表内文字2"/>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449">
    <w:name w:val="xl89"/>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45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451">
    <w:name w:val="xl7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52">
    <w:name w:val="样式 正文首行缩进 + 幼圆 小三 首行缩进:  1 字符"/>
    <w:basedOn w:val="56"/>
    <w:qFormat/>
    <w:uiPriority w:val="0"/>
    <w:pPr>
      <w:autoSpaceDE/>
      <w:autoSpaceDN/>
      <w:adjustRightInd/>
      <w:spacing w:line="240" w:lineRule="auto"/>
      <w:ind w:firstLine="300" w:firstLineChars="100"/>
      <w:jc w:val="both"/>
      <w:textAlignment w:val="auto"/>
    </w:pPr>
    <w:rPr>
      <w:rFonts w:ascii="幼圆" w:eastAsia="幼圆" w:cs="宋体"/>
      <w:kern w:val="2"/>
      <w:sz w:val="30"/>
    </w:rPr>
  </w:style>
  <w:style w:type="paragraph" w:customStyle="1" w:styleId="45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54">
    <w:name w:val="xl72"/>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55">
    <w:name w:val="xl98"/>
    <w:basedOn w:val="1"/>
    <w:qFormat/>
    <w:uiPriority w:val="0"/>
    <w:pPr>
      <w:widowControl/>
      <w:pBdr>
        <w:top w:val="single" w:color="auto" w:sz="8"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456">
    <w:name w:val="正文下小标题"/>
    <w:basedOn w:val="1"/>
    <w:next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57">
    <w:name w:val="标准正文格式"/>
    <w:basedOn w:val="1"/>
    <w:qFormat/>
    <w:uiPriority w:val="0"/>
    <w:pPr>
      <w:widowControl/>
      <w:adjustRightInd w:val="0"/>
      <w:spacing w:before="60" w:after="120" w:line="360" w:lineRule="auto"/>
      <w:ind w:firstLine="200" w:firstLineChars="200"/>
      <w:textAlignment w:val="baseline"/>
    </w:pPr>
    <w:rPr>
      <w:rFonts w:ascii="宋体" w:hAnsi="Times New Roman" w:eastAsia="仿宋_GB2312" w:cs="Times New Roman"/>
      <w:color w:val="000000"/>
      <w:kern w:val="0"/>
      <w:sz w:val="24"/>
      <w:szCs w:val="20"/>
    </w:rPr>
  </w:style>
  <w:style w:type="paragraph" w:customStyle="1" w:styleId="458">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59">
    <w:name w:val="附录标识"/>
    <w:basedOn w:val="413"/>
    <w:next w:val="269"/>
    <w:qFormat/>
    <w:uiPriority w:val="0"/>
    <w:pPr>
      <w:numPr>
        <w:ilvl w:val="0"/>
        <w:numId w:val="5"/>
      </w:numPr>
      <w:tabs>
        <w:tab w:val="left" w:pos="6405"/>
        <w:tab w:val="clear" w:pos="840"/>
      </w:tabs>
      <w:spacing w:after="200"/>
    </w:pPr>
    <w:rPr>
      <w:sz w:val="21"/>
    </w:rPr>
  </w:style>
  <w:style w:type="paragraph" w:customStyle="1" w:styleId="460">
    <w:name w:val="Char Char Char Char2"/>
    <w:basedOn w:val="1"/>
    <w:qFormat/>
    <w:uiPriority w:val="0"/>
    <w:pPr>
      <w:widowControl/>
      <w:tabs>
        <w:tab w:val="left" w:pos="360"/>
      </w:tabs>
      <w:spacing w:after="200" w:line="276" w:lineRule="auto"/>
      <w:jc w:val="left"/>
    </w:pPr>
    <w:rPr>
      <w:rFonts w:ascii="Calibri" w:hAnsi="Calibri" w:eastAsia="宋体" w:cs="Times New Roman"/>
      <w:sz w:val="22"/>
    </w:rPr>
  </w:style>
  <w:style w:type="paragraph" w:customStyle="1" w:styleId="461">
    <w:name w:val="l2"/>
    <w:basedOn w:val="1"/>
    <w:qFormat/>
    <w:uiPriority w:val="0"/>
    <w:pPr>
      <w:keepLines/>
      <w:widowControl/>
      <w:spacing w:before="156" w:beforeLines="50" w:after="156" w:afterLines="50" w:line="300" w:lineRule="auto"/>
    </w:pPr>
    <w:rPr>
      <w:rFonts w:ascii="Arial" w:hAnsi="Arial" w:eastAsia="宋体" w:cs="Times New Roman"/>
      <w:bCs/>
      <w:szCs w:val="24"/>
    </w:rPr>
  </w:style>
  <w:style w:type="paragraph" w:customStyle="1" w:styleId="462">
    <w:name w:val="xl10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463">
    <w:name w:val="xl19"/>
    <w:basedOn w:val="1"/>
    <w:qFormat/>
    <w:uiPriority w:val="0"/>
    <w:pPr>
      <w:widowControl/>
      <w:pBdr>
        <w:bottom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464">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465">
    <w:name w:val="Char Char Char Char Char Char Char2"/>
    <w:basedOn w:val="1"/>
    <w:qFormat/>
    <w:uiPriority w:val="0"/>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466">
    <w:name w:val="样式 编号1 + 首行缩进:  0 字符"/>
    <w:basedOn w:val="182"/>
    <w:qFormat/>
    <w:uiPriority w:val="0"/>
    <w:rPr>
      <w:rFonts w:cs="宋体"/>
      <w:szCs w:val="20"/>
    </w:rPr>
  </w:style>
  <w:style w:type="paragraph" w:customStyle="1" w:styleId="467">
    <w:name w:val="font9"/>
    <w:basedOn w:val="1"/>
    <w:qFormat/>
    <w:uiPriority w:val="0"/>
    <w:pPr>
      <w:widowControl/>
      <w:spacing w:before="100" w:beforeAutospacing="1" w:after="100" w:afterAutospacing="1"/>
      <w:jc w:val="left"/>
    </w:pPr>
    <w:rPr>
      <w:rFonts w:ascii="MingLiU" w:hAnsi="MingLiU" w:eastAsia="MingLiU" w:cs="宋体"/>
      <w:kern w:val="0"/>
      <w:sz w:val="20"/>
      <w:szCs w:val="20"/>
    </w:rPr>
  </w:style>
  <w:style w:type="paragraph" w:customStyle="1" w:styleId="468">
    <w:name w:val="Char Char18"/>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69">
    <w:name w:val="标准表题"/>
    <w:basedOn w:val="1"/>
    <w:next w:val="1"/>
    <w:qFormat/>
    <w:uiPriority w:val="0"/>
    <w:pPr>
      <w:widowControl/>
      <w:jc w:val="center"/>
    </w:pPr>
    <w:rPr>
      <w:rFonts w:hint="eastAsia" w:ascii="黑体" w:hAnsi="Times New Roman" w:eastAsia="黑体" w:cs="Times New Roman"/>
      <w:kern w:val="21"/>
      <w:szCs w:val="20"/>
    </w:rPr>
  </w:style>
  <w:style w:type="paragraph" w:customStyle="1" w:styleId="470">
    <w:name w:val="并列条文1）2）"/>
    <w:basedOn w:val="175"/>
    <w:qFormat/>
    <w:uiPriority w:val="0"/>
    <w:pPr>
      <w:numPr>
        <w:ilvl w:val="0"/>
        <w:numId w:val="14"/>
      </w:numPr>
      <w:tabs>
        <w:tab w:val="left" w:pos="454"/>
        <w:tab w:val="left" w:pos="600"/>
        <w:tab w:val="clear" w:pos="960"/>
      </w:tabs>
      <w:spacing w:line="360" w:lineRule="auto"/>
      <w:ind w:left="0" w:firstLine="454"/>
      <w:jc w:val="left"/>
    </w:pPr>
    <w:rPr>
      <w:rFonts w:ascii="宋体" w:hAnsi="宋体" w:eastAsia="宋体"/>
      <w:kern w:val="24"/>
      <w:szCs w:val="24"/>
    </w:rPr>
  </w:style>
  <w:style w:type="paragraph" w:customStyle="1" w:styleId="47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72">
    <w:name w:val="正5"/>
    <w:basedOn w:val="1"/>
    <w:next w:val="56"/>
    <w:qFormat/>
    <w:uiPriority w:val="0"/>
    <w:pPr>
      <w:spacing w:line="460" w:lineRule="exact"/>
      <w:jc w:val="center"/>
    </w:pPr>
    <w:rPr>
      <w:rFonts w:ascii="仿宋_GB2312" w:hAnsi="Times New Roman" w:eastAsia="仿宋_GB2312" w:cs="Times New Roman"/>
      <w:sz w:val="24"/>
      <w:szCs w:val="20"/>
    </w:rPr>
  </w:style>
  <w:style w:type="paragraph" w:customStyle="1" w:styleId="473">
    <w:name w:val="样式 标题 1H1Heading 0PIM 1Fab-1h11.Normal + Font: Helvetica..."/>
    <w:basedOn w:val="3"/>
    <w:autoRedefine/>
    <w:qFormat/>
    <w:uiPriority w:val="0"/>
    <w:pPr>
      <w:keepLines/>
      <w:tabs>
        <w:tab w:val="left" w:pos="432"/>
      </w:tabs>
      <w:spacing w:before="120" w:after="120" w:line="360" w:lineRule="auto"/>
      <w:ind w:left="432" w:hanging="432"/>
      <w:jc w:val="both"/>
    </w:pPr>
    <w:rPr>
      <w:rFonts w:ascii="Times New Roman" w:eastAsia="宋体" w:cs="宋体"/>
      <w:bCs/>
      <w:kern w:val="44"/>
      <w:sz w:val="32"/>
    </w:rPr>
  </w:style>
  <w:style w:type="paragraph" w:customStyle="1" w:styleId="474">
    <w:name w:val="Char Char Char Char Char Char Char Char Char Char Char Char Char Char Char Char2"/>
    <w:basedOn w:val="1"/>
    <w:qFormat/>
    <w:uiPriority w:val="0"/>
    <w:pPr>
      <w:tabs>
        <w:tab w:val="left" w:pos="432"/>
      </w:tabs>
      <w:spacing w:before="156" w:beforeLines="50" w:after="156" w:afterLines="50"/>
      <w:ind w:left="432" w:hanging="432"/>
      <w:jc w:val="center"/>
    </w:pPr>
    <w:rPr>
      <w:rFonts w:ascii="Verdana" w:hAnsi="Verdana" w:eastAsia="宋体" w:cs="Times New Roman"/>
      <w:kern w:val="0"/>
      <w:szCs w:val="20"/>
      <w:lang w:eastAsia="en-US"/>
    </w:rPr>
  </w:style>
  <w:style w:type="paragraph" w:customStyle="1" w:styleId="475">
    <w:name w:val="样式2"/>
    <w:basedOn w:val="27"/>
    <w:qFormat/>
    <w:uiPriority w:val="0"/>
    <w:pPr>
      <w:tabs>
        <w:tab w:val="right" w:leader="dot" w:pos="9458"/>
      </w:tabs>
    </w:pPr>
    <w:rPr>
      <w:rFonts w:ascii="Arial" w:cs="Arial"/>
      <w:sz w:val="21"/>
      <w:szCs w:val="24"/>
    </w:rPr>
  </w:style>
  <w:style w:type="paragraph" w:customStyle="1" w:styleId="476">
    <w:name w:val="xl3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77">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8">
    <w:name w:val="xl75"/>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79">
    <w:name w:val="font10"/>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4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81">
    <w:name w:val="样式 样式 左  0 字符1 + 左侧:  3 字符"/>
    <w:basedOn w:val="1"/>
    <w:qFormat/>
    <w:uiPriority w:val="0"/>
    <w:pPr>
      <w:spacing w:line="360" w:lineRule="auto"/>
      <w:ind w:left="400" w:leftChars="400"/>
    </w:pPr>
    <w:rPr>
      <w:rFonts w:ascii="Times New Roman" w:hAnsi="Times New Roman" w:eastAsia="宋体" w:cs="宋体"/>
      <w:sz w:val="24"/>
      <w:szCs w:val="20"/>
    </w:rPr>
  </w:style>
  <w:style w:type="paragraph" w:customStyle="1" w:styleId="482">
    <w:name w:val="正文缩进1"/>
    <w:basedOn w:val="1"/>
    <w:qFormat/>
    <w:uiPriority w:val="0"/>
    <w:pPr>
      <w:ind w:firstLine="567"/>
    </w:pPr>
    <w:rPr>
      <w:rFonts w:ascii="Times New Roman" w:hAnsi="Times New Roman" w:eastAsia="宋体" w:cs="Times New Roman"/>
      <w:spacing w:val="20"/>
      <w:sz w:val="24"/>
      <w:szCs w:val="20"/>
    </w:rPr>
  </w:style>
  <w:style w:type="paragraph" w:customStyle="1" w:styleId="483">
    <w:name w:val="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4">
    <w:name w:val="xl86"/>
    <w:basedOn w:val="1"/>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485">
    <w:name w:val="正文样式"/>
    <w:basedOn w:val="1"/>
    <w:qFormat/>
    <w:uiPriority w:val="0"/>
    <w:pPr>
      <w:tabs>
        <w:tab w:val="left" w:pos="1560"/>
      </w:tabs>
      <w:spacing w:before="163" w:after="163" w:line="300" w:lineRule="auto"/>
      <w:ind w:left="1560" w:hanging="360"/>
    </w:pPr>
    <w:rPr>
      <w:rFonts w:ascii="宋体" w:hAnsi="Times New Roman" w:eastAsia="宋体" w:cs="Times New Roman"/>
      <w:sz w:val="24"/>
      <w:szCs w:val="24"/>
    </w:rPr>
  </w:style>
  <w:style w:type="paragraph" w:customStyle="1" w:styleId="486">
    <w:name w:val="样式 标题 2章标题名称节H2章标题h2PIM2Heading 2 HiddenHeading 2 CCBSh..."/>
    <w:basedOn w:val="4"/>
    <w:qFormat/>
    <w:uiPriority w:val="0"/>
    <w:pPr>
      <w:widowControl/>
      <w:tabs>
        <w:tab w:val="left" w:pos="786"/>
        <w:tab w:val="left" w:pos="1080"/>
      </w:tabs>
      <w:adjustRightInd w:val="0"/>
      <w:spacing w:before="124" w:beforeLines="40" w:after="124" w:afterLines="40" w:line="360" w:lineRule="auto"/>
      <w:ind w:left="1080" w:hanging="720"/>
      <w:jc w:val="left"/>
    </w:pPr>
    <w:rPr>
      <w:rFonts w:ascii="宋体" w:hAnsi="宋体" w:eastAsia="宋体"/>
      <w:kern w:val="0"/>
      <w:sz w:val="30"/>
      <w:szCs w:val="20"/>
    </w:rPr>
  </w:style>
  <w:style w:type="paragraph" w:customStyle="1" w:styleId="487">
    <w:name w:val="xl10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88">
    <w:name w:val="xl73"/>
    <w:basedOn w:val="1"/>
    <w:qFormat/>
    <w:uiPriority w:val="0"/>
    <w:pPr>
      <w:widowControl/>
      <w:pBdr>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4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90">
    <w:name w:val="p15"/>
    <w:basedOn w:val="1"/>
    <w:qFormat/>
    <w:uiPriority w:val="0"/>
    <w:pPr>
      <w:widowControl/>
      <w:spacing w:before="156" w:after="156" w:line="360" w:lineRule="auto"/>
      <w:ind w:firstLine="420"/>
    </w:pPr>
    <w:rPr>
      <w:rFonts w:ascii="Times New Roman" w:hAnsi="Times New Roman" w:eastAsia="宋体" w:cs="Times New Roman"/>
      <w:kern w:val="0"/>
      <w:sz w:val="24"/>
      <w:szCs w:val="24"/>
    </w:rPr>
  </w:style>
  <w:style w:type="paragraph" w:customStyle="1" w:styleId="491">
    <w:name w:val="样式 标题 4h4First SubheadingH4第三层条sect 1.2.3.4Ref Heading 1r...1"/>
    <w:basedOn w:val="6"/>
    <w:qFormat/>
    <w:uiPriority w:val="0"/>
    <w:pPr>
      <w:spacing w:before="120" w:after="120" w:line="360" w:lineRule="auto"/>
      <w:ind w:firstLine="0" w:firstLineChars="0"/>
    </w:pPr>
    <w:rPr>
      <w:rFonts w:ascii="Arial" w:eastAsia="宋体"/>
      <w:bCs/>
      <w:sz w:val="24"/>
      <w:szCs w:val="20"/>
    </w:rPr>
  </w:style>
  <w:style w:type="paragraph" w:customStyle="1" w:styleId="492">
    <w:name w:val="xl67"/>
    <w:basedOn w:val="1"/>
    <w:qFormat/>
    <w:uiPriority w:val="0"/>
    <w:pPr>
      <w:widowControl/>
      <w:pBdr>
        <w:top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93">
    <w:name w:val="font6"/>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94">
    <w:name w:val="正文缩进(楷体)"/>
    <w:basedOn w:val="1"/>
    <w:qFormat/>
    <w:uiPriority w:val="0"/>
    <w:pPr>
      <w:spacing w:line="420" w:lineRule="exact"/>
      <w:ind w:firstLine="200" w:firstLineChars="200"/>
    </w:pPr>
    <w:rPr>
      <w:rFonts w:ascii="Times New Roman" w:hAnsi="Times New Roman" w:eastAsia="楷体_GB2312" w:cs="Times New Roman"/>
      <w:sz w:val="24"/>
      <w:szCs w:val="28"/>
    </w:rPr>
  </w:style>
  <w:style w:type="paragraph" w:customStyle="1" w:styleId="495">
    <w:name w:val="图5"/>
    <w:basedOn w:val="1"/>
    <w:qFormat/>
    <w:uiPriority w:val="0"/>
    <w:pPr>
      <w:adjustRightInd w:val="0"/>
      <w:spacing w:line="220" w:lineRule="exact"/>
      <w:jc w:val="center"/>
      <w:textAlignment w:val="baseline"/>
    </w:pPr>
    <w:rPr>
      <w:rFonts w:ascii="仿宋_GB2312" w:hAnsi="Times New Roman" w:eastAsia="仿宋_GB2312" w:cs="Times New Roman"/>
      <w:kern w:val="0"/>
      <w:szCs w:val="20"/>
    </w:rPr>
  </w:style>
  <w:style w:type="paragraph" w:customStyle="1" w:styleId="496">
    <w:name w:val="修订1"/>
    <w:qFormat/>
    <w:uiPriority w:val="0"/>
    <w:rPr>
      <w:rFonts w:ascii="Times New Roman" w:hAnsi="Times New Roman" w:eastAsia="宋体" w:cs="Times New Roman"/>
      <w:kern w:val="2"/>
      <w:sz w:val="21"/>
      <w:lang w:val="en-US" w:eastAsia="zh-CN" w:bidi="ar-SA"/>
    </w:rPr>
  </w:style>
  <w:style w:type="paragraph" w:customStyle="1" w:styleId="497">
    <w:name w:val="新二"/>
    <w:basedOn w:val="1"/>
    <w:qFormat/>
    <w:uiPriority w:val="0"/>
    <w:rPr>
      <w:rFonts w:ascii="Times New Roman" w:hAnsi="Times New Roman" w:eastAsia="宋体" w:cs="Times New Roman"/>
      <w:b/>
      <w:bCs/>
      <w:sz w:val="24"/>
      <w:szCs w:val="24"/>
    </w:rPr>
  </w:style>
  <w:style w:type="paragraph" w:customStyle="1" w:styleId="498">
    <w:name w:val="签名 - 公司"/>
    <w:basedOn w:val="37"/>
    <w:next w:val="421"/>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99">
    <w:name w:val="cnfont"/>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500">
    <w:name w:val="表格文字"/>
    <w:basedOn w:val="1"/>
    <w:qFormat/>
    <w:uiPriority w:val="0"/>
    <w:pPr>
      <w:adjustRightInd w:val="0"/>
      <w:spacing w:line="0" w:lineRule="atLeast"/>
      <w:jc w:val="center"/>
      <w:textAlignment w:val="baseline"/>
    </w:pPr>
    <w:rPr>
      <w:rFonts w:ascii="Times New Roman" w:hAnsi="Times New Roman" w:eastAsia="宋体" w:cs="Times New Roman"/>
      <w:kern w:val="0"/>
      <w:szCs w:val="20"/>
    </w:rPr>
  </w:style>
  <w:style w:type="paragraph" w:customStyle="1" w:styleId="501">
    <w:name w:val="列出段落1"/>
    <w:basedOn w:val="1"/>
    <w:qFormat/>
    <w:uiPriority w:val="0"/>
    <w:pPr>
      <w:ind w:firstLine="420" w:firstLineChars="200"/>
    </w:pPr>
    <w:rPr>
      <w:rFonts w:ascii="Times New Roman" w:hAnsi="Times New Roman" w:eastAsia="宋体" w:cs="Times New Roman"/>
      <w:szCs w:val="24"/>
    </w:rPr>
  </w:style>
  <w:style w:type="paragraph" w:customStyle="1" w:styleId="502">
    <w:name w:val="Char Char22"/>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503">
    <w:name w:val="Char3"/>
    <w:basedOn w:val="1"/>
    <w:qFormat/>
    <w:uiPriority w:val="0"/>
    <w:rPr>
      <w:rFonts w:ascii="Times New Roman" w:hAnsi="Times New Roman" w:eastAsia="宋体" w:cs="Times New Roman"/>
      <w:sz w:val="24"/>
      <w:szCs w:val="24"/>
    </w:rPr>
  </w:style>
  <w:style w:type="paragraph" w:customStyle="1" w:styleId="504">
    <w:name w:val="Char1 Char Char Char Char Char Char1"/>
    <w:basedOn w:val="1"/>
    <w:qFormat/>
    <w:uiPriority w:val="0"/>
    <w:rPr>
      <w:rFonts w:ascii="Tahoma" w:hAnsi="Tahoma" w:eastAsia="宋体" w:cs="Times New Roman"/>
      <w:sz w:val="24"/>
      <w:szCs w:val="20"/>
    </w:rPr>
  </w:style>
  <w:style w:type="paragraph" w:customStyle="1" w:styleId="505">
    <w:name w:val="Char Char1 Char Char1"/>
    <w:basedOn w:val="1"/>
    <w:qFormat/>
    <w:uiPriority w:val="0"/>
    <w:rPr>
      <w:rFonts w:ascii="Times New Roman" w:hAnsi="Times New Roman" w:eastAsia="宋体" w:cs="Times New Roman"/>
      <w:szCs w:val="20"/>
    </w:rPr>
  </w:style>
  <w:style w:type="paragraph" w:customStyle="1" w:styleId="506">
    <w:name w:val="Char Char Char Char Char Char Char Char Char Char Char Char Char Char Char Char Char Char Char1"/>
    <w:basedOn w:val="1"/>
    <w:qFormat/>
    <w:uiPriority w:val="0"/>
    <w:pPr>
      <w:tabs>
        <w:tab w:val="left" w:pos="432"/>
      </w:tabs>
      <w:spacing w:before="156" w:beforeLines="50" w:after="156" w:afterLines="50"/>
      <w:ind w:left="864" w:hanging="432"/>
      <w:jc w:val="center"/>
    </w:pPr>
    <w:rPr>
      <w:rFonts w:ascii="Times New Roman" w:hAnsi="Times New Roman" w:eastAsia="宋体" w:cs="Times New Roman"/>
      <w:sz w:val="24"/>
      <w:szCs w:val="24"/>
    </w:rPr>
  </w:style>
  <w:style w:type="paragraph" w:customStyle="1" w:styleId="507">
    <w:name w:val="Char Char1 Char Char Char Char Char Char 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08">
    <w:name w:val="Char Char Char Char Char Char Char 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09">
    <w:name w:val="Char1 Char Char Char1"/>
    <w:basedOn w:val="1"/>
    <w:qFormat/>
    <w:uiPriority w:val="0"/>
    <w:rPr>
      <w:rFonts w:ascii="Tahoma" w:hAnsi="Tahoma" w:eastAsia="宋体" w:cs="Times New Roman"/>
      <w:sz w:val="24"/>
      <w:szCs w:val="20"/>
    </w:rPr>
  </w:style>
  <w:style w:type="paragraph" w:customStyle="1" w:styleId="510">
    <w:name w:val="Char21"/>
    <w:basedOn w:val="1"/>
    <w:qFormat/>
    <w:uiPriority w:val="0"/>
    <w:rPr>
      <w:rFonts w:ascii="Tahoma" w:hAnsi="Tahoma" w:eastAsia="宋体" w:cs="Times New Roman"/>
      <w:sz w:val="24"/>
      <w:szCs w:val="20"/>
    </w:rPr>
  </w:style>
  <w:style w:type="paragraph" w:customStyle="1" w:styleId="511">
    <w:name w:val="Char11"/>
    <w:basedOn w:val="1"/>
    <w:qFormat/>
    <w:uiPriority w:val="0"/>
    <w:pPr>
      <w:tabs>
        <w:tab w:val="left" w:pos="360"/>
      </w:tabs>
    </w:pPr>
    <w:rPr>
      <w:rFonts w:ascii="Times New Roman" w:hAnsi="Times New Roman" w:eastAsia="宋体" w:cs="Times New Roman"/>
      <w:sz w:val="24"/>
      <w:szCs w:val="20"/>
    </w:rPr>
  </w:style>
  <w:style w:type="paragraph" w:customStyle="1" w:styleId="512">
    <w:name w:val="正文31"/>
    <w:qFormat/>
    <w:uiPriority w:val="0"/>
    <w:rPr>
      <w:rFonts w:ascii="Times New Roman" w:hAnsi="Times New Roman" w:eastAsia="宋体" w:cs="Times New Roman"/>
      <w:lang w:val="ru-RU" w:eastAsia="ru-RU" w:bidi="ar-SA"/>
    </w:rPr>
  </w:style>
  <w:style w:type="paragraph" w:customStyle="1" w:styleId="513">
    <w:name w:val="Char Char Char Char1"/>
    <w:basedOn w:val="1"/>
    <w:qFormat/>
    <w:uiPriority w:val="0"/>
    <w:pPr>
      <w:widowControl/>
      <w:tabs>
        <w:tab w:val="left" w:pos="360"/>
      </w:tabs>
      <w:spacing w:after="200" w:line="276" w:lineRule="auto"/>
      <w:jc w:val="left"/>
    </w:pPr>
    <w:rPr>
      <w:rFonts w:ascii="Calibri" w:hAnsi="Calibri" w:eastAsia="宋体" w:cs="Times New Roman"/>
      <w:sz w:val="22"/>
    </w:rPr>
  </w:style>
  <w:style w:type="paragraph" w:customStyle="1" w:styleId="514">
    <w:name w:val="Char Char Char Char Char Char1 Char1"/>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15">
    <w:name w:val="Char Char Char Char Char Char Char1"/>
    <w:basedOn w:val="1"/>
    <w:qFormat/>
    <w:uiPriority w:val="0"/>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516">
    <w:name w:val="Char Char17"/>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17">
    <w:name w:val="Char Char Char Char Char Char Char Char Char Char Char Char Char Char Char Char1"/>
    <w:basedOn w:val="1"/>
    <w:qFormat/>
    <w:uiPriority w:val="0"/>
    <w:pPr>
      <w:tabs>
        <w:tab w:val="left" w:pos="432"/>
      </w:tabs>
      <w:spacing w:before="156" w:beforeLines="50" w:after="156" w:afterLines="50"/>
      <w:ind w:left="432" w:hanging="432"/>
      <w:jc w:val="center"/>
    </w:pPr>
    <w:rPr>
      <w:rFonts w:ascii="Verdana" w:hAnsi="Verdana" w:eastAsia="宋体" w:cs="Times New Roman"/>
      <w:kern w:val="0"/>
      <w:szCs w:val="20"/>
      <w:lang w:eastAsia="en-US"/>
    </w:rPr>
  </w:style>
  <w:style w:type="table" w:customStyle="1" w:styleId="518">
    <w:name w:val="网格型1"/>
    <w:basedOn w:val="5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9">
    <w:name w:val="列出段落11"/>
    <w:basedOn w:val="1"/>
    <w:qFormat/>
    <w:uiPriority w:val="0"/>
    <w:pPr>
      <w:ind w:firstLine="420" w:firstLineChars="200"/>
    </w:pPr>
    <w:rPr>
      <w:rFonts w:ascii="Times New Roman" w:hAnsi="Times New Roman" w:eastAsia="宋体" w:cs="Times New Roman"/>
      <w:szCs w:val="24"/>
    </w:rPr>
  </w:style>
  <w:style w:type="paragraph" w:customStyle="1" w:styleId="52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521">
    <w:name w:val="网格型2"/>
    <w:basedOn w:val="5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2">
    <w:name w:val="脚注文本 字符"/>
    <w:basedOn w:val="60"/>
    <w:link w:val="42"/>
    <w:qFormat/>
    <w:uiPriority w:val="99"/>
    <w:rPr>
      <w:rFonts w:ascii="Calibri" w:hAnsi="Calibri" w:eastAsia="宋体" w:cs="Times New Roman"/>
      <w:sz w:val="18"/>
      <w:szCs w:val="18"/>
    </w:rPr>
  </w:style>
  <w:style w:type="paragraph" w:customStyle="1" w:styleId="523">
    <w:name w:val="3CBD5A742C28424DA5172AD252E32316"/>
    <w:qFormat/>
    <w:uiPriority w:val="0"/>
    <w:pPr>
      <w:spacing w:after="200" w:line="276" w:lineRule="auto"/>
    </w:pPr>
    <w:rPr>
      <w:rFonts w:ascii="Calibri" w:hAnsi="Calibri" w:eastAsia="宋体" w:cs="Times New Roman"/>
      <w:sz w:val="22"/>
      <w:szCs w:val="22"/>
      <w:lang w:val="en-US" w:eastAsia="zh-CN" w:bidi="ar-SA"/>
    </w:rPr>
  </w:style>
  <w:style w:type="paragraph" w:styleId="524">
    <w:name w:val="No Spacing"/>
    <w:link w:val="525"/>
    <w:qFormat/>
    <w:uiPriority w:val="1"/>
    <w:rPr>
      <w:rFonts w:ascii="Calibri" w:hAnsi="Calibri" w:eastAsia="宋体" w:cs="Times New Roman"/>
      <w:sz w:val="22"/>
      <w:szCs w:val="22"/>
      <w:lang w:val="en-US" w:eastAsia="zh-CN" w:bidi="ar-SA"/>
    </w:rPr>
  </w:style>
  <w:style w:type="character" w:customStyle="1" w:styleId="525">
    <w:name w:val="无间隔 字符"/>
    <w:link w:val="524"/>
    <w:qFormat/>
    <w:uiPriority w:val="1"/>
    <w:rPr>
      <w:rFonts w:ascii="Calibri" w:hAnsi="Calibri" w:eastAsia="宋体" w:cs="Times New Roman"/>
      <w:kern w:val="0"/>
      <w:sz w:val="22"/>
    </w:rPr>
  </w:style>
  <w:style w:type="paragraph" w:customStyle="1" w:styleId="526">
    <w:name w:val="TOC 标题1"/>
    <w:basedOn w:val="3"/>
    <w:next w:val="1"/>
    <w:unhideWhenUsed/>
    <w:qFormat/>
    <w:uiPriority w:val="39"/>
    <w:pPr>
      <w:keepLines/>
      <w:spacing w:before="340" w:after="330" w:line="578" w:lineRule="auto"/>
      <w:jc w:val="both"/>
      <w:outlineLvl w:val="9"/>
    </w:pPr>
    <w:rPr>
      <w:rFonts w:ascii="Times New Roman" w:eastAsia="宋体"/>
      <w:bCs/>
      <w:kern w:val="44"/>
      <w:sz w:val="44"/>
      <w:szCs w:val="44"/>
    </w:rPr>
  </w:style>
  <w:style w:type="paragraph" w:customStyle="1" w:styleId="527">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528">
    <w:name w:val="表格"/>
    <w:basedOn w:val="1"/>
    <w:qFormat/>
    <w:uiPriority w:val="0"/>
    <w:pPr>
      <w:spacing w:line="400" w:lineRule="exact"/>
    </w:pPr>
    <w:rPr>
      <w:rFonts w:ascii="Times New Roman" w:hAnsi="Times New Roman" w:eastAsia="宋体" w:cs="Times New Roman"/>
      <w:sz w:val="24"/>
      <w:szCs w:val="24"/>
    </w:rPr>
  </w:style>
  <w:style w:type="paragraph" w:customStyle="1" w:styleId="52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530">
    <w:name w:val="（符号）邀请函中一、"/>
    <w:qFormat/>
    <w:uiPriority w:val="0"/>
    <w:rPr>
      <w:rFonts w:ascii="黑体" w:eastAsia="黑体"/>
      <w:b/>
      <w:bCs/>
      <w:sz w:val="24"/>
    </w:rPr>
  </w:style>
  <w:style w:type="paragraph" w:customStyle="1" w:styleId="531">
    <w:name w:val="Char Char Char Char Char Char Char Char Char Char Char Char Char Char1 Char Char Char Char"/>
    <w:basedOn w:val="1"/>
    <w:qFormat/>
    <w:uiPriority w:val="0"/>
    <w:rPr>
      <w:rFonts w:ascii="Times New Roman" w:hAnsi="Times New Roman" w:eastAsia="宋体" w:cs="Times New Roman"/>
      <w:szCs w:val="21"/>
    </w:rPr>
  </w:style>
  <w:style w:type="table" w:customStyle="1" w:styleId="532">
    <w:name w:val="网格型3"/>
    <w:basedOn w:val="5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网格型4"/>
    <w:basedOn w:val="5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34">
    <w:name w:val="last-child"/>
    <w:basedOn w:val="60"/>
    <w:qFormat/>
    <w:uiPriority w:val="0"/>
  </w:style>
  <w:style w:type="paragraph" w:customStyle="1" w:styleId="535">
    <w:name w:val="目次、标准名称标题"/>
    <w:basedOn w:val="413"/>
    <w:next w:val="269"/>
    <w:qFormat/>
    <w:uiPriority w:val="0"/>
    <w:pPr>
      <w:numPr>
        <w:ilvl w:val="0"/>
        <w:numId w:val="0"/>
      </w:numPr>
      <w:spacing w:line="460" w:lineRule="exact"/>
    </w:pPr>
  </w:style>
  <w:style w:type="paragraph" w:customStyle="1" w:styleId="536">
    <w:name w:val="章标题"/>
    <w:next w:val="269"/>
    <w:qFormat/>
    <w:uiPriority w:val="0"/>
    <w:pPr>
      <w:numPr>
        <w:ilvl w:val="1"/>
        <w:numId w:val="9"/>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537">
    <w:name w:val="正文图标题"/>
    <w:next w:val="269"/>
    <w:qFormat/>
    <w:uiPriority w:val="0"/>
    <w:pPr>
      <w:numPr>
        <w:ilvl w:val="0"/>
        <w:numId w:val="18"/>
      </w:numPr>
      <w:jc w:val="center"/>
    </w:pPr>
    <w:rPr>
      <w:rFonts w:ascii="黑体" w:hAnsi="黑体" w:eastAsia="黑体" w:cs="Times New Roman"/>
      <w:sz w:val="21"/>
      <w:lang w:val="en-US" w:eastAsia="zh-CN" w:bidi="ar-SA"/>
    </w:rPr>
  </w:style>
  <w:style w:type="paragraph" w:customStyle="1" w:styleId="538">
    <w:name w:val="附录五级无"/>
    <w:basedOn w:val="539"/>
    <w:qFormat/>
    <w:uiPriority w:val="0"/>
    <w:pPr>
      <w:spacing w:before="0" w:beforeLines="0" w:after="0" w:afterLines="0"/>
    </w:pPr>
    <w:rPr>
      <w:rFonts w:ascii="宋体" w:eastAsia="宋体"/>
      <w:szCs w:val="21"/>
    </w:rPr>
  </w:style>
  <w:style w:type="paragraph" w:customStyle="1" w:styleId="539">
    <w:name w:val="附录五级条标题"/>
    <w:basedOn w:val="540"/>
    <w:next w:val="269"/>
    <w:qFormat/>
    <w:uiPriority w:val="0"/>
    <w:pPr>
      <w:outlineLvl w:val="6"/>
    </w:pPr>
  </w:style>
  <w:style w:type="paragraph" w:customStyle="1" w:styleId="540">
    <w:name w:val="附录四级条标题"/>
    <w:basedOn w:val="541"/>
    <w:next w:val="269"/>
    <w:qFormat/>
    <w:uiPriority w:val="0"/>
    <w:pPr>
      <w:outlineLvl w:val="5"/>
    </w:pPr>
  </w:style>
  <w:style w:type="paragraph" w:customStyle="1" w:styleId="541">
    <w:name w:val="附录三级条标题"/>
    <w:basedOn w:val="542"/>
    <w:next w:val="269"/>
    <w:qFormat/>
    <w:uiPriority w:val="0"/>
    <w:pPr>
      <w:outlineLvl w:val="4"/>
    </w:pPr>
  </w:style>
  <w:style w:type="paragraph" w:customStyle="1" w:styleId="542">
    <w:name w:val="附录二级条标题"/>
    <w:basedOn w:val="1"/>
    <w:next w:val="269"/>
    <w:qFormat/>
    <w:uiPriority w:val="0"/>
    <w:pPr>
      <w:widowControl/>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43">
    <w:name w:val="附录一级条标题"/>
    <w:basedOn w:val="357"/>
    <w:next w:val="269"/>
    <w:qFormat/>
    <w:uiPriority w:val="0"/>
    <w:pPr>
      <w:numPr>
        <w:ilvl w:val="2"/>
        <w:numId w:val="19"/>
      </w:numPr>
      <w:tabs>
        <w:tab w:val="left" w:pos="360"/>
        <w:tab w:val="clear" w:pos="840"/>
      </w:tabs>
      <w:autoSpaceDN w:val="0"/>
      <w:spacing w:before="50" w:beforeLines="50" w:after="50" w:afterLines="50"/>
      <w:outlineLvl w:val="2"/>
    </w:pPr>
  </w:style>
  <w:style w:type="paragraph" w:customStyle="1" w:styleId="544">
    <w:name w:val="附录表标题"/>
    <w:basedOn w:val="1"/>
    <w:next w:val="269"/>
    <w:qFormat/>
    <w:uiPriority w:val="0"/>
    <w:pPr>
      <w:numPr>
        <w:ilvl w:val="1"/>
        <w:numId w:val="20"/>
      </w:numPr>
      <w:tabs>
        <w:tab w:val="left" w:pos="180"/>
      </w:tabs>
      <w:spacing w:before="50" w:beforeLines="50" w:after="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9.jpeg"/><Relationship Id="rId3" Type="http://schemas.openxmlformats.org/officeDocument/2006/relationships/header" Target="header1.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wmf"/><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customXml" Target="ink/ink1.xml"/><Relationship Id="rId10" Type="http://schemas.openxmlformats.org/officeDocument/2006/relationships/theme" Target="theme/theme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5-14T14:09:28"/>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10889.000 96842.000,'-14.000'0.000,"14.000"0.000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121</Pages>
  <Words>2597</Words>
  <Characters>3003</Characters>
  <Lines>279</Lines>
  <Paragraphs>78</Paragraphs>
  <TotalTime>11</TotalTime>
  <ScaleCrop>false</ScaleCrop>
  <LinksUpToDate>false</LinksUpToDate>
  <CharactersWithSpaces>3172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2019-09-10T02:55:00Z</dcterms:created>
  <dc:creator>PC</dc:creator>
  <cp:lastModifiedBy>宁静淡泊</cp:lastModifiedBy>
  <cp:lastPrinted>2019-11-19T01:31:00Z</cp:lastPrinted>
  <dcterms:modified xsi:type="dcterms:W3CDTF">2025-06-30T06:09:37Z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EE87348CE60340C28567996ED2A86810</vt:lpwstr>
  </property>
  <property fmtid="{D5CDD505-2E9C-101B-9397-08002B2CF9AE}" pid="4" name="KSOTemplateDocerSaveRecord">
    <vt:lpwstr>eyJoZGlkIjoiNTE2MzIyMDVjNmIyZDY0NTM3N2Y2YWE3YWU1MmZmMjkiLCJ1c2VySWQiOiIxNDQ3MTA4MzU4In0=</vt:lpwstr>
  </property>
</Properties>
</file>