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D770D">
      <w:pPr>
        <w:widowControl/>
        <w:spacing w:line="276" w:lineRule="auto"/>
        <w:jc w:val="center"/>
        <w:rPr>
          <w:rFonts w:hint="eastAsia" w:cs="宋体" w:asciiTheme="majorEastAsia" w:hAnsiTheme="majorEastAsia" w:eastAsiaTheme="majorEastAsia"/>
          <w:b/>
          <w:bCs/>
          <w:color w:val="000000"/>
          <w:kern w:val="0"/>
          <w:sz w:val="48"/>
          <w:szCs w:val="48"/>
          <w:lang w:eastAsia="zh-CN"/>
        </w:rPr>
      </w:pPr>
    </w:p>
    <w:p w14:paraId="1461101C">
      <w:pPr>
        <w:widowControl/>
        <w:spacing w:line="276" w:lineRule="auto"/>
        <w:jc w:val="center"/>
        <w:rPr>
          <w:rFonts w:hint="default" w:cs="宋体" w:asciiTheme="majorEastAsia" w:hAnsiTheme="majorEastAsia" w:eastAsiaTheme="majorEastAsia"/>
          <w:b/>
          <w:bCs/>
          <w:color w:val="000000"/>
          <w:kern w:val="0"/>
          <w:sz w:val="48"/>
          <w:szCs w:val="48"/>
          <w:lang w:val="en-US" w:eastAsia="zh-CN"/>
        </w:rPr>
      </w:pPr>
      <w:bookmarkStart w:id="0" w:name="OLE_LINK10"/>
      <w:r>
        <w:rPr>
          <w:rFonts w:hint="eastAsia" w:cs="宋体" w:asciiTheme="majorEastAsia" w:hAnsiTheme="majorEastAsia" w:eastAsiaTheme="majorEastAsia"/>
          <w:b/>
          <w:bCs/>
          <w:color w:val="000000"/>
          <w:kern w:val="0"/>
          <w:sz w:val="48"/>
          <w:szCs w:val="48"/>
          <w:lang w:eastAsia="zh-CN"/>
        </w:rPr>
        <w:t>长岭县防汛物资采购项目</w:t>
      </w:r>
    </w:p>
    <w:bookmarkEnd w:id="0"/>
    <w:p w14:paraId="520BEF71">
      <w:pPr>
        <w:widowControl/>
        <w:spacing w:line="276" w:lineRule="auto"/>
        <w:jc w:val="center"/>
        <w:rPr>
          <w:rFonts w:cs="宋体" w:asciiTheme="majorEastAsia" w:hAnsiTheme="majorEastAsia" w:eastAsiaTheme="majorEastAsia"/>
          <w:b/>
          <w:bCs/>
          <w:color w:val="000000"/>
          <w:kern w:val="0"/>
          <w:sz w:val="32"/>
          <w:szCs w:val="32"/>
        </w:rPr>
      </w:pPr>
    </w:p>
    <w:p w14:paraId="37694A1D">
      <w:pPr>
        <w:widowControl/>
        <w:spacing w:line="276" w:lineRule="auto"/>
        <w:jc w:val="center"/>
        <w:rPr>
          <w:rFonts w:cs="宋体" w:asciiTheme="majorEastAsia" w:hAnsiTheme="majorEastAsia" w:eastAsiaTheme="majorEastAsia"/>
          <w:b/>
          <w:bCs/>
          <w:color w:val="000000"/>
          <w:kern w:val="0"/>
          <w:sz w:val="32"/>
          <w:szCs w:val="32"/>
        </w:rPr>
      </w:pPr>
      <w:r>
        <w:rPr>
          <w:rFonts w:hint="eastAsia" w:cs="宋体" w:asciiTheme="majorEastAsia" w:hAnsiTheme="majorEastAsia" w:eastAsiaTheme="majorEastAsia"/>
          <w:b/>
          <w:bCs/>
          <w:color w:val="000000"/>
          <w:kern w:val="0"/>
          <w:sz w:val="32"/>
          <w:szCs w:val="32"/>
        </w:rPr>
        <w:t>（公开招标）</w:t>
      </w:r>
    </w:p>
    <w:p w14:paraId="6C041DCB">
      <w:pPr>
        <w:widowControl/>
        <w:spacing w:line="276" w:lineRule="auto"/>
        <w:rPr>
          <w:rFonts w:cs="宋体" w:asciiTheme="majorEastAsia" w:hAnsiTheme="majorEastAsia" w:eastAsiaTheme="majorEastAsia"/>
          <w:color w:val="000000"/>
          <w:kern w:val="0"/>
          <w:sz w:val="44"/>
          <w:szCs w:val="44"/>
        </w:rPr>
      </w:pPr>
    </w:p>
    <w:p w14:paraId="0640FFA4">
      <w:pPr>
        <w:pStyle w:val="4"/>
      </w:pPr>
    </w:p>
    <w:p w14:paraId="2E92DD80">
      <w:pPr>
        <w:pStyle w:val="4"/>
      </w:pPr>
    </w:p>
    <w:p w14:paraId="1E326800">
      <w:pPr>
        <w:widowControl/>
        <w:spacing w:line="276" w:lineRule="auto"/>
        <w:jc w:val="center"/>
        <w:rPr>
          <w:rFonts w:cs="宋体" w:asciiTheme="majorEastAsia" w:hAnsiTheme="majorEastAsia" w:eastAsiaTheme="majorEastAsia"/>
          <w:b/>
          <w:bCs/>
          <w:color w:val="000000"/>
          <w:kern w:val="0"/>
          <w:sz w:val="84"/>
          <w:szCs w:val="84"/>
        </w:rPr>
      </w:pPr>
      <w:r>
        <w:rPr>
          <w:rFonts w:hint="eastAsia" w:cs="宋体" w:asciiTheme="majorEastAsia" w:hAnsiTheme="majorEastAsia" w:eastAsiaTheme="majorEastAsia"/>
          <w:b/>
          <w:bCs/>
          <w:color w:val="000000"/>
          <w:kern w:val="0"/>
          <w:sz w:val="84"/>
          <w:szCs w:val="84"/>
        </w:rPr>
        <w:t>招标文件</w:t>
      </w:r>
    </w:p>
    <w:p w14:paraId="26959719">
      <w:pPr>
        <w:widowControl/>
        <w:snapToGrid w:val="0"/>
        <w:spacing w:line="276" w:lineRule="auto"/>
        <w:jc w:val="center"/>
        <w:outlineLvl w:val="1"/>
        <w:rPr>
          <w:rFonts w:cs="宋体" w:asciiTheme="majorEastAsia" w:hAnsiTheme="majorEastAsia" w:eastAsiaTheme="majorEastAsia"/>
          <w:b/>
          <w:bCs/>
          <w:color w:val="000000"/>
          <w:kern w:val="0"/>
          <w:sz w:val="32"/>
          <w:szCs w:val="32"/>
        </w:rPr>
      </w:pPr>
      <w:bookmarkStart w:id="1" w:name="_Toc504654671"/>
      <w:bookmarkStart w:id="2" w:name="_Toc504479633"/>
    </w:p>
    <w:p w14:paraId="6CEAF6F4">
      <w:pPr>
        <w:widowControl/>
        <w:spacing w:line="276" w:lineRule="auto"/>
        <w:jc w:val="center"/>
        <w:rPr>
          <w:rFonts w:hint="default" w:cs="宋体" w:asciiTheme="majorEastAsia" w:hAnsiTheme="majorEastAsia" w:eastAsiaTheme="majorEastAsia"/>
          <w:color w:val="000000"/>
          <w:kern w:val="0"/>
          <w:sz w:val="52"/>
          <w:szCs w:val="52"/>
          <w:lang w:val="en-US" w:eastAsia="zh-CN"/>
        </w:rPr>
      </w:pPr>
      <w:r>
        <w:rPr>
          <w:rFonts w:hint="eastAsia" w:cs="宋体" w:asciiTheme="majorEastAsia" w:hAnsiTheme="majorEastAsia" w:eastAsiaTheme="majorEastAsia"/>
          <w:b/>
          <w:bCs/>
          <w:color w:val="000000"/>
          <w:kern w:val="0"/>
          <w:sz w:val="32"/>
          <w:szCs w:val="32"/>
        </w:rPr>
        <w:t>招标项目编号：</w:t>
      </w:r>
      <w:bookmarkEnd w:id="1"/>
      <w:bookmarkEnd w:id="2"/>
      <w:r>
        <w:rPr>
          <w:rFonts w:hint="eastAsia" w:ascii="宋体" w:hAnsi="宋体" w:cs="宋体"/>
          <w:b/>
          <w:kern w:val="0"/>
          <w:sz w:val="32"/>
          <w:szCs w:val="32"/>
          <w:lang w:eastAsia="zh-CN"/>
        </w:rPr>
        <w:t>采购计划-[2025]-00100号-jb-009</w:t>
      </w:r>
    </w:p>
    <w:p w14:paraId="6E7EF3C6">
      <w:pPr>
        <w:pStyle w:val="4"/>
      </w:pPr>
    </w:p>
    <w:p w14:paraId="24E4DC43">
      <w:pPr>
        <w:widowControl/>
        <w:spacing w:line="276" w:lineRule="auto"/>
        <w:rPr>
          <w:rFonts w:cs="宋体" w:asciiTheme="majorEastAsia" w:hAnsiTheme="majorEastAsia" w:eastAsiaTheme="majorEastAsia"/>
          <w:color w:val="000000"/>
          <w:kern w:val="0"/>
          <w:sz w:val="52"/>
          <w:szCs w:val="52"/>
        </w:rPr>
      </w:pPr>
    </w:p>
    <w:p w14:paraId="6EDF9529">
      <w:pPr>
        <w:pStyle w:val="4"/>
      </w:pPr>
    </w:p>
    <w:p w14:paraId="37488051">
      <w:pPr>
        <w:pStyle w:val="4"/>
      </w:pPr>
    </w:p>
    <w:p w14:paraId="22ADA5CD">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07993519">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1E5A17D3">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7765866D">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2A09593B">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719D4C8C">
      <w:pPr>
        <w:pStyle w:val="4"/>
        <w:rPr>
          <w:rFonts w:cs="宋体" w:asciiTheme="majorEastAsia" w:hAnsiTheme="majorEastAsia" w:eastAsiaTheme="majorEastAsia"/>
          <w:b/>
          <w:bCs/>
          <w:color w:val="000000"/>
          <w:sz w:val="32"/>
          <w:szCs w:val="32"/>
        </w:rPr>
      </w:pPr>
    </w:p>
    <w:p w14:paraId="447EFB44">
      <w:pPr>
        <w:pStyle w:val="4"/>
        <w:rPr>
          <w:rFonts w:cs="宋体" w:asciiTheme="majorEastAsia" w:hAnsiTheme="majorEastAsia" w:eastAsiaTheme="majorEastAsia"/>
          <w:b/>
          <w:bCs/>
          <w:color w:val="000000"/>
          <w:sz w:val="32"/>
          <w:szCs w:val="32"/>
        </w:rPr>
      </w:pPr>
    </w:p>
    <w:p w14:paraId="73228464">
      <w:pPr>
        <w:autoSpaceDN w:val="0"/>
        <w:spacing w:line="276" w:lineRule="auto"/>
        <w:jc w:val="center"/>
        <w:rPr>
          <w:rFonts w:hint="eastAsia" w:cs="宋体" w:asciiTheme="majorEastAsia" w:hAnsiTheme="majorEastAsia" w:eastAsiaTheme="majorEastAsia"/>
          <w:b/>
          <w:bCs/>
          <w:color w:val="000000"/>
          <w:kern w:val="0"/>
          <w:sz w:val="32"/>
          <w:szCs w:val="32"/>
          <w:lang w:eastAsia="zh-CN"/>
        </w:rPr>
      </w:pPr>
      <w:r>
        <w:rPr>
          <w:rFonts w:hint="eastAsia" w:cs="宋体" w:asciiTheme="majorEastAsia" w:hAnsiTheme="majorEastAsia" w:eastAsiaTheme="majorEastAsia"/>
          <w:b/>
          <w:bCs/>
          <w:color w:val="000000"/>
          <w:kern w:val="0"/>
          <w:sz w:val="32"/>
          <w:szCs w:val="32"/>
        </w:rPr>
        <w:t>采购人</w:t>
      </w:r>
      <w:r>
        <w:rPr>
          <w:rFonts w:cs="宋体" w:asciiTheme="majorEastAsia" w:hAnsiTheme="majorEastAsia" w:eastAsiaTheme="majorEastAsia"/>
          <w:b/>
          <w:bCs/>
          <w:color w:val="000000"/>
          <w:kern w:val="0"/>
          <w:sz w:val="32"/>
          <w:szCs w:val="32"/>
        </w:rPr>
        <w:t>:</w:t>
      </w:r>
      <w:r>
        <w:rPr>
          <w:rFonts w:hint="eastAsia" w:cs="宋体" w:asciiTheme="majorEastAsia" w:hAnsiTheme="majorEastAsia" w:eastAsiaTheme="majorEastAsia"/>
          <w:b/>
          <w:bCs/>
          <w:color w:val="000000"/>
          <w:kern w:val="0"/>
          <w:sz w:val="32"/>
          <w:szCs w:val="32"/>
          <w:lang w:eastAsia="zh-CN"/>
        </w:rPr>
        <w:t>长岭县商务局(本级)</w:t>
      </w:r>
    </w:p>
    <w:p w14:paraId="01EF1E16">
      <w:pPr>
        <w:pStyle w:val="4"/>
      </w:pPr>
    </w:p>
    <w:p w14:paraId="3137292F">
      <w:pPr>
        <w:widowControl/>
        <w:spacing w:line="276" w:lineRule="auto"/>
        <w:jc w:val="center"/>
        <w:rPr>
          <w:rFonts w:hint="eastAsia" w:cs="宋体" w:asciiTheme="majorEastAsia" w:hAnsiTheme="majorEastAsia" w:eastAsiaTheme="majorEastAsia"/>
          <w:b/>
          <w:bCs/>
          <w:color w:val="000000"/>
          <w:kern w:val="0"/>
          <w:sz w:val="32"/>
          <w:szCs w:val="32"/>
          <w:u w:val="single"/>
          <w:lang w:eastAsia="zh-CN"/>
        </w:rPr>
      </w:pPr>
      <w:r>
        <w:rPr>
          <w:rFonts w:hint="eastAsia" w:cs="宋体" w:asciiTheme="majorEastAsia" w:hAnsiTheme="majorEastAsia" w:eastAsiaTheme="majorEastAsia"/>
          <w:b/>
          <w:bCs/>
          <w:color w:val="000000"/>
          <w:kern w:val="0"/>
          <w:sz w:val="32"/>
          <w:szCs w:val="32"/>
        </w:rPr>
        <w:t>招标代理机构</w:t>
      </w:r>
      <w:r>
        <w:rPr>
          <w:rFonts w:cs="宋体" w:asciiTheme="majorEastAsia" w:hAnsiTheme="majorEastAsia" w:eastAsiaTheme="majorEastAsia"/>
          <w:b/>
          <w:bCs/>
          <w:color w:val="000000"/>
          <w:kern w:val="0"/>
          <w:sz w:val="32"/>
          <w:szCs w:val="32"/>
        </w:rPr>
        <w:t>:</w:t>
      </w:r>
      <w:r>
        <w:rPr>
          <w:rFonts w:hint="eastAsia" w:cs="宋体" w:asciiTheme="majorEastAsia" w:hAnsiTheme="majorEastAsia" w:eastAsiaTheme="majorEastAsia"/>
          <w:b/>
          <w:bCs/>
          <w:color w:val="000000"/>
          <w:kern w:val="0"/>
          <w:sz w:val="32"/>
          <w:szCs w:val="32"/>
          <w:lang w:eastAsia="zh-CN"/>
        </w:rPr>
        <w:t>吉林省金标工程管理有限公司</w:t>
      </w:r>
    </w:p>
    <w:p w14:paraId="66AD0359">
      <w:pPr>
        <w:pStyle w:val="4"/>
        <w:ind w:left="0" w:leftChars="0" w:firstLine="0" w:firstLineChars="0"/>
      </w:pPr>
    </w:p>
    <w:p w14:paraId="7D77499F">
      <w:pPr>
        <w:pStyle w:val="4"/>
      </w:pPr>
    </w:p>
    <w:p w14:paraId="68A36F0D">
      <w:pPr>
        <w:widowControl/>
        <w:spacing w:line="276" w:lineRule="auto"/>
        <w:jc w:val="center"/>
        <w:rPr>
          <w:rFonts w:cs="宋体" w:asciiTheme="majorEastAsia" w:hAnsiTheme="majorEastAsia" w:eastAsiaTheme="majorEastAsia"/>
          <w:b/>
          <w:bCs/>
          <w:color w:val="000000"/>
          <w:kern w:val="0"/>
          <w:sz w:val="32"/>
          <w:szCs w:val="32"/>
        </w:rPr>
      </w:pPr>
      <w:r>
        <w:rPr>
          <w:rFonts w:hint="eastAsia" w:cs="宋体" w:asciiTheme="majorEastAsia" w:hAnsiTheme="majorEastAsia" w:eastAsiaTheme="majorEastAsia"/>
          <w:b/>
          <w:bCs/>
          <w:color w:val="000000"/>
          <w:kern w:val="0"/>
          <w:sz w:val="32"/>
          <w:szCs w:val="32"/>
          <w:lang w:val="en-US" w:eastAsia="zh-CN"/>
        </w:rPr>
        <w:t>2025</w:t>
      </w:r>
      <w:r>
        <w:rPr>
          <w:rFonts w:hint="eastAsia" w:cs="宋体" w:asciiTheme="majorEastAsia" w:hAnsiTheme="majorEastAsia" w:eastAsiaTheme="majorEastAsia"/>
          <w:b/>
          <w:bCs/>
          <w:color w:val="000000"/>
          <w:kern w:val="0"/>
          <w:sz w:val="32"/>
          <w:szCs w:val="32"/>
        </w:rPr>
        <w:t>年</w:t>
      </w:r>
      <w:r>
        <w:rPr>
          <w:rFonts w:hint="eastAsia" w:cs="宋体" w:asciiTheme="majorEastAsia" w:hAnsiTheme="majorEastAsia" w:eastAsiaTheme="majorEastAsia"/>
          <w:b/>
          <w:bCs/>
          <w:color w:val="000000"/>
          <w:kern w:val="0"/>
          <w:sz w:val="32"/>
          <w:szCs w:val="32"/>
          <w:lang w:val="en-US" w:eastAsia="zh-CN"/>
        </w:rPr>
        <w:t>7月</w:t>
      </w:r>
    </w:p>
    <w:p w14:paraId="3C4A5F1F">
      <w:pPr>
        <w:widowControl/>
        <w:spacing w:line="276" w:lineRule="auto"/>
        <w:rPr>
          <w:rFonts w:cs="宋体" w:asciiTheme="majorEastAsia" w:hAnsiTheme="majorEastAsia" w:eastAsiaTheme="majorEastAsia"/>
          <w:b/>
          <w:bCs/>
          <w:color w:val="000000"/>
          <w:kern w:val="0"/>
          <w:sz w:val="28"/>
          <w:szCs w:val="28"/>
        </w:rPr>
      </w:pPr>
    </w:p>
    <w:p w14:paraId="0CA25D29">
      <w:pPr>
        <w:pStyle w:val="4"/>
        <w:rPr>
          <w:rFonts w:cs="宋体" w:asciiTheme="majorEastAsia" w:hAnsiTheme="majorEastAsia" w:eastAsiaTheme="majorEastAsia"/>
          <w:b/>
          <w:bCs/>
          <w:color w:val="000000"/>
          <w:sz w:val="28"/>
          <w:szCs w:val="28"/>
        </w:rPr>
      </w:pPr>
    </w:p>
    <w:p w14:paraId="02F2C730">
      <w:pPr>
        <w:pStyle w:val="4"/>
        <w:rPr>
          <w:rFonts w:cs="宋体" w:asciiTheme="majorEastAsia" w:hAnsiTheme="majorEastAsia" w:eastAsiaTheme="majorEastAsia"/>
          <w:b/>
          <w:bCs/>
          <w:color w:val="000000"/>
          <w:sz w:val="28"/>
          <w:szCs w:val="28"/>
        </w:rPr>
      </w:pPr>
    </w:p>
    <w:p w14:paraId="6E3B9807">
      <w:pPr>
        <w:pStyle w:val="20"/>
        <w:tabs>
          <w:tab w:val="right" w:leader="dot" w:pos="9629"/>
        </w:tabs>
        <w:spacing w:line="276" w:lineRule="auto"/>
        <w:jc w:val="center"/>
        <w:rPr>
          <w:rFonts w:cs="宋体" w:asciiTheme="majorEastAsia" w:hAnsiTheme="majorEastAsia" w:eastAsiaTheme="majorEastAsia"/>
          <w:bCs w:val="0"/>
          <w:color w:val="000000"/>
          <w:sz w:val="40"/>
          <w:szCs w:val="40"/>
        </w:rPr>
      </w:pPr>
      <w:r>
        <w:rPr>
          <w:rFonts w:hint="eastAsia" w:cs="宋体" w:asciiTheme="majorEastAsia" w:hAnsiTheme="majorEastAsia" w:eastAsiaTheme="majorEastAsia"/>
          <w:bCs w:val="0"/>
          <w:color w:val="000000"/>
          <w:sz w:val="40"/>
          <w:szCs w:val="40"/>
        </w:rPr>
        <w:t>目</w:t>
      </w:r>
      <w:r>
        <w:rPr>
          <w:rFonts w:hint="eastAsia" w:cs="宋体" w:asciiTheme="majorEastAsia" w:hAnsiTheme="majorEastAsia" w:eastAsiaTheme="majorEastAsia"/>
          <w:bCs w:val="0"/>
          <w:color w:val="000000"/>
          <w:sz w:val="40"/>
          <w:szCs w:val="40"/>
          <w:lang w:val="en-US" w:eastAsia="zh-CN"/>
        </w:rPr>
        <w:t xml:space="preserve">  </w:t>
      </w:r>
      <w:r>
        <w:rPr>
          <w:rFonts w:hint="eastAsia" w:cs="宋体" w:asciiTheme="majorEastAsia" w:hAnsiTheme="majorEastAsia" w:eastAsiaTheme="majorEastAsia"/>
          <w:bCs w:val="0"/>
          <w:color w:val="000000"/>
          <w:sz w:val="40"/>
          <w:szCs w:val="40"/>
        </w:rPr>
        <w:t>录</w:t>
      </w:r>
    </w:p>
    <w:p w14:paraId="02316624">
      <w:pPr>
        <w:pStyle w:val="26"/>
        <w:tabs>
          <w:tab w:val="right" w:leader="dot" w:pos="9243"/>
        </w:tabs>
        <w:spacing w:line="480" w:lineRule="auto"/>
        <w:rPr>
          <w:sz w:val="28"/>
          <w:szCs w:val="28"/>
        </w:rPr>
      </w:pPr>
      <w:r>
        <w:rPr>
          <w:rFonts w:cs="宋体" w:asciiTheme="majorEastAsia" w:hAnsiTheme="majorEastAsia" w:eastAsiaTheme="majorEastAsia"/>
          <w:color w:val="000000"/>
          <w:sz w:val="28"/>
          <w:szCs w:val="28"/>
        </w:rPr>
        <w:fldChar w:fldCharType="begin"/>
      </w:r>
      <w:r>
        <w:rPr>
          <w:rFonts w:cs="宋体" w:asciiTheme="majorEastAsia" w:hAnsiTheme="majorEastAsia" w:eastAsiaTheme="majorEastAsia"/>
          <w:color w:val="000000"/>
          <w:sz w:val="28"/>
          <w:szCs w:val="28"/>
        </w:rPr>
        <w:instrText xml:space="preserve"> TOC \o "1-3" \h \z \u </w:instrText>
      </w:r>
      <w:r>
        <w:rPr>
          <w:rFonts w:cs="宋体" w:asciiTheme="majorEastAsia" w:hAnsiTheme="majorEastAsia" w:eastAsiaTheme="majorEastAsia"/>
          <w:color w:val="000000"/>
          <w:sz w:val="28"/>
          <w:szCs w:val="28"/>
        </w:rPr>
        <w:fldChar w:fldCharType="separate"/>
      </w:r>
      <w:r>
        <w:fldChar w:fldCharType="begin"/>
      </w:r>
      <w:r>
        <w:instrText xml:space="preserve"> HYPERLINK \l "_Toc25558" </w:instrText>
      </w:r>
      <w:r>
        <w:fldChar w:fldCharType="separate"/>
      </w:r>
      <w:r>
        <w:rPr>
          <w:rFonts w:hint="eastAsia" w:cs="仿宋" w:asciiTheme="majorEastAsia" w:hAnsiTheme="majorEastAsia" w:eastAsiaTheme="majorEastAsia"/>
          <w:sz w:val="28"/>
          <w:szCs w:val="28"/>
        </w:rPr>
        <w:t>第一章</w:t>
      </w:r>
      <w:r>
        <w:rPr>
          <w:rFonts w:hint="eastAsia" w:cs="仿宋" w:asciiTheme="majorEastAsia" w:hAnsiTheme="majorEastAsia" w:eastAsiaTheme="majorEastAsia"/>
          <w:sz w:val="28"/>
          <w:szCs w:val="28"/>
          <w:lang w:val="en-US" w:eastAsia="zh-CN"/>
        </w:rPr>
        <w:t xml:space="preserve"> </w:t>
      </w:r>
      <w:r>
        <w:rPr>
          <w:rFonts w:hint="eastAsia" w:cs="仿宋" w:asciiTheme="majorEastAsia" w:hAnsiTheme="majorEastAsia" w:eastAsiaTheme="majorEastAsia"/>
          <w:sz w:val="28"/>
          <w:szCs w:val="28"/>
        </w:rPr>
        <w:t>招标公告</w:t>
      </w:r>
      <w:r>
        <w:rPr>
          <w:sz w:val="28"/>
          <w:szCs w:val="28"/>
        </w:rPr>
        <w:tab/>
      </w:r>
      <w:r>
        <w:rPr>
          <w:sz w:val="28"/>
          <w:szCs w:val="28"/>
        </w:rPr>
        <w:fldChar w:fldCharType="begin"/>
      </w:r>
      <w:r>
        <w:rPr>
          <w:sz w:val="28"/>
          <w:szCs w:val="28"/>
        </w:rPr>
        <w:instrText xml:space="preserve"> PAGEREF _Toc25558 </w:instrText>
      </w:r>
      <w:r>
        <w:rPr>
          <w:sz w:val="28"/>
          <w:szCs w:val="28"/>
        </w:rPr>
        <w:fldChar w:fldCharType="separate"/>
      </w:r>
      <w:r>
        <w:rPr>
          <w:sz w:val="28"/>
          <w:szCs w:val="28"/>
        </w:rPr>
        <w:t>1</w:t>
      </w:r>
      <w:r>
        <w:rPr>
          <w:sz w:val="28"/>
          <w:szCs w:val="28"/>
        </w:rPr>
        <w:fldChar w:fldCharType="end"/>
      </w:r>
      <w:r>
        <w:rPr>
          <w:sz w:val="28"/>
          <w:szCs w:val="28"/>
        </w:rPr>
        <w:fldChar w:fldCharType="end"/>
      </w:r>
    </w:p>
    <w:p w14:paraId="17C770B0">
      <w:pPr>
        <w:pStyle w:val="26"/>
        <w:tabs>
          <w:tab w:val="right" w:leader="dot" w:pos="9243"/>
        </w:tabs>
        <w:spacing w:line="480" w:lineRule="auto"/>
        <w:rPr>
          <w:sz w:val="28"/>
          <w:szCs w:val="28"/>
        </w:rPr>
      </w:pPr>
      <w:r>
        <w:rPr>
          <w:rFonts w:hint="eastAsia" w:cs="宋体" w:asciiTheme="majorEastAsia" w:hAnsiTheme="majorEastAsia" w:eastAsiaTheme="majorEastAsia"/>
          <w:color w:val="000000"/>
          <w:sz w:val="28"/>
          <w:szCs w:val="28"/>
        </w:rPr>
        <w:t>第二章</w:t>
      </w:r>
      <w:r>
        <w:rPr>
          <w:rFonts w:hint="eastAsia" w:cs="宋体" w:asciiTheme="majorEastAsia" w:hAnsiTheme="majorEastAsia" w:eastAsiaTheme="majorEastAsia"/>
          <w:color w:val="000000"/>
          <w:sz w:val="28"/>
          <w:szCs w:val="28"/>
          <w:lang w:val="en-US" w:eastAsia="zh-CN"/>
        </w:rPr>
        <w:t xml:space="preserve"> </w:t>
      </w:r>
      <w:r>
        <w:fldChar w:fldCharType="begin"/>
      </w:r>
      <w:r>
        <w:instrText xml:space="preserve"> HYPERLINK \l "_Toc28947" </w:instrText>
      </w:r>
      <w:r>
        <w:fldChar w:fldCharType="separate"/>
      </w:r>
      <w:r>
        <w:rPr>
          <w:rFonts w:hint="eastAsia" w:cs="宋体" w:asciiTheme="majorEastAsia" w:hAnsiTheme="majorEastAsia" w:eastAsiaTheme="majorEastAsia"/>
          <w:kern w:val="0"/>
          <w:sz w:val="28"/>
          <w:szCs w:val="28"/>
        </w:rPr>
        <w:t>供应商须知前附表</w:t>
      </w:r>
      <w:r>
        <w:rPr>
          <w:sz w:val="28"/>
          <w:szCs w:val="28"/>
        </w:rPr>
        <w:tab/>
      </w:r>
      <w:r>
        <w:rPr>
          <w:sz w:val="28"/>
          <w:szCs w:val="28"/>
        </w:rPr>
        <w:fldChar w:fldCharType="begin"/>
      </w:r>
      <w:r>
        <w:rPr>
          <w:sz w:val="28"/>
          <w:szCs w:val="28"/>
        </w:rPr>
        <w:instrText xml:space="preserve"> PAGEREF _Toc28947 </w:instrText>
      </w:r>
      <w:r>
        <w:rPr>
          <w:sz w:val="28"/>
          <w:szCs w:val="28"/>
        </w:rPr>
        <w:fldChar w:fldCharType="separate"/>
      </w:r>
      <w:r>
        <w:rPr>
          <w:sz w:val="28"/>
          <w:szCs w:val="28"/>
        </w:rPr>
        <w:t>4</w:t>
      </w:r>
      <w:r>
        <w:rPr>
          <w:sz w:val="28"/>
          <w:szCs w:val="28"/>
        </w:rPr>
        <w:fldChar w:fldCharType="end"/>
      </w:r>
      <w:r>
        <w:rPr>
          <w:sz w:val="28"/>
          <w:szCs w:val="28"/>
        </w:rPr>
        <w:fldChar w:fldCharType="end"/>
      </w:r>
    </w:p>
    <w:p w14:paraId="4A301704">
      <w:pPr>
        <w:pStyle w:val="26"/>
        <w:tabs>
          <w:tab w:val="right" w:leader="dot" w:pos="9243"/>
        </w:tabs>
        <w:spacing w:line="480" w:lineRule="auto"/>
        <w:rPr>
          <w:rFonts w:cs="仿宋" w:asciiTheme="majorEastAsia" w:hAnsiTheme="majorEastAsia" w:eastAsiaTheme="majorEastAsia"/>
          <w:sz w:val="28"/>
          <w:szCs w:val="28"/>
        </w:rPr>
      </w:pPr>
      <w:r>
        <w:fldChar w:fldCharType="begin"/>
      </w:r>
      <w:r>
        <w:instrText xml:space="preserve"> HYPERLINK \l "_Toc3746" </w:instrText>
      </w:r>
      <w:r>
        <w:fldChar w:fldCharType="separate"/>
      </w:r>
      <w:r>
        <w:rPr>
          <w:rFonts w:hint="eastAsia" w:cs="仿宋" w:asciiTheme="majorEastAsia" w:hAnsiTheme="majorEastAsia" w:eastAsiaTheme="majorEastAsia"/>
          <w:sz w:val="28"/>
          <w:szCs w:val="28"/>
        </w:rPr>
        <w:t>第三章 评标办法</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_Toc3746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17</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3CD74AB3">
      <w:pPr>
        <w:pStyle w:val="26"/>
        <w:tabs>
          <w:tab w:val="right" w:leader="dot" w:pos="9243"/>
        </w:tabs>
        <w:spacing w:line="480" w:lineRule="auto"/>
        <w:rPr>
          <w:rFonts w:cs="仿宋" w:asciiTheme="majorEastAsia" w:hAnsiTheme="majorEastAsia" w:eastAsiaTheme="majorEastAsia"/>
          <w:sz w:val="28"/>
          <w:szCs w:val="28"/>
        </w:rPr>
      </w:pPr>
      <w:r>
        <w:fldChar w:fldCharType="begin"/>
      </w:r>
      <w:r>
        <w:instrText xml:space="preserve"> HYPERLINK \l "_Toc7277" </w:instrText>
      </w:r>
      <w:r>
        <w:fldChar w:fldCharType="separate"/>
      </w:r>
      <w:r>
        <w:rPr>
          <w:rFonts w:hint="eastAsia" w:cs="仿宋" w:asciiTheme="majorEastAsia" w:hAnsiTheme="majorEastAsia" w:eastAsiaTheme="majorEastAsia"/>
          <w:sz w:val="28"/>
          <w:szCs w:val="28"/>
        </w:rPr>
        <w:t>第四章 合同条款及格式</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_Toc7277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21</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6AA8F0A9">
      <w:pPr>
        <w:pStyle w:val="26"/>
        <w:tabs>
          <w:tab w:val="right" w:leader="dot" w:pos="9243"/>
        </w:tabs>
        <w:spacing w:line="480" w:lineRule="auto"/>
        <w:rPr>
          <w:rFonts w:cs="仿宋" w:asciiTheme="majorEastAsia" w:hAnsiTheme="majorEastAsia" w:eastAsiaTheme="majorEastAsia"/>
          <w:sz w:val="28"/>
          <w:szCs w:val="28"/>
        </w:rPr>
      </w:pPr>
      <w:r>
        <w:fldChar w:fldCharType="begin"/>
      </w:r>
      <w:r>
        <w:instrText xml:space="preserve"> HYPERLINK \l "_Toc4989" </w:instrText>
      </w:r>
      <w:r>
        <w:fldChar w:fldCharType="separate"/>
      </w:r>
      <w:r>
        <w:rPr>
          <w:rFonts w:hint="eastAsia" w:cs="仿宋" w:asciiTheme="majorEastAsia" w:hAnsiTheme="majorEastAsia" w:eastAsiaTheme="majorEastAsia"/>
          <w:sz w:val="28"/>
          <w:szCs w:val="28"/>
        </w:rPr>
        <w:t>第五章 技术标准和要求</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_Toc4989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29</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257BCA9A">
      <w:pPr>
        <w:pStyle w:val="26"/>
        <w:tabs>
          <w:tab w:val="right" w:leader="dot" w:pos="9243"/>
        </w:tabs>
        <w:spacing w:line="480" w:lineRule="auto"/>
        <w:rPr>
          <w:rFonts w:hint="eastAsia" w:cs="仿宋" w:asciiTheme="majorEastAsia" w:hAnsiTheme="majorEastAsia" w:eastAsiaTheme="majorEastAsia"/>
          <w:sz w:val="28"/>
          <w:szCs w:val="28"/>
        </w:rPr>
      </w:pPr>
      <w:r>
        <w:fldChar w:fldCharType="begin"/>
      </w:r>
      <w:r>
        <w:instrText xml:space="preserve"> HYPERLINK \l "_Toc3483" </w:instrText>
      </w:r>
      <w:r>
        <w:fldChar w:fldCharType="separate"/>
      </w:r>
      <w:r>
        <w:rPr>
          <w:rFonts w:hint="eastAsia" w:cs="仿宋" w:asciiTheme="majorEastAsia" w:hAnsiTheme="majorEastAsia" w:eastAsiaTheme="majorEastAsia"/>
          <w:sz w:val="28"/>
          <w:szCs w:val="28"/>
        </w:rPr>
        <w:t>第六章 投标文件格式</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_Toc3483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29</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03354522">
      <w:pPr>
        <w:pStyle w:val="20"/>
        <w:tabs>
          <w:tab w:val="right" w:leader="dot" w:pos="9629"/>
        </w:tabs>
        <w:spacing w:line="480" w:lineRule="auto"/>
        <w:ind w:left="223" w:leftChars="106" w:firstLine="222" w:firstLineChars="79"/>
        <w:rPr>
          <w:rFonts w:hint="eastAsia" w:cs="宋体" w:asciiTheme="majorEastAsia" w:hAnsiTheme="majorEastAsia" w:eastAsiaTheme="majorEastAsia"/>
          <w:b w:val="0"/>
          <w:bCs w:val="0"/>
          <w:caps w:val="0"/>
          <w:color w:val="000000"/>
          <w:kern w:val="2"/>
          <w:sz w:val="24"/>
          <w:lang w:val="en-US" w:eastAsia="zh-CN"/>
        </w:rPr>
      </w:pPr>
      <w:r>
        <w:rPr>
          <w:rFonts w:cs="宋体" w:asciiTheme="majorEastAsia" w:hAnsiTheme="majorEastAsia" w:eastAsiaTheme="majorEastAsia"/>
          <w:color w:val="000000"/>
          <w:szCs w:val="28"/>
        </w:rPr>
        <w:fldChar w:fldCharType="end"/>
      </w:r>
    </w:p>
    <w:p w14:paraId="4249D800">
      <w:pPr>
        <w:widowControl/>
        <w:spacing w:line="276" w:lineRule="auto"/>
        <w:jc w:val="center"/>
        <w:rPr>
          <w:rFonts w:cs="宋体" w:asciiTheme="majorEastAsia" w:hAnsiTheme="majorEastAsia" w:eastAsiaTheme="majorEastAsia"/>
          <w:color w:val="000000"/>
          <w:kern w:val="0"/>
          <w:sz w:val="22"/>
          <w:szCs w:val="22"/>
        </w:rPr>
      </w:pPr>
    </w:p>
    <w:p w14:paraId="1644FE04">
      <w:pPr>
        <w:widowControl/>
        <w:spacing w:line="276" w:lineRule="auto"/>
        <w:jc w:val="center"/>
        <w:rPr>
          <w:rFonts w:cs="宋体" w:asciiTheme="majorEastAsia" w:hAnsiTheme="majorEastAsia" w:eastAsiaTheme="majorEastAsia"/>
          <w:color w:val="000000"/>
          <w:kern w:val="0"/>
          <w:sz w:val="22"/>
          <w:szCs w:val="22"/>
        </w:rPr>
      </w:pPr>
    </w:p>
    <w:p w14:paraId="7D33F081">
      <w:pPr>
        <w:widowControl/>
        <w:spacing w:line="276" w:lineRule="auto"/>
        <w:jc w:val="center"/>
        <w:rPr>
          <w:rFonts w:cs="宋体" w:asciiTheme="majorEastAsia" w:hAnsiTheme="majorEastAsia" w:eastAsiaTheme="majorEastAsia"/>
          <w:b/>
          <w:color w:val="000000"/>
          <w:sz w:val="36"/>
          <w:szCs w:val="20"/>
        </w:rPr>
        <w:sectPr>
          <w:pgSz w:w="11907" w:h="16840"/>
          <w:pgMar w:top="1247" w:right="1247" w:bottom="1247" w:left="1020" w:header="851" w:footer="992" w:gutter="397"/>
          <w:cols w:space="0" w:num="1"/>
          <w:docGrid w:linePitch="435" w:charSpace="0"/>
        </w:sectPr>
      </w:pPr>
    </w:p>
    <w:p w14:paraId="5F49CABC">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szCs w:val="32"/>
        </w:rPr>
      </w:pPr>
      <w:bookmarkStart w:id="3" w:name="_Toc25558"/>
      <w:r>
        <w:rPr>
          <w:rFonts w:hint="eastAsia" w:cs="仿宋" w:asciiTheme="majorEastAsia" w:hAnsiTheme="majorEastAsia" w:eastAsiaTheme="majorEastAsia"/>
          <w:color w:val="000000"/>
        </w:rPr>
        <w:t>第一章</w:t>
      </w:r>
      <w:r>
        <w:rPr>
          <w:rFonts w:hint="eastAsia" w:cs="仿宋" w:asciiTheme="majorEastAsia" w:hAnsiTheme="majorEastAsia" w:eastAsiaTheme="majorEastAsia"/>
          <w:color w:val="000000"/>
          <w:lang w:val="en-US" w:eastAsia="zh-CN"/>
        </w:rPr>
        <w:t xml:space="preserve">  </w:t>
      </w:r>
      <w:bookmarkEnd w:id="3"/>
      <w:bookmarkStart w:id="4" w:name="_Toc35393789"/>
      <w:bookmarkStart w:id="5" w:name="_Toc28359001"/>
      <w:r>
        <w:rPr>
          <w:rFonts w:hint="eastAsia"/>
          <w:b/>
          <w:bCs/>
        </w:rPr>
        <w:t>招标公告</w:t>
      </w:r>
      <w:bookmarkEnd w:id="4"/>
      <w:bookmarkEnd w:id="5"/>
    </w:p>
    <w:p w14:paraId="3D531AA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sz w:val="32"/>
          <w:szCs w:val="32"/>
        </w:rPr>
      </w:pPr>
      <w:r>
        <w:rPr>
          <w:rFonts w:hint="eastAsia" w:ascii="仿宋" w:hAnsi="仿宋" w:eastAsia="仿宋"/>
          <w:sz w:val="32"/>
          <w:szCs w:val="32"/>
        </w:rPr>
        <w:t>项目概况</w:t>
      </w:r>
    </w:p>
    <w:p w14:paraId="738E56D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640" w:firstLineChars="200"/>
        <w:textAlignment w:val="auto"/>
        <w:outlineLvl w:val="9"/>
        <w:rPr>
          <w:sz w:val="32"/>
          <w:szCs w:val="32"/>
        </w:rPr>
      </w:pP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长岭县防汛物资采购项目</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eastAsia="zh-CN"/>
        </w:rPr>
        <w:t>采购项目的潜在供应商应登录政采云平台https://www.zcygov.cn/在线申请获取采购文件（进入“项目采购”应用，在获取采购文件菜单中选择项目，申请获取采购文件）。获取采购文件，并于</w:t>
      </w:r>
      <w:r>
        <w:rPr>
          <w:rFonts w:hint="eastAsia" w:ascii="仿宋" w:hAnsi="仿宋" w:eastAsia="仿宋"/>
          <w:sz w:val="32"/>
          <w:szCs w:val="32"/>
          <w:u w:val="single"/>
          <w:lang w:eastAsia="zh-CN"/>
        </w:rPr>
        <w:t>2025年7月29日9点30分</w:t>
      </w:r>
      <w:r>
        <w:rPr>
          <w:rFonts w:hint="eastAsia" w:ascii="仿宋" w:hAnsi="仿宋" w:eastAsia="仿宋"/>
          <w:sz w:val="32"/>
          <w:szCs w:val="32"/>
          <w:u w:val="none"/>
          <w:lang w:eastAsia="zh-CN"/>
        </w:rPr>
        <w:t>（北京时间）前提交</w:t>
      </w:r>
      <w:r>
        <w:rPr>
          <w:rFonts w:hint="eastAsia" w:ascii="仿宋" w:hAnsi="仿宋" w:eastAsia="仿宋"/>
          <w:sz w:val="32"/>
          <w:szCs w:val="32"/>
          <w:u w:val="none"/>
          <w:lang w:val="en-US" w:eastAsia="zh-CN"/>
        </w:rPr>
        <w:t>投标</w:t>
      </w:r>
      <w:r>
        <w:rPr>
          <w:rFonts w:hint="eastAsia" w:ascii="仿宋" w:hAnsi="仿宋" w:eastAsia="仿宋"/>
          <w:sz w:val="32"/>
          <w:szCs w:val="32"/>
          <w:u w:val="none"/>
          <w:lang w:eastAsia="zh-CN"/>
        </w:rPr>
        <w:t>文件。</w:t>
      </w:r>
    </w:p>
    <w:p w14:paraId="0B49C911">
      <w:pPr>
        <w:pStyle w:val="3"/>
        <w:pageBreakBefore w:val="0"/>
        <w:widowControl w:val="0"/>
        <w:kinsoku/>
        <w:wordWrap/>
        <w:overflowPunct/>
        <w:topLinePunct w:val="0"/>
        <w:autoSpaceDE/>
        <w:autoSpaceDN/>
        <w:bidi w:val="0"/>
        <w:adjustRightInd/>
        <w:snapToGrid/>
        <w:spacing w:line="480" w:lineRule="auto"/>
        <w:textAlignment w:val="auto"/>
        <w:rPr>
          <w:rFonts w:ascii="黑体" w:hAnsi="黑体" w:cs="宋体"/>
          <w:b w:val="0"/>
          <w:i w:val="0"/>
          <w:iCs w:val="0"/>
          <w:sz w:val="32"/>
          <w:szCs w:val="32"/>
        </w:rPr>
      </w:pPr>
      <w:bookmarkStart w:id="6" w:name="_Toc28359079"/>
      <w:bookmarkStart w:id="7" w:name="_Toc35393790"/>
      <w:bookmarkStart w:id="8" w:name="_Toc28359002"/>
      <w:bookmarkStart w:id="9" w:name="_Toc35393621"/>
      <w:bookmarkStart w:id="10" w:name="_Hlk24379207"/>
      <w:r>
        <w:rPr>
          <w:rFonts w:hint="eastAsia" w:ascii="黑体" w:hAnsi="黑体" w:cs="宋体"/>
          <w:b w:val="0"/>
          <w:i w:val="0"/>
          <w:iCs w:val="0"/>
          <w:sz w:val="32"/>
          <w:szCs w:val="32"/>
        </w:rPr>
        <w:t>一、项目基本情况</w:t>
      </w:r>
      <w:bookmarkEnd w:id="6"/>
      <w:bookmarkEnd w:id="7"/>
      <w:bookmarkEnd w:id="8"/>
      <w:bookmarkEnd w:id="9"/>
    </w:p>
    <w:p w14:paraId="6D60F02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i w:val="0"/>
          <w:iCs w:val="0"/>
          <w:sz w:val="32"/>
          <w:szCs w:val="32"/>
          <w:lang w:val="en-US" w:eastAsia="zh-CN"/>
        </w:rPr>
      </w:pPr>
      <w:r>
        <w:rPr>
          <w:rFonts w:hint="eastAsia" w:ascii="仿宋" w:hAnsi="仿宋" w:eastAsia="仿宋"/>
          <w:i w:val="0"/>
          <w:iCs w:val="0"/>
          <w:sz w:val="32"/>
          <w:szCs w:val="32"/>
          <w:lang w:val="en-US" w:eastAsia="zh-CN"/>
        </w:rPr>
        <w:t>采购编号：采购计划-[2025]-00100号；</w:t>
      </w:r>
    </w:p>
    <w:p w14:paraId="2669606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ascii="仿宋" w:hAnsi="仿宋" w:eastAsia="仿宋"/>
          <w:i w:val="0"/>
          <w:iCs w:val="0"/>
          <w:color w:val="FF0000"/>
          <w:sz w:val="32"/>
          <w:szCs w:val="32"/>
          <w:lang w:val="en-US" w:eastAsia="zh-CN"/>
        </w:rPr>
      </w:pPr>
      <w:r>
        <w:rPr>
          <w:rFonts w:hint="eastAsia" w:ascii="仿宋" w:hAnsi="仿宋" w:eastAsia="仿宋"/>
          <w:i w:val="0"/>
          <w:iCs w:val="0"/>
          <w:sz w:val="32"/>
          <w:szCs w:val="32"/>
        </w:rPr>
        <w:t>项目编号：</w:t>
      </w:r>
      <w:r>
        <w:rPr>
          <w:rFonts w:hint="eastAsia" w:ascii="仿宋" w:hAnsi="仿宋" w:eastAsia="仿宋"/>
          <w:i w:val="0"/>
          <w:iCs w:val="0"/>
          <w:sz w:val="32"/>
          <w:szCs w:val="32"/>
          <w:lang w:val="en-US" w:eastAsia="zh-CN"/>
        </w:rPr>
        <w:t xml:space="preserve">采购计划-[2025]-00100号-jb-009  </w:t>
      </w:r>
      <w:r>
        <w:rPr>
          <w:rFonts w:hint="eastAsia" w:ascii="仿宋" w:hAnsi="仿宋" w:eastAsia="仿宋"/>
          <w:i w:val="0"/>
          <w:iCs w:val="0"/>
          <w:sz w:val="32"/>
          <w:szCs w:val="32"/>
          <w:highlight w:val="none"/>
          <w:lang w:val="en-US" w:eastAsia="zh-CN"/>
        </w:rPr>
        <w:t xml:space="preserve"> </w:t>
      </w:r>
    </w:p>
    <w:p w14:paraId="2F9EA66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i w:val="0"/>
          <w:iCs w:val="0"/>
          <w:sz w:val="32"/>
          <w:szCs w:val="32"/>
          <w:lang w:eastAsia="zh-CN"/>
        </w:rPr>
      </w:pPr>
      <w:r>
        <w:rPr>
          <w:rFonts w:hint="eastAsia" w:ascii="仿宋" w:hAnsi="仿宋" w:eastAsia="仿宋"/>
          <w:i w:val="0"/>
          <w:iCs w:val="0"/>
          <w:sz w:val="32"/>
          <w:szCs w:val="32"/>
        </w:rPr>
        <w:t>项目名称：</w:t>
      </w:r>
      <w:r>
        <w:rPr>
          <w:rFonts w:hint="eastAsia" w:ascii="仿宋" w:hAnsi="仿宋" w:eastAsia="仿宋"/>
          <w:i w:val="0"/>
          <w:iCs w:val="0"/>
          <w:sz w:val="32"/>
          <w:szCs w:val="32"/>
          <w:lang w:eastAsia="zh-CN"/>
        </w:rPr>
        <w:t>长岭县防汛物资采购项目；</w:t>
      </w:r>
    </w:p>
    <w:bookmarkEnd w:id="10"/>
    <w:p w14:paraId="093D93E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i w:val="0"/>
          <w:iCs w:val="0"/>
          <w:sz w:val="32"/>
          <w:szCs w:val="32"/>
          <w:lang w:val="en-US" w:eastAsia="zh-CN"/>
        </w:rPr>
      </w:pPr>
      <w:r>
        <w:rPr>
          <w:rFonts w:hint="eastAsia" w:ascii="仿宋" w:hAnsi="仿宋" w:eastAsia="仿宋"/>
          <w:i w:val="0"/>
          <w:iCs w:val="0"/>
          <w:sz w:val="32"/>
          <w:szCs w:val="32"/>
        </w:rPr>
        <w:t>预算金额：</w:t>
      </w:r>
      <w:r>
        <w:rPr>
          <w:rFonts w:hint="eastAsia" w:ascii="仿宋" w:hAnsi="仿宋" w:eastAsia="仿宋"/>
          <w:i w:val="0"/>
          <w:iCs w:val="0"/>
          <w:sz w:val="32"/>
          <w:szCs w:val="32"/>
          <w:lang w:val="en-US" w:eastAsia="zh-CN"/>
        </w:rPr>
        <w:t>73.2360万元；</w:t>
      </w:r>
    </w:p>
    <w:p w14:paraId="7E3CE6F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ascii="仿宋" w:hAnsi="仿宋" w:eastAsia="仿宋"/>
          <w:i w:val="0"/>
          <w:iCs w:val="0"/>
          <w:sz w:val="32"/>
          <w:szCs w:val="32"/>
          <w:lang w:val="en-US"/>
        </w:rPr>
      </w:pPr>
      <w:r>
        <w:rPr>
          <w:rFonts w:hint="eastAsia" w:ascii="仿宋" w:hAnsi="仿宋" w:eastAsia="仿宋"/>
          <w:i w:val="0"/>
          <w:iCs w:val="0"/>
          <w:sz w:val="32"/>
          <w:szCs w:val="32"/>
        </w:rPr>
        <w:t>最高限价：</w:t>
      </w:r>
      <w:r>
        <w:rPr>
          <w:rFonts w:hint="eastAsia" w:ascii="仿宋" w:hAnsi="仿宋" w:eastAsia="仿宋"/>
          <w:i w:val="0"/>
          <w:iCs w:val="0"/>
          <w:sz w:val="32"/>
          <w:szCs w:val="32"/>
          <w:lang w:val="en-US" w:eastAsia="zh-CN"/>
        </w:rPr>
        <w:t>73.2360万元；</w:t>
      </w:r>
    </w:p>
    <w:p w14:paraId="355C541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i w:val="0"/>
          <w:iCs w:val="0"/>
          <w:sz w:val="32"/>
          <w:szCs w:val="32"/>
          <w:u w:val="single"/>
          <w:lang w:eastAsia="zh-CN"/>
        </w:rPr>
      </w:pPr>
      <w:r>
        <w:rPr>
          <w:rFonts w:hint="eastAsia" w:ascii="仿宋" w:hAnsi="仿宋" w:eastAsia="仿宋"/>
          <w:i w:val="0"/>
          <w:iCs w:val="0"/>
          <w:sz w:val="32"/>
          <w:szCs w:val="32"/>
        </w:rPr>
        <w:t>采购需求：</w:t>
      </w:r>
      <w:r>
        <w:rPr>
          <w:rFonts w:hint="eastAsia" w:ascii="仿宋" w:hAnsi="仿宋" w:eastAsia="仿宋"/>
          <w:i w:val="0"/>
          <w:iCs w:val="0"/>
          <w:sz w:val="32"/>
          <w:szCs w:val="32"/>
          <w:lang w:val="en-US" w:eastAsia="zh-CN"/>
        </w:rPr>
        <w:t>长岭县防汛物资采购项目</w:t>
      </w:r>
      <w:r>
        <w:rPr>
          <w:rFonts w:hint="eastAsia" w:ascii="仿宋" w:hAnsi="仿宋" w:eastAsia="仿宋"/>
          <w:i w:val="0"/>
          <w:iCs w:val="0"/>
          <w:sz w:val="32"/>
          <w:szCs w:val="32"/>
        </w:rPr>
        <w:t>，</w:t>
      </w:r>
      <w:r>
        <w:rPr>
          <w:rFonts w:hint="eastAsia" w:ascii="仿宋" w:hAnsi="仿宋" w:eastAsia="仿宋"/>
          <w:i w:val="0"/>
          <w:iCs w:val="0"/>
          <w:sz w:val="32"/>
          <w:szCs w:val="32"/>
          <w:lang w:val="en-US" w:eastAsia="zh-CN"/>
        </w:rPr>
        <w:t>招标文件</w:t>
      </w:r>
      <w:r>
        <w:rPr>
          <w:rFonts w:hint="eastAsia" w:ascii="仿宋" w:hAnsi="仿宋" w:eastAsia="仿宋"/>
          <w:i w:val="0"/>
          <w:iCs w:val="0"/>
          <w:sz w:val="32"/>
          <w:szCs w:val="32"/>
        </w:rPr>
        <w:t>第五章所包含全部内容；</w:t>
      </w:r>
    </w:p>
    <w:p w14:paraId="32E91E9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i w:val="0"/>
          <w:iCs w:val="0"/>
          <w:sz w:val="32"/>
          <w:szCs w:val="32"/>
          <w:u w:val="single"/>
          <w:lang w:val="en-US" w:eastAsia="zh-CN"/>
        </w:rPr>
      </w:pPr>
      <w:bookmarkStart w:id="11" w:name="OLE_LINK6"/>
      <w:r>
        <w:rPr>
          <w:rFonts w:hint="eastAsia" w:ascii="仿宋" w:hAnsi="仿宋" w:eastAsia="仿宋"/>
          <w:i w:val="0"/>
          <w:iCs w:val="0"/>
          <w:sz w:val="32"/>
          <w:szCs w:val="32"/>
        </w:rPr>
        <w:t>合同履行期限</w:t>
      </w:r>
      <w:r>
        <w:rPr>
          <w:rFonts w:hint="eastAsia" w:ascii="仿宋" w:hAnsi="仿宋" w:eastAsia="仿宋"/>
          <w:i w:val="0"/>
          <w:iCs w:val="0"/>
          <w:sz w:val="32"/>
          <w:szCs w:val="32"/>
          <w:lang w:eastAsia="zh-CN"/>
        </w:rPr>
        <w:t>（供货期）</w:t>
      </w:r>
      <w:r>
        <w:rPr>
          <w:rFonts w:hint="eastAsia" w:ascii="仿宋" w:hAnsi="仿宋" w:eastAsia="仿宋"/>
          <w:i w:val="0"/>
          <w:iCs w:val="0"/>
          <w:sz w:val="32"/>
          <w:szCs w:val="32"/>
        </w:rPr>
        <w:t>：</w:t>
      </w:r>
      <w:bookmarkStart w:id="12" w:name="OLE_LINK1"/>
      <w:r>
        <w:rPr>
          <w:rFonts w:hint="eastAsia" w:ascii="仿宋" w:hAnsi="仿宋" w:eastAsia="仿宋"/>
          <w:i w:val="0"/>
          <w:iCs w:val="0"/>
          <w:sz w:val="32"/>
          <w:szCs w:val="32"/>
          <w:lang w:eastAsia="zh-CN"/>
        </w:rPr>
        <w:t>按照采购人要求进行供货，具体供货内容以合同签订为准；</w:t>
      </w:r>
      <w:bookmarkEnd w:id="12"/>
    </w:p>
    <w:bookmarkEnd w:id="11"/>
    <w:p w14:paraId="72E8C33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仿宋" w:hAnsi="仿宋" w:eastAsia="仿宋"/>
          <w:i w:val="0"/>
          <w:iCs w:val="0"/>
          <w:sz w:val="32"/>
          <w:szCs w:val="32"/>
        </w:rPr>
      </w:pPr>
      <w:r>
        <w:rPr>
          <w:rFonts w:hint="eastAsia" w:ascii="仿宋" w:hAnsi="仿宋" w:eastAsia="仿宋"/>
          <w:i w:val="0"/>
          <w:iCs w:val="0"/>
          <w:sz w:val="32"/>
          <w:szCs w:val="32"/>
        </w:rPr>
        <w:t>本项目</w:t>
      </w:r>
      <w:r>
        <w:rPr>
          <w:rFonts w:hint="eastAsia" w:ascii="仿宋" w:hAnsi="仿宋" w:eastAsia="仿宋"/>
          <w:i w:val="0"/>
          <w:iCs w:val="0"/>
          <w:sz w:val="32"/>
          <w:szCs w:val="32"/>
          <w:u w:val="single"/>
          <w:lang w:eastAsia="zh-CN"/>
        </w:rPr>
        <w:t>不</w:t>
      </w:r>
      <w:r>
        <w:rPr>
          <w:rFonts w:hint="eastAsia" w:ascii="仿宋" w:hAnsi="仿宋" w:eastAsia="仿宋"/>
          <w:i w:val="0"/>
          <w:iCs w:val="0"/>
          <w:sz w:val="32"/>
          <w:szCs w:val="32"/>
        </w:rPr>
        <w:t>接受联合体投标。</w:t>
      </w:r>
    </w:p>
    <w:p w14:paraId="68075A99">
      <w:pPr>
        <w:pStyle w:val="3"/>
        <w:pageBreakBefore w:val="0"/>
        <w:kinsoku/>
        <w:wordWrap/>
        <w:overflowPunct/>
        <w:topLinePunct w:val="0"/>
        <w:autoSpaceDE/>
        <w:autoSpaceDN/>
        <w:bidi w:val="0"/>
        <w:adjustRightInd/>
        <w:snapToGrid/>
        <w:spacing w:line="480" w:lineRule="auto"/>
        <w:textAlignment w:val="auto"/>
        <w:rPr>
          <w:rFonts w:ascii="黑体" w:hAnsi="黑体" w:cs="宋体"/>
          <w:b w:val="0"/>
          <w:i w:val="0"/>
          <w:iCs w:val="0"/>
          <w:sz w:val="32"/>
          <w:szCs w:val="32"/>
        </w:rPr>
      </w:pPr>
      <w:bookmarkStart w:id="13" w:name="_Toc28359080"/>
      <w:bookmarkStart w:id="14" w:name="_Toc35393791"/>
      <w:bookmarkStart w:id="15" w:name="_Toc28359003"/>
      <w:bookmarkStart w:id="16" w:name="_Toc35393622"/>
      <w:r>
        <w:rPr>
          <w:rFonts w:hint="eastAsia" w:ascii="黑体" w:hAnsi="黑体" w:cs="宋体"/>
          <w:b w:val="0"/>
          <w:i w:val="0"/>
          <w:iCs w:val="0"/>
          <w:sz w:val="32"/>
          <w:szCs w:val="32"/>
        </w:rPr>
        <w:t>二、申请人的资格要求：</w:t>
      </w:r>
      <w:bookmarkEnd w:id="13"/>
      <w:bookmarkEnd w:id="14"/>
      <w:bookmarkEnd w:id="15"/>
      <w:bookmarkEnd w:id="16"/>
    </w:p>
    <w:p w14:paraId="4B757798">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lang w:eastAsia="zh-CN"/>
        </w:rPr>
      </w:pPr>
      <w:bookmarkStart w:id="17" w:name="_Toc28359081"/>
      <w:bookmarkStart w:id="18" w:name="_Toc28359004"/>
      <w:r>
        <w:rPr>
          <w:rFonts w:hint="eastAsia" w:ascii="仿宋" w:hAnsi="仿宋" w:eastAsia="仿宋"/>
          <w:b w:val="0"/>
          <w:bCs w:val="0"/>
          <w:i w:val="0"/>
          <w:iCs w:val="0"/>
          <w:sz w:val="32"/>
          <w:szCs w:val="32"/>
          <w:lang w:eastAsia="zh-CN"/>
        </w:rPr>
        <w:t>1.满足《中华人民共和国政府采购法》第二十二条规定；</w:t>
      </w:r>
    </w:p>
    <w:p w14:paraId="279A5484">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lang w:eastAsia="zh-CN"/>
        </w:rPr>
      </w:pPr>
      <w:r>
        <w:rPr>
          <w:rFonts w:hint="eastAsia" w:ascii="仿宋" w:hAnsi="仿宋" w:eastAsia="仿宋"/>
          <w:b w:val="0"/>
          <w:bCs w:val="0"/>
          <w:i w:val="0"/>
          <w:iCs w:val="0"/>
          <w:sz w:val="32"/>
          <w:szCs w:val="32"/>
          <w:lang w:eastAsia="zh-CN"/>
        </w:rPr>
        <w:t>2.落实政府采购政策需满足的资格要求：</w:t>
      </w:r>
    </w:p>
    <w:p w14:paraId="03A8741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lang w:eastAsia="zh-CN"/>
        </w:rPr>
      </w:pPr>
      <w:r>
        <w:rPr>
          <w:rFonts w:hint="eastAsia" w:ascii="仿宋" w:hAnsi="仿宋" w:eastAsia="仿宋"/>
          <w:b w:val="0"/>
          <w:bCs w:val="0"/>
          <w:i w:val="0"/>
          <w:iCs w:val="0"/>
          <w:sz w:val="32"/>
          <w:szCs w:val="32"/>
          <w:lang w:val="en-US" w:eastAsia="zh-CN"/>
        </w:rPr>
        <w:t>2.1</w:t>
      </w:r>
      <w:r>
        <w:rPr>
          <w:rFonts w:hint="eastAsia" w:ascii="仿宋" w:hAnsi="仿宋" w:eastAsia="仿宋"/>
          <w:b w:val="0"/>
          <w:bCs w:val="0"/>
          <w:i w:val="0"/>
          <w:iCs w:val="0"/>
          <w:sz w:val="32"/>
          <w:szCs w:val="32"/>
          <w:lang w:eastAsia="zh-CN"/>
        </w:rPr>
        <w:t>投标人须在中华人民共和国境内注册，具有独立法人资格，具有有效营业执照，符合政府采购政策落实文件的要求。</w:t>
      </w:r>
    </w:p>
    <w:p w14:paraId="36684AB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lang w:eastAsia="zh-CN"/>
        </w:rPr>
      </w:pPr>
      <w:r>
        <w:rPr>
          <w:rFonts w:hint="eastAsia" w:ascii="仿宋" w:hAnsi="仿宋" w:eastAsia="仿宋"/>
          <w:b w:val="0"/>
          <w:bCs w:val="0"/>
          <w:i w:val="0"/>
          <w:iCs w:val="0"/>
          <w:sz w:val="32"/>
          <w:szCs w:val="32"/>
          <w:lang w:eastAsia="zh-CN"/>
        </w:rPr>
        <w:t>2.</w:t>
      </w:r>
      <w:r>
        <w:rPr>
          <w:rFonts w:hint="eastAsia" w:ascii="仿宋" w:hAnsi="仿宋" w:eastAsia="仿宋"/>
          <w:b w:val="0"/>
          <w:bCs w:val="0"/>
          <w:i w:val="0"/>
          <w:iCs w:val="0"/>
          <w:sz w:val="32"/>
          <w:szCs w:val="32"/>
          <w:lang w:val="en-US" w:eastAsia="zh-CN"/>
        </w:rPr>
        <w:t>2</w:t>
      </w:r>
      <w:r>
        <w:rPr>
          <w:rFonts w:hint="eastAsia" w:ascii="仿宋" w:hAnsi="仿宋" w:eastAsia="仿宋"/>
          <w:b w:val="0"/>
          <w:bCs w:val="0"/>
          <w:i w:val="0"/>
          <w:iCs w:val="0"/>
          <w:sz w:val="32"/>
          <w:szCs w:val="32"/>
          <w:lang w:eastAsia="zh-CN"/>
        </w:rPr>
        <w:t>本项目全部面向中小企业采购；</w:t>
      </w:r>
    </w:p>
    <w:p w14:paraId="10EFEF7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lang w:eastAsia="zh-CN"/>
        </w:rPr>
      </w:pPr>
      <w:r>
        <w:rPr>
          <w:rFonts w:hint="eastAsia" w:ascii="仿宋" w:hAnsi="仿宋" w:eastAsia="仿宋"/>
          <w:b w:val="0"/>
          <w:bCs w:val="0"/>
          <w:i w:val="0"/>
          <w:iCs w:val="0"/>
          <w:sz w:val="32"/>
          <w:szCs w:val="32"/>
          <w:lang w:eastAsia="zh-CN"/>
        </w:rPr>
        <w:t>2.</w:t>
      </w:r>
      <w:r>
        <w:rPr>
          <w:rFonts w:hint="eastAsia" w:ascii="仿宋" w:hAnsi="仿宋" w:eastAsia="仿宋"/>
          <w:b w:val="0"/>
          <w:bCs w:val="0"/>
          <w:i w:val="0"/>
          <w:iCs w:val="0"/>
          <w:sz w:val="32"/>
          <w:szCs w:val="32"/>
          <w:lang w:val="en-US" w:eastAsia="zh-CN"/>
        </w:rPr>
        <w:t>3</w:t>
      </w:r>
      <w:r>
        <w:rPr>
          <w:rFonts w:hint="eastAsia" w:ascii="仿宋" w:hAnsi="仿宋" w:eastAsia="仿宋"/>
          <w:b w:val="0"/>
          <w:bCs w:val="0"/>
          <w:i w:val="0"/>
          <w:iCs w:val="0"/>
          <w:sz w:val="32"/>
          <w:szCs w:val="32"/>
          <w:lang w:eastAsia="zh-CN"/>
        </w:rPr>
        <w:t>中小企业划分标准执行《关于印发中小企业划型标准规定的通知》（工信部联企业〔2011〕300号）文件；</w:t>
      </w:r>
    </w:p>
    <w:p w14:paraId="1AE4003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3.本项目的特定资格要求：</w:t>
      </w:r>
      <w:bookmarkStart w:id="19" w:name="_Toc35393623"/>
      <w:bookmarkStart w:id="20" w:name="_Toc35393792"/>
    </w:p>
    <w:p w14:paraId="7BF2F1C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w:t>
      </w:r>
      <w:r>
        <w:rPr>
          <w:rFonts w:hint="eastAsia" w:ascii="仿宋" w:hAnsi="仿宋" w:eastAsia="仿宋"/>
          <w:b w:val="0"/>
          <w:bCs w:val="0"/>
          <w:i w:val="0"/>
          <w:iCs w:val="0"/>
          <w:sz w:val="32"/>
          <w:szCs w:val="32"/>
          <w:lang w:val="en-US" w:eastAsia="zh-CN"/>
        </w:rPr>
        <w:t>1</w:t>
      </w:r>
      <w:r>
        <w:rPr>
          <w:rFonts w:hint="eastAsia" w:ascii="仿宋" w:hAnsi="仿宋" w:eastAsia="仿宋"/>
          <w:b w:val="0"/>
          <w:bCs w:val="0"/>
          <w:i w:val="0"/>
          <w:iCs w:val="0"/>
          <w:sz w:val="32"/>
          <w:szCs w:val="32"/>
        </w:rPr>
        <w:t>供应商须为具有独立法人资格的生产制造商或代理经销商，并具有</w:t>
      </w:r>
      <w:r>
        <w:rPr>
          <w:rFonts w:hint="eastAsia" w:ascii="仿宋" w:hAnsi="仿宋" w:eastAsia="仿宋"/>
          <w:b w:val="0"/>
          <w:bCs w:val="0"/>
          <w:i w:val="0"/>
          <w:iCs w:val="0"/>
          <w:sz w:val="32"/>
          <w:szCs w:val="32"/>
          <w:lang w:eastAsia="zh-CN"/>
        </w:rPr>
        <w:t>履行合同</w:t>
      </w:r>
      <w:r>
        <w:rPr>
          <w:rFonts w:hint="eastAsia" w:ascii="仿宋" w:hAnsi="仿宋" w:eastAsia="仿宋"/>
          <w:b w:val="0"/>
          <w:bCs w:val="0"/>
          <w:i w:val="0"/>
          <w:iCs w:val="0"/>
          <w:sz w:val="32"/>
          <w:szCs w:val="32"/>
        </w:rPr>
        <w:t>的能力。</w:t>
      </w:r>
    </w:p>
    <w:p w14:paraId="7150683C">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w:t>
      </w:r>
      <w:r>
        <w:rPr>
          <w:rFonts w:hint="eastAsia" w:ascii="仿宋" w:hAnsi="仿宋" w:eastAsia="仿宋"/>
          <w:b w:val="0"/>
          <w:bCs w:val="0"/>
          <w:i w:val="0"/>
          <w:iCs w:val="0"/>
          <w:sz w:val="32"/>
          <w:szCs w:val="32"/>
          <w:lang w:val="en-US" w:eastAsia="zh-CN"/>
        </w:rPr>
        <w:t>2本项目不接受被列入“信用中国”网站失信被执行人、严重失信主体名单、税收违法黑名单、政府采购严重违法失信行为记录名单的供应商参与投标，不接受被列入“中国政府采购网”政府采购严重违法失信行为信息记录的供应商参与投标。</w:t>
      </w:r>
    </w:p>
    <w:p w14:paraId="13141E6A">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w:t>
      </w:r>
      <w:r>
        <w:rPr>
          <w:rFonts w:hint="eastAsia" w:ascii="仿宋" w:hAnsi="仿宋" w:eastAsia="仿宋"/>
          <w:b w:val="0"/>
          <w:bCs w:val="0"/>
          <w:i w:val="0"/>
          <w:iCs w:val="0"/>
          <w:sz w:val="32"/>
          <w:szCs w:val="32"/>
          <w:lang w:val="en-US" w:eastAsia="zh-CN"/>
        </w:rPr>
        <w:t>3</w:t>
      </w:r>
      <w:r>
        <w:rPr>
          <w:rFonts w:hint="eastAsia" w:ascii="仿宋" w:hAnsi="仿宋" w:eastAsia="仿宋"/>
          <w:b w:val="0"/>
          <w:bCs w:val="0"/>
          <w:i w:val="0"/>
          <w:iCs w:val="0"/>
          <w:sz w:val="32"/>
          <w:szCs w:val="32"/>
        </w:rPr>
        <w:t>拒绝列入政府取消投标资格记录期间的企业或个人投标。</w:t>
      </w:r>
    </w:p>
    <w:p w14:paraId="26431D3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w:t>
      </w:r>
      <w:r>
        <w:rPr>
          <w:rFonts w:hint="eastAsia" w:ascii="仿宋" w:hAnsi="仿宋" w:eastAsia="仿宋"/>
          <w:b w:val="0"/>
          <w:bCs w:val="0"/>
          <w:i w:val="0"/>
          <w:iCs w:val="0"/>
          <w:sz w:val="32"/>
          <w:szCs w:val="32"/>
          <w:lang w:val="en-US" w:eastAsia="zh-CN"/>
        </w:rPr>
        <w:t>4</w:t>
      </w:r>
      <w:r>
        <w:rPr>
          <w:rFonts w:hint="eastAsia" w:ascii="仿宋" w:hAnsi="仿宋" w:eastAsia="仿宋"/>
          <w:b w:val="0"/>
          <w:bCs w:val="0"/>
          <w:i w:val="0"/>
          <w:iCs w:val="0"/>
          <w:sz w:val="32"/>
          <w:szCs w:val="32"/>
        </w:rPr>
        <w:t>本项目招投标活动的每个环节不得更换被授权人。</w:t>
      </w:r>
    </w:p>
    <w:p w14:paraId="3DB8055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w:t>
      </w:r>
      <w:r>
        <w:rPr>
          <w:rFonts w:hint="eastAsia" w:ascii="仿宋" w:hAnsi="仿宋" w:eastAsia="仿宋"/>
          <w:b w:val="0"/>
          <w:bCs w:val="0"/>
          <w:i w:val="0"/>
          <w:iCs w:val="0"/>
          <w:sz w:val="32"/>
          <w:szCs w:val="32"/>
          <w:lang w:val="en-US" w:eastAsia="zh-CN"/>
        </w:rPr>
        <w:t>5</w:t>
      </w:r>
      <w:r>
        <w:rPr>
          <w:rFonts w:hint="eastAsia" w:ascii="仿宋" w:hAnsi="仿宋" w:eastAsia="仿宋"/>
          <w:b w:val="0"/>
          <w:bCs w:val="0"/>
          <w:i w:val="0"/>
          <w:iCs w:val="0"/>
          <w:sz w:val="32"/>
          <w:szCs w:val="32"/>
        </w:rPr>
        <w:t>具有投资参股关系的关联企业，或具有直接管理和被管理关系的母子公司，或同一母子公司的子公司，或法定代表人为同一人的两个及两个以上公司不得同时对同一标段投标，否则均按废标处理。与采购人存在利害关系可能影响招标公正性的法人、其他组织或个人，不能参加投标。单位负责人同一人或者存在控股、管理关系的不同单位，不得参加同一标段投标或者未划分标段的同一招标项目投标。违反上述规定的，相关投标均无效。</w:t>
      </w:r>
    </w:p>
    <w:p w14:paraId="4A524B0B">
      <w:pPr>
        <w:pStyle w:val="3"/>
        <w:pageBreakBefore w:val="0"/>
        <w:kinsoku/>
        <w:wordWrap/>
        <w:overflowPunct/>
        <w:topLinePunct w:val="0"/>
        <w:autoSpaceDE/>
        <w:autoSpaceDN/>
        <w:bidi w:val="0"/>
        <w:adjustRightInd/>
        <w:snapToGrid/>
        <w:spacing w:line="480" w:lineRule="auto"/>
        <w:textAlignment w:val="auto"/>
        <w:rPr>
          <w:rFonts w:ascii="黑体" w:hAnsi="黑体" w:cs="宋体"/>
          <w:b w:val="0"/>
          <w:i w:val="0"/>
          <w:iCs w:val="0"/>
          <w:sz w:val="32"/>
          <w:szCs w:val="32"/>
        </w:rPr>
      </w:pPr>
      <w:r>
        <w:rPr>
          <w:rFonts w:hint="eastAsia" w:ascii="黑体" w:hAnsi="黑体" w:cs="宋体"/>
          <w:b w:val="0"/>
          <w:i w:val="0"/>
          <w:iCs w:val="0"/>
          <w:sz w:val="32"/>
          <w:szCs w:val="32"/>
        </w:rPr>
        <w:t>三、获取招标文件</w:t>
      </w:r>
      <w:bookmarkEnd w:id="17"/>
      <w:bookmarkEnd w:id="18"/>
      <w:bookmarkEnd w:id="19"/>
      <w:bookmarkEnd w:id="20"/>
    </w:p>
    <w:p w14:paraId="4789CE38">
      <w:pPr>
        <w:keepNext w:val="0"/>
        <w:keepLines w:val="0"/>
        <w:pageBreakBefore w:val="0"/>
        <w:widowControl w:val="0"/>
        <w:kinsoku/>
        <w:wordWrap/>
        <w:overflowPunct/>
        <w:topLinePunct w:val="0"/>
        <w:autoSpaceDE/>
        <w:autoSpaceDN/>
        <w:bidi w:val="0"/>
        <w:adjustRightInd/>
        <w:snapToGrid/>
        <w:spacing w:line="480" w:lineRule="auto"/>
        <w:ind w:firstLine="539"/>
        <w:textAlignment w:val="auto"/>
        <w:outlineLvl w:val="9"/>
        <w:rPr>
          <w:rFonts w:ascii="仿宋" w:hAnsi="仿宋" w:eastAsia="仿宋" w:cs="宋体"/>
          <w:i w:val="0"/>
          <w:iCs w:val="0"/>
          <w:sz w:val="32"/>
          <w:szCs w:val="32"/>
        </w:rPr>
      </w:pPr>
      <w:r>
        <w:rPr>
          <w:rFonts w:hint="eastAsia" w:ascii="仿宋" w:hAnsi="仿宋" w:eastAsia="仿宋" w:cs="宋体"/>
          <w:i w:val="0"/>
          <w:iCs w:val="0"/>
          <w:sz w:val="32"/>
          <w:szCs w:val="32"/>
        </w:rPr>
        <w:t>时间：</w:t>
      </w:r>
      <w:r>
        <w:rPr>
          <w:rFonts w:hint="eastAsia" w:ascii="仿宋" w:hAnsi="仿宋" w:eastAsia="仿宋" w:cs="宋体"/>
          <w:i w:val="0"/>
          <w:iCs w:val="0"/>
          <w:sz w:val="32"/>
          <w:szCs w:val="32"/>
          <w:u w:val="single"/>
          <w:lang w:val="en-US" w:eastAsia="zh-CN"/>
        </w:rPr>
        <w:t>2025</w:t>
      </w:r>
      <w:r>
        <w:rPr>
          <w:rFonts w:hint="eastAsia" w:ascii="仿宋" w:hAnsi="仿宋" w:eastAsia="仿宋" w:cs="宋体"/>
          <w:i w:val="0"/>
          <w:iCs w:val="0"/>
          <w:sz w:val="32"/>
          <w:szCs w:val="32"/>
          <w:u w:val="single"/>
        </w:rPr>
        <w:t>年</w:t>
      </w:r>
      <w:r>
        <w:rPr>
          <w:rFonts w:hint="eastAsia" w:ascii="仿宋" w:hAnsi="仿宋" w:eastAsia="仿宋" w:cs="宋体"/>
          <w:i w:val="0"/>
          <w:iCs w:val="0"/>
          <w:sz w:val="32"/>
          <w:szCs w:val="32"/>
          <w:u w:val="single"/>
          <w:lang w:val="en-US" w:eastAsia="zh-CN"/>
        </w:rPr>
        <w:t>07</w:t>
      </w:r>
      <w:r>
        <w:rPr>
          <w:rFonts w:hint="eastAsia" w:ascii="仿宋" w:hAnsi="仿宋" w:eastAsia="仿宋" w:cs="宋体"/>
          <w:i w:val="0"/>
          <w:iCs w:val="0"/>
          <w:sz w:val="32"/>
          <w:szCs w:val="32"/>
          <w:u w:val="single"/>
        </w:rPr>
        <w:t>月</w:t>
      </w:r>
      <w:r>
        <w:rPr>
          <w:rFonts w:hint="eastAsia" w:ascii="仿宋" w:hAnsi="仿宋" w:eastAsia="仿宋" w:cs="宋体"/>
          <w:i w:val="0"/>
          <w:iCs w:val="0"/>
          <w:sz w:val="32"/>
          <w:szCs w:val="32"/>
          <w:u w:val="single"/>
          <w:lang w:val="en-US" w:eastAsia="zh-CN"/>
        </w:rPr>
        <w:t>08</w:t>
      </w:r>
      <w:r>
        <w:rPr>
          <w:rFonts w:hint="eastAsia" w:ascii="仿宋" w:hAnsi="仿宋" w:eastAsia="仿宋" w:cs="宋体"/>
          <w:i w:val="0"/>
          <w:iCs w:val="0"/>
          <w:sz w:val="32"/>
          <w:szCs w:val="32"/>
          <w:u w:val="single"/>
        </w:rPr>
        <w:t>日</w:t>
      </w:r>
      <w:r>
        <w:rPr>
          <w:rFonts w:hint="eastAsia" w:ascii="仿宋" w:hAnsi="仿宋" w:eastAsia="仿宋" w:cs="宋体"/>
          <w:i w:val="0"/>
          <w:iCs w:val="0"/>
          <w:sz w:val="32"/>
          <w:szCs w:val="32"/>
        </w:rPr>
        <w:t>至</w:t>
      </w:r>
      <w:r>
        <w:rPr>
          <w:rFonts w:hint="eastAsia" w:ascii="仿宋" w:hAnsi="仿宋" w:eastAsia="仿宋" w:cs="宋体"/>
          <w:i w:val="0"/>
          <w:iCs w:val="0"/>
          <w:sz w:val="32"/>
          <w:szCs w:val="32"/>
          <w:u w:val="single"/>
          <w:lang w:val="en-US" w:eastAsia="zh-CN"/>
        </w:rPr>
        <w:t>2025</w:t>
      </w:r>
      <w:r>
        <w:rPr>
          <w:rFonts w:hint="eastAsia" w:ascii="仿宋" w:hAnsi="仿宋" w:eastAsia="仿宋" w:cs="宋体"/>
          <w:i w:val="0"/>
          <w:iCs w:val="0"/>
          <w:sz w:val="32"/>
          <w:szCs w:val="32"/>
          <w:u w:val="single"/>
        </w:rPr>
        <w:t>年</w:t>
      </w:r>
      <w:r>
        <w:rPr>
          <w:rFonts w:hint="eastAsia" w:ascii="仿宋" w:hAnsi="仿宋" w:eastAsia="仿宋" w:cs="宋体"/>
          <w:i w:val="0"/>
          <w:iCs w:val="0"/>
          <w:sz w:val="32"/>
          <w:szCs w:val="32"/>
          <w:u w:val="single"/>
          <w:lang w:val="en-US" w:eastAsia="zh-CN"/>
        </w:rPr>
        <w:t>07</w:t>
      </w:r>
      <w:r>
        <w:rPr>
          <w:rFonts w:hint="eastAsia" w:ascii="仿宋" w:hAnsi="仿宋" w:eastAsia="仿宋" w:cs="宋体"/>
          <w:i w:val="0"/>
          <w:iCs w:val="0"/>
          <w:sz w:val="32"/>
          <w:szCs w:val="32"/>
          <w:u w:val="single"/>
        </w:rPr>
        <w:t>月</w:t>
      </w:r>
      <w:r>
        <w:rPr>
          <w:rFonts w:hint="eastAsia" w:ascii="仿宋" w:hAnsi="仿宋" w:eastAsia="仿宋" w:cs="宋体"/>
          <w:i w:val="0"/>
          <w:iCs w:val="0"/>
          <w:sz w:val="32"/>
          <w:szCs w:val="32"/>
          <w:u w:val="single"/>
          <w:lang w:val="en-US" w:eastAsia="zh-CN"/>
        </w:rPr>
        <w:t>14</w:t>
      </w:r>
      <w:r>
        <w:rPr>
          <w:rFonts w:hint="eastAsia" w:ascii="仿宋" w:hAnsi="仿宋" w:eastAsia="仿宋" w:cs="宋体"/>
          <w:i w:val="0"/>
          <w:iCs w:val="0"/>
          <w:sz w:val="32"/>
          <w:szCs w:val="32"/>
          <w:u w:val="single"/>
        </w:rPr>
        <w:t>日</w:t>
      </w:r>
      <w:r>
        <w:rPr>
          <w:rFonts w:hint="eastAsia" w:ascii="仿宋" w:hAnsi="仿宋" w:eastAsia="仿宋" w:cs="宋体"/>
          <w:i w:val="0"/>
          <w:iCs w:val="0"/>
          <w:sz w:val="32"/>
          <w:szCs w:val="32"/>
        </w:rPr>
        <w:t>，每天上</w:t>
      </w:r>
      <w:r>
        <w:rPr>
          <w:rFonts w:hint="eastAsia" w:ascii="仿宋" w:hAnsi="仿宋" w:eastAsia="仿宋" w:cs="宋体"/>
          <w:i w:val="0"/>
          <w:iCs w:val="0"/>
          <w:sz w:val="32"/>
          <w:szCs w:val="32"/>
          <w:u w:val="none"/>
        </w:rPr>
        <w:t>午</w:t>
      </w:r>
      <w:r>
        <w:rPr>
          <w:rFonts w:hint="eastAsia" w:ascii="仿宋" w:hAnsi="仿宋" w:eastAsia="仿宋" w:cs="宋体"/>
          <w:i w:val="0"/>
          <w:iCs w:val="0"/>
          <w:sz w:val="32"/>
          <w:szCs w:val="32"/>
          <w:u w:val="single"/>
          <w:lang w:val="en-US" w:eastAsia="zh-CN"/>
        </w:rPr>
        <w:t>8:30</w:t>
      </w:r>
      <w:r>
        <w:rPr>
          <w:rFonts w:hint="eastAsia" w:ascii="仿宋" w:hAnsi="仿宋" w:eastAsia="仿宋" w:cs="宋体"/>
          <w:i w:val="0"/>
          <w:iCs w:val="0"/>
          <w:sz w:val="32"/>
          <w:szCs w:val="32"/>
        </w:rPr>
        <w:t>至</w:t>
      </w:r>
      <w:r>
        <w:rPr>
          <w:rFonts w:hint="eastAsia" w:ascii="仿宋" w:hAnsi="仿宋" w:eastAsia="仿宋" w:cs="宋体"/>
          <w:i w:val="0"/>
          <w:iCs w:val="0"/>
          <w:sz w:val="32"/>
          <w:szCs w:val="32"/>
          <w:u w:val="single"/>
          <w:lang w:val="en-US" w:eastAsia="zh-CN"/>
        </w:rPr>
        <w:t>11:30</w:t>
      </w:r>
      <w:r>
        <w:rPr>
          <w:rFonts w:hint="eastAsia" w:ascii="仿宋" w:hAnsi="仿宋" w:eastAsia="仿宋" w:cs="宋体"/>
          <w:i w:val="0"/>
          <w:iCs w:val="0"/>
          <w:sz w:val="32"/>
          <w:szCs w:val="32"/>
        </w:rPr>
        <w:t>，下午</w:t>
      </w:r>
      <w:r>
        <w:rPr>
          <w:rFonts w:hint="eastAsia" w:ascii="仿宋" w:hAnsi="仿宋" w:eastAsia="仿宋" w:cs="宋体"/>
          <w:i w:val="0"/>
          <w:iCs w:val="0"/>
          <w:sz w:val="32"/>
          <w:szCs w:val="32"/>
          <w:u w:val="single"/>
          <w:lang w:val="en-US" w:eastAsia="zh-CN"/>
        </w:rPr>
        <w:t>13：30</w:t>
      </w:r>
      <w:r>
        <w:rPr>
          <w:rFonts w:hint="eastAsia" w:ascii="仿宋" w:hAnsi="仿宋" w:eastAsia="仿宋" w:cs="宋体"/>
          <w:i w:val="0"/>
          <w:iCs w:val="0"/>
          <w:sz w:val="32"/>
          <w:szCs w:val="32"/>
        </w:rPr>
        <w:t>至</w:t>
      </w:r>
      <w:r>
        <w:rPr>
          <w:rFonts w:hint="eastAsia" w:ascii="仿宋" w:hAnsi="仿宋" w:eastAsia="仿宋" w:cs="宋体"/>
          <w:i w:val="0"/>
          <w:iCs w:val="0"/>
          <w:sz w:val="32"/>
          <w:szCs w:val="32"/>
          <w:u w:val="single"/>
          <w:lang w:val="en-US" w:eastAsia="zh-CN"/>
        </w:rPr>
        <w:t>16：30</w:t>
      </w:r>
      <w:r>
        <w:rPr>
          <w:rFonts w:hint="eastAsia" w:ascii="仿宋" w:hAnsi="仿宋" w:eastAsia="仿宋" w:cs="宋体"/>
          <w:i w:val="0"/>
          <w:iCs w:val="0"/>
          <w:sz w:val="32"/>
          <w:szCs w:val="32"/>
        </w:rPr>
        <w:t>（北京时间，</w:t>
      </w:r>
      <w:r>
        <w:rPr>
          <w:rFonts w:ascii="仿宋" w:hAnsi="仿宋" w:eastAsia="仿宋" w:cs="宋体"/>
          <w:i w:val="0"/>
          <w:iCs w:val="0"/>
          <w:sz w:val="32"/>
          <w:szCs w:val="32"/>
        </w:rPr>
        <w:t>法定节假日</w:t>
      </w:r>
      <w:r>
        <w:rPr>
          <w:rFonts w:hint="eastAsia" w:ascii="仿宋" w:hAnsi="仿宋" w:eastAsia="仿宋" w:cs="宋体"/>
          <w:i w:val="0"/>
          <w:iCs w:val="0"/>
          <w:sz w:val="32"/>
          <w:szCs w:val="32"/>
        </w:rPr>
        <w:t>除外）</w:t>
      </w:r>
    </w:p>
    <w:p w14:paraId="5326303F">
      <w:pPr>
        <w:keepNext w:val="0"/>
        <w:keepLines w:val="0"/>
        <w:pageBreakBefore w:val="0"/>
        <w:widowControl w:val="0"/>
        <w:kinsoku/>
        <w:wordWrap/>
        <w:overflowPunct/>
        <w:topLinePunct w:val="0"/>
        <w:autoSpaceDE/>
        <w:autoSpaceDN/>
        <w:bidi w:val="0"/>
        <w:adjustRightInd/>
        <w:snapToGrid/>
        <w:spacing w:line="480" w:lineRule="auto"/>
        <w:ind w:firstLine="539"/>
        <w:textAlignment w:val="auto"/>
        <w:outlineLvl w:val="9"/>
        <w:rPr>
          <w:rFonts w:ascii="仿宋" w:hAnsi="仿宋" w:eastAsia="仿宋" w:cs="宋体"/>
          <w:i w:val="0"/>
          <w:iCs w:val="0"/>
          <w:sz w:val="32"/>
          <w:szCs w:val="32"/>
          <w:u w:val="single"/>
        </w:rPr>
      </w:pPr>
      <w:r>
        <w:rPr>
          <w:rFonts w:hint="eastAsia" w:ascii="仿宋" w:hAnsi="仿宋" w:eastAsia="仿宋" w:cs="宋体"/>
          <w:i w:val="0"/>
          <w:iCs w:val="0"/>
          <w:sz w:val="32"/>
          <w:szCs w:val="32"/>
        </w:rPr>
        <w:t>地点：</w:t>
      </w:r>
      <w:r>
        <w:rPr>
          <w:rFonts w:hint="eastAsia" w:ascii="仿宋" w:hAnsi="仿宋" w:eastAsia="仿宋" w:cs="宋体"/>
          <w:sz w:val="32"/>
          <w:szCs w:val="32"/>
          <w:lang w:val="en-US" w:eastAsia="zh-CN"/>
        </w:rPr>
        <w:t>网上免费获取(潜在供应商自行登录政府采购云平台(网址:http://www.zcygov.cn)注册(网址:https://middle.zcygov.cn/v-settle-front/registry)并下载竞争性投标文件，其他途径获取的招标文件开标时-律按无效响应处理)。</w:t>
      </w:r>
    </w:p>
    <w:p w14:paraId="45948D3D">
      <w:pPr>
        <w:keepNext w:val="0"/>
        <w:keepLines w:val="0"/>
        <w:pageBreakBefore w:val="0"/>
        <w:widowControl w:val="0"/>
        <w:kinsoku/>
        <w:wordWrap/>
        <w:overflowPunct/>
        <w:topLinePunct w:val="0"/>
        <w:autoSpaceDE/>
        <w:autoSpaceDN/>
        <w:bidi w:val="0"/>
        <w:adjustRightInd/>
        <w:snapToGrid/>
        <w:spacing w:line="480" w:lineRule="auto"/>
        <w:ind w:firstLine="539"/>
        <w:textAlignment w:val="auto"/>
        <w:outlineLvl w:val="9"/>
        <w:rPr>
          <w:rFonts w:hint="eastAsia" w:ascii="仿宋" w:hAnsi="仿宋" w:eastAsia="仿宋" w:cs="宋体"/>
          <w:i w:val="0"/>
          <w:iCs w:val="0"/>
          <w:sz w:val="32"/>
          <w:szCs w:val="32"/>
          <w:lang w:eastAsia="zh-CN"/>
        </w:rPr>
      </w:pPr>
      <w:r>
        <w:rPr>
          <w:rFonts w:hint="eastAsia" w:ascii="仿宋" w:hAnsi="仿宋" w:eastAsia="仿宋" w:cs="宋体"/>
          <w:i w:val="0"/>
          <w:iCs w:val="0"/>
          <w:sz w:val="32"/>
          <w:szCs w:val="32"/>
        </w:rPr>
        <w:t>方式：</w:t>
      </w:r>
      <w:r>
        <w:rPr>
          <w:rFonts w:hint="eastAsia" w:ascii="仿宋" w:hAnsi="仿宋" w:eastAsia="仿宋" w:cs="宋体"/>
          <w:i w:val="0"/>
          <w:iCs w:val="0"/>
          <w:sz w:val="32"/>
          <w:szCs w:val="32"/>
          <w:lang w:eastAsia="zh-CN"/>
        </w:rPr>
        <w:t>网上自行下载。</w:t>
      </w:r>
    </w:p>
    <w:p w14:paraId="4E7C8681">
      <w:pPr>
        <w:keepNext w:val="0"/>
        <w:keepLines w:val="0"/>
        <w:pageBreakBefore w:val="0"/>
        <w:widowControl w:val="0"/>
        <w:kinsoku/>
        <w:wordWrap/>
        <w:overflowPunct/>
        <w:topLinePunct w:val="0"/>
        <w:autoSpaceDE/>
        <w:autoSpaceDN/>
        <w:bidi w:val="0"/>
        <w:adjustRightInd/>
        <w:snapToGrid/>
        <w:spacing w:line="480" w:lineRule="auto"/>
        <w:ind w:firstLine="539"/>
        <w:textAlignment w:val="auto"/>
        <w:outlineLvl w:val="9"/>
        <w:rPr>
          <w:rFonts w:hint="default"/>
          <w:lang w:val="en-US" w:eastAsia="zh-CN"/>
        </w:rPr>
      </w:pPr>
      <w:r>
        <w:rPr>
          <w:rFonts w:hint="eastAsia" w:ascii="仿宋" w:hAnsi="仿宋" w:eastAsia="仿宋" w:cs="宋体"/>
          <w:i w:val="0"/>
          <w:iCs w:val="0"/>
          <w:sz w:val="32"/>
          <w:szCs w:val="32"/>
          <w:lang w:val="en-US" w:eastAsia="zh-CN"/>
        </w:rPr>
        <w:t>售价：免费</w:t>
      </w:r>
    </w:p>
    <w:p w14:paraId="5E98B90C">
      <w:pPr>
        <w:pStyle w:val="3"/>
        <w:pageBreakBefore w:val="0"/>
        <w:kinsoku/>
        <w:wordWrap/>
        <w:overflowPunct/>
        <w:topLinePunct w:val="0"/>
        <w:autoSpaceDE/>
        <w:autoSpaceDN/>
        <w:bidi w:val="0"/>
        <w:adjustRightInd/>
        <w:snapToGrid/>
        <w:spacing w:line="480" w:lineRule="auto"/>
        <w:textAlignment w:val="auto"/>
        <w:rPr>
          <w:rFonts w:ascii="黑体" w:hAnsi="黑体" w:cs="宋体"/>
          <w:b w:val="0"/>
          <w:i w:val="0"/>
          <w:iCs w:val="0"/>
          <w:sz w:val="32"/>
          <w:szCs w:val="32"/>
        </w:rPr>
      </w:pPr>
      <w:bookmarkStart w:id="21" w:name="_Toc28359082"/>
      <w:bookmarkStart w:id="22" w:name="_Toc28359005"/>
      <w:bookmarkStart w:id="23" w:name="_Toc35393624"/>
      <w:bookmarkStart w:id="24" w:name="_Toc35393793"/>
      <w:r>
        <w:rPr>
          <w:rFonts w:hint="eastAsia" w:ascii="黑体" w:hAnsi="黑体" w:cs="宋体"/>
          <w:b w:val="0"/>
          <w:i w:val="0"/>
          <w:iCs w:val="0"/>
          <w:sz w:val="32"/>
          <w:szCs w:val="32"/>
        </w:rPr>
        <w:t>四、提交投标文件</w:t>
      </w:r>
      <w:bookmarkEnd w:id="21"/>
      <w:bookmarkEnd w:id="22"/>
      <w:r>
        <w:rPr>
          <w:rFonts w:hint="eastAsia" w:ascii="黑体" w:hAnsi="黑体" w:cs="宋体"/>
          <w:b w:val="0"/>
          <w:i w:val="0"/>
          <w:iCs w:val="0"/>
          <w:sz w:val="32"/>
          <w:szCs w:val="32"/>
        </w:rPr>
        <w:t>截止时间、开标时间和地点</w:t>
      </w:r>
      <w:bookmarkEnd w:id="23"/>
      <w:bookmarkEnd w:id="24"/>
    </w:p>
    <w:p w14:paraId="72A20CA2">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bCs/>
          <w:i w:val="0"/>
          <w:iCs w:val="0"/>
          <w:sz w:val="32"/>
          <w:szCs w:val="32"/>
          <w:lang w:eastAsia="zh-CN"/>
        </w:rPr>
      </w:pPr>
      <w:r>
        <w:rPr>
          <w:rFonts w:hint="eastAsia" w:ascii="仿宋" w:hAnsi="仿宋" w:eastAsia="仿宋"/>
          <w:bCs/>
          <w:i w:val="0"/>
          <w:iCs w:val="0"/>
          <w:sz w:val="32"/>
          <w:szCs w:val="32"/>
          <w:u w:val="none"/>
          <w:lang w:eastAsia="zh-CN"/>
        </w:rPr>
        <w:t>时间：</w:t>
      </w:r>
      <w:r>
        <w:rPr>
          <w:rFonts w:hint="eastAsia" w:ascii="仿宋" w:hAnsi="仿宋" w:eastAsia="仿宋"/>
          <w:bCs/>
          <w:i w:val="0"/>
          <w:iCs w:val="0"/>
          <w:sz w:val="32"/>
          <w:szCs w:val="32"/>
          <w:u w:val="single"/>
          <w:lang w:val="en-US" w:eastAsia="zh-CN"/>
        </w:rPr>
        <w:t>2025年7月29日9点30分</w:t>
      </w:r>
      <w:r>
        <w:rPr>
          <w:rFonts w:hint="eastAsia" w:ascii="仿宋" w:hAnsi="仿宋" w:eastAsia="仿宋"/>
          <w:bCs/>
          <w:i w:val="0"/>
          <w:iCs w:val="0"/>
          <w:sz w:val="32"/>
          <w:szCs w:val="32"/>
        </w:rPr>
        <w:t>（北京时间）</w:t>
      </w:r>
      <w:r>
        <w:rPr>
          <w:rFonts w:hint="eastAsia" w:ascii="仿宋" w:hAnsi="仿宋" w:eastAsia="仿宋"/>
          <w:bCs/>
          <w:i w:val="0"/>
          <w:iCs w:val="0"/>
          <w:sz w:val="32"/>
          <w:szCs w:val="32"/>
          <w:lang w:eastAsia="zh-CN"/>
        </w:rPr>
        <w:t>；</w:t>
      </w:r>
    </w:p>
    <w:p w14:paraId="1A7ACA5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i w:val="0"/>
          <w:iCs w:val="0"/>
          <w:sz w:val="32"/>
          <w:szCs w:val="32"/>
          <w:u w:val="single"/>
          <w:lang w:eastAsia="zh-CN"/>
        </w:rPr>
      </w:pPr>
      <w:r>
        <w:rPr>
          <w:rFonts w:hint="eastAsia" w:ascii="仿宋" w:hAnsi="仿宋" w:eastAsia="仿宋"/>
          <w:i w:val="0"/>
          <w:iCs w:val="0"/>
          <w:sz w:val="32"/>
          <w:szCs w:val="32"/>
        </w:rPr>
        <w:t>地点：</w:t>
      </w:r>
      <w:r>
        <w:rPr>
          <w:rFonts w:hint="eastAsia" w:ascii="仿宋" w:hAnsi="仿宋" w:eastAsia="仿宋"/>
          <w:i w:val="0"/>
          <w:iCs w:val="0"/>
          <w:sz w:val="32"/>
          <w:szCs w:val="32"/>
          <w:u w:val="single"/>
          <w:lang w:eastAsia="zh-CN"/>
        </w:rPr>
        <w:t>长春市高新区鸿达街248号吉林日报副楼4楼吉利招平台第二开标室。</w:t>
      </w:r>
    </w:p>
    <w:p w14:paraId="356C7258">
      <w:pPr>
        <w:pStyle w:val="20"/>
        <w:widowControl w:val="0"/>
        <w:autoSpaceDE/>
        <w:autoSpaceDN/>
        <w:adjustRightInd/>
        <w:spacing w:line="240" w:lineRule="auto"/>
        <w:ind w:firstLine="640" w:firstLineChars="200"/>
        <w:jc w:val="both"/>
        <w:rPr>
          <w:rFonts w:ascii="Times New Roman" w:hAnsi="Times New Roman" w:cs="Times New Roman"/>
          <w:b w:val="0"/>
          <w:bCs w:val="0"/>
          <w:caps w:val="0"/>
          <w:kern w:val="2"/>
          <w:sz w:val="21"/>
          <w:szCs w:val="20"/>
          <w:lang w:val="en-US"/>
        </w:rPr>
      </w:pPr>
      <w:bookmarkStart w:id="25" w:name="OLE_LINK7"/>
      <w:r>
        <w:rPr>
          <w:rFonts w:hint="eastAsia" w:ascii="仿宋" w:hAnsi="仿宋" w:eastAsia="仿宋" w:cs="Times New Roman"/>
          <w:b w:val="0"/>
          <w:bCs w:val="0"/>
          <w:caps w:val="0"/>
          <w:kern w:val="2"/>
          <w:sz w:val="32"/>
          <w:szCs w:val="32"/>
          <w:u w:val="none"/>
          <w:lang w:val="en-US" w:eastAsia="zh-CN"/>
        </w:rPr>
        <w:t>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p>
    <w:bookmarkEnd w:id="25"/>
    <w:p w14:paraId="0740B574">
      <w:pPr>
        <w:pStyle w:val="20"/>
        <w:rPr>
          <w:rFonts w:hint="default"/>
          <w:lang w:val="en-US"/>
        </w:rPr>
      </w:pPr>
    </w:p>
    <w:p w14:paraId="2834927D">
      <w:pPr>
        <w:pStyle w:val="3"/>
        <w:pageBreakBefore w:val="0"/>
        <w:kinsoku/>
        <w:wordWrap/>
        <w:overflowPunct/>
        <w:topLinePunct w:val="0"/>
        <w:autoSpaceDE/>
        <w:autoSpaceDN/>
        <w:bidi w:val="0"/>
        <w:adjustRightInd/>
        <w:snapToGrid/>
        <w:spacing w:line="480" w:lineRule="auto"/>
        <w:textAlignment w:val="auto"/>
        <w:rPr>
          <w:rFonts w:ascii="黑体" w:hAnsi="黑体" w:cs="宋体"/>
          <w:b w:val="0"/>
          <w:i w:val="0"/>
          <w:iCs w:val="0"/>
          <w:sz w:val="32"/>
          <w:szCs w:val="32"/>
        </w:rPr>
      </w:pPr>
      <w:bookmarkStart w:id="26" w:name="_Toc35393794"/>
      <w:bookmarkStart w:id="27" w:name="_Toc28359084"/>
      <w:bookmarkStart w:id="28" w:name="_Toc28359007"/>
      <w:bookmarkStart w:id="29" w:name="_Toc35393625"/>
      <w:r>
        <w:rPr>
          <w:rFonts w:hint="eastAsia" w:ascii="黑体" w:hAnsi="黑体" w:cs="宋体"/>
          <w:b w:val="0"/>
          <w:i w:val="0"/>
          <w:iCs w:val="0"/>
          <w:sz w:val="32"/>
          <w:szCs w:val="32"/>
        </w:rPr>
        <w:t>五、公告期限</w:t>
      </w:r>
      <w:bookmarkEnd w:id="26"/>
      <w:bookmarkEnd w:id="27"/>
      <w:bookmarkEnd w:id="28"/>
      <w:bookmarkEnd w:id="29"/>
    </w:p>
    <w:p w14:paraId="0B3CC7BF">
      <w:pPr>
        <w:pageBreakBefore w:val="0"/>
        <w:kinsoku/>
        <w:wordWrap/>
        <w:overflowPunct/>
        <w:topLinePunct w:val="0"/>
        <w:autoSpaceDE/>
        <w:autoSpaceDN/>
        <w:bidi w:val="0"/>
        <w:adjustRightInd/>
        <w:snapToGrid/>
        <w:spacing w:line="480" w:lineRule="auto"/>
        <w:ind w:firstLine="640" w:firstLineChars="200"/>
        <w:textAlignment w:val="auto"/>
        <w:rPr>
          <w:rFonts w:ascii="仿宋" w:hAnsi="仿宋" w:eastAsia="仿宋" w:cs="宋体"/>
          <w:i w:val="0"/>
          <w:iCs w:val="0"/>
          <w:kern w:val="0"/>
          <w:sz w:val="32"/>
          <w:szCs w:val="32"/>
        </w:rPr>
      </w:pPr>
      <w:r>
        <w:rPr>
          <w:rFonts w:hint="eastAsia" w:ascii="仿宋" w:hAnsi="仿宋" w:eastAsia="仿宋" w:cs="宋体"/>
          <w:i w:val="0"/>
          <w:iCs w:val="0"/>
          <w:kern w:val="0"/>
          <w:sz w:val="32"/>
          <w:szCs w:val="32"/>
        </w:rPr>
        <w:t>自本公告发布之日起5个工作日。</w:t>
      </w:r>
    </w:p>
    <w:p w14:paraId="2FFDDEFC">
      <w:pPr>
        <w:pStyle w:val="3"/>
        <w:pageBreakBefore w:val="0"/>
        <w:numPr>
          <w:ilvl w:val="0"/>
          <w:numId w:val="1"/>
        </w:numPr>
        <w:kinsoku/>
        <w:wordWrap/>
        <w:overflowPunct/>
        <w:topLinePunct w:val="0"/>
        <w:autoSpaceDE/>
        <w:autoSpaceDN/>
        <w:bidi w:val="0"/>
        <w:adjustRightInd/>
        <w:snapToGrid/>
        <w:spacing w:line="480" w:lineRule="auto"/>
        <w:textAlignment w:val="auto"/>
        <w:rPr>
          <w:rFonts w:hint="eastAsia" w:ascii="黑体" w:hAnsi="黑体" w:cs="宋体"/>
          <w:b w:val="0"/>
          <w:i w:val="0"/>
          <w:iCs w:val="0"/>
          <w:sz w:val="32"/>
          <w:szCs w:val="32"/>
        </w:rPr>
      </w:pPr>
      <w:bookmarkStart w:id="30" w:name="_Toc35393795"/>
      <w:bookmarkStart w:id="31" w:name="_Toc35393626"/>
      <w:r>
        <w:rPr>
          <w:rFonts w:hint="eastAsia" w:ascii="黑体" w:hAnsi="黑体" w:cs="宋体"/>
          <w:b w:val="0"/>
          <w:i w:val="0"/>
          <w:iCs w:val="0"/>
          <w:sz w:val="32"/>
          <w:szCs w:val="32"/>
        </w:rPr>
        <w:t>其他补充事宜</w:t>
      </w:r>
      <w:bookmarkEnd w:id="30"/>
      <w:bookmarkEnd w:id="31"/>
    </w:p>
    <w:p w14:paraId="4A6592EF">
      <w:pPr>
        <w:widowControl w:val="0"/>
        <w:ind w:firstLine="640" w:firstLineChars="200"/>
        <w:jc w:val="both"/>
        <w:rPr>
          <w:rFonts w:hint="eastAsia" w:ascii="仿宋" w:hAnsi="仿宋" w:eastAsia="仿宋" w:cs="Times New Roman"/>
          <w:kern w:val="2"/>
          <w:sz w:val="32"/>
          <w:szCs w:val="32"/>
          <w:lang w:val="en-US" w:eastAsia="zh-CN" w:bidi="ar-SA"/>
        </w:rPr>
      </w:pPr>
      <w:bookmarkStart w:id="32" w:name="OLE_LINK11"/>
      <w:r>
        <w:rPr>
          <w:rFonts w:hint="eastAsia" w:ascii="仿宋" w:hAnsi="仿宋" w:eastAsia="仿宋" w:cs="Times New Roman"/>
          <w:kern w:val="2"/>
          <w:sz w:val="32"/>
          <w:szCs w:val="32"/>
          <w:lang w:val="en-US" w:eastAsia="zh-CN" w:bidi="ar-SA"/>
        </w:rPr>
        <w:t>本次招标公告同时在</w:t>
      </w:r>
      <w:bookmarkStart w:id="33" w:name="OLE_LINK4"/>
      <w:r>
        <w:rPr>
          <w:rFonts w:hint="eastAsia" w:ascii="仿宋" w:hAnsi="仿宋" w:eastAsia="仿宋" w:cs="Times New Roman"/>
          <w:kern w:val="2"/>
          <w:sz w:val="32"/>
          <w:szCs w:val="32"/>
          <w:lang w:val="en-US" w:eastAsia="zh-CN" w:bidi="ar-SA"/>
        </w:rPr>
        <w:t>“政采云”平台(http://www.zcygov.cn)同步推送到吉林省政府采购网(http://www.ccgp-jilin.gov.cn/)、中国政府采购网</w:t>
      </w:r>
      <w:bookmarkEnd w:id="33"/>
      <w:r>
        <w:rPr>
          <w:rFonts w:hint="eastAsia" w:ascii="仿宋" w:hAnsi="仿宋" w:eastAsia="仿宋" w:cs="Times New Roman"/>
          <w:kern w:val="2"/>
          <w:sz w:val="32"/>
          <w:szCs w:val="32"/>
          <w:lang w:val="en-US" w:eastAsia="zh-CN" w:bidi="ar-SA"/>
        </w:rPr>
        <w:t>发布。</w:t>
      </w:r>
      <w:bookmarkEnd w:id="32"/>
      <w:bookmarkStart w:id="34" w:name="_Toc35393627"/>
      <w:bookmarkStart w:id="35" w:name="_Toc28359008"/>
      <w:bookmarkStart w:id="36" w:name="_Toc28359085"/>
      <w:bookmarkStart w:id="37" w:name="_Toc35393796"/>
    </w:p>
    <w:p w14:paraId="19B5C90F">
      <w:pPr>
        <w:widowControl w:val="0"/>
        <w:ind w:firstLine="640" w:firstLineChars="200"/>
        <w:jc w:val="both"/>
        <w:rPr>
          <w:rFonts w:hint="eastAsia" w:ascii="仿宋" w:hAnsi="仿宋" w:eastAsia="仿宋" w:cs="Times New Roman"/>
          <w:kern w:val="2"/>
          <w:sz w:val="32"/>
          <w:szCs w:val="32"/>
          <w:lang w:val="en-US" w:eastAsia="zh-CN" w:bidi="ar-SA"/>
        </w:rPr>
      </w:pPr>
    </w:p>
    <w:p w14:paraId="692A22C5">
      <w:pPr>
        <w:pStyle w:val="3"/>
        <w:pageBreakBefore w:val="0"/>
        <w:kinsoku/>
        <w:wordWrap/>
        <w:overflowPunct/>
        <w:topLinePunct w:val="0"/>
        <w:autoSpaceDE/>
        <w:autoSpaceDN/>
        <w:bidi w:val="0"/>
        <w:adjustRightInd/>
        <w:snapToGrid/>
        <w:spacing w:line="480" w:lineRule="auto"/>
        <w:textAlignment w:val="auto"/>
        <w:rPr>
          <w:rFonts w:ascii="黑体" w:hAnsi="黑体" w:cs="宋体"/>
          <w:b w:val="0"/>
          <w:i w:val="0"/>
          <w:iCs w:val="0"/>
          <w:sz w:val="32"/>
          <w:szCs w:val="32"/>
        </w:rPr>
      </w:pPr>
      <w:r>
        <w:rPr>
          <w:rFonts w:hint="eastAsia" w:ascii="黑体" w:hAnsi="黑体" w:cs="宋体"/>
          <w:b w:val="0"/>
          <w:i w:val="0"/>
          <w:iCs w:val="0"/>
          <w:sz w:val="32"/>
          <w:szCs w:val="32"/>
        </w:rPr>
        <w:t>七、对本次招标提出询问，请按</w:t>
      </w:r>
      <w:r>
        <w:rPr>
          <w:rFonts w:ascii="黑体" w:hAnsi="黑体" w:cs="宋体"/>
          <w:b w:val="0"/>
          <w:i w:val="0"/>
          <w:iCs w:val="0"/>
          <w:sz w:val="32"/>
          <w:szCs w:val="32"/>
        </w:rPr>
        <w:t>以下方式</w:t>
      </w:r>
      <w:r>
        <w:rPr>
          <w:rFonts w:hint="eastAsia" w:ascii="黑体" w:hAnsi="黑体" w:cs="宋体"/>
          <w:b w:val="0"/>
          <w:i w:val="0"/>
          <w:iCs w:val="0"/>
          <w:sz w:val="32"/>
          <w:szCs w:val="32"/>
        </w:rPr>
        <w:t>联系。</w:t>
      </w:r>
      <w:bookmarkEnd w:id="34"/>
      <w:bookmarkEnd w:id="35"/>
      <w:bookmarkEnd w:id="36"/>
      <w:bookmarkEnd w:id="37"/>
    </w:p>
    <w:p w14:paraId="1A7C3611">
      <w:pPr>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i w:val="0"/>
          <w:iCs w:val="0"/>
          <w:sz w:val="32"/>
          <w:szCs w:val="32"/>
        </w:rPr>
      </w:pPr>
      <w:r>
        <w:rPr>
          <w:rFonts w:hint="eastAsia" w:ascii="仿宋" w:hAnsi="仿宋" w:eastAsia="仿宋" w:cs="宋体"/>
          <w:i w:val="0"/>
          <w:iCs w:val="0"/>
          <w:sz w:val="32"/>
          <w:szCs w:val="32"/>
        </w:rPr>
        <w:t>　　　1.采购人信息</w:t>
      </w:r>
    </w:p>
    <w:p w14:paraId="098E0854">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ascii="仿宋" w:hAnsi="仿宋" w:eastAsia="仿宋"/>
          <w:i w:val="0"/>
          <w:iCs w:val="0"/>
          <w:sz w:val="32"/>
          <w:szCs w:val="32"/>
        </w:rPr>
      </w:pPr>
      <w:r>
        <w:rPr>
          <w:rFonts w:hint="eastAsia" w:ascii="仿宋" w:hAnsi="仿宋" w:eastAsia="仿宋"/>
          <w:i w:val="0"/>
          <w:iCs w:val="0"/>
          <w:sz w:val="32"/>
          <w:szCs w:val="32"/>
        </w:rPr>
        <w:t>名 称：</w:t>
      </w:r>
      <w:r>
        <w:rPr>
          <w:rFonts w:hint="eastAsia" w:ascii="仿宋" w:hAnsi="仿宋" w:eastAsia="仿宋"/>
          <w:i w:val="0"/>
          <w:iCs w:val="0"/>
          <w:sz w:val="32"/>
          <w:szCs w:val="32"/>
          <w:u w:val="single"/>
          <w:lang w:eastAsia="zh-CN"/>
        </w:rPr>
        <w:t>长岭县商务局(本级)</w:t>
      </w:r>
    </w:p>
    <w:p w14:paraId="4A1F3F79">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ascii="仿宋" w:hAnsi="仿宋" w:eastAsia="仿宋"/>
          <w:i w:val="0"/>
          <w:iCs w:val="0"/>
          <w:sz w:val="32"/>
          <w:szCs w:val="32"/>
        </w:rPr>
      </w:pPr>
      <w:r>
        <w:rPr>
          <w:rFonts w:hint="eastAsia" w:ascii="仿宋" w:hAnsi="仿宋" w:eastAsia="仿宋"/>
          <w:i w:val="0"/>
          <w:iCs w:val="0"/>
          <w:sz w:val="32"/>
          <w:szCs w:val="32"/>
        </w:rPr>
        <w:t>地址：</w:t>
      </w:r>
      <w:r>
        <w:rPr>
          <w:rFonts w:hint="eastAsia" w:ascii="仿宋" w:hAnsi="仿宋" w:eastAsia="仿宋"/>
          <w:i w:val="0"/>
          <w:iCs w:val="0"/>
          <w:sz w:val="32"/>
          <w:szCs w:val="32"/>
          <w:u w:val="single"/>
          <w:lang w:eastAsia="zh-CN"/>
        </w:rPr>
        <w:t>长岭县</w:t>
      </w:r>
    </w:p>
    <w:p w14:paraId="69CB59B3">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hint="default" w:ascii="仿宋" w:hAnsi="仿宋" w:eastAsia="仿宋"/>
          <w:i w:val="0"/>
          <w:iCs w:val="0"/>
          <w:sz w:val="32"/>
          <w:szCs w:val="32"/>
          <w:u w:val="single"/>
          <w:lang w:val="en-US" w:eastAsia="zh-CN"/>
        </w:rPr>
      </w:pPr>
      <w:r>
        <w:rPr>
          <w:rFonts w:hint="eastAsia" w:ascii="仿宋" w:hAnsi="仿宋" w:eastAsia="仿宋"/>
          <w:i w:val="0"/>
          <w:iCs w:val="0"/>
          <w:sz w:val="32"/>
          <w:szCs w:val="32"/>
        </w:rPr>
        <w:t>联系方式：</w:t>
      </w:r>
      <w:bookmarkStart w:id="38" w:name="_Toc28359086"/>
      <w:bookmarkStart w:id="39" w:name="_Toc28359009"/>
      <w:r>
        <w:rPr>
          <w:rFonts w:hint="eastAsia" w:ascii="仿宋" w:hAnsi="仿宋" w:eastAsia="仿宋"/>
          <w:i w:val="0"/>
          <w:iCs w:val="0"/>
          <w:sz w:val="32"/>
          <w:szCs w:val="32"/>
          <w:u w:val="single"/>
          <w:lang w:val="en-US" w:eastAsia="zh-CN"/>
        </w:rPr>
        <w:t>15834852695</w:t>
      </w:r>
    </w:p>
    <w:p w14:paraId="3DE858CD">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ascii="仿宋" w:hAnsi="仿宋" w:eastAsia="仿宋"/>
          <w:i w:val="0"/>
          <w:iCs w:val="0"/>
          <w:sz w:val="32"/>
          <w:szCs w:val="32"/>
        </w:rPr>
      </w:pPr>
      <w:r>
        <w:rPr>
          <w:rFonts w:hint="eastAsia" w:ascii="仿宋" w:hAnsi="仿宋" w:eastAsia="仿宋" w:cs="宋体"/>
          <w:i w:val="0"/>
          <w:iCs w:val="0"/>
          <w:sz w:val="32"/>
          <w:szCs w:val="32"/>
        </w:rPr>
        <w:t>2.采购代理机构信息</w:t>
      </w:r>
      <w:bookmarkEnd w:id="38"/>
      <w:bookmarkEnd w:id="39"/>
    </w:p>
    <w:p w14:paraId="6903242F">
      <w:pPr>
        <w:pageBreakBefore w:val="0"/>
        <w:kinsoku/>
        <w:wordWrap/>
        <w:overflowPunct/>
        <w:topLinePunct w:val="0"/>
        <w:autoSpaceDE/>
        <w:autoSpaceDN/>
        <w:bidi w:val="0"/>
        <w:adjustRightInd/>
        <w:snapToGrid/>
        <w:spacing w:line="360" w:lineRule="auto"/>
        <w:ind w:firstLine="960" w:firstLineChars="300"/>
        <w:textAlignment w:val="auto"/>
        <w:rPr>
          <w:rFonts w:hint="eastAsia" w:ascii="仿宋" w:hAnsi="仿宋" w:eastAsia="仿宋"/>
          <w:i w:val="0"/>
          <w:iCs w:val="0"/>
          <w:sz w:val="32"/>
          <w:szCs w:val="32"/>
          <w:lang w:eastAsia="zh-CN"/>
        </w:rPr>
      </w:pPr>
      <w:r>
        <w:rPr>
          <w:rFonts w:hint="eastAsia" w:ascii="仿宋" w:hAnsi="仿宋" w:eastAsia="仿宋"/>
          <w:i w:val="0"/>
          <w:iCs w:val="0"/>
          <w:sz w:val="32"/>
          <w:szCs w:val="32"/>
        </w:rPr>
        <w:t>名 称：</w:t>
      </w:r>
      <w:r>
        <w:rPr>
          <w:rFonts w:hint="eastAsia" w:ascii="仿宋" w:hAnsi="仿宋" w:eastAsia="仿宋"/>
          <w:i w:val="0"/>
          <w:iCs w:val="0"/>
          <w:sz w:val="32"/>
          <w:szCs w:val="32"/>
          <w:u w:val="single"/>
          <w:lang w:eastAsia="zh-CN"/>
        </w:rPr>
        <w:t>吉林省金标工程管理有限公司</w:t>
      </w:r>
    </w:p>
    <w:p w14:paraId="42956366">
      <w:pPr>
        <w:pageBreakBefore w:val="0"/>
        <w:kinsoku/>
        <w:wordWrap/>
        <w:overflowPunct/>
        <w:topLinePunct w:val="0"/>
        <w:autoSpaceDE/>
        <w:autoSpaceDN/>
        <w:bidi w:val="0"/>
        <w:adjustRightInd/>
        <w:snapToGrid/>
        <w:spacing w:line="360" w:lineRule="auto"/>
        <w:ind w:firstLine="960" w:firstLineChars="300"/>
        <w:textAlignment w:val="auto"/>
        <w:rPr>
          <w:rFonts w:ascii="仿宋" w:hAnsi="仿宋" w:eastAsia="仿宋"/>
          <w:i w:val="0"/>
          <w:iCs w:val="0"/>
          <w:sz w:val="32"/>
          <w:szCs w:val="32"/>
        </w:rPr>
      </w:pPr>
      <w:r>
        <w:rPr>
          <w:rFonts w:hint="eastAsia" w:ascii="仿宋" w:hAnsi="仿宋" w:eastAsia="仿宋"/>
          <w:i w:val="0"/>
          <w:iCs w:val="0"/>
          <w:sz w:val="32"/>
          <w:szCs w:val="32"/>
        </w:rPr>
        <w:t>地　址：</w:t>
      </w:r>
      <w:r>
        <w:rPr>
          <w:rFonts w:hint="eastAsia" w:ascii="仿宋" w:hAnsi="仿宋" w:eastAsia="仿宋"/>
          <w:i w:val="0"/>
          <w:iCs w:val="0"/>
          <w:sz w:val="32"/>
          <w:szCs w:val="32"/>
          <w:u w:val="single"/>
        </w:rPr>
        <w:t>吉林省松原市长岭县</w:t>
      </w:r>
    </w:p>
    <w:p w14:paraId="5E0D289D">
      <w:pPr>
        <w:pageBreakBefore w:val="0"/>
        <w:kinsoku/>
        <w:wordWrap/>
        <w:overflowPunct/>
        <w:topLinePunct w:val="0"/>
        <w:autoSpaceDE/>
        <w:autoSpaceDN/>
        <w:bidi w:val="0"/>
        <w:adjustRightInd/>
        <w:snapToGrid/>
        <w:spacing w:line="360" w:lineRule="auto"/>
        <w:ind w:firstLine="960" w:firstLineChars="300"/>
        <w:textAlignment w:val="auto"/>
        <w:rPr>
          <w:rFonts w:ascii="仿宋" w:hAnsi="仿宋" w:eastAsia="仿宋"/>
          <w:i w:val="0"/>
          <w:iCs w:val="0"/>
          <w:sz w:val="32"/>
          <w:szCs w:val="32"/>
        </w:rPr>
      </w:pPr>
      <w:r>
        <w:rPr>
          <w:rFonts w:hint="eastAsia" w:ascii="仿宋" w:hAnsi="仿宋" w:eastAsia="仿宋"/>
          <w:i w:val="0"/>
          <w:iCs w:val="0"/>
          <w:sz w:val="32"/>
          <w:szCs w:val="32"/>
        </w:rPr>
        <w:t>联系方式：</w:t>
      </w:r>
      <w:bookmarkStart w:id="40" w:name="_Toc28359087"/>
      <w:bookmarkStart w:id="41" w:name="_Toc28359010"/>
      <w:r>
        <w:rPr>
          <w:rFonts w:hint="eastAsia" w:ascii="仿宋" w:hAnsi="仿宋" w:eastAsia="仿宋"/>
          <w:i w:val="0"/>
          <w:iCs w:val="0"/>
          <w:sz w:val="32"/>
          <w:szCs w:val="32"/>
          <w:u w:val="single"/>
          <w:lang w:val="en-US" w:eastAsia="zh-CN"/>
        </w:rPr>
        <w:t>15843891444</w:t>
      </w:r>
    </w:p>
    <w:p w14:paraId="5FA13ACF">
      <w:pPr>
        <w:pageBreakBefore w:val="0"/>
        <w:kinsoku/>
        <w:wordWrap/>
        <w:overflowPunct/>
        <w:topLinePunct w:val="0"/>
        <w:autoSpaceDE/>
        <w:autoSpaceDN/>
        <w:bidi w:val="0"/>
        <w:adjustRightInd/>
        <w:snapToGrid/>
        <w:spacing w:line="360" w:lineRule="auto"/>
        <w:ind w:firstLine="960" w:firstLineChars="300"/>
        <w:textAlignment w:val="auto"/>
        <w:rPr>
          <w:rFonts w:ascii="仿宋" w:hAnsi="仿宋" w:eastAsia="仿宋"/>
          <w:i w:val="0"/>
          <w:iCs w:val="0"/>
          <w:sz w:val="32"/>
          <w:szCs w:val="32"/>
          <w:u w:val="single"/>
        </w:rPr>
      </w:pPr>
      <w:r>
        <w:rPr>
          <w:rFonts w:hint="eastAsia" w:ascii="仿宋" w:hAnsi="仿宋" w:eastAsia="仿宋" w:cs="宋体"/>
          <w:i w:val="0"/>
          <w:iCs w:val="0"/>
          <w:sz w:val="32"/>
          <w:szCs w:val="32"/>
        </w:rPr>
        <w:t>3.项目</w:t>
      </w:r>
      <w:r>
        <w:rPr>
          <w:rFonts w:ascii="仿宋" w:hAnsi="仿宋" w:eastAsia="仿宋" w:cs="宋体"/>
          <w:i w:val="0"/>
          <w:iCs w:val="0"/>
          <w:sz w:val="32"/>
          <w:szCs w:val="32"/>
        </w:rPr>
        <w:t>联系方式</w:t>
      </w:r>
      <w:bookmarkEnd w:id="40"/>
      <w:bookmarkEnd w:id="41"/>
    </w:p>
    <w:p w14:paraId="27487967">
      <w:pPr>
        <w:pStyle w:val="13"/>
        <w:pageBreakBefore w:val="0"/>
        <w:kinsoku/>
        <w:wordWrap/>
        <w:overflowPunct/>
        <w:topLinePunct w:val="0"/>
        <w:autoSpaceDE/>
        <w:autoSpaceDN/>
        <w:bidi w:val="0"/>
        <w:adjustRightInd/>
        <w:snapToGrid/>
        <w:spacing w:line="360" w:lineRule="auto"/>
        <w:ind w:firstLine="960" w:firstLineChars="300"/>
        <w:textAlignment w:val="auto"/>
        <w:rPr>
          <w:rFonts w:hint="default" w:ascii="仿宋" w:hAnsi="仿宋" w:eastAsia="仿宋"/>
          <w:i w:val="0"/>
          <w:iCs w:val="0"/>
          <w:sz w:val="32"/>
          <w:szCs w:val="32"/>
          <w:lang w:val="en-US" w:eastAsia="zh-CN"/>
        </w:rPr>
      </w:pPr>
      <w:r>
        <w:rPr>
          <w:rFonts w:hint="eastAsia" w:ascii="仿宋" w:hAnsi="仿宋" w:eastAsia="仿宋"/>
          <w:i w:val="0"/>
          <w:iCs w:val="0"/>
          <w:sz w:val="32"/>
          <w:szCs w:val="32"/>
        </w:rPr>
        <w:t>项目联系人：</w:t>
      </w:r>
      <w:r>
        <w:rPr>
          <w:rFonts w:hint="eastAsia" w:ascii="仿宋" w:hAnsi="仿宋" w:eastAsia="仿宋"/>
          <w:i w:val="0"/>
          <w:iCs w:val="0"/>
          <w:sz w:val="32"/>
          <w:szCs w:val="32"/>
          <w:u w:val="single"/>
          <w:lang w:eastAsia="zh-CN"/>
        </w:rPr>
        <w:t>刘嘉冶</w:t>
      </w:r>
    </w:p>
    <w:p w14:paraId="2457BA2F">
      <w:pPr>
        <w:pStyle w:val="28"/>
        <w:pageBreakBefore w:val="0"/>
        <w:widowControl/>
        <w:kinsoku/>
        <w:wordWrap/>
        <w:overflowPunct/>
        <w:topLinePunct w:val="0"/>
        <w:autoSpaceDE/>
        <w:autoSpaceDN/>
        <w:bidi w:val="0"/>
        <w:adjustRightInd/>
        <w:snapToGrid/>
        <w:spacing w:beforeAutospacing="0" w:afterAutospacing="0" w:line="360" w:lineRule="auto"/>
        <w:ind w:firstLine="988" w:firstLineChars="309"/>
        <w:textAlignment w:val="auto"/>
        <w:rPr>
          <w:rFonts w:hint="eastAsia" w:ascii="宋体" w:hAnsi="宋体" w:eastAsia="仿宋" w:cs="宋体"/>
          <w:color w:val="394351"/>
          <w:sz w:val="22"/>
          <w:szCs w:val="22"/>
          <w:u w:val="single"/>
          <w:shd w:val="clear" w:color="auto" w:fill="FFFFFF"/>
          <w:lang w:eastAsia="zh-CN"/>
        </w:rPr>
      </w:pPr>
      <w:r>
        <w:rPr>
          <w:rFonts w:hint="eastAsia" w:ascii="仿宋" w:hAnsi="仿宋" w:eastAsia="仿宋"/>
          <w:i w:val="0"/>
          <w:iCs w:val="0"/>
          <w:sz w:val="32"/>
          <w:szCs w:val="32"/>
        </w:rPr>
        <w:t>电　话：</w:t>
      </w:r>
      <w:r>
        <w:rPr>
          <w:rFonts w:hint="eastAsia" w:ascii="仿宋" w:hAnsi="仿宋" w:eastAsia="仿宋"/>
          <w:i w:val="0"/>
          <w:iCs w:val="0"/>
          <w:sz w:val="32"/>
          <w:szCs w:val="32"/>
          <w:u w:val="single"/>
          <w:lang w:eastAsia="zh-CN"/>
        </w:rPr>
        <w:t>15843891444</w:t>
      </w:r>
    </w:p>
    <w:p w14:paraId="6BCA8660">
      <w:pPr>
        <w:spacing w:line="220" w:lineRule="atLeast"/>
        <w:jc w:val="both"/>
        <w:rPr>
          <w:rFonts w:cs="宋体" w:asciiTheme="majorEastAsia" w:hAnsiTheme="majorEastAsia" w:eastAsiaTheme="majorEastAsia"/>
          <w:color w:val="000000"/>
          <w:sz w:val="36"/>
          <w:szCs w:val="20"/>
        </w:rPr>
      </w:pPr>
    </w:p>
    <w:p w14:paraId="3336DBDA">
      <w:pPr>
        <w:rPr>
          <w:rFonts w:hint="eastAsia"/>
          <w:b/>
          <w:bCs/>
        </w:rPr>
      </w:pPr>
    </w:p>
    <w:p w14:paraId="77D10024">
      <w:pPr>
        <w:rPr>
          <w:rFonts w:hint="eastAsia"/>
          <w:b/>
          <w:bCs/>
        </w:rPr>
      </w:pPr>
      <w:r>
        <w:rPr>
          <w:rFonts w:hint="eastAsia"/>
          <w:b/>
          <w:bCs/>
        </w:rPr>
        <w:br w:type="page"/>
      </w:r>
    </w:p>
    <w:p w14:paraId="2A39278E">
      <w:pPr>
        <w:pStyle w:val="2"/>
        <w:tabs>
          <w:tab w:val="left" w:pos="0"/>
          <w:tab w:val="left" w:pos="3165"/>
          <w:tab w:val="center" w:pos="4153"/>
        </w:tabs>
        <w:autoSpaceDE w:val="0"/>
        <w:autoSpaceDN w:val="0"/>
        <w:adjustRightInd w:val="0"/>
        <w:spacing w:before="0" w:after="0" w:line="360" w:lineRule="auto"/>
        <w:jc w:val="center"/>
        <w:rPr>
          <w:rFonts w:hint="eastAsia"/>
          <w:b/>
          <w:bCs/>
        </w:rPr>
      </w:pPr>
      <w:r>
        <w:rPr>
          <w:rFonts w:hint="eastAsia"/>
          <w:b/>
          <w:bCs/>
        </w:rPr>
        <w:t>第二章</w:t>
      </w:r>
      <w:r>
        <w:rPr>
          <w:rFonts w:hint="eastAsia"/>
          <w:b/>
          <w:bCs/>
          <w:lang w:val="en-US" w:eastAsia="zh-CN"/>
        </w:rPr>
        <w:t xml:space="preserve">  </w:t>
      </w:r>
      <w:r>
        <w:rPr>
          <w:rFonts w:hint="eastAsia"/>
          <w:b/>
          <w:bCs/>
        </w:rPr>
        <w:t>供应商须知</w:t>
      </w:r>
    </w:p>
    <w:p w14:paraId="54BF181B">
      <w:pPr>
        <w:pStyle w:val="3"/>
        <w:spacing w:line="276" w:lineRule="auto"/>
        <w:jc w:val="center"/>
        <w:rPr>
          <w:rFonts w:cs="宋体" w:asciiTheme="majorEastAsia" w:hAnsiTheme="majorEastAsia" w:eastAsiaTheme="majorEastAsia"/>
          <w:b w:val="0"/>
          <w:bCs w:val="0"/>
          <w:color w:val="000000"/>
          <w:kern w:val="0"/>
        </w:rPr>
      </w:pPr>
      <w:bookmarkStart w:id="42" w:name="_Toc504654674"/>
      <w:bookmarkStart w:id="43" w:name="_Toc28947"/>
      <w:r>
        <w:rPr>
          <w:rFonts w:hint="eastAsia" w:cs="宋体" w:asciiTheme="majorEastAsia" w:hAnsiTheme="majorEastAsia" w:eastAsiaTheme="majorEastAsia"/>
          <w:b w:val="0"/>
          <w:color w:val="000000"/>
          <w:kern w:val="0"/>
        </w:rPr>
        <w:t>供应商须知</w:t>
      </w:r>
      <w:r>
        <w:rPr>
          <w:rFonts w:hint="eastAsia" w:cs="宋体" w:asciiTheme="majorEastAsia" w:hAnsiTheme="majorEastAsia" w:eastAsiaTheme="majorEastAsia"/>
          <w:b w:val="0"/>
          <w:bCs w:val="0"/>
          <w:color w:val="000000"/>
          <w:kern w:val="0"/>
        </w:rPr>
        <w:t>前附表</w:t>
      </w:r>
      <w:bookmarkEnd w:id="42"/>
      <w:bookmarkEnd w:id="43"/>
    </w:p>
    <w:tbl>
      <w:tblPr>
        <w:tblStyle w:val="32"/>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515"/>
        <w:gridCol w:w="6804"/>
      </w:tblGrid>
      <w:tr w14:paraId="2E159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bottom w:val="single" w:color="auto" w:sz="4" w:space="0"/>
              <w:right w:val="single" w:color="auto" w:sz="4" w:space="0"/>
            </w:tcBorders>
            <w:vAlign w:val="center"/>
          </w:tcPr>
          <w:p w14:paraId="1D5E265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条款号</w:t>
            </w:r>
          </w:p>
        </w:tc>
        <w:tc>
          <w:tcPr>
            <w:tcW w:w="2515" w:type="dxa"/>
            <w:tcBorders>
              <w:top w:val="single" w:color="auto" w:sz="4" w:space="0"/>
              <w:left w:val="single" w:color="auto" w:sz="4" w:space="0"/>
              <w:bottom w:val="single" w:color="auto" w:sz="4" w:space="0"/>
              <w:right w:val="single" w:color="auto" w:sz="4" w:space="0"/>
            </w:tcBorders>
            <w:vAlign w:val="center"/>
          </w:tcPr>
          <w:p w14:paraId="583AAA6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条款名称</w:t>
            </w:r>
          </w:p>
        </w:tc>
        <w:tc>
          <w:tcPr>
            <w:tcW w:w="6804" w:type="dxa"/>
            <w:tcBorders>
              <w:top w:val="single" w:color="auto" w:sz="4" w:space="0"/>
              <w:left w:val="single" w:color="auto" w:sz="4" w:space="0"/>
              <w:bottom w:val="single" w:color="auto" w:sz="4" w:space="0"/>
            </w:tcBorders>
            <w:vAlign w:val="center"/>
          </w:tcPr>
          <w:p w14:paraId="5EB10CA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编列内容</w:t>
            </w:r>
          </w:p>
        </w:tc>
      </w:tr>
      <w:tr w14:paraId="67AF0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29" w:type="dxa"/>
            <w:tcBorders>
              <w:top w:val="single" w:color="auto" w:sz="4" w:space="0"/>
              <w:bottom w:val="single" w:color="auto" w:sz="4" w:space="0"/>
              <w:right w:val="single" w:color="auto" w:sz="4" w:space="0"/>
            </w:tcBorders>
            <w:vAlign w:val="center"/>
          </w:tcPr>
          <w:p w14:paraId="622ABF15">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1</w:t>
            </w:r>
          </w:p>
        </w:tc>
        <w:tc>
          <w:tcPr>
            <w:tcW w:w="2515" w:type="dxa"/>
            <w:tcBorders>
              <w:top w:val="single" w:color="auto" w:sz="4" w:space="0"/>
              <w:left w:val="single" w:color="auto" w:sz="4" w:space="0"/>
              <w:bottom w:val="single" w:color="auto" w:sz="4" w:space="0"/>
              <w:right w:val="single" w:color="auto" w:sz="4" w:space="0"/>
            </w:tcBorders>
            <w:vAlign w:val="center"/>
          </w:tcPr>
          <w:p w14:paraId="7935B15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采购人</w:t>
            </w:r>
          </w:p>
        </w:tc>
        <w:tc>
          <w:tcPr>
            <w:tcW w:w="6804" w:type="dxa"/>
            <w:tcBorders>
              <w:top w:val="single" w:color="auto" w:sz="4" w:space="0"/>
              <w:left w:val="single" w:color="auto" w:sz="4" w:space="0"/>
              <w:bottom w:val="single" w:color="auto" w:sz="4" w:space="0"/>
            </w:tcBorders>
            <w:vAlign w:val="center"/>
          </w:tcPr>
          <w:p w14:paraId="15810151">
            <w:pPr>
              <w:spacing w:line="276" w:lineRule="auto"/>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采 购 人：</w:t>
            </w:r>
            <w:r>
              <w:rPr>
                <w:rFonts w:hint="eastAsia" w:cs="宋体" w:asciiTheme="majorEastAsia" w:hAnsiTheme="majorEastAsia" w:eastAsiaTheme="majorEastAsia"/>
                <w:color w:val="000000"/>
                <w:szCs w:val="21"/>
                <w:lang w:eastAsia="zh-CN"/>
              </w:rPr>
              <w:t>长岭县商务局(本级)</w:t>
            </w:r>
          </w:p>
          <w:p w14:paraId="02E56EF3">
            <w:pPr>
              <w:spacing w:line="276" w:lineRule="auto"/>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地址：长岭县</w:t>
            </w:r>
          </w:p>
          <w:p w14:paraId="2F15CAE3">
            <w:pPr>
              <w:spacing w:line="276" w:lineRule="auto"/>
              <w:rPr>
                <w:rFonts w:hint="default" w:cs="宋体" w:asciiTheme="majorEastAsia" w:hAnsiTheme="majorEastAsia" w:eastAsiaTheme="majorEastAsia"/>
                <w:color w:val="000000"/>
                <w:szCs w:val="21"/>
                <w:lang w:val="en-US" w:eastAsia="zh-CN"/>
              </w:rPr>
            </w:pPr>
            <w:r>
              <w:rPr>
                <w:rFonts w:hint="eastAsia" w:cs="宋体" w:asciiTheme="majorEastAsia" w:hAnsiTheme="majorEastAsia" w:eastAsiaTheme="majorEastAsia"/>
                <w:color w:val="000000"/>
                <w:szCs w:val="21"/>
              </w:rPr>
              <w:t>联系人：</w:t>
            </w:r>
            <w:r>
              <w:rPr>
                <w:rFonts w:hint="eastAsia" w:cs="宋体" w:asciiTheme="majorEastAsia" w:hAnsiTheme="majorEastAsia" w:eastAsiaTheme="majorEastAsia"/>
                <w:color w:val="000000"/>
                <w:szCs w:val="21"/>
                <w:lang w:val="en-US" w:eastAsia="zh-CN"/>
              </w:rPr>
              <w:t>张佳雪</w:t>
            </w:r>
          </w:p>
          <w:p w14:paraId="77B84640">
            <w:pPr>
              <w:spacing w:line="276" w:lineRule="auto"/>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电话：</w:t>
            </w:r>
            <w:r>
              <w:rPr>
                <w:rFonts w:hint="eastAsia" w:cs="宋体" w:asciiTheme="majorEastAsia" w:hAnsiTheme="majorEastAsia" w:eastAsiaTheme="majorEastAsia"/>
                <w:color w:val="000000"/>
                <w:szCs w:val="21"/>
                <w:lang w:eastAsia="zh-CN"/>
              </w:rPr>
              <w:t>15834852695</w:t>
            </w:r>
          </w:p>
        </w:tc>
      </w:tr>
      <w:tr w14:paraId="63157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29" w:type="dxa"/>
            <w:tcBorders>
              <w:top w:val="single" w:color="auto" w:sz="4" w:space="0"/>
              <w:bottom w:val="single" w:color="auto" w:sz="4" w:space="0"/>
              <w:right w:val="single" w:color="auto" w:sz="4" w:space="0"/>
            </w:tcBorders>
            <w:vAlign w:val="center"/>
          </w:tcPr>
          <w:p w14:paraId="75670812">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2</w:t>
            </w:r>
          </w:p>
        </w:tc>
        <w:tc>
          <w:tcPr>
            <w:tcW w:w="2515" w:type="dxa"/>
            <w:tcBorders>
              <w:top w:val="single" w:color="auto" w:sz="4" w:space="0"/>
              <w:left w:val="single" w:color="auto" w:sz="4" w:space="0"/>
              <w:bottom w:val="single" w:color="auto" w:sz="4" w:space="0"/>
              <w:right w:val="single" w:color="auto" w:sz="4" w:space="0"/>
            </w:tcBorders>
            <w:vAlign w:val="center"/>
          </w:tcPr>
          <w:p w14:paraId="67A3ED5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zh-CN"/>
              </w:rPr>
              <w:t>招标代理机构</w:t>
            </w:r>
          </w:p>
        </w:tc>
        <w:tc>
          <w:tcPr>
            <w:tcW w:w="6804" w:type="dxa"/>
            <w:tcBorders>
              <w:top w:val="single" w:color="auto" w:sz="4" w:space="0"/>
              <w:left w:val="single" w:color="auto" w:sz="4" w:space="0"/>
              <w:bottom w:val="single" w:color="auto" w:sz="4" w:space="0"/>
            </w:tcBorders>
            <w:vAlign w:val="center"/>
          </w:tcPr>
          <w:p w14:paraId="676547A4">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采购代理机构：</w:t>
            </w:r>
            <w:r>
              <w:rPr>
                <w:rFonts w:hint="eastAsia" w:cs="宋体" w:asciiTheme="majorEastAsia" w:hAnsiTheme="majorEastAsia" w:eastAsiaTheme="majorEastAsia"/>
                <w:color w:val="000000"/>
                <w:szCs w:val="21"/>
                <w:lang w:eastAsia="zh-CN"/>
              </w:rPr>
              <w:t>吉林省金标工程管理有限公司</w:t>
            </w:r>
          </w:p>
          <w:p w14:paraId="10B4311F">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地址：吉林省松原市长岭县</w:t>
            </w:r>
          </w:p>
          <w:p w14:paraId="2F1E703F">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联 系 人：</w:t>
            </w:r>
            <w:r>
              <w:rPr>
                <w:rFonts w:hint="eastAsia" w:cs="宋体" w:asciiTheme="majorEastAsia" w:hAnsiTheme="majorEastAsia" w:eastAsiaTheme="majorEastAsia"/>
                <w:color w:val="000000"/>
                <w:szCs w:val="21"/>
                <w:lang w:eastAsia="zh-CN"/>
              </w:rPr>
              <w:t>刘嘉冶</w:t>
            </w:r>
          </w:p>
          <w:p w14:paraId="335B9B44">
            <w:pPr>
              <w:spacing w:line="276" w:lineRule="auto"/>
              <w:jc w:val="left"/>
              <w:rPr>
                <w:rFonts w:hint="eastAsia" w:cs="宋体" w:asciiTheme="majorEastAsia" w:hAnsiTheme="majorEastAsia" w:eastAsiaTheme="majorEastAsia"/>
                <w:color w:val="000000"/>
                <w:szCs w:val="21"/>
                <w:lang w:val="en-US" w:eastAsia="zh-CN"/>
              </w:rPr>
            </w:pPr>
            <w:r>
              <w:rPr>
                <w:rFonts w:hint="eastAsia" w:cs="宋体" w:asciiTheme="majorEastAsia" w:hAnsiTheme="majorEastAsia" w:eastAsiaTheme="majorEastAsia"/>
                <w:color w:val="000000"/>
                <w:szCs w:val="21"/>
              </w:rPr>
              <w:t>联系电话：</w:t>
            </w:r>
            <w:r>
              <w:rPr>
                <w:rFonts w:hint="eastAsia" w:cs="宋体" w:asciiTheme="majorEastAsia" w:hAnsiTheme="majorEastAsia" w:eastAsiaTheme="majorEastAsia"/>
                <w:color w:val="000000"/>
                <w:szCs w:val="21"/>
                <w:lang w:eastAsia="zh-CN"/>
              </w:rPr>
              <w:t>15843891444</w:t>
            </w:r>
          </w:p>
        </w:tc>
      </w:tr>
      <w:tr w14:paraId="7D840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6D78291D">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3</w:t>
            </w:r>
          </w:p>
        </w:tc>
        <w:tc>
          <w:tcPr>
            <w:tcW w:w="2515" w:type="dxa"/>
            <w:tcBorders>
              <w:top w:val="single" w:color="auto" w:sz="4" w:space="0"/>
              <w:left w:val="single" w:color="auto" w:sz="4" w:space="0"/>
              <w:bottom w:val="single" w:color="auto" w:sz="4" w:space="0"/>
              <w:right w:val="single" w:color="auto" w:sz="4" w:space="0"/>
            </w:tcBorders>
            <w:vAlign w:val="center"/>
          </w:tcPr>
          <w:p w14:paraId="39D07AE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项目名称</w:t>
            </w:r>
          </w:p>
        </w:tc>
        <w:tc>
          <w:tcPr>
            <w:tcW w:w="6804" w:type="dxa"/>
            <w:tcBorders>
              <w:top w:val="single" w:color="auto" w:sz="4" w:space="0"/>
              <w:left w:val="single" w:color="auto" w:sz="4" w:space="0"/>
              <w:bottom w:val="single" w:color="auto" w:sz="4" w:space="0"/>
            </w:tcBorders>
            <w:vAlign w:val="center"/>
          </w:tcPr>
          <w:p w14:paraId="6219571B">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lang w:eastAsia="zh-CN"/>
              </w:rPr>
              <w:t>长岭县防汛物资采购项目</w:t>
            </w:r>
          </w:p>
        </w:tc>
      </w:tr>
      <w:tr w14:paraId="4AB0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31EE0869">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4</w:t>
            </w:r>
          </w:p>
        </w:tc>
        <w:tc>
          <w:tcPr>
            <w:tcW w:w="2515" w:type="dxa"/>
            <w:tcBorders>
              <w:top w:val="single" w:color="auto" w:sz="4" w:space="0"/>
              <w:left w:val="single" w:color="auto" w:sz="4" w:space="0"/>
              <w:bottom w:val="single" w:color="auto" w:sz="4" w:space="0"/>
              <w:right w:val="single" w:color="auto" w:sz="4" w:space="0"/>
            </w:tcBorders>
            <w:vAlign w:val="center"/>
          </w:tcPr>
          <w:p w14:paraId="687F20E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zh-CN"/>
              </w:rPr>
              <w:t>项目编号</w:t>
            </w:r>
          </w:p>
        </w:tc>
        <w:tc>
          <w:tcPr>
            <w:tcW w:w="6804" w:type="dxa"/>
            <w:tcBorders>
              <w:top w:val="single" w:color="auto" w:sz="4" w:space="0"/>
              <w:left w:val="single" w:color="auto" w:sz="4" w:space="0"/>
              <w:bottom w:val="single" w:color="auto" w:sz="4" w:space="0"/>
            </w:tcBorders>
            <w:vAlign w:val="center"/>
          </w:tcPr>
          <w:p w14:paraId="716B5EF5">
            <w:pPr>
              <w:spacing w:line="276" w:lineRule="auto"/>
              <w:jc w:val="left"/>
              <w:rPr>
                <w:rFonts w:hint="default" w:cs="宋体" w:asciiTheme="majorEastAsia" w:hAnsiTheme="majorEastAsia" w:eastAsiaTheme="majorEastAsia"/>
                <w:color w:val="000000"/>
                <w:szCs w:val="21"/>
                <w:lang w:val="en-US"/>
              </w:rPr>
            </w:pPr>
            <w:r>
              <w:rPr>
                <w:rFonts w:hint="eastAsia" w:cs="宋体" w:asciiTheme="majorEastAsia" w:hAnsiTheme="majorEastAsia" w:eastAsiaTheme="majorEastAsia"/>
                <w:color w:val="000000"/>
                <w:szCs w:val="21"/>
                <w:lang w:val="en-US" w:eastAsia="zh-CN"/>
              </w:rPr>
              <w:t>采购计划-[2025]-00100号-jb-009</w:t>
            </w:r>
          </w:p>
        </w:tc>
      </w:tr>
      <w:tr w14:paraId="2B953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029" w:type="dxa"/>
            <w:tcBorders>
              <w:top w:val="single" w:color="auto" w:sz="4" w:space="0"/>
              <w:bottom w:val="single" w:color="auto" w:sz="4" w:space="0"/>
              <w:right w:val="single" w:color="auto" w:sz="4" w:space="0"/>
            </w:tcBorders>
            <w:vAlign w:val="center"/>
          </w:tcPr>
          <w:p w14:paraId="0A46913F">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5</w:t>
            </w:r>
          </w:p>
        </w:tc>
        <w:tc>
          <w:tcPr>
            <w:tcW w:w="2515" w:type="dxa"/>
            <w:tcBorders>
              <w:top w:val="single" w:color="auto" w:sz="4" w:space="0"/>
              <w:left w:val="single" w:color="auto" w:sz="4" w:space="0"/>
              <w:bottom w:val="single" w:color="auto" w:sz="4" w:space="0"/>
              <w:right w:val="single" w:color="auto" w:sz="4" w:space="0"/>
            </w:tcBorders>
            <w:vAlign w:val="center"/>
          </w:tcPr>
          <w:p w14:paraId="6552FAD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资金来源及比例</w:t>
            </w:r>
          </w:p>
        </w:tc>
        <w:tc>
          <w:tcPr>
            <w:tcW w:w="6804" w:type="dxa"/>
            <w:tcBorders>
              <w:top w:val="single" w:color="auto" w:sz="4" w:space="0"/>
              <w:left w:val="single" w:color="auto" w:sz="4" w:space="0"/>
              <w:bottom w:val="single" w:color="auto" w:sz="4" w:space="0"/>
            </w:tcBorders>
            <w:vAlign w:val="center"/>
          </w:tcPr>
          <w:p w14:paraId="3ED51135">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财政资金</w:t>
            </w:r>
            <w:r>
              <w:rPr>
                <w:rFonts w:cs="宋体" w:asciiTheme="majorEastAsia" w:hAnsiTheme="majorEastAsia" w:eastAsiaTheme="majorEastAsia"/>
                <w:color w:val="000000"/>
                <w:szCs w:val="21"/>
              </w:rPr>
              <w:t>100%</w:t>
            </w:r>
          </w:p>
        </w:tc>
      </w:tr>
      <w:tr w14:paraId="58F03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29" w:type="dxa"/>
            <w:tcBorders>
              <w:top w:val="single" w:color="auto" w:sz="4" w:space="0"/>
              <w:bottom w:val="single" w:color="auto" w:sz="4" w:space="0"/>
              <w:right w:val="single" w:color="auto" w:sz="4" w:space="0"/>
            </w:tcBorders>
            <w:vAlign w:val="center"/>
          </w:tcPr>
          <w:p w14:paraId="2EB9B1E6">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6</w:t>
            </w:r>
          </w:p>
        </w:tc>
        <w:tc>
          <w:tcPr>
            <w:tcW w:w="2515" w:type="dxa"/>
            <w:tcBorders>
              <w:top w:val="single" w:color="auto" w:sz="4" w:space="0"/>
              <w:left w:val="single" w:color="auto" w:sz="4" w:space="0"/>
              <w:bottom w:val="single" w:color="auto" w:sz="4" w:space="0"/>
              <w:right w:val="single" w:color="auto" w:sz="4" w:space="0"/>
            </w:tcBorders>
            <w:vAlign w:val="center"/>
          </w:tcPr>
          <w:p w14:paraId="5A83637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资金落实情况</w:t>
            </w:r>
          </w:p>
        </w:tc>
        <w:tc>
          <w:tcPr>
            <w:tcW w:w="6804" w:type="dxa"/>
            <w:tcBorders>
              <w:top w:val="single" w:color="auto" w:sz="4" w:space="0"/>
              <w:left w:val="single" w:color="auto" w:sz="4" w:space="0"/>
              <w:bottom w:val="single" w:color="auto" w:sz="4" w:space="0"/>
            </w:tcBorders>
            <w:vAlign w:val="center"/>
          </w:tcPr>
          <w:p w14:paraId="037384BD">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已落实</w:t>
            </w:r>
          </w:p>
        </w:tc>
      </w:tr>
      <w:tr w14:paraId="2D510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29" w:type="dxa"/>
            <w:tcBorders>
              <w:top w:val="single" w:color="auto" w:sz="4" w:space="0"/>
              <w:bottom w:val="single" w:color="auto" w:sz="4" w:space="0"/>
              <w:right w:val="single" w:color="auto" w:sz="4" w:space="0"/>
            </w:tcBorders>
            <w:vAlign w:val="center"/>
          </w:tcPr>
          <w:p w14:paraId="10974E3C">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7</w:t>
            </w:r>
          </w:p>
        </w:tc>
        <w:tc>
          <w:tcPr>
            <w:tcW w:w="2515" w:type="dxa"/>
            <w:tcBorders>
              <w:top w:val="single" w:color="auto" w:sz="4" w:space="0"/>
              <w:left w:val="single" w:color="auto" w:sz="4" w:space="0"/>
              <w:bottom w:val="single" w:color="auto" w:sz="4" w:space="0"/>
              <w:right w:val="single" w:color="auto" w:sz="4" w:space="0"/>
            </w:tcBorders>
            <w:vAlign w:val="center"/>
          </w:tcPr>
          <w:p w14:paraId="542CD8B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采购内容</w:t>
            </w:r>
          </w:p>
        </w:tc>
        <w:tc>
          <w:tcPr>
            <w:tcW w:w="6804" w:type="dxa"/>
            <w:tcBorders>
              <w:top w:val="single" w:color="auto" w:sz="4" w:space="0"/>
              <w:left w:val="single" w:color="auto" w:sz="4" w:space="0"/>
              <w:bottom w:val="single" w:color="auto" w:sz="4" w:space="0"/>
            </w:tcBorders>
            <w:vAlign w:val="center"/>
          </w:tcPr>
          <w:p w14:paraId="5222D4F1">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详见招标文件第五章.</w:t>
            </w:r>
          </w:p>
        </w:tc>
      </w:tr>
      <w:tr w14:paraId="0468D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29" w:type="dxa"/>
            <w:tcBorders>
              <w:top w:val="single" w:color="auto" w:sz="4" w:space="0"/>
              <w:bottom w:val="single" w:color="auto" w:sz="4" w:space="0"/>
              <w:right w:val="single" w:color="auto" w:sz="4" w:space="0"/>
            </w:tcBorders>
            <w:vAlign w:val="center"/>
          </w:tcPr>
          <w:p w14:paraId="3EF0B97A">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8</w:t>
            </w:r>
          </w:p>
        </w:tc>
        <w:tc>
          <w:tcPr>
            <w:tcW w:w="2515" w:type="dxa"/>
            <w:tcBorders>
              <w:top w:val="single" w:color="auto" w:sz="4" w:space="0"/>
              <w:left w:val="single" w:color="auto" w:sz="4" w:space="0"/>
              <w:bottom w:val="single" w:color="auto" w:sz="4" w:space="0"/>
              <w:right w:val="single" w:color="auto" w:sz="4" w:space="0"/>
            </w:tcBorders>
            <w:vAlign w:val="center"/>
          </w:tcPr>
          <w:p w14:paraId="4384C0F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合同履行期限（供货期）</w:t>
            </w:r>
          </w:p>
        </w:tc>
        <w:tc>
          <w:tcPr>
            <w:tcW w:w="6804" w:type="dxa"/>
            <w:tcBorders>
              <w:top w:val="single" w:color="auto" w:sz="4" w:space="0"/>
              <w:left w:val="single" w:color="auto" w:sz="4" w:space="0"/>
              <w:bottom w:val="single" w:color="auto" w:sz="4" w:space="0"/>
            </w:tcBorders>
            <w:vAlign w:val="center"/>
          </w:tcPr>
          <w:p w14:paraId="1020EA2C">
            <w:pPr>
              <w:spacing w:line="276"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lang w:eastAsia="zh-CN"/>
              </w:rPr>
              <w:t>按照采购人要求进行供货，具体供货内容以合同签订为准；</w:t>
            </w:r>
          </w:p>
        </w:tc>
      </w:tr>
      <w:tr w14:paraId="326D2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29" w:type="dxa"/>
            <w:tcBorders>
              <w:top w:val="single" w:color="auto" w:sz="4" w:space="0"/>
              <w:bottom w:val="single" w:color="auto" w:sz="4" w:space="0"/>
              <w:right w:val="single" w:color="auto" w:sz="4" w:space="0"/>
            </w:tcBorders>
            <w:vAlign w:val="center"/>
          </w:tcPr>
          <w:p w14:paraId="6C8B3AD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9</w:t>
            </w:r>
          </w:p>
        </w:tc>
        <w:tc>
          <w:tcPr>
            <w:tcW w:w="2515" w:type="dxa"/>
            <w:tcBorders>
              <w:top w:val="single" w:color="auto" w:sz="4" w:space="0"/>
              <w:left w:val="single" w:color="auto" w:sz="4" w:space="0"/>
              <w:bottom w:val="single" w:color="auto" w:sz="4" w:space="0"/>
              <w:right w:val="single" w:color="auto" w:sz="4" w:space="0"/>
            </w:tcBorders>
            <w:vAlign w:val="center"/>
          </w:tcPr>
          <w:p w14:paraId="6FD193AB">
            <w:pPr>
              <w:spacing w:line="276" w:lineRule="auto"/>
              <w:jc w:val="center"/>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交货地点</w:t>
            </w:r>
          </w:p>
        </w:tc>
        <w:tc>
          <w:tcPr>
            <w:tcW w:w="6804" w:type="dxa"/>
            <w:tcBorders>
              <w:top w:val="single" w:color="auto" w:sz="4" w:space="0"/>
              <w:left w:val="single" w:color="auto" w:sz="4" w:space="0"/>
              <w:bottom w:val="single" w:color="auto" w:sz="4" w:space="0"/>
            </w:tcBorders>
            <w:vAlign w:val="center"/>
          </w:tcPr>
          <w:p w14:paraId="72EAD614">
            <w:pPr>
              <w:spacing w:line="276" w:lineRule="auto"/>
              <w:jc w:val="left"/>
              <w:rPr>
                <w:rFonts w:hint="eastAsia" w:cs="宋体" w:asciiTheme="majorEastAsia" w:hAnsiTheme="majorEastAsia" w:eastAsiaTheme="majorEastAsia"/>
                <w:szCs w:val="21"/>
                <w:lang w:eastAsia="zh-CN"/>
              </w:rPr>
            </w:pPr>
            <w:r>
              <w:rPr>
                <w:rFonts w:hint="eastAsia" w:cs="宋体" w:asciiTheme="majorEastAsia" w:hAnsiTheme="majorEastAsia" w:eastAsiaTheme="majorEastAsia"/>
                <w:color w:val="000000"/>
                <w:szCs w:val="21"/>
                <w:lang w:eastAsia="zh-CN"/>
              </w:rPr>
              <w:t>长岭县商务局(本级)，具体地点由甲方指定</w:t>
            </w:r>
          </w:p>
        </w:tc>
      </w:tr>
      <w:tr w14:paraId="5EC92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bottom w:val="single" w:color="auto" w:sz="4" w:space="0"/>
              <w:right w:val="single" w:color="auto" w:sz="4" w:space="0"/>
            </w:tcBorders>
            <w:vAlign w:val="center"/>
          </w:tcPr>
          <w:p w14:paraId="177DC37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2515" w:type="dxa"/>
            <w:tcBorders>
              <w:top w:val="single" w:color="auto" w:sz="4" w:space="0"/>
              <w:left w:val="single" w:color="auto" w:sz="4" w:space="0"/>
              <w:bottom w:val="single" w:color="auto" w:sz="4" w:space="0"/>
              <w:right w:val="single" w:color="auto" w:sz="4" w:space="0"/>
            </w:tcBorders>
            <w:vAlign w:val="center"/>
          </w:tcPr>
          <w:p w14:paraId="40CE7773">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供应商资质条件、能力和信誉</w:t>
            </w:r>
          </w:p>
        </w:tc>
        <w:tc>
          <w:tcPr>
            <w:tcW w:w="6804" w:type="dxa"/>
            <w:tcBorders>
              <w:top w:val="single" w:color="auto" w:sz="4" w:space="0"/>
              <w:left w:val="single" w:color="auto" w:sz="4" w:space="0"/>
              <w:bottom w:val="single" w:color="auto" w:sz="4" w:space="0"/>
            </w:tcBorders>
            <w:vAlign w:val="center"/>
          </w:tcPr>
          <w:p w14:paraId="0E66938B">
            <w:pPr>
              <w:pStyle w:val="4"/>
              <w:ind w:firstLine="0"/>
              <w:rPr>
                <w:rFonts w:hint="eastAsia"/>
                <w:sz w:val="21"/>
                <w:szCs w:val="21"/>
              </w:rPr>
            </w:pPr>
            <w:r>
              <w:rPr>
                <w:rFonts w:hint="eastAsia"/>
                <w:sz w:val="21"/>
                <w:szCs w:val="21"/>
              </w:rPr>
              <w:t>1.满足《中华人民共和国政府采购法》第二十二条规定；</w:t>
            </w:r>
          </w:p>
          <w:p w14:paraId="08C39422">
            <w:pPr>
              <w:pStyle w:val="4"/>
              <w:ind w:firstLine="0"/>
              <w:rPr>
                <w:rFonts w:hint="eastAsia"/>
                <w:sz w:val="21"/>
                <w:szCs w:val="21"/>
              </w:rPr>
            </w:pPr>
            <w:r>
              <w:rPr>
                <w:rFonts w:hint="eastAsia"/>
                <w:sz w:val="21"/>
                <w:szCs w:val="21"/>
              </w:rPr>
              <w:t>2.落实政府采购政策需满足的资格要求：投标人须在中华人民共和国境内注册，具有独立法人资格，具有有效营业执照，符合政府采购政策落实文件的要求。</w:t>
            </w:r>
          </w:p>
          <w:p w14:paraId="30239822">
            <w:pPr>
              <w:pStyle w:val="4"/>
              <w:ind w:firstLine="0"/>
              <w:rPr>
                <w:rFonts w:hint="eastAsia"/>
                <w:sz w:val="21"/>
                <w:szCs w:val="21"/>
              </w:rPr>
            </w:pPr>
            <w:r>
              <w:rPr>
                <w:rFonts w:hint="eastAsia"/>
                <w:sz w:val="21"/>
                <w:szCs w:val="21"/>
              </w:rPr>
              <w:t>2.1</w:t>
            </w:r>
            <w:r>
              <w:rPr>
                <w:rFonts w:hint="eastAsia"/>
                <w:sz w:val="21"/>
                <w:szCs w:val="21"/>
                <w:lang w:eastAsia="zh-CN"/>
              </w:rPr>
              <w:t>本项目全部面向中小企业采购</w:t>
            </w:r>
            <w:r>
              <w:rPr>
                <w:rFonts w:hint="eastAsia"/>
                <w:sz w:val="21"/>
                <w:szCs w:val="21"/>
              </w:rPr>
              <w:t>；</w:t>
            </w:r>
          </w:p>
          <w:p w14:paraId="17AFE5A4">
            <w:pPr>
              <w:pStyle w:val="4"/>
              <w:ind w:firstLine="0"/>
              <w:rPr>
                <w:rFonts w:hint="eastAsia"/>
                <w:sz w:val="21"/>
                <w:szCs w:val="21"/>
              </w:rPr>
            </w:pPr>
            <w:r>
              <w:rPr>
                <w:rFonts w:hint="eastAsia"/>
                <w:sz w:val="21"/>
                <w:szCs w:val="21"/>
              </w:rPr>
              <w:t>2.2中小企业划分标准执行《关于印发中小企业划型标准规定的通知》（工信部联企业〔2011〕300号）文件；</w:t>
            </w:r>
          </w:p>
          <w:p w14:paraId="15816998">
            <w:pPr>
              <w:pStyle w:val="4"/>
              <w:ind w:firstLine="0"/>
              <w:rPr>
                <w:rFonts w:hint="eastAsia"/>
                <w:sz w:val="21"/>
                <w:szCs w:val="21"/>
              </w:rPr>
            </w:pPr>
            <w:r>
              <w:rPr>
                <w:rFonts w:hint="eastAsia"/>
                <w:sz w:val="21"/>
                <w:szCs w:val="21"/>
              </w:rPr>
              <w:t>3.本项目的特定资格要求：</w:t>
            </w:r>
          </w:p>
          <w:p w14:paraId="4E8959D0">
            <w:pPr>
              <w:pStyle w:val="4"/>
              <w:ind w:firstLine="0"/>
              <w:rPr>
                <w:rFonts w:hint="eastAsia"/>
                <w:sz w:val="21"/>
                <w:szCs w:val="21"/>
              </w:rPr>
            </w:pPr>
            <w:r>
              <w:rPr>
                <w:rFonts w:hint="eastAsia"/>
                <w:sz w:val="21"/>
                <w:szCs w:val="21"/>
              </w:rPr>
              <w:t>3.1供应商须为具有独立法人资格的生产制造商或代理经销商，并具有履行合同的能力。</w:t>
            </w:r>
          </w:p>
          <w:p w14:paraId="5CB64728">
            <w:pPr>
              <w:pStyle w:val="4"/>
              <w:ind w:firstLine="0"/>
              <w:rPr>
                <w:rFonts w:hint="eastAsia"/>
                <w:sz w:val="21"/>
                <w:szCs w:val="21"/>
              </w:rPr>
            </w:pPr>
            <w:r>
              <w:rPr>
                <w:rFonts w:hint="eastAsia"/>
                <w:sz w:val="21"/>
                <w:szCs w:val="21"/>
              </w:rPr>
              <w:t>3.2本项目不接受被列入“信用中国”网站（www.creditchina.gov.cn）未列入失信被执行人、严重失信主体名单、税收违法黑名单、政府采购严重违法失信行为记录名单；不接受被列入中国政府采购网（www.ccgp.gov.cn）列入政府采购严重违法失信行为信息记录</w:t>
            </w:r>
            <w:r>
              <w:rPr>
                <w:rFonts w:hint="eastAsia"/>
                <w:sz w:val="21"/>
                <w:szCs w:val="21"/>
                <w:lang w:val="en-US" w:eastAsia="zh-CN"/>
              </w:rPr>
              <w:t>名单的企业参与投标</w:t>
            </w:r>
            <w:r>
              <w:rPr>
                <w:rFonts w:hint="eastAsia"/>
                <w:sz w:val="21"/>
                <w:szCs w:val="21"/>
              </w:rPr>
              <w:t>。</w:t>
            </w:r>
          </w:p>
          <w:p w14:paraId="04CE107E">
            <w:pPr>
              <w:pStyle w:val="4"/>
              <w:ind w:firstLine="0"/>
              <w:rPr>
                <w:rFonts w:hint="eastAsia"/>
                <w:sz w:val="21"/>
                <w:szCs w:val="21"/>
              </w:rPr>
            </w:pPr>
            <w:r>
              <w:rPr>
                <w:rFonts w:hint="eastAsia"/>
                <w:sz w:val="21"/>
                <w:szCs w:val="21"/>
              </w:rPr>
              <w:t>3.3拒绝列入政府取消投标资格记录期间的企业或个人投标。</w:t>
            </w:r>
          </w:p>
          <w:p w14:paraId="3FCAEBF8">
            <w:pPr>
              <w:pStyle w:val="4"/>
              <w:ind w:firstLine="0"/>
              <w:rPr>
                <w:rFonts w:hint="eastAsia"/>
                <w:sz w:val="21"/>
                <w:szCs w:val="21"/>
              </w:rPr>
            </w:pPr>
            <w:r>
              <w:rPr>
                <w:rFonts w:hint="eastAsia"/>
                <w:sz w:val="21"/>
                <w:szCs w:val="21"/>
              </w:rPr>
              <w:t>3.4本项目招投标活动的每个环节不得更换被授权人。</w:t>
            </w:r>
          </w:p>
          <w:p w14:paraId="58A0613F">
            <w:pPr>
              <w:pStyle w:val="4"/>
              <w:ind w:firstLine="0"/>
              <w:rPr>
                <w:sz w:val="21"/>
                <w:szCs w:val="21"/>
              </w:rPr>
            </w:pPr>
            <w:r>
              <w:rPr>
                <w:rFonts w:hint="eastAsia"/>
                <w:sz w:val="21"/>
                <w:szCs w:val="21"/>
              </w:rPr>
              <w:t>3.5具有投资参股关系的关联企业，或具有直接管理和被管理关系的母子公司，或同一母子公司的子公司，或法定代表人为同一人的两个及两个以上法人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招标项目投标。违反上述规定的，相关投标均无效。</w:t>
            </w:r>
          </w:p>
        </w:tc>
      </w:tr>
      <w:tr w14:paraId="4CDEF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29" w:type="dxa"/>
            <w:tcBorders>
              <w:top w:val="single" w:color="auto" w:sz="4" w:space="0"/>
              <w:bottom w:val="single" w:color="auto" w:sz="4" w:space="0"/>
              <w:right w:val="single" w:color="auto" w:sz="4" w:space="0"/>
            </w:tcBorders>
            <w:vAlign w:val="center"/>
          </w:tcPr>
          <w:p w14:paraId="498D4C4C">
            <w:pPr>
              <w:spacing w:line="276" w:lineRule="auto"/>
              <w:jc w:val="center"/>
              <w:rPr>
                <w:rFonts w:cs="宋体" w:asciiTheme="majorEastAsia" w:hAnsiTheme="majorEastAsia" w:eastAsiaTheme="majorEastAsia"/>
                <w:color w:val="000000"/>
                <w:szCs w:val="21"/>
                <w:highlight w:val="none"/>
              </w:rPr>
            </w:pPr>
            <w:r>
              <w:rPr>
                <w:rFonts w:hint="eastAsia" w:cs="宋体" w:asciiTheme="majorEastAsia" w:hAnsiTheme="majorEastAsia" w:eastAsiaTheme="majorEastAsia"/>
                <w:color w:val="000000"/>
                <w:szCs w:val="21"/>
                <w:highlight w:val="none"/>
              </w:rPr>
              <w:t>11</w:t>
            </w:r>
          </w:p>
        </w:tc>
        <w:tc>
          <w:tcPr>
            <w:tcW w:w="2515" w:type="dxa"/>
            <w:tcBorders>
              <w:top w:val="single" w:color="auto" w:sz="4" w:space="0"/>
              <w:left w:val="single" w:color="auto" w:sz="4" w:space="0"/>
              <w:bottom w:val="single" w:color="auto" w:sz="4" w:space="0"/>
              <w:right w:val="single" w:color="auto" w:sz="4" w:space="0"/>
            </w:tcBorders>
            <w:vAlign w:val="center"/>
          </w:tcPr>
          <w:p w14:paraId="1FBA937D">
            <w:pPr>
              <w:autoSpaceDE w:val="0"/>
              <w:autoSpaceDN w:val="0"/>
              <w:adjustRightInd w:val="0"/>
              <w:spacing w:line="276" w:lineRule="auto"/>
              <w:jc w:val="center"/>
              <w:rPr>
                <w:rFonts w:cs="宋体" w:asciiTheme="majorEastAsia" w:hAnsiTheme="majorEastAsia" w:eastAsiaTheme="majorEastAsia"/>
                <w:color w:val="000000"/>
                <w:szCs w:val="21"/>
                <w:highlight w:val="none"/>
              </w:rPr>
            </w:pPr>
            <w:r>
              <w:rPr>
                <w:rFonts w:hint="eastAsia" w:cs="宋体" w:asciiTheme="majorEastAsia" w:hAnsiTheme="majorEastAsia" w:eastAsiaTheme="majorEastAsia"/>
                <w:color w:val="000000"/>
                <w:kern w:val="0"/>
                <w:szCs w:val="21"/>
                <w:highlight w:val="none"/>
                <w:lang w:val="zh-CN"/>
              </w:rPr>
              <w:t>踏勘现场</w:t>
            </w:r>
          </w:p>
        </w:tc>
        <w:tc>
          <w:tcPr>
            <w:tcW w:w="6804" w:type="dxa"/>
            <w:tcBorders>
              <w:top w:val="single" w:color="auto" w:sz="4" w:space="0"/>
              <w:left w:val="single" w:color="auto" w:sz="4" w:space="0"/>
              <w:bottom w:val="single" w:color="auto" w:sz="4" w:space="0"/>
            </w:tcBorders>
            <w:vAlign w:val="center"/>
          </w:tcPr>
          <w:p w14:paraId="4D1B6AF9">
            <w:pPr>
              <w:autoSpaceDE w:val="0"/>
              <w:autoSpaceDN w:val="0"/>
              <w:adjustRightInd w:val="0"/>
              <w:spacing w:line="276" w:lineRule="auto"/>
              <w:rPr>
                <w:rFonts w:hint="eastAsia" w:cs="宋体" w:asciiTheme="majorEastAsia" w:hAnsiTheme="majorEastAsia" w:eastAsiaTheme="majorEastAsia"/>
                <w:color w:val="000000"/>
                <w:szCs w:val="21"/>
                <w:highlight w:val="none"/>
                <w:lang w:val="en-US" w:eastAsia="zh-CN"/>
              </w:rPr>
            </w:pPr>
            <w:r>
              <w:rPr>
                <w:rFonts w:hint="eastAsia" w:cs="宋体" w:asciiTheme="majorEastAsia" w:hAnsiTheme="majorEastAsia" w:eastAsiaTheme="majorEastAsia"/>
                <w:color w:val="000000"/>
                <w:szCs w:val="21"/>
                <w:highlight w:val="none"/>
                <w:lang w:val="en-US" w:eastAsia="zh-CN"/>
              </w:rPr>
              <w:t>不组织</w:t>
            </w:r>
          </w:p>
        </w:tc>
      </w:tr>
      <w:tr w14:paraId="42008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67424975">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w:t>
            </w:r>
          </w:p>
        </w:tc>
        <w:tc>
          <w:tcPr>
            <w:tcW w:w="2515" w:type="dxa"/>
            <w:tcBorders>
              <w:top w:val="single" w:color="auto" w:sz="4" w:space="0"/>
              <w:left w:val="single" w:color="auto" w:sz="4" w:space="0"/>
              <w:bottom w:val="single" w:color="auto" w:sz="4" w:space="0"/>
              <w:right w:val="single" w:color="auto" w:sz="4" w:space="0"/>
            </w:tcBorders>
            <w:vAlign w:val="center"/>
          </w:tcPr>
          <w:p w14:paraId="503CD61E">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是否接受联合体投标</w:t>
            </w:r>
          </w:p>
        </w:tc>
        <w:tc>
          <w:tcPr>
            <w:tcW w:w="6804" w:type="dxa"/>
            <w:tcBorders>
              <w:top w:val="single" w:color="auto" w:sz="4" w:space="0"/>
              <w:left w:val="single" w:color="auto" w:sz="4" w:space="0"/>
              <w:bottom w:val="single" w:color="auto" w:sz="4" w:space="0"/>
            </w:tcBorders>
            <w:vAlign w:val="center"/>
          </w:tcPr>
          <w:p w14:paraId="7B40446A">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不接受</w:t>
            </w:r>
          </w:p>
        </w:tc>
      </w:tr>
      <w:tr w14:paraId="19DC0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4A87855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13</w:t>
            </w:r>
          </w:p>
        </w:tc>
        <w:tc>
          <w:tcPr>
            <w:tcW w:w="2515" w:type="dxa"/>
            <w:tcBorders>
              <w:top w:val="single" w:color="auto" w:sz="4" w:space="0"/>
              <w:left w:val="single" w:color="auto" w:sz="4" w:space="0"/>
              <w:bottom w:val="single" w:color="auto" w:sz="4" w:space="0"/>
              <w:right w:val="single" w:color="auto" w:sz="4" w:space="0"/>
            </w:tcBorders>
            <w:vAlign w:val="center"/>
          </w:tcPr>
          <w:p w14:paraId="79D49215">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标前预备会</w:t>
            </w:r>
          </w:p>
        </w:tc>
        <w:tc>
          <w:tcPr>
            <w:tcW w:w="6804" w:type="dxa"/>
            <w:tcBorders>
              <w:top w:val="single" w:color="auto" w:sz="4" w:space="0"/>
              <w:left w:val="single" w:color="auto" w:sz="4" w:space="0"/>
              <w:bottom w:val="single" w:color="auto" w:sz="4" w:space="0"/>
            </w:tcBorders>
            <w:vAlign w:val="center"/>
          </w:tcPr>
          <w:p w14:paraId="785F799C">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不召开</w:t>
            </w:r>
          </w:p>
        </w:tc>
      </w:tr>
      <w:tr w14:paraId="3E603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29" w:type="dxa"/>
            <w:tcBorders>
              <w:top w:val="single" w:color="auto" w:sz="4" w:space="0"/>
              <w:bottom w:val="single" w:color="auto" w:sz="4" w:space="0"/>
              <w:right w:val="single" w:color="auto" w:sz="4" w:space="0"/>
            </w:tcBorders>
            <w:vAlign w:val="center"/>
          </w:tcPr>
          <w:p w14:paraId="657F605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14</w:t>
            </w:r>
          </w:p>
        </w:tc>
        <w:tc>
          <w:tcPr>
            <w:tcW w:w="2515" w:type="dxa"/>
            <w:tcBorders>
              <w:top w:val="single" w:color="auto" w:sz="4" w:space="0"/>
              <w:left w:val="single" w:color="auto" w:sz="4" w:space="0"/>
              <w:bottom w:val="single" w:color="auto" w:sz="4" w:space="0"/>
              <w:right w:val="single" w:color="auto" w:sz="4" w:space="0"/>
            </w:tcBorders>
            <w:vAlign w:val="center"/>
          </w:tcPr>
          <w:p w14:paraId="7B3CD89B">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供应商提出问题的</w:t>
            </w:r>
          </w:p>
          <w:p w14:paraId="7B7EBE53">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截止时间</w:t>
            </w:r>
          </w:p>
        </w:tc>
        <w:tc>
          <w:tcPr>
            <w:tcW w:w="6804" w:type="dxa"/>
            <w:tcBorders>
              <w:top w:val="single" w:color="auto" w:sz="4" w:space="0"/>
              <w:left w:val="single" w:color="auto" w:sz="4" w:space="0"/>
              <w:bottom w:val="single" w:color="auto" w:sz="4" w:space="0"/>
            </w:tcBorders>
            <w:vAlign w:val="center"/>
          </w:tcPr>
          <w:p w14:paraId="12E3FD37">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投标截止时间前</w:t>
            </w:r>
            <w:r>
              <w:rPr>
                <w:rFonts w:cs="宋体" w:asciiTheme="majorEastAsia" w:hAnsiTheme="majorEastAsia" w:eastAsiaTheme="majorEastAsia"/>
                <w:color w:val="000000"/>
                <w:kern w:val="0"/>
                <w:szCs w:val="21"/>
              </w:rPr>
              <w:t>10</w:t>
            </w:r>
            <w:r>
              <w:rPr>
                <w:rFonts w:hint="eastAsia" w:cs="宋体" w:asciiTheme="majorEastAsia" w:hAnsiTheme="majorEastAsia" w:eastAsiaTheme="majorEastAsia"/>
                <w:color w:val="000000"/>
                <w:kern w:val="0"/>
                <w:szCs w:val="21"/>
                <w:lang w:val="zh-CN"/>
              </w:rPr>
              <w:t>天</w:t>
            </w:r>
          </w:p>
        </w:tc>
      </w:tr>
      <w:tr w14:paraId="1A5AA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76D23E9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15</w:t>
            </w:r>
          </w:p>
        </w:tc>
        <w:tc>
          <w:tcPr>
            <w:tcW w:w="2515" w:type="dxa"/>
            <w:tcBorders>
              <w:top w:val="single" w:color="auto" w:sz="4" w:space="0"/>
              <w:left w:val="single" w:color="auto" w:sz="4" w:space="0"/>
              <w:bottom w:val="single" w:color="auto" w:sz="4" w:space="0"/>
              <w:right w:val="single" w:color="auto" w:sz="4" w:space="0"/>
            </w:tcBorders>
            <w:vAlign w:val="center"/>
          </w:tcPr>
          <w:p w14:paraId="01561565">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采购人书面澄清的时间</w:t>
            </w:r>
          </w:p>
        </w:tc>
        <w:tc>
          <w:tcPr>
            <w:tcW w:w="6804" w:type="dxa"/>
            <w:tcBorders>
              <w:top w:val="single" w:color="auto" w:sz="4" w:space="0"/>
              <w:left w:val="single" w:color="auto" w:sz="4" w:space="0"/>
              <w:bottom w:val="single" w:color="auto" w:sz="4" w:space="0"/>
            </w:tcBorders>
            <w:vAlign w:val="center"/>
          </w:tcPr>
          <w:p w14:paraId="09994710">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投标截止时间前</w:t>
            </w:r>
            <w:r>
              <w:rPr>
                <w:rFonts w:cs="宋体" w:asciiTheme="majorEastAsia" w:hAnsiTheme="majorEastAsia" w:eastAsiaTheme="majorEastAsia"/>
                <w:color w:val="000000"/>
                <w:kern w:val="0"/>
                <w:szCs w:val="21"/>
              </w:rPr>
              <w:t>15</w:t>
            </w:r>
            <w:r>
              <w:rPr>
                <w:rFonts w:hint="eastAsia" w:cs="宋体" w:asciiTheme="majorEastAsia" w:hAnsiTheme="majorEastAsia" w:eastAsiaTheme="majorEastAsia"/>
                <w:color w:val="000000"/>
                <w:kern w:val="0"/>
                <w:szCs w:val="21"/>
                <w:lang w:val="zh-CN"/>
              </w:rPr>
              <w:t>天</w:t>
            </w:r>
          </w:p>
        </w:tc>
      </w:tr>
      <w:tr w14:paraId="49678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28D7A97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16</w:t>
            </w:r>
          </w:p>
        </w:tc>
        <w:tc>
          <w:tcPr>
            <w:tcW w:w="2515" w:type="dxa"/>
            <w:tcBorders>
              <w:top w:val="single" w:color="auto" w:sz="4" w:space="0"/>
              <w:left w:val="single" w:color="auto" w:sz="4" w:space="0"/>
              <w:bottom w:val="single" w:color="auto" w:sz="4" w:space="0"/>
              <w:right w:val="single" w:color="auto" w:sz="4" w:space="0"/>
            </w:tcBorders>
            <w:vAlign w:val="center"/>
          </w:tcPr>
          <w:p w14:paraId="4C8EB993">
            <w:pPr>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szCs w:val="21"/>
              </w:rPr>
              <w:t>分包、偏离</w:t>
            </w:r>
          </w:p>
        </w:tc>
        <w:tc>
          <w:tcPr>
            <w:tcW w:w="6804" w:type="dxa"/>
            <w:tcBorders>
              <w:top w:val="single" w:color="auto" w:sz="4" w:space="0"/>
              <w:left w:val="single" w:color="auto" w:sz="4" w:space="0"/>
              <w:bottom w:val="single" w:color="auto" w:sz="4" w:space="0"/>
            </w:tcBorders>
            <w:vAlign w:val="center"/>
          </w:tcPr>
          <w:p w14:paraId="12DCD5FC">
            <w:pPr>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szCs w:val="21"/>
              </w:rPr>
              <w:t>不允许</w:t>
            </w:r>
          </w:p>
        </w:tc>
      </w:tr>
      <w:tr w14:paraId="65101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275F2CC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17</w:t>
            </w:r>
          </w:p>
        </w:tc>
        <w:tc>
          <w:tcPr>
            <w:tcW w:w="2515" w:type="dxa"/>
            <w:tcBorders>
              <w:top w:val="single" w:color="auto" w:sz="4" w:space="0"/>
              <w:left w:val="single" w:color="auto" w:sz="4" w:space="0"/>
              <w:bottom w:val="single" w:color="auto" w:sz="4" w:space="0"/>
              <w:right w:val="single" w:color="auto" w:sz="4" w:space="0"/>
            </w:tcBorders>
            <w:vAlign w:val="center"/>
          </w:tcPr>
          <w:p w14:paraId="126DF49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构成招标文件的其他材料</w:t>
            </w:r>
          </w:p>
        </w:tc>
        <w:tc>
          <w:tcPr>
            <w:tcW w:w="6804" w:type="dxa"/>
            <w:tcBorders>
              <w:top w:val="single" w:color="auto" w:sz="4" w:space="0"/>
              <w:left w:val="single" w:color="auto" w:sz="4" w:space="0"/>
              <w:bottom w:val="single" w:color="auto" w:sz="4" w:space="0"/>
            </w:tcBorders>
            <w:vAlign w:val="center"/>
          </w:tcPr>
          <w:p w14:paraId="15C48244">
            <w:pPr>
              <w:spacing w:line="276" w:lineRule="auto"/>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招标人发出的答疑、补遗、澄清文件。供货要求等相关材料</w:t>
            </w:r>
            <w:r>
              <w:rPr>
                <w:rFonts w:hint="eastAsia" w:cs="宋体" w:asciiTheme="majorEastAsia" w:hAnsiTheme="majorEastAsia" w:eastAsiaTheme="majorEastAsia"/>
                <w:color w:val="000000"/>
                <w:szCs w:val="21"/>
                <w:lang w:eastAsia="zh-CN"/>
              </w:rPr>
              <w:t>。</w:t>
            </w:r>
          </w:p>
        </w:tc>
      </w:tr>
      <w:tr w14:paraId="1FF74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593F6E9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18</w:t>
            </w:r>
          </w:p>
        </w:tc>
        <w:tc>
          <w:tcPr>
            <w:tcW w:w="2515" w:type="dxa"/>
            <w:tcBorders>
              <w:top w:val="single" w:color="auto" w:sz="4" w:space="0"/>
              <w:left w:val="single" w:color="auto" w:sz="4" w:space="0"/>
              <w:bottom w:val="single" w:color="auto" w:sz="4" w:space="0"/>
              <w:right w:val="single" w:color="auto" w:sz="4" w:space="0"/>
            </w:tcBorders>
            <w:vAlign w:val="center"/>
          </w:tcPr>
          <w:p w14:paraId="35DA91B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供应商要求澄清招标文件的截止时间</w:t>
            </w:r>
          </w:p>
        </w:tc>
        <w:tc>
          <w:tcPr>
            <w:tcW w:w="6804" w:type="dxa"/>
            <w:tcBorders>
              <w:top w:val="single" w:color="auto" w:sz="4" w:space="0"/>
              <w:left w:val="single" w:color="auto" w:sz="4" w:space="0"/>
              <w:bottom w:val="single" w:color="auto" w:sz="4" w:space="0"/>
            </w:tcBorders>
            <w:vAlign w:val="center"/>
          </w:tcPr>
          <w:p w14:paraId="610815EF">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lang w:val="zh-CN"/>
              </w:rPr>
              <w:t>投标截止时间前</w:t>
            </w:r>
            <w:r>
              <w:rPr>
                <w:rFonts w:cs="宋体" w:asciiTheme="majorEastAsia" w:hAnsiTheme="majorEastAsia" w:eastAsiaTheme="majorEastAsia"/>
                <w:color w:val="000000"/>
                <w:kern w:val="0"/>
                <w:szCs w:val="21"/>
              </w:rPr>
              <w:t>15</w:t>
            </w:r>
            <w:r>
              <w:rPr>
                <w:rFonts w:hint="eastAsia" w:cs="宋体" w:asciiTheme="majorEastAsia" w:hAnsiTheme="majorEastAsia" w:eastAsiaTheme="majorEastAsia"/>
                <w:color w:val="000000"/>
                <w:kern w:val="0"/>
                <w:szCs w:val="21"/>
                <w:lang w:val="zh-CN"/>
              </w:rPr>
              <w:t>天</w:t>
            </w:r>
          </w:p>
        </w:tc>
      </w:tr>
      <w:tr w14:paraId="1C3AF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029" w:type="dxa"/>
            <w:tcBorders>
              <w:top w:val="single" w:color="auto" w:sz="4" w:space="0"/>
              <w:bottom w:val="single" w:color="auto" w:sz="4" w:space="0"/>
              <w:right w:val="single" w:color="auto" w:sz="4" w:space="0"/>
            </w:tcBorders>
            <w:vAlign w:val="center"/>
          </w:tcPr>
          <w:p w14:paraId="7FB388F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19</w:t>
            </w:r>
          </w:p>
        </w:tc>
        <w:tc>
          <w:tcPr>
            <w:tcW w:w="2515" w:type="dxa"/>
            <w:tcBorders>
              <w:top w:val="single" w:color="auto" w:sz="4" w:space="0"/>
              <w:left w:val="single" w:color="auto" w:sz="4" w:space="0"/>
              <w:bottom w:val="single" w:color="auto" w:sz="4" w:space="0"/>
              <w:right w:val="single" w:color="auto" w:sz="4" w:space="0"/>
            </w:tcBorders>
            <w:vAlign w:val="center"/>
          </w:tcPr>
          <w:p w14:paraId="57763CD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投标截止时间</w:t>
            </w:r>
          </w:p>
        </w:tc>
        <w:tc>
          <w:tcPr>
            <w:tcW w:w="6804" w:type="dxa"/>
            <w:tcBorders>
              <w:top w:val="single" w:color="auto" w:sz="4" w:space="0"/>
              <w:left w:val="single" w:color="auto" w:sz="4" w:space="0"/>
              <w:bottom w:val="single" w:color="auto" w:sz="4" w:space="0"/>
            </w:tcBorders>
            <w:vAlign w:val="center"/>
          </w:tcPr>
          <w:p w14:paraId="580DFBDE">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eastAsia="zh-CN"/>
              </w:rPr>
              <w:t>2025年7月29日9点30分</w:t>
            </w:r>
            <w:r>
              <w:rPr>
                <w:rFonts w:hint="eastAsia" w:cs="宋体" w:asciiTheme="majorEastAsia" w:hAnsiTheme="majorEastAsia" w:eastAsiaTheme="majorEastAsia"/>
                <w:color w:val="000000"/>
                <w:szCs w:val="21"/>
              </w:rPr>
              <w:t>（北京时间）</w:t>
            </w:r>
          </w:p>
        </w:tc>
      </w:tr>
      <w:tr w14:paraId="24B53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47D60D7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w:t>
            </w:r>
          </w:p>
        </w:tc>
        <w:tc>
          <w:tcPr>
            <w:tcW w:w="2515" w:type="dxa"/>
            <w:tcBorders>
              <w:top w:val="single" w:color="auto" w:sz="4" w:space="0"/>
              <w:left w:val="single" w:color="auto" w:sz="4" w:space="0"/>
              <w:bottom w:val="single" w:color="auto" w:sz="4" w:space="0"/>
              <w:right w:val="single" w:color="auto" w:sz="4" w:space="0"/>
            </w:tcBorders>
            <w:vAlign w:val="center"/>
          </w:tcPr>
          <w:p w14:paraId="390719E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供应商确认收到招标文件澄清的时间</w:t>
            </w:r>
          </w:p>
        </w:tc>
        <w:tc>
          <w:tcPr>
            <w:tcW w:w="6804" w:type="dxa"/>
            <w:tcBorders>
              <w:top w:val="single" w:color="auto" w:sz="4" w:space="0"/>
              <w:left w:val="single" w:color="auto" w:sz="4" w:space="0"/>
              <w:bottom w:val="single" w:color="auto" w:sz="4" w:space="0"/>
            </w:tcBorders>
            <w:vAlign w:val="center"/>
          </w:tcPr>
          <w:p w14:paraId="5947B229">
            <w:pPr>
              <w:autoSpaceDE w:val="0"/>
              <w:autoSpaceDN w:val="0"/>
              <w:adjustRightInd w:val="0"/>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lang w:val="zh-CN"/>
              </w:rPr>
              <w:t>在收到相应澄清文件后</w:t>
            </w:r>
            <w:r>
              <w:rPr>
                <w:rFonts w:cs="宋体" w:asciiTheme="majorEastAsia" w:hAnsiTheme="majorEastAsia" w:eastAsiaTheme="majorEastAsia"/>
                <w:color w:val="000000"/>
                <w:kern w:val="0"/>
                <w:szCs w:val="21"/>
                <w:u w:val="single"/>
              </w:rPr>
              <w:t>24</w:t>
            </w:r>
            <w:r>
              <w:rPr>
                <w:rFonts w:hint="eastAsia" w:cs="宋体" w:asciiTheme="majorEastAsia" w:hAnsiTheme="majorEastAsia" w:eastAsiaTheme="majorEastAsia"/>
                <w:color w:val="000000"/>
                <w:kern w:val="0"/>
                <w:szCs w:val="21"/>
                <w:u w:val="single"/>
                <w:lang w:val="zh-CN"/>
              </w:rPr>
              <w:t>小时</w:t>
            </w:r>
            <w:r>
              <w:rPr>
                <w:rFonts w:hint="eastAsia" w:cs="宋体" w:asciiTheme="majorEastAsia" w:hAnsiTheme="majorEastAsia" w:eastAsiaTheme="majorEastAsia"/>
                <w:color w:val="000000"/>
                <w:kern w:val="0"/>
                <w:szCs w:val="21"/>
                <w:lang w:val="zh-CN"/>
              </w:rPr>
              <w:t>内</w:t>
            </w:r>
          </w:p>
        </w:tc>
      </w:tr>
      <w:tr w14:paraId="25744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04969C5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21</w:t>
            </w:r>
          </w:p>
        </w:tc>
        <w:tc>
          <w:tcPr>
            <w:tcW w:w="2515" w:type="dxa"/>
            <w:tcBorders>
              <w:top w:val="single" w:color="auto" w:sz="4" w:space="0"/>
              <w:left w:val="single" w:color="auto" w:sz="4" w:space="0"/>
              <w:bottom w:val="single" w:color="auto" w:sz="4" w:space="0"/>
              <w:right w:val="single" w:color="auto" w:sz="4" w:space="0"/>
            </w:tcBorders>
            <w:vAlign w:val="center"/>
          </w:tcPr>
          <w:p w14:paraId="00971B95">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供应商确认收到招标文件修改的时间</w:t>
            </w:r>
          </w:p>
        </w:tc>
        <w:tc>
          <w:tcPr>
            <w:tcW w:w="6804" w:type="dxa"/>
            <w:tcBorders>
              <w:top w:val="single" w:color="auto" w:sz="4" w:space="0"/>
              <w:left w:val="single" w:color="auto" w:sz="4" w:space="0"/>
              <w:bottom w:val="single" w:color="auto" w:sz="4" w:space="0"/>
            </w:tcBorders>
            <w:vAlign w:val="center"/>
          </w:tcPr>
          <w:p w14:paraId="1EE3C441">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在收到相应修改文件后</w:t>
            </w:r>
            <w:r>
              <w:rPr>
                <w:rFonts w:cs="宋体" w:asciiTheme="majorEastAsia" w:hAnsiTheme="majorEastAsia" w:eastAsiaTheme="majorEastAsia"/>
                <w:color w:val="000000"/>
                <w:kern w:val="0"/>
                <w:szCs w:val="21"/>
                <w:u w:val="single"/>
              </w:rPr>
              <w:t>24</w:t>
            </w:r>
            <w:r>
              <w:rPr>
                <w:rFonts w:hint="eastAsia" w:cs="宋体" w:asciiTheme="majorEastAsia" w:hAnsiTheme="majorEastAsia" w:eastAsiaTheme="majorEastAsia"/>
                <w:color w:val="000000"/>
                <w:kern w:val="0"/>
                <w:szCs w:val="21"/>
                <w:u w:val="single"/>
                <w:lang w:val="zh-CN"/>
              </w:rPr>
              <w:t>小时</w:t>
            </w:r>
            <w:r>
              <w:rPr>
                <w:rFonts w:hint="eastAsia" w:cs="宋体" w:asciiTheme="majorEastAsia" w:hAnsiTheme="majorEastAsia" w:eastAsiaTheme="majorEastAsia"/>
                <w:color w:val="000000"/>
                <w:kern w:val="0"/>
                <w:szCs w:val="21"/>
                <w:lang w:val="zh-CN"/>
              </w:rPr>
              <w:t>内</w:t>
            </w:r>
          </w:p>
        </w:tc>
      </w:tr>
      <w:tr w14:paraId="08690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372CB9F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22</w:t>
            </w:r>
          </w:p>
        </w:tc>
        <w:tc>
          <w:tcPr>
            <w:tcW w:w="2515" w:type="dxa"/>
            <w:tcBorders>
              <w:top w:val="single" w:color="auto" w:sz="4" w:space="0"/>
              <w:left w:val="single" w:color="auto" w:sz="4" w:space="0"/>
              <w:bottom w:val="single" w:color="auto" w:sz="4" w:space="0"/>
              <w:right w:val="single" w:color="auto" w:sz="4" w:space="0"/>
            </w:tcBorders>
            <w:vAlign w:val="center"/>
          </w:tcPr>
          <w:p w14:paraId="419D758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投标有效期</w:t>
            </w:r>
          </w:p>
        </w:tc>
        <w:tc>
          <w:tcPr>
            <w:tcW w:w="6804" w:type="dxa"/>
            <w:tcBorders>
              <w:top w:val="single" w:color="auto" w:sz="4" w:space="0"/>
              <w:left w:val="single" w:color="auto" w:sz="4" w:space="0"/>
              <w:bottom w:val="single" w:color="auto" w:sz="4" w:space="0"/>
            </w:tcBorders>
            <w:vAlign w:val="center"/>
          </w:tcPr>
          <w:p w14:paraId="15458DC9">
            <w:pPr>
              <w:spacing w:line="276" w:lineRule="auto"/>
              <w:rPr>
                <w:rFonts w:cs="宋体" w:asciiTheme="majorEastAsia" w:hAnsiTheme="majorEastAsia" w:eastAsiaTheme="majorEastAsia"/>
                <w:color w:val="000000"/>
                <w:kern w:val="0"/>
                <w:szCs w:val="21"/>
                <w:lang w:val="zh-CN"/>
              </w:rPr>
            </w:pPr>
            <w:r>
              <w:rPr>
                <w:rFonts w:cs="宋体" w:asciiTheme="majorEastAsia" w:hAnsiTheme="majorEastAsia" w:eastAsiaTheme="majorEastAsia"/>
                <w:color w:val="000000"/>
                <w:szCs w:val="21"/>
              </w:rPr>
              <w:t>90</w:t>
            </w:r>
            <w:r>
              <w:rPr>
                <w:rFonts w:hint="eastAsia" w:cs="宋体" w:asciiTheme="majorEastAsia" w:hAnsiTheme="majorEastAsia" w:eastAsiaTheme="majorEastAsia"/>
                <w:color w:val="000000"/>
                <w:szCs w:val="21"/>
              </w:rPr>
              <w:t>日历天</w:t>
            </w:r>
          </w:p>
        </w:tc>
      </w:tr>
      <w:tr w14:paraId="1D51C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2A35E47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23</w:t>
            </w:r>
          </w:p>
        </w:tc>
        <w:tc>
          <w:tcPr>
            <w:tcW w:w="2515" w:type="dxa"/>
            <w:tcBorders>
              <w:top w:val="single" w:color="auto" w:sz="4" w:space="0"/>
              <w:left w:val="single" w:color="auto" w:sz="4" w:space="0"/>
              <w:bottom w:val="single" w:color="auto" w:sz="4" w:space="0"/>
              <w:right w:val="single" w:color="auto" w:sz="4" w:space="0"/>
            </w:tcBorders>
            <w:vAlign w:val="center"/>
          </w:tcPr>
          <w:p w14:paraId="08DEC5E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lang w:val="zh-CN"/>
              </w:rPr>
              <w:t>投标保证金</w:t>
            </w:r>
          </w:p>
        </w:tc>
        <w:tc>
          <w:tcPr>
            <w:tcW w:w="6804" w:type="dxa"/>
            <w:tcBorders>
              <w:top w:val="single" w:color="auto" w:sz="4" w:space="0"/>
              <w:left w:val="single" w:color="auto" w:sz="4" w:space="0"/>
              <w:bottom w:val="single" w:color="auto" w:sz="4" w:space="0"/>
            </w:tcBorders>
            <w:vAlign w:val="center"/>
          </w:tcPr>
          <w:p w14:paraId="24B96CD2">
            <w:pPr>
              <w:spacing w:line="276" w:lineRule="auto"/>
              <w:jc w:val="left"/>
              <w:rPr>
                <w:rFonts w:hint="eastAsia"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√否：（依据《松原市优化提升营商环境建设 60 条》和《关于印发&lt;松原市政府集中采购目录及标准&gt;的通知》（松财办〔2021〕186 号）要求， 预算金额在500万元以下的政府采购项目，不收取投标保证金。）</w:t>
            </w:r>
          </w:p>
        </w:tc>
      </w:tr>
      <w:tr w14:paraId="20488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5A5B5E38">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24</w:t>
            </w:r>
          </w:p>
        </w:tc>
        <w:tc>
          <w:tcPr>
            <w:tcW w:w="2515" w:type="dxa"/>
            <w:tcBorders>
              <w:top w:val="single" w:color="auto" w:sz="4" w:space="0"/>
              <w:left w:val="single" w:color="auto" w:sz="4" w:space="0"/>
              <w:bottom w:val="single" w:color="auto" w:sz="4" w:space="0"/>
              <w:right w:val="single" w:color="auto" w:sz="4" w:space="0"/>
            </w:tcBorders>
            <w:vAlign w:val="center"/>
          </w:tcPr>
          <w:p w14:paraId="1692889B">
            <w:pPr>
              <w:pStyle w:val="95"/>
              <w:spacing w:line="400" w:lineRule="exact"/>
              <w:ind w:left="105" w:leftChars="50" w:right="105" w:rightChars="50"/>
              <w:contextualSpacing/>
              <w:jc w:val="center"/>
              <w:rPr>
                <w:rFonts w:cs="宋体" w:asciiTheme="majorEastAsia" w:hAnsiTheme="majorEastAsia" w:eastAsiaTheme="majorEastAsia"/>
                <w:color w:val="000000"/>
                <w:szCs w:val="21"/>
              </w:rPr>
            </w:pPr>
            <w:r>
              <w:rPr>
                <w:rFonts w:hint="eastAsia"/>
                <w:szCs w:val="21"/>
              </w:rPr>
              <w:t>近</w:t>
            </w:r>
            <w:r>
              <w:rPr>
                <w:rFonts w:hint="eastAsia"/>
                <w:szCs w:val="21"/>
                <w:lang w:eastAsia="zh-CN"/>
              </w:rPr>
              <w:t>三</w:t>
            </w:r>
            <w:r>
              <w:rPr>
                <w:rFonts w:hint="eastAsia"/>
                <w:szCs w:val="21"/>
              </w:rPr>
              <w:t>年财务状况的年份要求</w:t>
            </w:r>
          </w:p>
        </w:tc>
        <w:tc>
          <w:tcPr>
            <w:tcW w:w="6804" w:type="dxa"/>
            <w:tcBorders>
              <w:top w:val="single" w:color="auto" w:sz="4" w:space="0"/>
              <w:left w:val="single" w:color="auto" w:sz="4" w:space="0"/>
              <w:bottom w:val="single" w:color="auto" w:sz="4" w:space="0"/>
            </w:tcBorders>
            <w:vAlign w:val="center"/>
          </w:tcPr>
          <w:p w14:paraId="12DBBC5F">
            <w:pPr>
              <w:pStyle w:val="95"/>
              <w:tabs>
                <w:tab w:val="left" w:pos="660"/>
                <w:tab w:val="left" w:pos="1641"/>
              </w:tabs>
              <w:spacing w:line="400" w:lineRule="exact"/>
              <w:ind w:left="105" w:leftChars="50" w:right="105" w:rightChars="50"/>
              <w:contextualSpacing/>
              <w:rPr>
                <w:rFonts w:hint="eastAsia" w:eastAsia="宋体" w:cs="宋体" w:asciiTheme="majorEastAsia" w:hAnsiTheme="majorEastAsia"/>
                <w:color w:val="000000"/>
                <w:szCs w:val="21"/>
                <w:lang w:val="en-US" w:eastAsia="zh-CN"/>
              </w:rPr>
            </w:pPr>
            <w:r>
              <w:rPr>
                <w:rFonts w:hint="eastAsia"/>
                <w:szCs w:val="21"/>
                <w:lang w:val="en-US" w:eastAsia="zh-CN"/>
              </w:rPr>
              <w:t>2022年、2023年、2024年</w:t>
            </w:r>
          </w:p>
        </w:tc>
      </w:tr>
      <w:tr w14:paraId="4D743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28B9FF3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25</w:t>
            </w:r>
          </w:p>
        </w:tc>
        <w:tc>
          <w:tcPr>
            <w:tcW w:w="2515" w:type="dxa"/>
            <w:tcBorders>
              <w:top w:val="single" w:color="auto" w:sz="4" w:space="0"/>
              <w:left w:val="single" w:color="auto" w:sz="4" w:space="0"/>
              <w:bottom w:val="single" w:color="auto" w:sz="4" w:space="0"/>
              <w:right w:val="single" w:color="auto" w:sz="4" w:space="0"/>
            </w:tcBorders>
            <w:vAlign w:val="center"/>
          </w:tcPr>
          <w:p w14:paraId="1D773E13">
            <w:pPr>
              <w:pStyle w:val="95"/>
              <w:spacing w:line="400" w:lineRule="exact"/>
              <w:ind w:left="105" w:leftChars="50" w:right="105" w:rightChars="50"/>
              <w:contextualSpacing/>
              <w:jc w:val="center"/>
              <w:rPr>
                <w:rFonts w:cs="宋体" w:asciiTheme="majorEastAsia" w:hAnsiTheme="majorEastAsia" w:eastAsiaTheme="majorEastAsia"/>
                <w:color w:val="000000"/>
                <w:szCs w:val="21"/>
              </w:rPr>
            </w:pPr>
            <w:r>
              <w:rPr>
                <w:rFonts w:hint="eastAsia"/>
                <w:szCs w:val="21"/>
              </w:rPr>
              <w:t>近年完成的类似项目情况的时间要求</w:t>
            </w:r>
          </w:p>
        </w:tc>
        <w:tc>
          <w:tcPr>
            <w:tcW w:w="6804" w:type="dxa"/>
            <w:tcBorders>
              <w:top w:val="single" w:color="auto" w:sz="4" w:space="0"/>
              <w:left w:val="single" w:color="auto" w:sz="4" w:space="0"/>
              <w:bottom w:val="single" w:color="auto" w:sz="4" w:space="0"/>
            </w:tcBorders>
            <w:vAlign w:val="center"/>
          </w:tcPr>
          <w:p w14:paraId="0751BA59">
            <w:pPr>
              <w:pStyle w:val="95"/>
              <w:tabs>
                <w:tab w:val="left" w:pos="1397"/>
                <w:tab w:val="left" w:pos="2167"/>
                <w:tab w:val="left" w:pos="2940"/>
              </w:tabs>
              <w:spacing w:line="400" w:lineRule="exact"/>
              <w:ind w:left="105" w:leftChars="50" w:right="105" w:rightChars="50"/>
              <w:contextualSpacing/>
              <w:rPr>
                <w:rFonts w:hint="eastAsia" w:cs="宋体" w:asciiTheme="majorEastAsia" w:hAnsiTheme="majorEastAsia" w:eastAsiaTheme="majorEastAsia"/>
                <w:color w:val="000000"/>
                <w:szCs w:val="21"/>
                <w:lang w:eastAsia="zh-CN"/>
              </w:rPr>
            </w:pPr>
            <w:r>
              <w:rPr>
                <w:rFonts w:hint="eastAsia" w:eastAsiaTheme="majorEastAsia"/>
                <w:szCs w:val="21"/>
                <w:lang w:eastAsia="zh-CN"/>
              </w:rPr>
              <w:t>202</w:t>
            </w:r>
            <w:r>
              <w:rPr>
                <w:rFonts w:hint="eastAsia" w:eastAsiaTheme="majorEastAsia"/>
                <w:szCs w:val="21"/>
                <w:lang w:val="en-US" w:eastAsia="zh-CN"/>
              </w:rPr>
              <w:t>2</w:t>
            </w:r>
            <w:r>
              <w:rPr>
                <w:rFonts w:hint="eastAsia" w:eastAsiaTheme="majorEastAsia"/>
                <w:szCs w:val="21"/>
                <w:lang w:eastAsia="zh-CN"/>
              </w:rPr>
              <w:t>年1月1日至今</w:t>
            </w:r>
          </w:p>
        </w:tc>
      </w:tr>
      <w:tr w14:paraId="024B1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03DA1E6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26</w:t>
            </w:r>
          </w:p>
        </w:tc>
        <w:tc>
          <w:tcPr>
            <w:tcW w:w="2515" w:type="dxa"/>
            <w:tcBorders>
              <w:top w:val="single" w:color="auto" w:sz="4" w:space="0"/>
              <w:left w:val="single" w:color="auto" w:sz="4" w:space="0"/>
              <w:bottom w:val="single" w:color="auto" w:sz="4" w:space="0"/>
              <w:right w:val="single" w:color="auto" w:sz="4" w:space="0"/>
            </w:tcBorders>
            <w:vAlign w:val="center"/>
          </w:tcPr>
          <w:p w14:paraId="6AAA6EA5">
            <w:pPr>
              <w:pStyle w:val="95"/>
              <w:spacing w:line="400" w:lineRule="exact"/>
              <w:ind w:left="105" w:leftChars="50" w:right="105" w:rightChars="50"/>
              <w:contextualSpacing/>
              <w:jc w:val="center"/>
              <w:rPr>
                <w:rFonts w:cs="宋体" w:asciiTheme="majorEastAsia" w:hAnsiTheme="majorEastAsia" w:eastAsiaTheme="majorEastAsia"/>
                <w:color w:val="000000"/>
                <w:szCs w:val="21"/>
              </w:rPr>
            </w:pPr>
            <w:r>
              <w:rPr>
                <w:rFonts w:hint="eastAsia"/>
                <w:szCs w:val="21"/>
              </w:rPr>
              <w:t>近年发生的诉讼及仲裁情况的时间要求</w:t>
            </w:r>
          </w:p>
        </w:tc>
        <w:tc>
          <w:tcPr>
            <w:tcW w:w="6804" w:type="dxa"/>
            <w:tcBorders>
              <w:top w:val="single" w:color="auto" w:sz="4" w:space="0"/>
              <w:left w:val="single" w:color="auto" w:sz="4" w:space="0"/>
              <w:bottom w:val="single" w:color="auto" w:sz="4" w:space="0"/>
            </w:tcBorders>
            <w:vAlign w:val="center"/>
          </w:tcPr>
          <w:p w14:paraId="7030F3C0">
            <w:pPr>
              <w:pStyle w:val="95"/>
              <w:tabs>
                <w:tab w:val="left" w:pos="1397"/>
                <w:tab w:val="left" w:pos="2167"/>
                <w:tab w:val="left" w:pos="2940"/>
              </w:tabs>
              <w:spacing w:line="400" w:lineRule="exact"/>
              <w:ind w:left="105" w:leftChars="50" w:right="105" w:rightChars="50"/>
              <w:contextualSpacing/>
              <w:rPr>
                <w:rFonts w:hint="eastAsia" w:cs="宋体" w:asciiTheme="majorEastAsia" w:hAnsiTheme="majorEastAsia" w:eastAsiaTheme="majorEastAsia"/>
                <w:color w:val="000000"/>
                <w:szCs w:val="21"/>
                <w:lang w:eastAsia="zh-CN"/>
              </w:rPr>
            </w:pPr>
            <w:r>
              <w:rPr>
                <w:rFonts w:hint="eastAsia" w:eastAsiaTheme="majorEastAsia"/>
                <w:szCs w:val="21"/>
                <w:lang w:eastAsia="zh-CN"/>
              </w:rPr>
              <w:t>202</w:t>
            </w:r>
            <w:r>
              <w:rPr>
                <w:rFonts w:hint="eastAsia" w:eastAsiaTheme="majorEastAsia"/>
                <w:szCs w:val="21"/>
                <w:lang w:val="en-US" w:eastAsia="zh-CN"/>
              </w:rPr>
              <w:t>2</w:t>
            </w:r>
            <w:r>
              <w:rPr>
                <w:rFonts w:hint="eastAsia" w:eastAsiaTheme="majorEastAsia"/>
                <w:szCs w:val="21"/>
                <w:lang w:eastAsia="zh-CN"/>
              </w:rPr>
              <w:t>年1月1日至今</w:t>
            </w:r>
          </w:p>
        </w:tc>
      </w:tr>
      <w:tr w14:paraId="58750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4FE346E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27</w:t>
            </w:r>
          </w:p>
        </w:tc>
        <w:tc>
          <w:tcPr>
            <w:tcW w:w="2515" w:type="dxa"/>
            <w:tcBorders>
              <w:top w:val="single" w:color="auto" w:sz="4" w:space="0"/>
              <w:left w:val="single" w:color="auto" w:sz="4" w:space="0"/>
              <w:bottom w:val="single" w:color="auto" w:sz="4" w:space="0"/>
              <w:right w:val="single" w:color="auto" w:sz="4" w:space="0"/>
            </w:tcBorders>
            <w:vAlign w:val="center"/>
          </w:tcPr>
          <w:p w14:paraId="0391A5E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是否允许递交</w:t>
            </w:r>
          </w:p>
          <w:p w14:paraId="263C4E5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备选投标方案</w:t>
            </w:r>
          </w:p>
        </w:tc>
        <w:tc>
          <w:tcPr>
            <w:tcW w:w="6804" w:type="dxa"/>
            <w:tcBorders>
              <w:top w:val="single" w:color="auto" w:sz="4" w:space="0"/>
              <w:left w:val="single" w:color="auto" w:sz="4" w:space="0"/>
              <w:bottom w:val="single" w:color="auto" w:sz="4" w:space="0"/>
            </w:tcBorders>
            <w:vAlign w:val="center"/>
          </w:tcPr>
          <w:p w14:paraId="1416D06A">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不允许</w:t>
            </w:r>
          </w:p>
        </w:tc>
      </w:tr>
      <w:tr w14:paraId="015A6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bottom w:val="single" w:color="auto" w:sz="4" w:space="0"/>
              <w:right w:val="single" w:color="auto" w:sz="4" w:space="0"/>
            </w:tcBorders>
            <w:vAlign w:val="center"/>
          </w:tcPr>
          <w:p w14:paraId="01FEC38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28</w:t>
            </w:r>
          </w:p>
        </w:tc>
        <w:tc>
          <w:tcPr>
            <w:tcW w:w="2515" w:type="dxa"/>
            <w:tcBorders>
              <w:top w:val="single" w:color="auto" w:sz="4" w:space="0"/>
              <w:left w:val="single" w:color="auto" w:sz="4" w:space="0"/>
              <w:bottom w:val="single" w:color="auto" w:sz="4" w:space="0"/>
              <w:right w:val="single" w:color="auto" w:sz="4" w:space="0"/>
            </w:tcBorders>
            <w:vAlign w:val="center"/>
          </w:tcPr>
          <w:p w14:paraId="76ED22F5">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签字或盖章要求</w:t>
            </w:r>
          </w:p>
        </w:tc>
        <w:tc>
          <w:tcPr>
            <w:tcW w:w="6804" w:type="dxa"/>
            <w:tcBorders>
              <w:top w:val="single" w:color="auto" w:sz="4" w:space="0"/>
              <w:left w:val="single" w:color="auto" w:sz="4" w:space="0"/>
              <w:bottom w:val="single" w:color="auto" w:sz="4" w:space="0"/>
            </w:tcBorders>
            <w:vAlign w:val="center"/>
          </w:tcPr>
          <w:p w14:paraId="444E3D26">
            <w:pPr>
              <w:spacing w:line="276" w:lineRule="auto"/>
              <w:jc w:val="left"/>
              <w:rPr>
                <w:rFonts w:hint="eastAsia" w:ascii="宋体" w:hAnsi="宋体" w:cs="宋体"/>
                <w:szCs w:val="21"/>
              </w:rPr>
            </w:pPr>
            <w:r>
              <w:rPr>
                <w:rFonts w:hint="eastAsia" w:ascii="宋体" w:hAnsi="宋体" w:cs="宋体"/>
                <w:szCs w:val="21"/>
              </w:rPr>
              <w:t>（1）所有要求盖章的位置都应加盖投标单位（法定名称）章（公章），不得使用专用章（如经济合同章、投标专用章等）或下属单位印章代替。</w:t>
            </w:r>
          </w:p>
          <w:p w14:paraId="7581524D">
            <w:pPr>
              <w:spacing w:line="276" w:lineRule="auto"/>
              <w:jc w:val="left"/>
              <w:rPr>
                <w:rFonts w:cs="宋体" w:asciiTheme="majorEastAsia" w:hAnsiTheme="majorEastAsia" w:eastAsiaTheme="majorEastAsia"/>
                <w:color w:val="000000"/>
                <w:kern w:val="0"/>
                <w:szCs w:val="21"/>
                <w:lang w:val="zh-CN"/>
              </w:rPr>
            </w:pPr>
            <w:r>
              <w:rPr>
                <w:rFonts w:hint="eastAsia" w:ascii="宋体" w:hAnsi="宋体" w:cs="宋体"/>
                <w:szCs w:val="21"/>
              </w:rPr>
              <w:t>（2）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18857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29" w:type="dxa"/>
            <w:tcBorders>
              <w:top w:val="single" w:color="auto" w:sz="4" w:space="0"/>
              <w:bottom w:val="single" w:color="auto" w:sz="4" w:space="0"/>
              <w:right w:val="single" w:color="auto" w:sz="4" w:space="0"/>
            </w:tcBorders>
            <w:vAlign w:val="center"/>
          </w:tcPr>
          <w:p w14:paraId="49F8798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29</w:t>
            </w:r>
          </w:p>
        </w:tc>
        <w:tc>
          <w:tcPr>
            <w:tcW w:w="2515" w:type="dxa"/>
            <w:tcBorders>
              <w:top w:val="single" w:color="auto" w:sz="4" w:space="0"/>
              <w:left w:val="single" w:color="auto" w:sz="4" w:space="0"/>
              <w:bottom w:val="single" w:color="auto" w:sz="4" w:space="0"/>
              <w:right w:val="single" w:color="auto" w:sz="4" w:space="0"/>
            </w:tcBorders>
            <w:vAlign w:val="center"/>
          </w:tcPr>
          <w:p w14:paraId="2DCD8D91">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投标文件份数</w:t>
            </w:r>
          </w:p>
        </w:tc>
        <w:tc>
          <w:tcPr>
            <w:tcW w:w="6804" w:type="dxa"/>
            <w:tcBorders>
              <w:top w:val="single" w:color="auto" w:sz="4" w:space="0"/>
              <w:left w:val="single" w:color="auto" w:sz="4" w:space="0"/>
              <w:bottom w:val="single" w:color="auto" w:sz="4" w:space="0"/>
            </w:tcBorders>
            <w:vAlign w:val="center"/>
          </w:tcPr>
          <w:p w14:paraId="57F81563">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ascii="宋体" w:hAnsi="宋体" w:cs="宋体"/>
                <w:szCs w:val="21"/>
              </w:rPr>
              <w:t>正本一份，副本二份（注：以上文件仅做存档使用，不作为评标的依据），开标结束后3个工作日内将投标文件（打印版）纸质版邮寄至（地址：长岭县长岭镇金域融城4号楼门市，联系人：</w:t>
            </w:r>
            <w:r>
              <w:rPr>
                <w:rFonts w:hint="eastAsia" w:ascii="宋体" w:hAnsi="宋体" w:cs="宋体"/>
                <w:szCs w:val="21"/>
                <w:lang w:eastAsia="zh-CN"/>
              </w:rPr>
              <w:t>刘嘉冶</w:t>
            </w:r>
            <w:r>
              <w:rPr>
                <w:rFonts w:hint="eastAsia" w:ascii="宋体" w:hAnsi="宋体" w:cs="宋体"/>
                <w:szCs w:val="21"/>
              </w:rPr>
              <w:t>，电话：</w:t>
            </w:r>
            <w:r>
              <w:rPr>
                <w:rFonts w:hint="eastAsia" w:ascii="宋体" w:hAnsi="宋体" w:cs="宋体"/>
                <w:szCs w:val="21"/>
                <w:lang w:eastAsia="zh-CN"/>
              </w:rPr>
              <w:t>15843891444</w:t>
            </w:r>
            <w:r>
              <w:rPr>
                <w:rFonts w:hint="eastAsia" w:ascii="宋体" w:hAnsi="宋体" w:cs="宋体"/>
                <w:szCs w:val="21"/>
              </w:rPr>
              <w:t>）（电子版1份文件用U盘存储（word和PDF版），不留密码）。</w:t>
            </w:r>
          </w:p>
        </w:tc>
      </w:tr>
      <w:tr w14:paraId="727B9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243570C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30</w:t>
            </w:r>
          </w:p>
        </w:tc>
        <w:tc>
          <w:tcPr>
            <w:tcW w:w="2515" w:type="dxa"/>
            <w:tcBorders>
              <w:top w:val="single" w:color="auto" w:sz="4" w:space="0"/>
              <w:left w:val="single" w:color="auto" w:sz="4" w:space="0"/>
              <w:bottom w:val="single" w:color="auto" w:sz="4" w:space="0"/>
              <w:right w:val="single" w:color="auto" w:sz="4" w:space="0"/>
            </w:tcBorders>
            <w:vAlign w:val="center"/>
          </w:tcPr>
          <w:p w14:paraId="42D4415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装订要求</w:t>
            </w:r>
          </w:p>
        </w:tc>
        <w:tc>
          <w:tcPr>
            <w:tcW w:w="6804" w:type="dxa"/>
            <w:tcBorders>
              <w:top w:val="single" w:color="auto" w:sz="4" w:space="0"/>
              <w:left w:val="single" w:color="auto" w:sz="4" w:space="0"/>
              <w:bottom w:val="single" w:color="auto" w:sz="4" w:space="0"/>
            </w:tcBorders>
            <w:vAlign w:val="center"/>
          </w:tcPr>
          <w:p w14:paraId="7CC8CD01">
            <w:pPr>
              <w:spacing w:line="400" w:lineRule="exact"/>
              <w:ind w:left="105" w:leftChars="50" w:right="105" w:rightChars="50"/>
              <w:contextualSpacing/>
              <w:rPr>
                <w:rFonts w:hint="eastAsia"/>
                <w:szCs w:val="21"/>
              </w:rPr>
            </w:pPr>
            <w:r>
              <w:rPr>
                <w:rFonts w:hint="eastAsia"/>
                <w:szCs w:val="21"/>
              </w:rPr>
              <w:t>投标文件应按以下要求装订：</w:t>
            </w:r>
          </w:p>
          <w:p w14:paraId="6A2289A3">
            <w:pPr>
              <w:spacing w:line="400" w:lineRule="exact"/>
              <w:ind w:left="105" w:leftChars="50" w:right="105" w:rightChars="50"/>
              <w:contextualSpacing/>
              <w:rPr>
                <w:rFonts w:hint="eastAsia"/>
                <w:szCs w:val="21"/>
              </w:rPr>
            </w:pPr>
            <w:r>
              <w:rPr>
                <w:rFonts w:hint="eastAsia"/>
                <w:szCs w:val="21"/>
              </w:rPr>
              <w:t>每册采用书册方式装订，装订应牢固、整齐、便于保管和利用、不易拆散和换页，不得采用活页装订</w:t>
            </w:r>
          </w:p>
          <w:p w14:paraId="70680BB1">
            <w:pPr>
              <w:spacing w:line="400" w:lineRule="exact"/>
              <w:ind w:left="105" w:leftChars="50" w:right="105" w:rightChars="50"/>
              <w:contextualSpacing/>
              <w:rPr>
                <w:rFonts w:hint="eastAsia"/>
                <w:szCs w:val="21"/>
              </w:rPr>
            </w:pPr>
            <w:r>
              <w:rPr>
                <w:rFonts w:hint="eastAsia"/>
                <w:szCs w:val="21"/>
              </w:rPr>
              <w:t>1.投标文件正本和副本的封面上应清楚地标记“正本”或“副本”的字样。当副本和正本不一致时，以正本为准。</w:t>
            </w:r>
          </w:p>
          <w:p w14:paraId="66B13460">
            <w:pPr>
              <w:spacing w:line="400" w:lineRule="exact"/>
              <w:ind w:left="105" w:leftChars="50" w:right="105" w:rightChars="50"/>
              <w:contextualSpacing/>
              <w:rPr>
                <w:rFonts w:cs="宋体" w:asciiTheme="majorEastAsia" w:hAnsiTheme="majorEastAsia" w:eastAsiaTheme="majorEastAsia"/>
                <w:color w:val="000000"/>
                <w:szCs w:val="21"/>
              </w:rPr>
            </w:pPr>
            <w:r>
              <w:rPr>
                <w:rFonts w:hint="eastAsia"/>
                <w:szCs w:val="21"/>
              </w:rPr>
              <w:t>2.投标文件的正本与副本应分别装订成册，并编制目录。</w:t>
            </w:r>
          </w:p>
        </w:tc>
      </w:tr>
      <w:tr w14:paraId="30B0E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029" w:type="dxa"/>
            <w:tcBorders>
              <w:top w:val="single" w:color="auto" w:sz="4" w:space="0"/>
              <w:bottom w:val="single" w:color="auto" w:sz="4" w:space="0"/>
              <w:right w:val="single" w:color="auto" w:sz="4" w:space="0"/>
            </w:tcBorders>
            <w:vAlign w:val="center"/>
          </w:tcPr>
          <w:p w14:paraId="29480D4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31</w:t>
            </w:r>
          </w:p>
        </w:tc>
        <w:tc>
          <w:tcPr>
            <w:tcW w:w="2515" w:type="dxa"/>
            <w:tcBorders>
              <w:top w:val="single" w:color="auto" w:sz="4" w:space="0"/>
              <w:left w:val="single" w:color="auto" w:sz="4" w:space="0"/>
              <w:bottom w:val="single" w:color="auto" w:sz="4" w:space="0"/>
              <w:right w:val="single" w:color="auto" w:sz="4" w:space="0"/>
            </w:tcBorders>
            <w:vAlign w:val="center"/>
          </w:tcPr>
          <w:p w14:paraId="59444178">
            <w:pPr>
              <w:spacing w:line="276" w:lineRule="auto"/>
              <w:jc w:val="center"/>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lang w:eastAsia="zh-CN"/>
              </w:rPr>
              <w:t>其他材料</w:t>
            </w:r>
          </w:p>
        </w:tc>
        <w:tc>
          <w:tcPr>
            <w:tcW w:w="6804" w:type="dxa"/>
            <w:tcBorders>
              <w:top w:val="single" w:color="auto" w:sz="4" w:space="0"/>
              <w:left w:val="single" w:color="auto" w:sz="4" w:space="0"/>
              <w:bottom w:val="single" w:color="auto" w:sz="4" w:space="0"/>
            </w:tcBorders>
            <w:vAlign w:val="center"/>
          </w:tcPr>
          <w:p w14:paraId="397ADE22">
            <w:pPr>
              <w:spacing w:line="276" w:lineRule="auto"/>
              <w:jc w:val="left"/>
              <w:rPr>
                <w:rFonts w:hint="eastAsia" w:cs="宋体" w:asciiTheme="majorEastAsia" w:hAnsiTheme="majorEastAsia" w:eastAsiaTheme="majorEastAsia"/>
                <w:color w:val="000000"/>
                <w:sz w:val="21"/>
                <w:szCs w:val="21"/>
                <w:lang w:eastAsia="zh-CN"/>
              </w:rPr>
            </w:pPr>
            <w:r>
              <w:rPr>
                <w:rFonts w:hint="eastAsia" w:cs="宋体" w:asciiTheme="majorEastAsia" w:hAnsiTheme="majorEastAsia" w:eastAsiaTheme="majorEastAsia"/>
                <w:color w:val="000000"/>
                <w:sz w:val="21"/>
                <w:szCs w:val="21"/>
                <w:lang w:eastAsia="zh-CN"/>
              </w:rPr>
              <w:t>标书内复印件加盖公章</w:t>
            </w:r>
          </w:p>
          <w:p w14:paraId="5D0EA50A">
            <w:pPr>
              <w:spacing w:line="276" w:lineRule="auto"/>
              <w:jc w:val="left"/>
            </w:pPr>
            <w:r>
              <w:rPr>
                <w:rFonts w:hint="eastAsia"/>
              </w:rPr>
              <w:t>（</w:t>
            </w:r>
            <w:r>
              <w:t>1</w:t>
            </w:r>
            <w:r>
              <w:rPr>
                <w:rFonts w:hint="eastAsia"/>
              </w:rPr>
              <w:t>）企业法定代表人授权委托书；</w:t>
            </w:r>
          </w:p>
          <w:p w14:paraId="666E6224">
            <w:pPr>
              <w:spacing w:line="276" w:lineRule="auto"/>
              <w:jc w:val="left"/>
            </w:pPr>
            <w:r>
              <w:rPr>
                <w:rFonts w:hint="eastAsia"/>
              </w:rPr>
              <w:t>（</w:t>
            </w:r>
            <w:r>
              <w:t>2</w:t>
            </w:r>
            <w:r>
              <w:rPr>
                <w:rFonts w:hint="eastAsia"/>
              </w:rPr>
              <w:t>）被授权人身份证或法定代表人身份证；</w:t>
            </w:r>
          </w:p>
          <w:p w14:paraId="585ACC8B">
            <w:pPr>
              <w:spacing w:line="276" w:lineRule="auto"/>
              <w:jc w:val="left"/>
            </w:pPr>
            <w:r>
              <w:rPr>
                <w:rFonts w:hint="eastAsia"/>
              </w:rPr>
              <w:t>（</w:t>
            </w:r>
            <w:r>
              <w:t>3</w:t>
            </w:r>
            <w:r>
              <w:rPr>
                <w:rFonts w:hint="eastAsia"/>
              </w:rPr>
              <w:t>）企业营业执照副本；</w:t>
            </w:r>
          </w:p>
          <w:p w14:paraId="22EDFC90">
            <w:pPr>
              <w:spacing w:line="276" w:lineRule="auto"/>
              <w:jc w:val="left"/>
            </w:pPr>
            <w:r>
              <w:rPr>
                <w:rFonts w:hint="eastAsia"/>
              </w:rPr>
              <w:t>（</w:t>
            </w:r>
            <w:r>
              <w:t>4</w:t>
            </w:r>
            <w:r>
              <w:rPr>
                <w:rFonts w:hint="eastAsia"/>
              </w:rPr>
              <w:t>）有依法缴纳税收和社会保障资金的良好记录证明（</w:t>
            </w:r>
            <w:r>
              <w:rPr>
                <w:rFonts w:hint="eastAsia"/>
                <w:lang w:val="en-US" w:eastAsia="zh-CN"/>
              </w:rPr>
              <w:t>2025年1</w:t>
            </w:r>
            <w:r>
              <w:rPr>
                <w:rFonts w:hint="eastAsia"/>
              </w:rPr>
              <w:t>月至今任意一月即可）</w:t>
            </w:r>
          </w:p>
          <w:p w14:paraId="66B8C8F6">
            <w:pPr>
              <w:spacing w:line="276" w:lineRule="auto"/>
              <w:jc w:val="left"/>
              <w:rPr>
                <w:rFonts w:hint="eastAsia" w:eastAsia="宋体"/>
                <w:lang w:eastAsia="zh-CN"/>
              </w:rPr>
            </w:pPr>
            <w:r>
              <w:rPr>
                <w:rFonts w:hint="eastAsia"/>
              </w:rPr>
              <w:t>（5）</w:t>
            </w:r>
            <w:r>
              <w:rPr>
                <w:rFonts w:hint="eastAsia"/>
                <w:lang w:eastAsia="zh-CN"/>
              </w:rPr>
              <w:t>提供近三年（2022、2023、2024年）财务报表</w:t>
            </w:r>
            <w:r>
              <w:rPr>
                <w:rFonts w:hint="eastAsia"/>
              </w:rPr>
              <w:t>（包含现金流量表、资产负债表、利润表，加盖财务章）或经会计师事务所审计的财务审计报告或基本开户银行在投标截止时间前六个月内出具的资信证明。（标书内复印件加盖公章）</w:t>
            </w:r>
          </w:p>
          <w:p w14:paraId="4B1AD574">
            <w:pPr>
              <w:spacing w:line="276" w:lineRule="auto"/>
              <w:jc w:val="left"/>
            </w:pPr>
            <w:r>
              <w:rPr>
                <w:rFonts w:hint="eastAsia"/>
              </w:rPr>
              <w:t>（6）提供“信用中国”网站（</w:t>
            </w:r>
            <w:r>
              <w:t>www.creditchina.gov.cn</w:t>
            </w:r>
            <w:r>
              <w:rPr>
                <w:rFonts w:hint="eastAsia"/>
              </w:rPr>
              <w:t>）未列入失信被执行人、</w:t>
            </w:r>
            <w:r>
              <w:rPr>
                <w:rFonts w:hint="eastAsia"/>
                <w:lang w:val="en-US" w:eastAsia="zh-CN"/>
              </w:rPr>
              <w:t>严重失信主体名单、</w:t>
            </w:r>
            <w:r>
              <w:rPr>
                <w:rFonts w:hint="eastAsia"/>
              </w:rPr>
              <w:t>税收违法</w:t>
            </w:r>
            <w:r>
              <w:rPr>
                <w:rFonts w:hint="eastAsia"/>
                <w:lang w:val="en-US" w:eastAsia="zh-CN"/>
              </w:rPr>
              <w:t>黑名单、</w:t>
            </w:r>
            <w:r>
              <w:rPr>
                <w:rFonts w:hint="eastAsia"/>
              </w:rPr>
              <w:t>政府采购</w:t>
            </w:r>
            <w:r>
              <w:rPr>
                <w:rFonts w:hint="eastAsia"/>
                <w:lang w:val="en-US" w:eastAsia="zh-CN"/>
              </w:rPr>
              <w:t>严重违法失信行为</w:t>
            </w:r>
            <w:r>
              <w:rPr>
                <w:rFonts w:hint="eastAsia"/>
              </w:rPr>
              <w:t>记录名单的官网截图并加盖公章；提供中国政府采购网（</w:t>
            </w:r>
            <w:r>
              <w:t>www.ccgp.gov.cn</w:t>
            </w:r>
            <w:r>
              <w:rPr>
                <w:rFonts w:hint="eastAsia"/>
              </w:rPr>
              <w:t>）未列入</w:t>
            </w:r>
            <w:r>
              <w:rPr>
                <w:rFonts w:hint="eastAsia"/>
                <w:lang w:eastAsia="zh-CN"/>
              </w:rPr>
              <w:t>政府采购严重违法失信行为信息记录</w:t>
            </w:r>
            <w:r>
              <w:rPr>
                <w:rFonts w:hint="eastAsia"/>
              </w:rPr>
              <w:t>的官网截图并加盖公章。（查询时点为获取招标文件开始至投标文件递交截止期间）；</w:t>
            </w:r>
          </w:p>
          <w:p w14:paraId="455E349F">
            <w:pPr>
              <w:spacing w:line="276" w:lineRule="auto"/>
              <w:jc w:val="left"/>
            </w:pPr>
            <w:r>
              <w:rPr>
                <w:rFonts w:hint="eastAsia"/>
              </w:rPr>
              <w:t>（7）提供《中国裁判文书网》（http://wenshu.court.gov.cn/）投标人</w:t>
            </w:r>
            <w:r>
              <w:rPr>
                <w:rFonts w:hint="eastAsia"/>
                <w:lang w:eastAsia="zh-CN"/>
              </w:rPr>
              <w:t>或</w:t>
            </w:r>
            <w:r>
              <w:rPr>
                <w:rFonts w:hint="eastAsia"/>
              </w:rPr>
              <w:t>法定代表人无行贿犯罪档案查询记录网站截图证明。</w:t>
            </w:r>
          </w:p>
          <w:p w14:paraId="0738AE0C">
            <w:pPr>
              <w:pStyle w:val="4"/>
              <w:ind w:firstLine="0"/>
              <w:rPr>
                <w:rFonts w:hint="eastAsia" w:cs="宋体" w:asciiTheme="majorEastAsia" w:hAnsiTheme="majorEastAsia" w:eastAsiaTheme="majorEastAsia"/>
                <w:color w:val="000000"/>
                <w:sz w:val="21"/>
                <w:szCs w:val="21"/>
                <w:lang w:eastAsia="zh-CN"/>
              </w:rPr>
            </w:pPr>
            <w:r>
              <w:rPr>
                <w:rFonts w:hint="eastAsia" w:cs="宋体" w:asciiTheme="majorEastAsia" w:hAnsiTheme="majorEastAsia" w:eastAsiaTheme="majorEastAsia"/>
                <w:color w:val="000000"/>
                <w:sz w:val="21"/>
                <w:szCs w:val="21"/>
              </w:rPr>
              <w:t>（</w:t>
            </w:r>
            <w:r>
              <w:rPr>
                <w:rFonts w:hint="eastAsia" w:cs="宋体" w:asciiTheme="majorEastAsia" w:hAnsiTheme="majorEastAsia" w:eastAsiaTheme="majorEastAsia"/>
                <w:color w:val="000000"/>
                <w:sz w:val="21"/>
                <w:szCs w:val="21"/>
                <w:lang w:val="en-US" w:eastAsia="zh-CN"/>
              </w:rPr>
              <w:t>8</w:t>
            </w:r>
            <w:r>
              <w:rPr>
                <w:rFonts w:hint="eastAsia" w:cs="宋体" w:asciiTheme="majorEastAsia" w:hAnsiTheme="majorEastAsia" w:eastAsiaTheme="majorEastAsia"/>
                <w:color w:val="000000"/>
                <w:sz w:val="21"/>
                <w:szCs w:val="21"/>
              </w:rPr>
              <w:t>）基本账户开户许可证</w:t>
            </w:r>
          </w:p>
        </w:tc>
      </w:tr>
      <w:tr w14:paraId="2012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29" w:type="dxa"/>
            <w:tcBorders>
              <w:top w:val="single" w:color="auto" w:sz="4" w:space="0"/>
              <w:bottom w:val="single" w:color="auto" w:sz="4" w:space="0"/>
              <w:right w:val="single" w:color="auto" w:sz="4" w:space="0"/>
            </w:tcBorders>
            <w:vAlign w:val="center"/>
          </w:tcPr>
          <w:p w14:paraId="68019845">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32</w:t>
            </w:r>
          </w:p>
        </w:tc>
        <w:tc>
          <w:tcPr>
            <w:tcW w:w="2515" w:type="dxa"/>
            <w:tcBorders>
              <w:top w:val="single" w:color="auto" w:sz="4" w:space="0"/>
              <w:left w:val="single" w:color="auto" w:sz="4" w:space="0"/>
              <w:bottom w:val="single" w:color="auto" w:sz="4" w:space="0"/>
              <w:right w:val="single" w:color="auto" w:sz="4" w:space="0"/>
            </w:tcBorders>
            <w:vAlign w:val="center"/>
          </w:tcPr>
          <w:p w14:paraId="577818A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封套上写明</w:t>
            </w:r>
          </w:p>
        </w:tc>
        <w:tc>
          <w:tcPr>
            <w:tcW w:w="6804" w:type="dxa"/>
            <w:tcBorders>
              <w:top w:val="single" w:color="auto" w:sz="4" w:space="0"/>
              <w:left w:val="single" w:color="auto" w:sz="4" w:space="0"/>
              <w:bottom w:val="single" w:color="auto" w:sz="4" w:space="0"/>
            </w:tcBorders>
          </w:tcPr>
          <w:p w14:paraId="1805242D">
            <w:pPr>
              <w:keepNext w:val="0"/>
              <w:keepLines w:val="0"/>
              <w:pageBreakBefore w:val="0"/>
              <w:kinsoku/>
              <w:wordWrap/>
              <w:overflowPunct/>
              <w:bidi w:val="0"/>
              <w:adjustRightInd w:val="0"/>
              <w:snapToGrid w:val="0"/>
              <w:spacing w:before="245" w:beforeLines="50" w:line="240" w:lineRule="exact"/>
              <w:textAlignment w:val="auto"/>
              <w:outlineLvl w:val="9"/>
              <w:rPr>
                <w:rFonts w:hint="eastAsia" w:ascii="宋体" w:hAnsi="宋体" w:cs="宋体"/>
                <w:bCs/>
                <w:szCs w:val="21"/>
                <w:lang w:val="zh-CN"/>
              </w:rPr>
            </w:pPr>
            <w:r>
              <w:rPr>
                <w:rFonts w:hint="eastAsia" w:ascii="宋体" w:hAnsi="宋体" w:cs="宋体"/>
                <w:bCs/>
                <w:szCs w:val="21"/>
                <w:lang w:val="zh-CN"/>
              </w:rPr>
              <w:t xml:space="preserve">采购人名称： </w:t>
            </w:r>
          </w:p>
          <w:p w14:paraId="4DA02C8F">
            <w:pPr>
              <w:keepNext w:val="0"/>
              <w:keepLines w:val="0"/>
              <w:pageBreakBefore w:val="0"/>
              <w:kinsoku/>
              <w:wordWrap/>
              <w:overflowPunct/>
              <w:bidi w:val="0"/>
              <w:adjustRightInd w:val="0"/>
              <w:snapToGrid w:val="0"/>
              <w:spacing w:before="245" w:beforeLines="50" w:line="240" w:lineRule="exact"/>
              <w:textAlignment w:val="auto"/>
              <w:outlineLvl w:val="9"/>
              <w:rPr>
                <w:rFonts w:hint="eastAsia" w:ascii="宋体" w:hAnsi="宋体" w:cs="宋体"/>
                <w:bCs/>
                <w:szCs w:val="21"/>
                <w:lang w:val="zh-CN"/>
              </w:rPr>
            </w:pPr>
            <w:r>
              <w:rPr>
                <w:rFonts w:hint="eastAsia" w:ascii="宋体" w:hAnsi="宋体" w:cs="宋体"/>
                <w:bCs/>
                <w:szCs w:val="21"/>
                <w:u w:val="single"/>
                <w:lang w:val="zh-CN"/>
              </w:rPr>
              <w:t xml:space="preserve">　　　     　(项目名称)　　           　 </w:t>
            </w:r>
            <w:r>
              <w:rPr>
                <w:rFonts w:hint="eastAsia" w:ascii="宋体" w:hAnsi="宋体" w:cs="宋体"/>
                <w:bCs/>
                <w:szCs w:val="21"/>
                <w:lang w:val="zh-CN"/>
              </w:rPr>
              <w:t>响应文件</w:t>
            </w:r>
          </w:p>
          <w:p w14:paraId="6C0FD129">
            <w:pPr>
              <w:keepNext w:val="0"/>
              <w:keepLines w:val="0"/>
              <w:pageBreakBefore w:val="0"/>
              <w:kinsoku/>
              <w:wordWrap/>
              <w:overflowPunct/>
              <w:bidi w:val="0"/>
              <w:adjustRightInd w:val="0"/>
              <w:snapToGrid w:val="0"/>
              <w:spacing w:before="245" w:beforeLines="50" w:line="240" w:lineRule="exact"/>
              <w:textAlignment w:val="auto"/>
              <w:outlineLvl w:val="9"/>
              <w:rPr>
                <w:rFonts w:hint="eastAsia" w:ascii="宋体" w:hAnsi="宋体" w:cs="宋体"/>
                <w:bCs/>
                <w:szCs w:val="21"/>
                <w:u w:val="single"/>
                <w:lang w:val="zh-CN"/>
              </w:rPr>
            </w:pPr>
            <w:r>
              <w:rPr>
                <w:rFonts w:hint="eastAsia" w:ascii="宋体" w:hAnsi="宋体" w:cs="宋体"/>
                <w:bCs/>
                <w:szCs w:val="21"/>
                <w:lang w:val="zh-CN"/>
              </w:rPr>
              <w:t>在</w:t>
            </w:r>
            <w:r>
              <w:rPr>
                <w:rFonts w:hint="eastAsia" w:ascii="宋体" w:hAnsi="宋体" w:cs="宋体"/>
                <w:bCs/>
                <w:szCs w:val="21"/>
                <w:u w:val="single"/>
                <w:lang w:val="zh-CN"/>
              </w:rPr>
              <w:t xml:space="preserve"> 　   </w:t>
            </w:r>
            <w:r>
              <w:rPr>
                <w:rFonts w:hint="eastAsia" w:ascii="宋体" w:hAnsi="宋体" w:cs="宋体"/>
                <w:bCs/>
                <w:szCs w:val="21"/>
                <w:lang w:val="zh-CN"/>
              </w:rPr>
              <w:t>年</w:t>
            </w:r>
            <w:r>
              <w:rPr>
                <w:rFonts w:hint="eastAsia" w:ascii="宋体" w:hAnsi="宋体" w:cs="宋体"/>
                <w:bCs/>
                <w:szCs w:val="21"/>
                <w:u w:val="single"/>
                <w:lang w:val="zh-CN"/>
              </w:rPr>
              <w:t xml:space="preserve">   　</w:t>
            </w:r>
            <w:r>
              <w:rPr>
                <w:rFonts w:hint="eastAsia" w:ascii="宋体" w:hAnsi="宋体" w:cs="宋体"/>
                <w:bCs/>
                <w:szCs w:val="21"/>
                <w:lang w:val="zh-CN"/>
              </w:rPr>
              <w:t>月</w:t>
            </w:r>
            <w:r>
              <w:rPr>
                <w:rFonts w:hint="eastAsia" w:ascii="宋体" w:hAnsi="宋体" w:cs="宋体"/>
                <w:bCs/>
                <w:szCs w:val="21"/>
                <w:u w:val="single"/>
                <w:lang w:val="zh-CN"/>
              </w:rPr>
              <w:t xml:space="preserve">   </w:t>
            </w:r>
            <w:r>
              <w:rPr>
                <w:rFonts w:hint="eastAsia" w:ascii="宋体" w:hAnsi="宋体" w:cs="宋体"/>
                <w:bCs/>
                <w:szCs w:val="21"/>
                <w:lang w:val="zh-CN"/>
              </w:rPr>
              <w:t>日</w:t>
            </w:r>
            <w:r>
              <w:rPr>
                <w:rFonts w:hint="eastAsia" w:ascii="宋体" w:hAnsi="宋体" w:cs="宋体"/>
                <w:bCs/>
                <w:szCs w:val="21"/>
                <w:u w:val="single"/>
                <w:lang w:val="zh-CN"/>
              </w:rPr>
              <w:t xml:space="preserve">   </w:t>
            </w:r>
            <w:r>
              <w:rPr>
                <w:rFonts w:hint="eastAsia" w:ascii="宋体" w:hAnsi="宋体" w:cs="宋体"/>
                <w:bCs/>
                <w:szCs w:val="21"/>
                <w:lang w:val="zh-CN"/>
              </w:rPr>
              <w:t>时</w:t>
            </w:r>
            <w:r>
              <w:rPr>
                <w:rFonts w:hint="eastAsia" w:ascii="宋体" w:hAnsi="宋体" w:cs="宋体"/>
                <w:bCs/>
                <w:szCs w:val="21"/>
                <w:u w:val="single"/>
                <w:lang w:val="zh-CN"/>
              </w:rPr>
              <w:t xml:space="preserve"> 　  </w:t>
            </w:r>
            <w:r>
              <w:rPr>
                <w:rFonts w:hint="eastAsia" w:ascii="宋体" w:hAnsi="宋体" w:cs="宋体"/>
                <w:bCs/>
                <w:szCs w:val="21"/>
                <w:lang w:val="zh-CN"/>
              </w:rPr>
              <w:t>分前不得开启</w:t>
            </w:r>
          </w:p>
          <w:p w14:paraId="391E1A07">
            <w:pPr>
              <w:spacing w:line="276" w:lineRule="auto"/>
              <w:jc w:val="left"/>
              <w:rPr>
                <w:rFonts w:hint="eastAsia" w:cs="宋体" w:asciiTheme="majorEastAsia" w:hAnsiTheme="majorEastAsia" w:eastAsiaTheme="majorEastAsia"/>
                <w:color w:val="000000"/>
                <w:szCs w:val="21"/>
                <w:lang w:val="en-US" w:eastAsia="zh-CN"/>
              </w:rPr>
            </w:pPr>
            <w:r>
              <w:rPr>
                <w:rFonts w:hint="eastAsia" w:ascii="宋体" w:hAnsi="宋体" w:eastAsia="宋体" w:cs="宋体"/>
                <w:bCs/>
                <w:color w:val="auto"/>
                <w:sz w:val="21"/>
                <w:szCs w:val="21"/>
                <w:lang w:val="zh-CN" w:eastAsia="zh-CN" w:bidi="ar-SA"/>
              </w:rPr>
              <w:t>供应商名称：</w:t>
            </w:r>
            <w:r>
              <w:rPr>
                <w:rFonts w:hint="eastAsia" w:ascii="宋体" w:hAnsi="宋体" w:eastAsia="宋体" w:cs="宋体"/>
                <w:bCs/>
                <w:color w:val="auto"/>
                <w:sz w:val="21"/>
                <w:szCs w:val="21"/>
                <w:u w:val="single"/>
                <w:lang w:val="zh-CN" w:eastAsia="zh-CN" w:bidi="ar-SA"/>
              </w:rPr>
              <w:t xml:space="preserve"> 　　　　(全称)　　　</w:t>
            </w:r>
          </w:p>
        </w:tc>
      </w:tr>
      <w:tr w14:paraId="3E901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1029" w:type="dxa"/>
            <w:tcBorders>
              <w:top w:val="single" w:color="auto" w:sz="4" w:space="0"/>
              <w:bottom w:val="single" w:color="auto" w:sz="4" w:space="0"/>
              <w:right w:val="single" w:color="auto" w:sz="4" w:space="0"/>
            </w:tcBorders>
            <w:vAlign w:val="center"/>
          </w:tcPr>
          <w:p w14:paraId="0F14CED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33</w:t>
            </w:r>
          </w:p>
        </w:tc>
        <w:tc>
          <w:tcPr>
            <w:tcW w:w="2515" w:type="dxa"/>
            <w:tcBorders>
              <w:top w:val="single" w:color="auto" w:sz="4" w:space="0"/>
              <w:left w:val="single" w:color="auto" w:sz="4" w:space="0"/>
              <w:bottom w:val="single" w:color="auto" w:sz="4" w:space="0"/>
              <w:right w:val="single" w:color="auto" w:sz="4" w:space="0"/>
            </w:tcBorders>
            <w:vAlign w:val="center"/>
          </w:tcPr>
          <w:p w14:paraId="1E4F718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递交投标文件地点</w:t>
            </w:r>
          </w:p>
        </w:tc>
        <w:tc>
          <w:tcPr>
            <w:tcW w:w="6804" w:type="dxa"/>
            <w:tcBorders>
              <w:top w:val="single" w:color="auto" w:sz="4" w:space="0"/>
              <w:left w:val="single" w:color="auto" w:sz="4" w:space="0"/>
              <w:bottom w:val="single" w:color="auto" w:sz="4" w:space="0"/>
            </w:tcBorders>
            <w:vAlign w:val="center"/>
          </w:tcPr>
          <w:p w14:paraId="026C9961">
            <w:pPr>
              <w:spacing w:line="276" w:lineRule="auto"/>
              <w:rPr>
                <w:rFonts w:cs="宋体" w:asciiTheme="majorEastAsia" w:hAnsiTheme="majorEastAsia" w:eastAsiaTheme="majorEastAsia"/>
                <w:bCs/>
                <w:color w:val="000000"/>
                <w:szCs w:val="21"/>
              </w:rPr>
            </w:pPr>
            <w:r>
              <w:rPr>
                <w:rFonts w:hint="eastAsia" w:ascii="宋体" w:hAnsi="宋体" w:cs="宋体"/>
                <w:szCs w:val="21"/>
              </w:rPr>
              <w:t>正本一份，副本二份（注：以上文件仅做存档使用，不作为评标的依据），开标结束后3个工作日内将投标文件（打印版）纸质版邮寄至（地址：长岭县长岭镇金域融城4号楼门市，联系人：</w:t>
            </w:r>
            <w:r>
              <w:rPr>
                <w:rFonts w:hint="eastAsia" w:ascii="宋体" w:hAnsi="宋体" w:cs="宋体"/>
                <w:szCs w:val="21"/>
                <w:lang w:eastAsia="zh-CN"/>
              </w:rPr>
              <w:t>刘嘉冶</w:t>
            </w:r>
            <w:r>
              <w:rPr>
                <w:rFonts w:hint="eastAsia" w:ascii="宋体" w:hAnsi="宋体" w:cs="宋体"/>
                <w:szCs w:val="21"/>
              </w:rPr>
              <w:t>，电话：</w:t>
            </w:r>
            <w:r>
              <w:rPr>
                <w:rFonts w:hint="eastAsia" w:ascii="宋体" w:hAnsi="宋体" w:cs="宋体"/>
                <w:szCs w:val="21"/>
                <w:lang w:eastAsia="zh-CN"/>
              </w:rPr>
              <w:t>15843891444</w:t>
            </w:r>
            <w:r>
              <w:rPr>
                <w:rFonts w:hint="eastAsia" w:ascii="宋体" w:hAnsi="宋体" w:cs="宋体"/>
                <w:szCs w:val="21"/>
              </w:rPr>
              <w:t>）（电子版1份文件用U盘存储（word和PDF版），不留密码）。</w:t>
            </w:r>
          </w:p>
        </w:tc>
      </w:tr>
      <w:tr w14:paraId="47B3B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029" w:type="dxa"/>
            <w:tcBorders>
              <w:top w:val="single" w:color="auto" w:sz="4" w:space="0"/>
              <w:bottom w:val="single" w:color="auto" w:sz="4" w:space="0"/>
              <w:right w:val="single" w:color="auto" w:sz="4" w:space="0"/>
            </w:tcBorders>
            <w:vAlign w:val="center"/>
          </w:tcPr>
          <w:p w14:paraId="056767A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34</w:t>
            </w:r>
          </w:p>
        </w:tc>
        <w:tc>
          <w:tcPr>
            <w:tcW w:w="2515" w:type="dxa"/>
            <w:tcBorders>
              <w:top w:val="single" w:color="auto" w:sz="4" w:space="0"/>
              <w:left w:val="single" w:color="auto" w:sz="4" w:space="0"/>
              <w:bottom w:val="single" w:color="auto" w:sz="4" w:space="0"/>
              <w:right w:val="single" w:color="auto" w:sz="4" w:space="0"/>
            </w:tcBorders>
            <w:vAlign w:val="center"/>
          </w:tcPr>
          <w:p w14:paraId="1F53056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是否退还投标文件</w:t>
            </w:r>
          </w:p>
        </w:tc>
        <w:tc>
          <w:tcPr>
            <w:tcW w:w="6804" w:type="dxa"/>
            <w:tcBorders>
              <w:top w:val="single" w:color="auto" w:sz="4" w:space="0"/>
              <w:left w:val="single" w:color="auto" w:sz="4" w:space="0"/>
              <w:bottom w:val="single" w:color="auto" w:sz="4" w:space="0"/>
            </w:tcBorders>
            <w:vAlign w:val="center"/>
          </w:tcPr>
          <w:p w14:paraId="5C5EE60E">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否。</w:t>
            </w:r>
          </w:p>
        </w:tc>
      </w:tr>
      <w:tr w14:paraId="5835F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029" w:type="dxa"/>
            <w:tcBorders>
              <w:top w:val="single" w:color="auto" w:sz="4" w:space="0"/>
              <w:bottom w:val="single" w:color="auto" w:sz="4" w:space="0"/>
              <w:right w:val="single" w:color="auto" w:sz="4" w:space="0"/>
            </w:tcBorders>
            <w:vAlign w:val="center"/>
          </w:tcPr>
          <w:p w14:paraId="2FED753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35</w:t>
            </w:r>
          </w:p>
        </w:tc>
        <w:tc>
          <w:tcPr>
            <w:tcW w:w="2515" w:type="dxa"/>
            <w:tcBorders>
              <w:top w:val="single" w:color="auto" w:sz="4" w:space="0"/>
              <w:left w:val="single" w:color="auto" w:sz="4" w:space="0"/>
              <w:bottom w:val="single" w:color="auto" w:sz="4" w:space="0"/>
              <w:right w:val="single" w:color="auto" w:sz="4" w:space="0"/>
            </w:tcBorders>
            <w:vAlign w:val="center"/>
          </w:tcPr>
          <w:p w14:paraId="5161D64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开标时间和地点</w:t>
            </w:r>
          </w:p>
        </w:tc>
        <w:tc>
          <w:tcPr>
            <w:tcW w:w="6804" w:type="dxa"/>
            <w:tcBorders>
              <w:top w:val="single" w:color="auto" w:sz="4" w:space="0"/>
              <w:left w:val="single" w:color="auto" w:sz="4" w:space="0"/>
              <w:bottom w:val="single" w:color="auto" w:sz="4" w:space="0"/>
            </w:tcBorders>
            <w:vAlign w:val="center"/>
          </w:tcPr>
          <w:p w14:paraId="7E529282">
            <w:pPr>
              <w:spacing w:line="276" w:lineRule="auto"/>
              <w:rPr>
                <w:rFonts w:cs="宋体" w:asciiTheme="majorEastAsia" w:hAnsiTheme="majorEastAsia" w:eastAsiaTheme="majorEastAsia"/>
                <w:color w:val="000000"/>
                <w:szCs w:val="21"/>
                <w:highlight w:val="none"/>
              </w:rPr>
            </w:pPr>
            <w:r>
              <w:rPr>
                <w:rFonts w:hint="eastAsia" w:cs="宋体" w:asciiTheme="majorEastAsia" w:hAnsiTheme="majorEastAsia" w:eastAsiaTheme="majorEastAsia"/>
                <w:color w:val="000000"/>
                <w:szCs w:val="21"/>
                <w:highlight w:val="none"/>
              </w:rPr>
              <w:t>开标时间：</w:t>
            </w:r>
            <w:r>
              <w:rPr>
                <w:rFonts w:hint="eastAsia" w:cs="宋体" w:asciiTheme="majorEastAsia" w:hAnsiTheme="majorEastAsia" w:eastAsiaTheme="majorEastAsia"/>
                <w:bCs/>
                <w:color w:val="000000"/>
                <w:szCs w:val="21"/>
                <w:highlight w:val="none"/>
                <w:u w:val="single"/>
                <w:lang w:val="en-US" w:eastAsia="zh-CN"/>
              </w:rPr>
              <w:t>2025年7月29日9点30分</w:t>
            </w:r>
            <w:r>
              <w:rPr>
                <w:rFonts w:hint="eastAsia" w:cs="宋体" w:asciiTheme="majorEastAsia" w:hAnsiTheme="majorEastAsia" w:eastAsiaTheme="majorEastAsia"/>
                <w:bCs/>
                <w:color w:val="000000"/>
                <w:szCs w:val="21"/>
                <w:highlight w:val="none"/>
                <w:u w:val="single"/>
              </w:rPr>
              <w:t>（北京时间）</w:t>
            </w:r>
          </w:p>
          <w:p w14:paraId="63CCEED2">
            <w:pPr>
              <w:spacing w:line="276" w:lineRule="auto"/>
              <w:rPr>
                <w:rFonts w:hint="eastAsia" w:cs="宋体" w:asciiTheme="majorEastAsia" w:hAnsiTheme="majorEastAsia" w:eastAsiaTheme="majorEastAsia"/>
                <w:bCs/>
                <w:color w:val="000000"/>
                <w:szCs w:val="21"/>
                <w:lang w:eastAsia="zh-CN"/>
              </w:rPr>
            </w:pPr>
            <w:r>
              <w:rPr>
                <w:rFonts w:hint="eastAsia" w:cs="宋体" w:asciiTheme="majorEastAsia" w:hAnsiTheme="majorEastAsia" w:eastAsiaTheme="majorEastAsia"/>
                <w:color w:val="000000"/>
                <w:szCs w:val="21"/>
                <w:highlight w:val="none"/>
              </w:rPr>
              <w:t>开标地点：</w:t>
            </w:r>
            <w:r>
              <w:rPr>
                <w:rFonts w:hint="eastAsia" w:ascii="宋体" w:hAnsi="宋体" w:cs="宋体" w:eastAsiaTheme="majorEastAsia"/>
                <w:color w:val="394351"/>
                <w:szCs w:val="21"/>
                <w:highlight w:val="none"/>
                <w:u w:val="single"/>
                <w:shd w:val="clear" w:color="auto" w:fill="FFFFFF"/>
                <w:lang w:eastAsia="zh-CN"/>
              </w:rPr>
              <w:t>长春市高新区鸿达街248号吉林日报副楼4楼吉利招平台第二开标室。</w:t>
            </w:r>
          </w:p>
        </w:tc>
      </w:tr>
      <w:tr w14:paraId="096BE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bottom w:val="single" w:color="auto" w:sz="4" w:space="0"/>
              <w:right w:val="single" w:color="auto" w:sz="4" w:space="0"/>
            </w:tcBorders>
            <w:vAlign w:val="center"/>
          </w:tcPr>
          <w:p w14:paraId="2C6507D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36</w:t>
            </w:r>
          </w:p>
        </w:tc>
        <w:tc>
          <w:tcPr>
            <w:tcW w:w="2515" w:type="dxa"/>
            <w:tcBorders>
              <w:top w:val="single" w:color="auto" w:sz="4" w:space="0"/>
              <w:left w:val="single" w:color="auto" w:sz="4" w:space="0"/>
              <w:bottom w:val="single" w:color="auto" w:sz="4" w:space="0"/>
              <w:right w:val="single" w:color="auto" w:sz="4" w:space="0"/>
            </w:tcBorders>
            <w:vAlign w:val="center"/>
          </w:tcPr>
          <w:p w14:paraId="724E973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开标程序</w:t>
            </w:r>
          </w:p>
        </w:tc>
        <w:tc>
          <w:tcPr>
            <w:tcW w:w="6804" w:type="dxa"/>
            <w:tcBorders>
              <w:top w:val="single" w:color="auto" w:sz="4" w:space="0"/>
              <w:left w:val="single" w:color="auto" w:sz="4" w:space="0"/>
              <w:bottom w:val="single" w:color="auto" w:sz="4" w:space="0"/>
            </w:tcBorders>
            <w:vAlign w:val="center"/>
          </w:tcPr>
          <w:p w14:paraId="3AE76577">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bookmarkStart w:id="643" w:name="_GoBack"/>
            <w:bookmarkEnd w:id="643"/>
          </w:p>
        </w:tc>
      </w:tr>
      <w:tr w14:paraId="0C555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029" w:type="dxa"/>
            <w:tcBorders>
              <w:top w:val="single" w:color="auto" w:sz="4" w:space="0"/>
              <w:bottom w:val="single" w:color="auto" w:sz="4" w:space="0"/>
              <w:right w:val="single" w:color="auto" w:sz="4" w:space="0"/>
            </w:tcBorders>
            <w:vAlign w:val="center"/>
          </w:tcPr>
          <w:p w14:paraId="6776CB4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37</w:t>
            </w:r>
          </w:p>
        </w:tc>
        <w:tc>
          <w:tcPr>
            <w:tcW w:w="2515" w:type="dxa"/>
            <w:tcBorders>
              <w:top w:val="single" w:color="auto" w:sz="4" w:space="0"/>
              <w:left w:val="single" w:color="auto" w:sz="4" w:space="0"/>
              <w:bottom w:val="single" w:color="auto" w:sz="4" w:space="0"/>
              <w:right w:val="single" w:color="auto" w:sz="4" w:space="0"/>
            </w:tcBorders>
            <w:vAlign w:val="center"/>
          </w:tcPr>
          <w:p w14:paraId="56A3797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评标委员会的组建</w:t>
            </w:r>
          </w:p>
        </w:tc>
        <w:tc>
          <w:tcPr>
            <w:tcW w:w="6804" w:type="dxa"/>
            <w:tcBorders>
              <w:top w:val="single" w:color="auto" w:sz="4" w:space="0"/>
              <w:left w:val="single" w:color="auto" w:sz="4" w:space="0"/>
              <w:bottom w:val="single" w:color="auto" w:sz="4" w:space="0"/>
            </w:tcBorders>
            <w:vAlign w:val="center"/>
          </w:tcPr>
          <w:p w14:paraId="1C076B4D">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评标委员会构成</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u w:val="single"/>
                <w:lang w:val="en-US" w:eastAsia="zh-CN"/>
              </w:rPr>
              <w:t>5</w:t>
            </w:r>
            <w:r>
              <w:rPr>
                <w:rFonts w:hint="eastAsia" w:cs="宋体" w:asciiTheme="majorEastAsia" w:hAnsiTheme="majorEastAsia" w:eastAsiaTheme="majorEastAsia"/>
                <w:color w:val="000000"/>
                <w:szCs w:val="21"/>
              </w:rPr>
              <w:t>人组成。</w:t>
            </w:r>
          </w:p>
          <w:p w14:paraId="703555E6">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评标专家确定方式：</w:t>
            </w:r>
            <w:r>
              <w:rPr>
                <w:rFonts w:hint="eastAsia" w:cs="宋体" w:asciiTheme="majorEastAsia" w:hAnsiTheme="majorEastAsia" w:eastAsiaTheme="majorEastAsia"/>
                <w:bCs/>
                <w:color w:val="000000"/>
                <w:kern w:val="15"/>
                <w:szCs w:val="21"/>
              </w:rPr>
              <w:t>采购人在有关部门的监督下</w:t>
            </w:r>
            <w:r>
              <w:rPr>
                <w:rFonts w:hint="eastAsia" w:ascii="宋体"/>
                <w:kern w:val="0"/>
              </w:rPr>
              <w:t>从评标专家库中随机抽取</w:t>
            </w:r>
            <w:r>
              <w:rPr>
                <w:rFonts w:hint="eastAsia" w:cs="宋体" w:asciiTheme="majorEastAsia" w:hAnsiTheme="majorEastAsia" w:eastAsiaTheme="majorEastAsia"/>
                <w:bCs/>
                <w:color w:val="000000"/>
                <w:kern w:val="15"/>
                <w:szCs w:val="21"/>
              </w:rPr>
              <w:t>。</w:t>
            </w:r>
          </w:p>
        </w:tc>
      </w:tr>
      <w:tr w14:paraId="19FB4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1029" w:type="dxa"/>
            <w:tcBorders>
              <w:top w:val="single" w:color="auto" w:sz="4" w:space="0"/>
              <w:bottom w:val="single" w:color="auto" w:sz="4" w:space="0"/>
              <w:right w:val="single" w:color="auto" w:sz="4" w:space="0"/>
            </w:tcBorders>
            <w:vAlign w:val="center"/>
          </w:tcPr>
          <w:p w14:paraId="03CB3D1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38</w:t>
            </w:r>
          </w:p>
        </w:tc>
        <w:tc>
          <w:tcPr>
            <w:tcW w:w="2515" w:type="dxa"/>
            <w:tcBorders>
              <w:top w:val="single" w:color="auto" w:sz="4" w:space="0"/>
              <w:left w:val="single" w:color="auto" w:sz="4" w:space="0"/>
              <w:bottom w:val="single" w:color="auto" w:sz="4" w:space="0"/>
              <w:right w:val="single" w:color="auto" w:sz="4" w:space="0"/>
            </w:tcBorders>
            <w:vAlign w:val="center"/>
          </w:tcPr>
          <w:p w14:paraId="15561DA5">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中标人公示媒介及期限</w:t>
            </w:r>
          </w:p>
        </w:tc>
        <w:tc>
          <w:tcPr>
            <w:tcW w:w="6804" w:type="dxa"/>
            <w:tcBorders>
              <w:top w:val="single" w:color="auto" w:sz="4" w:space="0"/>
              <w:left w:val="single" w:color="auto" w:sz="4" w:space="0"/>
              <w:bottom w:val="single" w:color="auto" w:sz="4" w:space="0"/>
            </w:tcBorders>
            <w:vAlign w:val="center"/>
          </w:tcPr>
          <w:p w14:paraId="5E9C05CC">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公示媒介：</w:t>
            </w:r>
            <w:r>
              <w:rPr>
                <w:rFonts w:hint="eastAsia" w:cs="宋体" w:asciiTheme="majorEastAsia" w:hAnsiTheme="majorEastAsia" w:eastAsiaTheme="majorEastAsia"/>
                <w:color w:val="000000"/>
                <w:szCs w:val="21"/>
                <w:lang w:val="en-US" w:eastAsia="zh-CN"/>
              </w:rPr>
              <w:t>“政采云”平台(http://www.zcygov.cn)同步推送到吉林省政府采购网(http://www.ccgp-jilin.gov.cn/)、中国政府采购网</w:t>
            </w:r>
            <w:r>
              <w:rPr>
                <w:rFonts w:hint="eastAsia" w:cs="宋体" w:asciiTheme="majorEastAsia" w:hAnsiTheme="majorEastAsia" w:eastAsiaTheme="majorEastAsia"/>
                <w:szCs w:val="21"/>
                <w:lang w:val="zh-CN"/>
              </w:rPr>
              <w:t>。</w:t>
            </w:r>
          </w:p>
          <w:p w14:paraId="111600B6">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公示期限：</w:t>
            </w:r>
            <w:r>
              <w:rPr>
                <w:rFonts w:cs="宋体" w:asciiTheme="majorEastAsia" w:hAnsiTheme="majorEastAsia" w:eastAsiaTheme="majorEastAsia"/>
                <w:color w:val="000000"/>
                <w:szCs w:val="21"/>
              </w:rPr>
              <w:t>1</w:t>
            </w:r>
            <w:r>
              <w:rPr>
                <w:rFonts w:hint="eastAsia" w:cs="宋体" w:asciiTheme="majorEastAsia" w:hAnsiTheme="majorEastAsia" w:eastAsiaTheme="majorEastAsia"/>
                <w:color w:val="000000"/>
                <w:szCs w:val="21"/>
              </w:rPr>
              <w:t>个工作日</w:t>
            </w:r>
          </w:p>
        </w:tc>
      </w:tr>
      <w:tr w14:paraId="187EC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29" w:type="dxa"/>
            <w:tcBorders>
              <w:top w:val="single" w:color="auto" w:sz="4" w:space="0"/>
              <w:bottom w:val="single" w:color="auto" w:sz="4" w:space="0"/>
              <w:right w:val="single" w:color="auto" w:sz="4" w:space="0"/>
            </w:tcBorders>
            <w:vAlign w:val="center"/>
          </w:tcPr>
          <w:p w14:paraId="24BDA58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39</w:t>
            </w:r>
          </w:p>
        </w:tc>
        <w:tc>
          <w:tcPr>
            <w:tcW w:w="2515" w:type="dxa"/>
            <w:tcBorders>
              <w:top w:val="single" w:color="auto" w:sz="4" w:space="0"/>
              <w:left w:val="single" w:color="auto" w:sz="4" w:space="0"/>
              <w:bottom w:val="single" w:color="auto" w:sz="4" w:space="0"/>
              <w:right w:val="single" w:color="auto" w:sz="4" w:space="0"/>
            </w:tcBorders>
            <w:vAlign w:val="center"/>
          </w:tcPr>
          <w:p w14:paraId="4446661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是否授权评标委员会确定中标人</w:t>
            </w:r>
          </w:p>
        </w:tc>
        <w:tc>
          <w:tcPr>
            <w:tcW w:w="6804" w:type="dxa"/>
            <w:tcBorders>
              <w:top w:val="single" w:color="auto" w:sz="4" w:space="0"/>
              <w:left w:val="single" w:color="auto" w:sz="4" w:space="0"/>
              <w:bottom w:val="single" w:color="auto" w:sz="4" w:space="0"/>
            </w:tcBorders>
            <w:vAlign w:val="center"/>
          </w:tcPr>
          <w:p w14:paraId="0C7A9BCC">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zh-CN"/>
              </w:rPr>
              <w:t>√</w:t>
            </w:r>
            <w:r>
              <w:rPr>
                <w:rFonts w:hint="eastAsia" w:cs="宋体" w:asciiTheme="majorEastAsia" w:hAnsiTheme="majorEastAsia" w:eastAsiaTheme="majorEastAsia"/>
                <w:color w:val="000000"/>
                <w:szCs w:val="21"/>
              </w:rPr>
              <w:t>否：评标委员会推荐</w:t>
            </w:r>
            <w:r>
              <w:rPr>
                <w:rFonts w:cs="宋体" w:asciiTheme="majorEastAsia" w:hAnsiTheme="majorEastAsia" w:eastAsiaTheme="majorEastAsia"/>
                <w:color w:val="000000"/>
                <w:szCs w:val="21"/>
              </w:rPr>
              <w:t>3</w:t>
            </w:r>
            <w:r>
              <w:rPr>
                <w:rFonts w:hint="eastAsia" w:cs="宋体" w:asciiTheme="majorEastAsia" w:hAnsiTheme="majorEastAsia" w:eastAsiaTheme="majorEastAsia"/>
                <w:color w:val="000000"/>
                <w:szCs w:val="21"/>
              </w:rPr>
              <w:t>名中标候选人，并标明推荐顺序。采购人将依据评标委员会推荐的中标候选人确定中标人。</w:t>
            </w:r>
          </w:p>
          <w:p w14:paraId="6AC5BAD4">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w:t>
            </w:r>
          </w:p>
        </w:tc>
      </w:tr>
      <w:tr w14:paraId="44328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bottom w:val="single" w:color="auto" w:sz="4" w:space="0"/>
              <w:right w:val="single" w:color="auto" w:sz="4" w:space="0"/>
            </w:tcBorders>
            <w:vAlign w:val="center"/>
          </w:tcPr>
          <w:p w14:paraId="6A413DB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40</w:t>
            </w:r>
          </w:p>
        </w:tc>
        <w:tc>
          <w:tcPr>
            <w:tcW w:w="2515" w:type="dxa"/>
            <w:tcBorders>
              <w:top w:val="single" w:color="auto" w:sz="4" w:space="0"/>
              <w:left w:val="single" w:color="auto" w:sz="4" w:space="0"/>
              <w:bottom w:val="single" w:color="auto" w:sz="4" w:space="0"/>
              <w:right w:val="single" w:color="auto" w:sz="4" w:space="0"/>
            </w:tcBorders>
            <w:vAlign w:val="center"/>
          </w:tcPr>
          <w:p w14:paraId="7B841B05">
            <w:pPr>
              <w:spacing w:line="276" w:lineRule="auto"/>
              <w:jc w:val="center"/>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履约保证金</w:t>
            </w:r>
          </w:p>
        </w:tc>
        <w:tc>
          <w:tcPr>
            <w:tcW w:w="6804" w:type="dxa"/>
            <w:tcBorders>
              <w:top w:val="single" w:color="auto" w:sz="4" w:space="0"/>
              <w:left w:val="single" w:color="auto" w:sz="4" w:space="0"/>
              <w:bottom w:val="single" w:color="auto" w:sz="4" w:space="0"/>
            </w:tcBorders>
            <w:vAlign w:val="center"/>
          </w:tcPr>
          <w:p w14:paraId="2659DE91">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是否要求中标人提交履约保证金：</w:t>
            </w:r>
          </w:p>
          <w:p w14:paraId="562548CD">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sym w:font="Wingdings 2" w:char="00A3"/>
            </w:r>
            <w:r>
              <w:rPr>
                <w:rFonts w:hint="eastAsia" w:cs="宋体" w:asciiTheme="majorEastAsia" w:hAnsiTheme="majorEastAsia" w:eastAsiaTheme="majorEastAsia"/>
                <w:color w:val="000000"/>
                <w:szCs w:val="21"/>
                <w:lang w:val="zh-CN"/>
              </w:rPr>
              <w:t>要求：履约担保的形式：银行保函</w:t>
            </w:r>
          </w:p>
          <w:p w14:paraId="5009E8C7">
            <w:pPr>
              <w:spacing w:line="276" w:lineRule="auto"/>
              <w:ind w:firstLine="840" w:firstLineChars="400"/>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履约保函的金额：合同价的</w:t>
            </w:r>
            <w:r>
              <w:rPr>
                <w:rFonts w:hint="eastAsia" w:cs="宋体" w:asciiTheme="majorEastAsia" w:hAnsiTheme="majorEastAsia" w:eastAsiaTheme="majorEastAsia"/>
                <w:color w:val="000000"/>
                <w:szCs w:val="21"/>
              </w:rPr>
              <w:t>0</w:t>
            </w:r>
            <w:r>
              <w:rPr>
                <w:rFonts w:cs="宋体" w:asciiTheme="majorEastAsia" w:hAnsiTheme="majorEastAsia" w:eastAsiaTheme="majorEastAsia"/>
                <w:color w:val="000000"/>
                <w:szCs w:val="21"/>
                <w:lang w:val="zh-CN"/>
              </w:rPr>
              <w:t>%</w:t>
            </w:r>
          </w:p>
          <w:p w14:paraId="2D1B36D9">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√不要求</w:t>
            </w:r>
          </w:p>
        </w:tc>
      </w:tr>
      <w:tr w14:paraId="6C0D8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029" w:type="dxa"/>
            <w:tcBorders>
              <w:top w:val="single" w:color="auto" w:sz="4" w:space="0"/>
              <w:bottom w:val="single" w:color="auto" w:sz="4" w:space="0"/>
              <w:right w:val="single" w:color="auto" w:sz="4" w:space="0"/>
            </w:tcBorders>
            <w:vAlign w:val="center"/>
          </w:tcPr>
          <w:p w14:paraId="53DEE8B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41</w:t>
            </w:r>
          </w:p>
        </w:tc>
        <w:tc>
          <w:tcPr>
            <w:tcW w:w="2515" w:type="dxa"/>
            <w:tcBorders>
              <w:top w:val="single" w:color="auto" w:sz="4" w:space="0"/>
              <w:left w:val="single" w:color="auto" w:sz="4" w:space="0"/>
              <w:bottom w:val="single" w:color="auto" w:sz="4" w:space="0"/>
              <w:right w:val="single" w:color="auto" w:sz="4" w:space="0"/>
            </w:tcBorders>
            <w:vAlign w:val="center"/>
          </w:tcPr>
          <w:p w14:paraId="7CDE6977">
            <w:pPr>
              <w:spacing w:line="276" w:lineRule="auto"/>
              <w:jc w:val="center"/>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质保期</w:t>
            </w:r>
          </w:p>
        </w:tc>
        <w:tc>
          <w:tcPr>
            <w:tcW w:w="6804" w:type="dxa"/>
            <w:tcBorders>
              <w:top w:val="single" w:color="auto" w:sz="4" w:space="0"/>
              <w:left w:val="single" w:color="auto" w:sz="4" w:space="0"/>
              <w:bottom w:val="single" w:color="auto" w:sz="4" w:space="0"/>
            </w:tcBorders>
            <w:vAlign w:val="center"/>
          </w:tcPr>
          <w:p w14:paraId="58813847">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1年</w:t>
            </w:r>
          </w:p>
        </w:tc>
      </w:tr>
      <w:tr w14:paraId="5E94F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29" w:type="dxa"/>
            <w:tcBorders>
              <w:top w:val="single" w:color="auto" w:sz="4" w:space="0"/>
              <w:bottom w:val="single" w:color="auto" w:sz="4" w:space="0"/>
              <w:right w:val="single" w:color="auto" w:sz="4" w:space="0"/>
            </w:tcBorders>
            <w:vAlign w:val="center"/>
          </w:tcPr>
          <w:p w14:paraId="6A0D64A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42</w:t>
            </w:r>
          </w:p>
        </w:tc>
        <w:tc>
          <w:tcPr>
            <w:tcW w:w="2515" w:type="dxa"/>
            <w:tcBorders>
              <w:top w:val="single" w:color="auto" w:sz="4" w:space="0"/>
              <w:left w:val="single" w:color="auto" w:sz="4" w:space="0"/>
              <w:bottom w:val="single" w:color="auto" w:sz="4" w:space="0"/>
              <w:right w:val="single" w:color="auto" w:sz="4" w:space="0"/>
            </w:tcBorders>
            <w:vAlign w:val="center"/>
          </w:tcPr>
          <w:p w14:paraId="122C778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招标代理服务费</w:t>
            </w:r>
          </w:p>
        </w:tc>
        <w:tc>
          <w:tcPr>
            <w:tcW w:w="6804" w:type="dxa"/>
            <w:tcBorders>
              <w:top w:val="single" w:color="auto" w:sz="4" w:space="0"/>
              <w:left w:val="single" w:color="auto" w:sz="4" w:space="0"/>
              <w:bottom w:val="single" w:color="auto" w:sz="4" w:space="0"/>
            </w:tcBorders>
            <w:vAlign w:val="center"/>
          </w:tcPr>
          <w:p w14:paraId="7001A2B4">
            <w:pPr>
              <w:spacing w:line="276" w:lineRule="auto"/>
              <w:rPr>
                <w:rFonts w:cs="宋体" w:asciiTheme="majorEastAsia" w:hAnsiTheme="majorEastAsia" w:eastAsiaTheme="majorEastAsia"/>
                <w:color w:val="000000"/>
                <w:szCs w:val="21"/>
              </w:rPr>
            </w:pPr>
            <w:bookmarkStart w:id="44" w:name="OLE_LINK12"/>
            <w:r>
              <w:rPr>
                <w:rFonts w:hint="eastAsia" w:hAnsi="宋体"/>
                <w:color w:val="auto"/>
                <w:kern w:val="2"/>
                <w:sz w:val="21"/>
                <w:szCs w:val="21"/>
                <w:lang w:val="en-US" w:eastAsia="zh-CN"/>
              </w:rPr>
              <w:t>按照国家发展改革委《关于招标代理服务收费有关问题的通知》(发改办价格 〔2003〕857 号) 、国家发展改革委《关于降低部分建设项目收费标准规范收费行为等有关问题的通知》(发改价格〔2011〕534 号) 、国家发展改革委《关于进一步放开建设项目专业服务价格的通知》(发改价格〔2015〕 299 号) 文件规定及合同约定，向中标人收取。</w:t>
            </w:r>
            <w:bookmarkEnd w:id="44"/>
          </w:p>
        </w:tc>
      </w:tr>
      <w:tr w14:paraId="67B25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29" w:type="dxa"/>
            <w:tcBorders>
              <w:top w:val="single" w:color="auto" w:sz="4" w:space="0"/>
              <w:bottom w:val="single" w:color="auto" w:sz="4" w:space="0"/>
              <w:right w:val="single" w:color="auto" w:sz="4" w:space="0"/>
            </w:tcBorders>
            <w:vAlign w:val="center"/>
          </w:tcPr>
          <w:p w14:paraId="1809782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43</w:t>
            </w:r>
          </w:p>
        </w:tc>
        <w:tc>
          <w:tcPr>
            <w:tcW w:w="2515" w:type="dxa"/>
            <w:tcBorders>
              <w:top w:val="single" w:color="auto" w:sz="4" w:space="0"/>
              <w:left w:val="single" w:color="auto" w:sz="4" w:space="0"/>
              <w:bottom w:val="single" w:color="auto" w:sz="4" w:space="0"/>
              <w:right w:val="single" w:color="auto" w:sz="4" w:space="0"/>
            </w:tcBorders>
            <w:vAlign w:val="center"/>
          </w:tcPr>
          <w:p w14:paraId="102918B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最高投标限价</w:t>
            </w:r>
          </w:p>
        </w:tc>
        <w:tc>
          <w:tcPr>
            <w:tcW w:w="6804" w:type="dxa"/>
            <w:tcBorders>
              <w:top w:val="single" w:color="auto" w:sz="4" w:space="0"/>
              <w:left w:val="single" w:color="auto" w:sz="4" w:space="0"/>
              <w:bottom w:val="single" w:color="auto" w:sz="4" w:space="0"/>
            </w:tcBorders>
            <w:vAlign w:val="center"/>
          </w:tcPr>
          <w:p w14:paraId="3FAA60F6">
            <w:pPr>
              <w:spacing w:line="276" w:lineRule="auto"/>
              <w:rPr>
                <w:rFonts w:cs="宋体" w:asciiTheme="majorEastAsia" w:hAnsiTheme="majorEastAsia" w:eastAsiaTheme="majorEastAsia"/>
                <w:b/>
                <w:color w:val="000000"/>
                <w:szCs w:val="21"/>
              </w:rPr>
            </w:pPr>
            <w:r>
              <w:rPr>
                <w:rFonts w:hint="eastAsia" w:cs="宋体" w:asciiTheme="majorEastAsia" w:hAnsiTheme="majorEastAsia" w:eastAsiaTheme="majorEastAsia"/>
                <w:bCs/>
                <w:color w:val="000000"/>
                <w:szCs w:val="21"/>
                <w:lang w:val="en-US" w:eastAsia="zh-CN"/>
              </w:rPr>
              <w:t>73.2360万元</w:t>
            </w:r>
          </w:p>
        </w:tc>
      </w:tr>
      <w:tr w14:paraId="7E1CA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029" w:type="dxa"/>
            <w:tcBorders>
              <w:top w:val="single" w:color="auto" w:sz="4" w:space="0"/>
              <w:bottom w:val="single" w:color="auto" w:sz="4" w:space="0"/>
              <w:right w:val="single" w:color="auto" w:sz="4" w:space="0"/>
            </w:tcBorders>
            <w:vAlign w:val="center"/>
          </w:tcPr>
          <w:p w14:paraId="6C3BEF2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44</w:t>
            </w:r>
          </w:p>
        </w:tc>
        <w:tc>
          <w:tcPr>
            <w:tcW w:w="2515" w:type="dxa"/>
            <w:tcBorders>
              <w:top w:val="single" w:color="auto" w:sz="4" w:space="0"/>
              <w:left w:val="single" w:color="auto" w:sz="4" w:space="0"/>
              <w:bottom w:val="single" w:color="auto" w:sz="4" w:space="0"/>
              <w:right w:val="single" w:color="auto" w:sz="4" w:space="0"/>
            </w:tcBorders>
            <w:vAlign w:val="center"/>
          </w:tcPr>
          <w:p w14:paraId="7919E7D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是否选用电子标</w:t>
            </w:r>
          </w:p>
        </w:tc>
        <w:tc>
          <w:tcPr>
            <w:tcW w:w="6804" w:type="dxa"/>
            <w:tcBorders>
              <w:top w:val="single" w:color="auto" w:sz="4" w:space="0"/>
              <w:left w:val="single" w:color="auto" w:sz="4" w:space="0"/>
              <w:bottom w:val="single" w:color="auto" w:sz="4" w:space="0"/>
            </w:tcBorders>
            <w:vAlign w:val="center"/>
          </w:tcPr>
          <w:p w14:paraId="30C176F1">
            <w:pPr>
              <w:spacing w:line="276" w:lineRule="auto"/>
              <w:rPr>
                <w:rFonts w:hint="eastAsia" w:cs="宋体" w:asciiTheme="majorEastAsia" w:hAnsiTheme="majorEastAsia" w:eastAsiaTheme="majorEastAsia"/>
                <w:bCs/>
                <w:color w:val="000000"/>
                <w:szCs w:val="21"/>
                <w:lang w:val="en-US" w:eastAsia="zh-CN"/>
              </w:rPr>
            </w:pPr>
            <w:r>
              <w:rPr>
                <w:rFonts w:hint="eastAsia" w:cs="宋体" w:asciiTheme="majorEastAsia" w:hAnsiTheme="majorEastAsia" w:eastAsiaTheme="majorEastAsia"/>
                <w:bCs/>
                <w:color w:val="000000"/>
                <w:szCs w:val="21"/>
                <w:lang w:val="en-US" w:eastAsia="zh-CN"/>
              </w:rPr>
              <w:t>是</w:t>
            </w:r>
          </w:p>
        </w:tc>
      </w:tr>
      <w:tr w14:paraId="051EC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029" w:type="dxa"/>
            <w:tcBorders>
              <w:top w:val="single" w:color="auto" w:sz="4" w:space="0"/>
              <w:bottom w:val="single" w:color="auto" w:sz="4" w:space="0"/>
              <w:right w:val="single" w:color="auto" w:sz="4" w:space="0"/>
            </w:tcBorders>
            <w:vAlign w:val="center"/>
          </w:tcPr>
          <w:p w14:paraId="7A545EC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45</w:t>
            </w:r>
          </w:p>
        </w:tc>
        <w:tc>
          <w:tcPr>
            <w:tcW w:w="2515" w:type="dxa"/>
            <w:tcBorders>
              <w:top w:val="single" w:color="auto" w:sz="4" w:space="0"/>
              <w:left w:val="single" w:color="auto" w:sz="4" w:space="0"/>
              <w:bottom w:val="single" w:color="auto" w:sz="4" w:space="0"/>
              <w:right w:val="single" w:color="auto" w:sz="4" w:space="0"/>
            </w:tcBorders>
            <w:vAlign w:val="center"/>
          </w:tcPr>
          <w:p w14:paraId="15AADB5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付款方式</w:t>
            </w:r>
          </w:p>
        </w:tc>
        <w:tc>
          <w:tcPr>
            <w:tcW w:w="6804" w:type="dxa"/>
            <w:tcBorders>
              <w:top w:val="single" w:color="auto" w:sz="4" w:space="0"/>
              <w:left w:val="single" w:color="auto" w:sz="4" w:space="0"/>
              <w:bottom w:val="single" w:color="auto" w:sz="4" w:space="0"/>
            </w:tcBorders>
            <w:vAlign w:val="center"/>
          </w:tcPr>
          <w:p w14:paraId="19BD0BD2">
            <w:pPr>
              <w:spacing w:line="276" w:lineRule="auto"/>
              <w:rPr>
                <w:rFonts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以甲乙双方实际合同为准。</w:t>
            </w:r>
          </w:p>
        </w:tc>
      </w:tr>
      <w:tr w14:paraId="49E84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0348" w:type="dxa"/>
            <w:gridSpan w:val="3"/>
            <w:tcBorders>
              <w:top w:val="single" w:color="auto" w:sz="4" w:space="0"/>
              <w:bottom w:val="single" w:color="auto" w:sz="4" w:space="0"/>
            </w:tcBorders>
            <w:vAlign w:val="center"/>
          </w:tcPr>
          <w:p w14:paraId="407ABCE0">
            <w:pPr>
              <w:spacing w:line="276" w:lineRule="auto"/>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※招标公告与招标文件不一致之处，以招标文件为准。</w:t>
            </w:r>
          </w:p>
        </w:tc>
      </w:tr>
    </w:tbl>
    <w:p w14:paraId="21D1B911">
      <w:pPr>
        <w:pStyle w:val="3"/>
        <w:spacing w:line="276" w:lineRule="auto"/>
        <w:rPr>
          <w:rFonts w:cs="宋体" w:asciiTheme="majorEastAsia" w:hAnsiTheme="majorEastAsia" w:eastAsiaTheme="majorEastAsia"/>
          <w:color w:val="000000"/>
          <w:szCs w:val="30"/>
        </w:rPr>
      </w:pPr>
      <w:bookmarkStart w:id="45" w:name="_Toc504654675"/>
      <w:r>
        <w:rPr>
          <w:rFonts w:cs="宋体" w:asciiTheme="majorEastAsia" w:hAnsiTheme="majorEastAsia" w:eastAsiaTheme="majorEastAsia"/>
          <w:color w:val="000000"/>
          <w:szCs w:val="30"/>
        </w:rPr>
        <w:br w:type="page"/>
      </w:r>
    </w:p>
    <w:p w14:paraId="5FC66CFC">
      <w:pPr>
        <w:pStyle w:val="3"/>
        <w:spacing w:line="276" w:lineRule="auto"/>
        <w:rPr>
          <w:rFonts w:cs="宋体" w:asciiTheme="majorEastAsia" w:hAnsiTheme="majorEastAsia" w:eastAsiaTheme="majorEastAsia"/>
          <w:color w:val="000000"/>
          <w:szCs w:val="30"/>
        </w:rPr>
      </w:pPr>
      <w:bookmarkStart w:id="46" w:name="_Toc15856"/>
      <w:r>
        <w:rPr>
          <w:rFonts w:hint="eastAsia" w:cs="宋体" w:asciiTheme="majorEastAsia" w:hAnsiTheme="majorEastAsia" w:eastAsiaTheme="majorEastAsia"/>
          <w:color w:val="000000"/>
          <w:szCs w:val="30"/>
        </w:rPr>
        <w:t>一、总则</w:t>
      </w:r>
      <w:bookmarkEnd w:id="45"/>
      <w:bookmarkEnd w:id="46"/>
      <w:bookmarkStart w:id="47" w:name="_Toc445473482"/>
    </w:p>
    <w:p w14:paraId="59E91DE4">
      <w:pPr>
        <w:pStyle w:val="29"/>
        <w:spacing w:line="360" w:lineRule="auto"/>
        <w:ind w:left="-61" w:leftChars="-70" w:hanging="86" w:hangingChars="36"/>
        <w:jc w:val="left"/>
        <w:rPr>
          <w:rFonts w:cs="宋体" w:asciiTheme="majorEastAsia" w:hAnsiTheme="majorEastAsia" w:eastAsiaTheme="majorEastAsia"/>
          <w:b w:val="0"/>
          <w:color w:val="000000"/>
          <w:kern w:val="2"/>
          <w:sz w:val="24"/>
          <w:szCs w:val="24"/>
          <w:lang w:val="zh-CN"/>
        </w:rPr>
      </w:pPr>
      <w:bookmarkStart w:id="48" w:name="_Toc504654676"/>
      <w:bookmarkStart w:id="49" w:name="_Toc504479187"/>
      <w:bookmarkStart w:id="50" w:name="_Toc17486"/>
      <w:bookmarkStart w:id="51" w:name="_Toc504479638"/>
      <w:r>
        <w:rPr>
          <w:rFonts w:cs="宋体" w:asciiTheme="majorEastAsia" w:hAnsiTheme="majorEastAsia" w:eastAsiaTheme="majorEastAsia"/>
          <w:b w:val="0"/>
          <w:color w:val="000000"/>
          <w:kern w:val="2"/>
          <w:sz w:val="24"/>
          <w:szCs w:val="24"/>
          <w:lang w:val="zh-CN"/>
        </w:rPr>
        <w:t>1</w:t>
      </w:r>
      <w:r>
        <w:rPr>
          <w:rFonts w:hint="eastAsia" w:cs="宋体" w:asciiTheme="majorEastAsia" w:hAnsiTheme="majorEastAsia" w:eastAsiaTheme="majorEastAsia"/>
          <w:b w:val="0"/>
          <w:color w:val="000000"/>
          <w:kern w:val="2"/>
          <w:sz w:val="24"/>
          <w:szCs w:val="24"/>
          <w:lang w:val="zh-CN"/>
        </w:rPr>
        <w:t>、</w:t>
      </w:r>
      <w:bookmarkEnd w:id="47"/>
      <w:r>
        <w:rPr>
          <w:rFonts w:hint="eastAsia" w:cs="宋体" w:asciiTheme="majorEastAsia" w:hAnsiTheme="majorEastAsia" w:eastAsiaTheme="majorEastAsia"/>
          <w:b w:val="0"/>
          <w:color w:val="000000"/>
          <w:kern w:val="2"/>
          <w:sz w:val="24"/>
          <w:szCs w:val="24"/>
          <w:lang w:val="zh-CN"/>
        </w:rPr>
        <w:t>根据《中华人民共和国</w:t>
      </w:r>
      <w:r>
        <w:rPr>
          <w:rFonts w:hint="eastAsia" w:cs="宋体" w:asciiTheme="majorEastAsia" w:hAnsiTheme="majorEastAsia" w:eastAsiaTheme="majorEastAsia"/>
          <w:b w:val="0"/>
          <w:color w:val="000000"/>
          <w:kern w:val="2"/>
          <w:sz w:val="24"/>
          <w:szCs w:val="24"/>
          <w:lang w:val="en-US" w:eastAsia="zh-CN"/>
        </w:rPr>
        <w:t>政府采购</w:t>
      </w:r>
      <w:r>
        <w:rPr>
          <w:rFonts w:hint="eastAsia" w:cs="宋体" w:asciiTheme="majorEastAsia" w:hAnsiTheme="majorEastAsia" w:eastAsiaTheme="majorEastAsia"/>
          <w:b w:val="0"/>
          <w:color w:val="000000"/>
          <w:kern w:val="2"/>
          <w:sz w:val="24"/>
          <w:szCs w:val="24"/>
          <w:lang w:val="zh-CN"/>
        </w:rPr>
        <w:t>法》、《中华人民共和国</w:t>
      </w:r>
      <w:r>
        <w:rPr>
          <w:rFonts w:hint="eastAsia" w:cs="宋体" w:asciiTheme="majorEastAsia" w:hAnsiTheme="majorEastAsia" w:eastAsiaTheme="majorEastAsia"/>
          <w:b w:val="0"/>
          <w:color w:val="000000"/>
          <w:kern w:val="2"/>
          <w:sz w:val="24"/>
          <w:szCs w:val="24"/>
          <w:lang w:val="en-US" w:eastAsia="zh-CN"/>
        </w:rPr>
        <w:t>政府采购法</w:t>
      </w:r>
      <w:r>
        <w:rPr>
          <w:rFonts w:hint="eastAsia" w:cs="宋体" w:asciiTheme="majorEastAsia" w:hAnsiTheme="majorEastAsia" w:eastAsiaTheme="majorEastAsia"/>
          <w:b w:val="0"/>
          <w:color w:val="000000"/>
          <w:kern w:val="2"/>
          <w:sz w:val="24"/>
          <w:szCs w:val="24"/>
          <w:lang w:val="zh-CN"/>
        </w:rPr>
        <w:t>实施条例》、《政府采购货物和服务招标投标管理办法》等有关法律、法规和规章的规定，本招标项目已具备招标条件，现对该项目进行公开招标。</w:t>
      </w:r>
      <w:bookmarkEnd w:id="48"/>
      <w:bookmarkEnd w:id="49"/>
      <w:bookmarkEnd w:id="50"/>
      <w:bookmarkEnd w:id="51"/>
    </w:p>
    <w:p w14:paraId="15960A2A">
      <w:pPr>
        <w:pStyle w:val="29"/>
        <w:spacing w:before="0" w:after="0" w:line="360" w:lineRule="auto"/>
        <w:ind w:left="-147" w:leftChars="-70"/>
        <w:jc w:val="both"/>
        <w:outlineLvl w:val="9"/>
        <w:rPr>
          <w:rFonts w:cs="宋体" w:asciiTheme="majorEastAsia" w:hAnsiTheme="majorEastAsia" w:eastAsiaTheme="majorEastAsia"/>
          <w:b/>
          <w:bCs w:val="0"/>
          <w:color w:val="000000"/>
          <w:kern w:val="2"/>
          <w:sz w:val="24"/>
          <w:szCs w:val="24"/>
          <w:lang w:val="zh-CN"/>
        </w:rPr>
      </w:pPr>
      <w:bookmarkStart w:id="52" w:name="_Toc19008"/>
      <w:bookmarkStart w:id="53" w:name="_Toc445473483"/>
      <w:bookmarkStart w:id="54" w:name="_Toc504479639"/>
      <w:bookmarkStart w:id="55" w:name="_Toc504479188"/>
      <w:bookmarkStart w:id="56" w:name="_Toc504654677"/>
      <w:r>
        <w:rPr>
          <w:rFonts w:cs="宋体" w:asciiTheme="majorEastAsia" w:hAnsiTheme="majorEastAsia" w:eastAsiaTheme="majorEastAsia"/>
          <w:b/>
          <w:bCs w:val="0"/>
          <w:color w:val="000000"/>
          <w:kern w:val="2"/>
          <w:sz w:val="24"/>
          <w:szCs w:val="24"/>
          <w:lang w:val="zh-CN"/>
        </w:rPr>
        <w:t>2</w:t>
      </w:r>
      <w:r>
        <w:rPr>
          <w:rFonts w:hint="eastAsia" w:cs="宋体" w:asciiTheme="majorEastAsia" w:hAnsiTheme="majorEastAsia" w:eastAsiaTheme="majorEastAsia"/>
          <w:b/>
          <w:bCs w:val="0"/>
          <w:color w:val="000000"/>
          <w:kern w:val="2"/>
          <w:sz w:val="24"/>
          <w:szCs w:val="24"/>
          <w:lang w:val="zh-CN"/>
        </w:rPr>
        <w:t>、维护招标、投标当事人的合法权益、反对不正当竞争。</w:t>
      </w:r>
      <w:bookmarkEnd w:id="52"/>
      <w:bookmarkEnd w:id="53"/>
      <w:bookmarkEnd w:id="54"/>
      <w:bookmarkEnd w:id="55"/>
      <w:bookmarkEnd w:id="56"/>
    </w:p>
    <w:p w14:paraId="468F37B9">
      <w:pPr>
        <w:pStyle w:val="29"/>
        <w:spacing w:before="0" w:after="0" w:line="360" w:lineRule="auto"/>
        <w:ind w:left="-147" w:leftChars="-70"/>
        <w:contextualSpacing/>
        <w:jc w:val="both"/>
        <w:outlineLvl w:val="9"/>
        <w:rPr>
          <w:rFonts w:hint="eastAsia" w:cs="宋体" w:asciiTheme="majorEastAsia" w:hAnsiTheme="majorEastAsia" w:eastAsiaTheme="majorEastAsia"/>
          <w:b/>
          <w:bCs w:val="0"/>
          <w:color w:val="000000"/>
          <w:kern w:val="2"/>
          <w:sz w:val="24"/>
          <w:szCs w:val="24"/>
          <w:lang w:val="zh-CN"/>
        </w:rPr>
      </w:pPr>
      <w:bookmarkStart w:id="57" w:name="_Toc445473484"/>
      <w:bookmarkStart w:id="58" w:name="_Toc3450"/>
      <w:bookmarkStart w:id="59" w:name="_Toc504479189"/>
      <w:bookmarkStart w:id="60" w:name="_Toc504654678"/>
      <w:bookmarkStart w:id="61" w:name="_Toc504479640"/>
      <w:r>
        <w:rPr>
          <w:rFonts w:cs="宋体" w:asciiTheme="majorEastAsia" w:hAnsiTheme="majorEastAsia" w:eastAsiaTheme="majorEastAsia"/>
          <w:b/>
          <w:bCs w:val="0"/>
          <w:color w:val="000000"/>
          <w:kern w:val="2"/>
          <w:sz w:val="24"/>
          <w:szCs w:val="24"/>
          <w:lang w:val="zh-CN"/>
        </w:rPr>
        <w:t>3</w:t>
      </w:r>
      <w:r>
        <w:rPr>
          <w:rFonts w:hint="eastAsia" w:cs="宋体" w:asciiTheme="majorEastAsia" w:hAnsiTheme="majorEastAsia" w:eastAsiaTheme="majorEastAsia"/>
          <w:b/>
          <w:bCs w:val="0"/>
          <w:color w:val="000000"/>
          <w:kern w:val="2"/>
          <w:sz w:val="24"/>
          <w:szCs w:val="24"/>
          <w:lang w:val="zh-CN"/>
        </w:rPr>
        <w:t>、参加投标的企业必须符合以下要求：</w:t>
      </w:r>
      <w:bookmarkEnd w:id="57"/>
      <w:bookmarkEnd w:id="58"/>
      <w:bookmarkEnd w:id="59"/>
      <w:bookmarkEnd w:id="60"/>
      <w:bookmarkEnd w:id="61"/>
    </w:p>
    <w:p w14:paraId="36E75935">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1.满足《中华人民共和国政府采购法》第二十二条规定；</w:t>
      </w:r>
    </w:p>
    <w:p w14:paraId="31DCE89A">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2.落实政府采购政策需满足的资格要求：投标人须在中华人民共和国境内注册，具有独立法人资格，具有有效营业执照，符合政府采购政策落实文件的要求。</w:t>
      </w:r>
    </w:p>
    <w:p w14:paraId="58571B47">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2.1</w:t>
      </w:r>
      <w:r>
        <w:rPr>
          <w:rFonts w:hint="eastAsia" w:cs="宋体" w:asciiTheme="majorEastAsia" w:hAnsiTheme="majorEastAsia" w:eastAsiaTheme="majorEastAsia"/>
          <w:bCs/>
          <w:color w:val="000000"/>
          <w:sz w:val="24"/>
          <w:lang w:eastAsia="zh-CN"/>
        </w:rPr>
        <w:t>本项目全部面向中小企业采购</w:t>
      </w:r>
      <w:r>
        <w:rPr>
          <w:rFonts w:hint="eastAsia" w:cs="宋体" w:asciiTheme="majorEastAsia" w:hAnsiTheme="majorEastAsia" w:eastAsiaTheme="majorEastAsia"/>
          <w:bCs/>
          <w:color w:val="000000"/>
          <w:sz w:val="24"/>
        </w:rPr>
        <w:t>；</w:t>
      </w:r>
    </w:p>
    <w:p w14:paraId="64807ABA">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2.2中小企业划分标准执行《关于印发中小企业划型标准规定的通知》（工信部联企业〔2011〕300号）文件；</w:t>
      </w:r>
    </w:p>
    <w:p w14:paraId="5D8EC3E3">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3.本项目的特定资格要求：</w:t>
      </w:r>
    </w:p>
    <w:p w14:paraId="524AE1FF">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3.1供应商须具有独立法人资格的生产制造商或代理经销商，并具有履行合同的能力。</w:t>
      </w:r>
    </w:p>
    <w:p w14:paraId="033D9BC6">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3.2本项目不接受被列入“信用中国”网站失信被执行人、严重失信主体名单、税收违法黑名单、政府采购严重违法失信行为记录名单的供应商参与投标，不接受被列入“中国政府采购网”政府采购严重违法失信行为信息记录的供应商参与投标。</w:t>
      </w:r>
    </w:p>
    <w:p w14:paraId="3B0265E1">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3.3拒绝列入政府取消投标资格记录期间的企业或个人投标。</w:t>
      </w:r>
    </w:p>
    <w:p w14:paraId="75A5D457">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3.4本项目招投标活动的每个环节不得更换被授权人。</w:t>
      </w:r>
    </w:p>
    <w:p w14:paraId="1DABF206">
      <w:pPr>
        <w:spacing w:line="360" w:lineRule="auto"/>
        <w:ind w:left="-147" w:leftChars="-70"/>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3.5具有投资参股关系的关联企业，或具有直接管理和被管理关系的母子公司，或同一母子公司的子公司，或法定代表人为同一人的两个及两个以上法人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招标项目投标。违反上述规定的，相关投标均无效。</w:t>
      </w:r>
    </w:p>
    <w:p w14:paraId="4E43CAE0">
      <w:pPr>
        <w:spacing w:line="360" w:lineRule="auto"/>
        <w:ind w:left="-147" w:leftChars="-70"/>
        <w:rPr>
          <w:rFonts w:cs="宋体" w:asciiTheme="majorEastAsia" w:hAnsiTheme="majorEastAsia" w:eastAsiaTheme="majorEastAsia"/>
          <w:b/>
          <w:bCs w:val="0"/>
          <w:color w:val="000000"/>
          <w:sz w:val="24"/>
        </w:rPr>
      </w:pPr>
      <w:r>
        <w:rPr>
          <w:rFonts w:cs="宋体" w:asciiTheme="majorEastAsia" w:hAnsiTheme="majorEastAsia" w:eastAsiaTheme="majorEastAsia"/>
          <w:b/>
          <w:bCs w:val="0"/>
          <w:color w:val="000000"/>
          <w:sz w:val="24"/>
        </w:rPr>
        <w:t>4</w:t>
      </w:r>
      <w:r>
        <w:rPr>
          <w:rFonts w:hint="eastAsia" w:cs="宋体" w:asciiTheme="majorEastAsia" w:hAnsiTheme="majorEastAsia" w:eastAsiaTheme="majorEastAsia"/>
          <w:b/>
          <w:bCs w:val="0"/>
          <w:color w:val="000000"/>
          <w:sz w:val="24"/>
        </w:rPr>
        <w:t>、投标费用</w:t>
      </w:r>
    </w:p>
    <w:p w14:paraId="3CB1049F">
      <w:pPr>
        <w:spacing w:line="360" w:lineRule="auto"/>
        <w:ind w:left="-84" w:leftChars="-40" w:firstLine="360" w:firstLineChars="15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供应商应承担其编制投标文件与递交文件所涉及的一切费用。不管投标结果如何，采购人及招标代理机构对上述费用不负任何责任。</w:t>
      </w:r>
    </w:p>
    <w:p w14:paraId="4DB68857">
      <w:pPr>
        <w:spacing w:line="360" w:lineRule="auto"/>
        <w:ind w:left="21" w:leftChars="0" w:hanging="21" w:hangingChars="7"/>
        <w:rPr>
          <w:rFonts w:cs="宋体" w:asciiTheme="majorEastAsia" w:hAnsiTheme="majorEastAsia" w:eastAsiaTheme="majorEastAsia"/>
          <w:color w:val="000000"/>
          <w:sz w:val="24"/>
        </w:rPr>
      </w:pPr>
      <w:r>
        <w:rPr>
          <w:rFonts w:hint="eastAsia" w:cs="宋体" w:asciiTheme="majorEastAsia" w:hAnsiTheme="majorEastAsia" w:eastAsiaTheme="majorEastAsia"/>
          <w:b/>
          <w:bCs/>
          <w:color w:val="000000"/>
          <w:sz w:val="30"/>
          <w:szCs w:val="30"/>
        </w:rPr>
        <w:t>二、项目概况</w:t>
      </w:r>
    </w:p>
    <w:p w14:paraId="4EB13E95">
      <w:pPr>
        <w:spacing w:line="360" w:lineRule="auto"/>
        <w:ind w:left="-84" w:leftChars="-40"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val="en-US" w:eastAsia="zh-CN"/>
        </w:rPr>
        <w:t>长岭县防汛物资采购项目</w:t>
      </w: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rPr>
        <w:t>详见</w:t>
      </w:r>
      <w:r>
        <w:rPr>
          <w:rFonts w:hint="eastAsia" w:cs="宋体" w:asciiTheme="majorEastAsia" w:hAnsiTheme="majorEastAsia" w:eastAsiaTheme="majorEastAsia"/>
          <w:color w:val="000000"/>
          <w:sz w:val="24"/>
          <w:lang w:eastAsia="zh-CN"/>
        </w:rPr>
        <w:t>采购货物清单</w:t>
      </w:r>
      <w:r>
        <w:rPr>
          <w:rFonts w:hint="eastAsia" w:cs="宋体" w:asciiTheme="majorEastAsia" w:hAnsiTheme="majorEastAsia" w:eastAsiaTheme="majorEastAsia"/>
          <w:color w:val="000000"/>
          <w:sz w:val="24"/>
        </w:rPr>
        <w:t>；</w:t>
      </w:r>
    </w:p>
    <w:p w14:paraId="3C654805">
      <w:pPr>
        <w:pStyle w:val="3"/>
        <w:spacing w:line="360" w:lineRule="auto"/>
        <w:rPr>
          <w:rFonts w:cs="宋体" w:asciiTheme="majorEastAsia" w:hAnsiTheme="majorEastAsia" w:eastAsiaTheme="majorEastAsia"/>
          <w:color w:val="000000"/>
          <w:szCs w:val="30"/>
        </w:rPr>
      </w:pPr>
      <w:bookmarkStart w:id="62" w:name="_Toc9226"/>
      <w:r>
        <w:rPr>
          <w:rFonts w:hint="eastAsia" w:cs="宋体" w:asciiTheme="majorEastAsia" w:hAnsiTheme="majorEastAsia" w:eastAsiaTheme="majorEastAsia"/>
          <w:color w:val="000000"/>
          <w:szCs w:val="30"/>
        </w:rPr>
        <w:t>三、招标文件</w:t>
      </w:r>
      <w:bookmarkEnd w:id="62"/>
    </w:p>
    <w:p w14:paraId="0B2681A1">
      <w:pPr>
        <w:pStyle w:val="9"/>
        <w:spacing w:line="360" w:lineRule="auto"/>
        <w:ind w:left="0" w:leftChars="0" w:right="20" w:firstLine="0" w:firstLineChars="0"/>
        <w:jc w:val="left"/>
        <w:rPr>
          <w:rFonts w:cs="宋体" w:asciiTheme="majorEastAsia" w:hAnsiTheme="majorEastAsia" w:eastAsiaTheme="majorEastAsia"/>
          <w:b w:val="0"/>
          <w:color w:val="000000"/>
          <w:sz w:val="24"/>
          <w:szCs w:val="24"/>
        </w:rPr>
      </w:pPr>
      <w:r>
        <w:rPr>
          <w:rFonts w:cs="宋体" w:asciiTheme="majorEastAsia" w:hAnsiTheme="majorEastAsia" w:eastAsiaTheme="majorEastAsia"/>
          <w:b w:val="0"/>
          <w:color w:val="000000"/>
          <w:sz w:val="24"/>
          <w:szCs w:val="24"/>
        </w:rPr>
        <w:t>1</w:t>
      </w:r>
      <w:r>
        <w:rPr>
          <w:rFonts w:hint="eastAsia" w:cs="宋体" w:asciiTheme="majorEastAsia" w:hAnsiTheme="majorEastAsia" w:eastAsiaTheme="majorEastAsia"/>
          <w:b w:val="0"/>
          <w:color w:val="000000"/>
          <w:sz w:val="24"/>
          <w:szCs w:val="24"/>
        </w:rPr>
        <w:t>、本招标文件包括：</w:t>
      </w:r>
    </w:p>
    <w:p w14:paraId="10E258CB">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(1)</w:t>
      </w:r>
      <w:r>
        <w:rPr>
          <w:rFonts w:hint="eastAsia" w:cs="宋体" w:asciiTheme="majorEastAsia" w:hAnsiTheme="majorEastAsia" w:eastAsiaTheme="majorEastAsia"/>
          <w:bCs/>
          <w:color w:val="000000"/>
          <w:sz w:val="24"/>
          <w:lang w:val="zh-CN"/>
        </w:rPr>
        <w:t>招标公告；</w:t>
      </w:r>
    </w:p>
    <w:p w14:paraId="071C554B">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(2)</w:t>
      </w:r>
      <w:r>
        <w:rPr>
          <w:rFonts w:hint="eastAsia" w:cs="宋体" w:asciiTheme="majorEastAsia" w:hAnsiTheme="majorEastAsia" w:eastAsiaTheme="majorEastAsia"/>
          <w:bCs/>
          <w:color w:val="000000"/>
          <w:sz w:val="24"/>
          <w:lang w:val="zh-CN"/>
        </w:rPr>
        <w:t>供应商须知</w:t>
      </w:r>
    </w:p>
    <w:p w14:paraId="4045F416">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w:t>
      </w:r>
      <w:r>
        <w:rPr>
          <w:rFonts w:hint="eastAsia" w:cs="宋体" w:asciiTheme="majorEastAsia" w:hAnsiTheme="majorEastAsia" w:eastAsiaTheme="majorEastAsia"/>
          <w:bCs/>
          <w:color w:val="000000"/>
          <w:sz w:val="24"/>
          <w:lang w:val="zh-CN"/>
        </w:rPr>
        <w:t>评标办法</w:t>
      </w:r>
    </w:p>
    <w:p w14:paraId="1BBA3D31">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w:t>
      </w:r>
      <w:r>
        <w:rPr>
          <w:rFonts w:hint="eastAsia" w:cs="宋体" w:asciiTheme="majorEastAsia" w:hAnsiTheme="majorEastAsia" w:eastAsiaTheme="majorEastAsia"/>
          <w:bCs/>
          <w:color w:val="000000"/>
          <w:sz w:val="24"/>
          <w:lang w:val="zh-CN"/>
        </w:rPr>
        <w:t>合同条款</w:t>
      </w:r>
    </w:p>
    <w:p w14:paraId="60EFBC5C">
      <w:pPr>
        <w:autoSpaceDE w:val="0"/>
        <w:autoSpaceDN w:val="0"/>
        <w:adjustRightInd w:val="0"/>
        <w:spacing w:line="360" w:lineRule="auto"/>
        <w:ind w:leftChars="-40" w:hanging="84" w:hangingChars="3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w:t>
      </w:r>
      <w:r>
        <w:rPr>
          <w:rFonts w:cs="宋体" w:asciiTheme="majorEastAsia" w:hAnsiTheme="majorEastAsia" w:eastAsiaTheme="majorEastAsia"/>
          <w:bCs/>
          <w:color w:val="000000"/>
          <w:sz w:val="24"/>
          <w:lang w:val="zh-CN"/>
        </w:rPr>
        <w:t>5</w:t>
      </w:r>
      <w:r>
        <w:rPr>
          <w:rFonts w:hint="eastAsia" w:cs="宋体" w:asciiTheme="majorEastAsia" w:hAnsiTheme="majorEastAsia" w:eastAsiaTheme="majorEastAsia"/>
          <w:bCs/>
          <w:color w:val="000000"/>
          <w:sz w:val="24"/>
          <w:lang w:val="zh-CN"/>
        </w:rPr>
        <w:t>）技术标准和要求</w:t>
      </w:r>
    </w:p>
    <w:p w14:paraId="3FF9B2AE">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 xml:space="preserve">(6) </w:t>
      </w:r>
      <w:r>
        <w:rPr>
          <w:rFonts w:hint="eastAsia" w:cs="宋体" w:asciiTheme="majorEastAsia" w:hAnsiTheme="majorEastAsia" w:eastAsiaTheme="majorEastAsia"/>
          <w:bCs/>
          <w:color w:val="000000"/>
          <w:sz w:val="24"/>
          <w:lang w:val="zh-CN"/>
        </w:rPr>
        <w:t>投标文件格式。</w:t>
      </w:r>
    </w:p>
    <w:p w14:paraId="3F1FAE02">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2</w:t>
      </w:r>
      <w:r>
        <w:rPr>
          <w:rFonts w:hint="eastAsia" w:cs="宋体" w:asciiTheme="majorEastAsia" w:hAnsiTheme="majorEastAsia" w:eastAsiaTheme="majorEastAsia"/>
          <w:bCs/>
          <w:color w:val="000000"/>
          <w:sz w:val="24"/>
          <w:lang w:val="zh-CN"/>
        </w:rPr>
        <w:t>、供应商应认真阅读招标文件中所含的投标须知、合同条款、技术规范、规定格式等内容，供应商的投标文件应在实质上响应招标文件的要求，否则，供应商的投标文件将被拒绝。</w:t>
      </w:r>
    </w:p>
    <w:p w14:paraId="76DDA8CD">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3</w:t>
      </w:r>
      <w:r>
        <w:rPr>
          <w:rFonts w:hint="eastAsia" w:cs="宋体" w:asciiTheme="majorEastAsia" w:hAnsiTheme="majorEastAsia" w:eastAsiaTheme="majorEastAsia"/>
          <w:b/>
          <w:color w:val="000000"/>
          <w:sz w:val="24"/>
          <w:lang w:val="zh-CN"/>
        </w:rPr>
        <w:t>、招标文件的解释</w:t>
      </w:r>
    </w:p>
    <w:p w14:paraId="2FD3F26B">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3.1</w:t>
      </w:r>
      <w:r>
        <w:rPr>
          <w:rFonts w:hint="eastAsia" w:cs="宋体" w:asciiTheme="majorEastAsia" w:hAnsiTheme="majorEastAsia" w:eastAsiaTheme="majorEastAsia"/>
          <w:bCs/>
          <w:color w:val="000000"/>
          <w:sz w:val="24"/>
          <w:lang w:val="zh-CN"/>
        </w:rPr>
        <w:t>供应商在获得招标文件后，如有问题需要采购人澄清和解答，应在投标截止日期</w:t>
      </w:r>
      <w:r>
        <w:rPr>
          <w:rFonts w:cs="宋体" w:asciiTheme="majorEastAsia" w:hAnsiTheme="majorEastAsia" w:eastAsiaTheme="majorEastAsia"/>
          <w:bCs/>
          <w:color w:val="000000"/>
          <w:sz w:val="24"/>
          <w:lang w:val="zh-CN"/>
        </w:rPr>
        <w:t>15</w:t>
      </w:r>
      <w:r>
        <w:rPr>
          <w:rFonts w:hint="eastAsia" w:cs="宋体" w:asciiTheme="majorEastAsia" w:hAnsiTheme="majorEastAsia" w:eastAsiaTheme="majorEastAsia"/>
          <w:bCs/>
          <w:color w:val="000000"/>
          <w:sz w:val="24"/>
          <w:lang w:val="zh-CN"/>
        </w:rPr>
        <w:t>日以前将需澄淸及答疑内容以书面形式并加盖供应商公章提交招标代理机构，招标代理机构将在投标截止日期</w:t>
      </w:r>
      <w:r>
        <w:rPr>
          <w:rFonts w:cs="宋体" w:asciiTheme="majorEastAsia" w:hAnsiTheme="majorEastAsia" w:eastAsiaTheme="majorEastAsia"/>
          <w:bCs/>
          <w:color w:val="000000"/>
          <w:sz w:val="24"/>
        </w:rPr>
        <w:t>15</w:t>
      </w:r>
      <w:r>
        <w:rPr>
          <w:rFonts w:hint="eastAsia" w:cs="宋体" w:asciiTheme="majorEastAsia" w:hAnsiTheme="majorEastAsia" w:eastAsiaTheme="majorEastAsia"/>
          <w:bCs/>
          <w:color w:val="000000"/>
          <w:sz w:val="24"/>
          <w:lang w:val="zh-CN"/>
        </w:rPr>
        <w:t>日以前做出答复。招标代理机构只对书面问题做出答复。答复内容以答疑文件的形式发给所有招标文件收受人</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但不指明问题来源</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w:t>
      </w:r>
    </w:p>
    <w:p w14:paraId="37B60DB9">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3.2</w:t>
      </w:r>
      <w:r>
        <w:rPr>
          <w:rFonts w:hint="eastAsia" w:cs="宋体" w:asciiTheme="majorEastAsia" w:hAnsiTheme="majorEastAsia" w:eastAsiaTheme="majorEastAsia"/>
          <w:bCs/>
          <w:color w:val="000000"/>
          <w:sz w:val="24"/>
          <w:lang w:val="zh-CN"/>
        </w:rPr>
        <w:t>在投标截止日期</w:t>
      </w:r>
      <w:r>
        <w:rPr>
          <w:rFonts w:cs="宋体" w:asciiTheme="majorEastAsia" w:hAnsiTheme="majorEastAsia" w:eastAsiaTheme="majorEastAsia"/>
          <w:bCs/>
          <w:color w:val="000000"/>
          <w:sz w:val="24"/>
          <w:lang w:val="zh-CN"/>
        </w:rPr>
        <w:t>15</w:t>
      </w:r>
      <w:r>
        <w:rPr>
          <w:rFonts w:hint="eastAsia" w:cs="宋体" w:asciiTheme="majorEastAsia" w:hAnsiTheme="majorEastAsia" w:eastAsiaTheme="majorEastAsia"/>
          <w:bCs/>
          <w:color w:val="000000"/>
          <w:sz w:val="24"/>
          <w:lang w:val="zh-CN"/>
        </w:rPr>
        <w:t>日以前，无论处于何种原因，采购人可能以补充文件的方式修改招标文件的非实质性内容，影响开标日期的，开标日期相应顺延。补充文件将发给所有招标文件收受人。</w:t>
      </w:r>
    </w:p>
    <w:p w14:paraId="0F1CB6EA">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3.3</w:t>
      </w:r>
      <w:r>
        <w:rPr>
          <w:rFonts w:hint="eastAsia" w:cs="宋体" w:asciiTheme="majorEastAsia" w:hAnsiTheme="majorEastAsia" w:eastAsiaTheme="majorEastAsia"/>
          <w:bCs/>
          <w:color w:val="000000"/>
          <w:sz w:val="24"/>
          <w:lang w:val="zh-CN"/>
        </w:rPr>
        <w:t>补充</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答疑</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文件是招标文件的组成部分，与招标文件具有同等效力。</w:t>
      </w:r>
    </w:p>
    <w:p w14:paraId="237E6C79">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3.4</w:t>
      </w:r>
      <w:r>
        <w:rPr>
          <w:rFonts w:hint="eastAsia" w:cs="宋体" w:asciiTheme="majorEastAsia" w:hAnsiTheme="majorEastAsia" w:eastAsiaTheme="majorEastAsia"/>
          <w:bCs/>
          <w:color w:val="000000"/>
          <w:sz w:val="24"/>
          <w:lang w:val="zh-CN"/>
        </w:rPr>
        <w:t>供应商在每一次收到答复结果后应及时以书面形式通知招标代理机构，确认已收到该答复结果。</w:t>
      </w:r>
    </w:p>
    <w:p w14:paraId="1E5AA791">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4</w:t>
      </w:r>
      <w:r>
        <w:rPr>
          <w:rFonts w:hint="eastAsia" w:cs="宋体" w:asciiTheme="majorEastAsia" w:hAnsiTheme="majorEastAsia" w:eastAsiaTheme="majorEastAsia"/>
          <w:b/>
          <w:color w:val="000000"/>
          <w:sz w:val="24"/>
          <w:lang w:val="zh-CN"/>
        </w:rPr>
        <w:t>、招标文件的修改</w:t>
      </w:r>
    </w:p>
    <w:p w14:paraId="6E58C889">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4.1</w:t>
      </w:r>
      <w:r>
        <w:rPr>
          <w:rFonts w:hint="eastAsia" w:cs="宋体" w:asciiTheme="majorEastAsia" w:hAnsiTheme="majorEastAsia" w:eastAsiaTheme="majorEastAsia"/>
          <w:bCs/>
          <w:color w:val="000000"/>
          <w:sz w:val="24"/>
          <w:lang w:val="zh-CN"/>
        </w:rPr>
        <w:t>在投标截止以前，采购人可以用补充文件的方式修改招标文件，补充文件将构成招标文件的一部分。</w:t>
      </w:r>
    </w:p>
    <w:p w14:paraId="46447AFB">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4.2</w:t>
      </w:r>
      <w:r>
        <w:rPr>
          <w:rFonts w:hint="eastAsia" w:cs="宋体" w:asciiTheme="majorEastAsia" w:hAnsiTheme="majorEastAsia" w:eastAsiaTheme="majorEastAsia"/>
          <w:bCs/>
          <w:color w:val="000000"/>
          <w:sz w:val="24"/>
          <w:lang w:val="zh-CN"/>
        </w:rPr>
        <w:t>补充文件将以书面形式发给所有招标文件收受人，招标文件收受人应以书面形式回复招标代理机构确认收到每一份补充文件。</w:t>
      </w:r>
    </w:p>
    <w:p w14:paraId="2FE3AA01">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4.3</w:t>
      </w:r>
      <w:r>
        <w:rPr>
          <w:rFonts w:hint="eastAsia" w:cs="宋体" w:asciiTheme="majorEastAsia" w:hAnsiTheme="majorEastAsia" w:eastAsiaTheme="majorEastAsia"/>
          <w:bCs/>
          <w:color w:val="000000"/>
          <w:sz w:val="24"/>
          <w:lang w:val="zh-CN"/>
        </w:rPr>
        <w:t>为了给供应商合理的时间，使其在编制投标文件时把补充文件内容考虑进去，采购人可以依规延长投标截止时间，并将此变更书面通知所有招标文件收受人。</w:t>
      </w:r>
    </w:p>
    <w:p w14:paraId="24490732">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4.4</w:t>
      </w:r>
      <w:r>
        <w:rPr>
          <w:rFonts w:hint="eastAsia" w:cs="宋体" w:asciiTheme="majorEastAsia" w:hAnsiTheme="majorEastAsia" w:eastAsiaTheme="majorEastAsia"/>
          <w:bCs/>
          <w:color w:val="000000"/>
          <w:sz w:val="24"/>
          <w:lang w:val="zh-CN"/>
        </w:rPr>
        <w:t>当招标文件、补充文件、答疑纪要内容相互矛盾时，以最后发出的通知（或纪要）为准。</w:t>
      </w:r>
    </w:p>
    <w:p w14:paraId="40919435">
      <w:pPr>
        <w:spacing w:line="360" w:lineRule="auto"/>
        <w:ind w:left="21" w:leftChars="-40" w:hanging="105" w:hangingChars="35"/>
        <w:rPr>
          <w:rFonts w:cs="宋体" w:asciiTheme="majorEastAsia" w:hAnsiTheme="majorEastAsia" w:eastAsiaTheme="majorEastAsia"/>
          <w:b/>
          <w:bCs/>
          <w:color w:val="000000"/>
          <w:sz w:val="30"/>
          <w:szCs w:val="30"/>
          <w:lang w:val="zh-CN"/>
        </w:rPr>
      </w:pPr>
      <w:bookmarkStart w:id="63" w:name="_Toc429224640"/>
      <w:bookmarkStart w:id="64" w:name="_Toc201719081"/>
      <w:bookmarkStart w:id="65" w:name="_Toc435021070"/>
      <w:bookmarkStart w:id="66" w:name="_Toc445473485"/>
      <w:r>
        <w:rPr>
          <w:rFonts w:hint="eastAsia" w:cs="宋体" w:asciiTheme="majorEastAsia" w:hAnsiTheme="majorEastAsia" w:eastAsiaTheme="majorEastAsia"/>
          <w:b/>
          <w:bCs/>
          <w:color w:val="000000"/>
          <w:sz w:val="30"/>
          <w:szCs w:val="30"/>
          <w:lang w:val="zh-CN"/>
        </w:rPr>
        <w:t>四</w:t>
      </w:r>
      <w:bookmarkEnd w:id="63"/>
      <w:bookmarkEnd w:id="64"/>
      <w:bookmarkEnd w:id="65"/>
      <w:r>
        <w:rPr>
          <w:rFonts w:hint="eastAsia" w:cs="宋体" w:asciiTheme="majorEastAsia" w:hAnsiTheme="majorEastAsia" w:eastAsiaTheme="majorEastAsia"/>
          <w:b/>
          <w:bCs/>
          <w:color w:val="000000"/>
          <w:sz w:val="30"/>
          <w:szCs w:val="30"/>
          <w:lang w:val="zh-CN"/>
        </w:rPr>
        <w:t>、投标文件</w:t>
      </w:r>
      <w:bookmarkEnd w:id="66"/>
    </w:p>
    <w:p w14:paraId="4DAD277C">
      <w:pPr>
        <w:autoSpaceDE w:val="0"/>
        <w:autoSpaceDN w:val="0"/>
        <w:adjustRightInd w:val="0"/>
        <w:spacing w:line="360" w:lineRule="auto"/>
        <w:ind w:left="-44" w:leftChars="-21" w:firstLine="43" w:firstLineChars="18"/>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1</w:t>
      </w:r>
      <w:r>
        <w:rPr>
          <w:rFonts w:hint="eastAsia" w:cs="宋体" w:asciiTheme="majorEastAsia" w:hAnsiTheme="majorEastAsia" w:eastAsiaTheme="majorEastAsia"/>
          <w:b/>
          <w:color w:val="000000"/>
          <w:sz w:val="24"/>
          <w:lang w:val="zh-CN"/>
        </w:rPr>
        <w:t>、投标文件的语言</w:t>
      </w:r>
    </w:p>
    <w:p w14:paraId="3CDC98BE">
      <w:pPr>
        <w:spacing w:line="360" w:lineRule="auto"/>
        <w:ind w:left="-109" w:leftChars="-52" w:firstLine="240" w:firstLineChars="1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与投标有关的所有文件必须使用中文。</w:t>
      </w:r>
    </w:p>
    <w:p w14:paraId="40AD65DE">
      <w:pPr>
        <w:spacing w:line="360" w:lineRule="auto"/>
        <w:ind w:left="-27" w:leftChars="-13" w:firstLine="27" w:firstLineChars="11"/>
        <w:rPr>
          <w:rFonts w:cs="宋体" w:asciiTheme="majorEastAsia" w:hAnsiTheme="majorEastAsia" w:eastAsiaTheme="majorEastAsia"/>
          <w:b/>
          <w:bCs/>
          <w:color w:val="000000"/>
          <w:sz w:val="24"/>
        </w:rPr>
      </w:pPr>
      <w:r>
        <w:rPr>
          <w:rFonts w:cs="宋体" w:asciiTheme="majorEastAsia" w:hAnsiTheme="majorEastAsia" w:eastAsiaTheme="majorEastAsia"/>
          <w:b/>
          <w:bCs/>
          <w:color w:val="000000"/>
          <w:sz w:val="24"/>
        </w:rPr>
        <w:t>2</w:t>
      </w:r>
      <w:r>
        <w:rPr>
          <w:rFonts w:hint="eastAsia" w:cs="宋体" w:asciiTheme="majorEastAsia" w:hAnsiTheme="majorEastAsia" w:eastAsiaTheme="majorEastAsia"/>
          <w:b/>
          <w:bCs/>
          <w:color w:val="000000"/>
          <w:sz w:val="24"/>
        </w:rPr>
        <w:t>、投标文件的组成</w:t>
      </w:r>
    </w:p>
    <w:p w14:paraId="6E25D2F3">
      <w:pPr>
        <w:spacing w:line="360" w:lineRule="auto"/>
        <w:contextualSpacing/>
        <w:rPr>
          <w:rFonts w:cs="宋体" w:asciiTheme="majorEastAsia" w:hAnsiTheme="majorEastAsia" w:eastAsiaTheme="majorEastAsia"/>
          <w:color w:val="000000"/>
          <w:sz w:val="24"/>
        </w:rPr>
      </w:pPr>
      <w:bookmarkStart w:id="67" w:name="_Toc445473486"/>
      <w:bookmarkStart w:id="68" w:name="_Toc504479647"/>
      <w:bookmarkStart w:id="69" w:name="_Toc504479196"/>
      <w:bookmarkStart w:id="70" w:name="_Toc504654683"/>
      <w:r>
        <w:rPr>
          <w:rFonts w:cs="宋体" w:asciiTheme="majorEastAsia" w:hAnsiTheme="majorEastAsia" w:eastAsiaTheme="majorEastAsia"/>
          <w:color w:val="000000"/>
          <w:sz w:val="24"/>
        </w:rPr>
        <w:t>2.1</w:t>
      </w:r>
      <w:r>
        <w:rPr>
          <w:rFonts w:hint="eastAsia" w:cs="宋体" w:asciiTheme="majorEastAsia" w:hAnsiTheme="majorEastAsia" w:eastAsiaTheme="majorEastAsia"/>
          <w:color w:val="000000"/>
          <w:sz w:val="24"/>
        </w:rPr>
        <w:t>投标文件应由价格部分、商务部分、技术部分三部分组成。投标文件严格按第六章投标文件格式填写。</w:t>
      </w:r>
    </w:p>
    <w:p w14:paraId="370140E4">
      <w:pPr>
        <w:spacing w:before="120" w:line="360" w:lineRule="auto"/>
        <w:contextualSpacing/>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2.2</w:t>
      </w:r>
      <w:r>
        <w:rPr>
          <w:rFonts w:hint="eastAsia" w:cs="宋体" w:asciiTheme="majorEastAsia" w:hAnsiTheme="majorEastAsia" w:eastAsiaTheme="majorEastAsia"/>
          <w:color w:val="000000"/>
          <w:sz w:val="24"/>
        </w:rPr>
        <w:t>价格部分应包括：</w:t>
      </w:r>
    </w:p>
    <w:p w14:paraId="56AFD475">
      <w:pPr>
        <w:spacing w:line="360" w:lineRule="auto"/>
        <w:ind w:firstLine="426"/>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）开标一览表；</w:t>
      </w:r>
    </w:p>
    <w:p w14:paraId="1FB5650D">
      <w:pPr>
        <w:spacing w:line="360" w:lineRule="auto"/>
        <w:ind w:left="426"/>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）投标报价表。</w:t>
      </w:r>
    </w:p>
    <w:p w14:paraId="054FD7A4">
      <w:pPr>
        <w:tabs>
          <w:tab w:val="left" w:pos="770"/>
        </w:tabs>
        <w:spacing w:line="360" w:lineRule="auto"/>
        <w:contextualSpacing/>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2.3</w:t>
      </w:r>
      <w:r>
        <w:rPr>
          <w:rFonts w:hint="eastAsia" w:cs="宋体" w:asciiTheme="majorEastAsia" w:hAnsiTheme="majorEastAsia" w:eastAsiaTheme="majorEastAsia"/>
          <w:color w:val="000000"/>
          <w:sz w:val="24"/>
        </w:rPr>
        <w:t>商务及资格审查部分：</w:t>
      </w:r>
    </w:p>
    <w:p w14:paraId="42B35105">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）投标函；</w:t>
      </w:r>
    </w:p>
    <w:p w14:paraId="2462479F">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）法定代表人身份证明书；</w:t>
      </w:r>
    </w:p>
    <w:p w14:paraId="37B8C6BD">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）被授权人身份证明书；</w:t>
      </w:r>
    </w:p>
    <w:p w14:paraId="745950EA">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bCs/>
          <w:color w:val="000000"/>
          <w:sz w:val="24"/>
          <w:lang w:val="zh-CN"/>
        </w:rPr>
        <w:t>供应商</w:t>
      </w:r>
      <w:r>
        <w:rPr>
          <w:rFonts w:hint="eastAsia" w:cs="宋体" w:asciiTheme="majorEastAsia" w:hAnsiTheme="majorEastAsia" w:eastAsiaTheme="majorEastAsia"/>
          <w:color w:val="000000"/>
          <w:sz w:val="24"/>
        </w:rPr>
        <w:t>基本情况表；</w:t>
      </w:r>
    </w:p>
    <w:p w14:paraId="71166712">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5</w:t>
      </w:r>
      <w:r>
        <w:rPr>
          <w:rFonts w:hint="eastAsia" w:cs="宋体" w:asciiTheme="majorEastAsia" w:hAnsiTheme="majorEastAsia" w:eastAsiaTheme="majorEastAsia"/>
          <w:color w:val="000000"/>
          <w:sz w:val="24"/>
        </w:rPr>
        <w:t>）三年内在经营活动中没有重大违法记录的声明；</w:t>
      </w:r>
    </w:p>
    <w:p w14:paraId="30E63DDF">
      <w:pPr>
        <w:tabs>
          <w:tab w:val="left" w:pos="770"/>
        </w:tabs>
        <w:spacing w:line="360" w:lineRule="auto"/>
        <w:contextualSpacing/>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2.4</w:t>
      </w:r>
      <w:r>
        <w:rPr>
          <w:rFonts w:hint="eastAsia" w:cs="宋体" w:asciiTheme="majorEastAsia" w:hAnsiTheme="majorEastAsia" w:eastAsiaTheme="majorEastAsia"/>
          <w:color w:val="000000"/>
          <w:sz w:val="24"/>
        </w:rPr>
        <w:t>技术部分应包括但不限于以下内容：</w:t>
      </w:r>
    </w:p>
    <w:p w14:paraId="4E418388">
      <w:pPr>
        <w:tabs>
          <w:tab w:val="left" w:pos="770"/>
        </w:tabs>
        <w:spacing w:line="360" w:lineRule="auto"/>
        <w:ind w:firstLine="480" w:firstLineChars="200"/>
        <w:contextualSpacing/>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lang w:val="en-US" w:eastAsia="zh-CN"/>
        </w:rPr>
        <w:t>1</w:t>
      </w: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rPr>
        <w:t>技术部分偏离表</w:t>
      </w:r>
    </w:p>
    <w:p w14:paraId="55D8D36E">
      <w:pPr>
        <w:spacing w:line="360" w:lineRule="auto"/>
        <w:ind w:left="-2" w:leftChars="0" w:firstLine="0" w:firstLineChars="0"/>
        <w:rPr>
          <w:rFonts w:cs="宋体" w:asciiTheme="majorEastAsia" w:hAnsiTheme="majorEastAsia" w:eastAsiaTheme="majorEastAsia"/>
          <w:b/>
          <w:bCs/>
          <w:color w:val="000000"/>
          <w:sz w:val="24"/>
        </w:rPr>
      </w:pPr>
      <w:r>
        <w:rPr>
          <w:rFonts w:cs="宋体" w:asciiTheme="majorEastAsia" w:hAnsiTheme="majorEastAsia" w:eastAsiaTheme="majorEastAsia"/>
          <w:b/>
          <w:bCs/>
          <w:color w:val="000000"/>
          <w:sz w:val="24"/>
        </w:rPr>
        <w:t>3</w:t>
      </w:r>
      <w:r>
        <w:rPr>
          <w:rFonts w:hint="eastAsia" w:cs="宋体" w:asciiTheme="majorEastAsia" w:hAnsiTheme="majorEastAsia" w:eastAsiaTheme="majorEastAsia"/>
          <w:b/>
          <w:bCs/>
          <w:color w:val="000000"/>
          <w:sz w:val="24"/>
        </w:rPr>
        <w:t>、投标报价</w:t>
      </w:r>
      <w:bookmarkEnd w:id="67"/>
      <w:bookmarkEnd w:id="68"/>
      <w:bookmarkEnd w:id="69"/>
      <w:bookmarkEnd w:id="70"/>
    </w:p>
    <w:p w14:paraId="03D4C583">
      <w:pPr>
        <w:pStyle w:val="29"/>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71" w:name="_Toc24917"/>
      <w:bookmarkStart w:id="72" w:name="_Toc504654684"/>
      <w:bookmarkStart w:id="73" w:name="_Toc445473487"/>
      <w:bookmarkStart w:id="74" w:name="_Toc504479197"/>
      <w:bookmarkStart w:id="75" w:name="_Toc504479648"/>
      <w:r>
        <w:rPr>
          <w:rFonts w:cs="宋体" w:asciiTheme="majorEastAsia" w:hAnsiTheme="majorEastAsia" w:eastAsiaTheme="majorEastAsia"/>
          <w:b w:val="0"/>
          <w:bCs w:val="0"/>
          <w:color w:val="000000"/>
          <w:kern w:val="2"/>
          <w:sz w:val="24"/>
          <w:szCs w:val="24"/>
        </w:rPr>
        <w:t>3.1</w:t>
      </w:r>
      <w:r>
        <w:rPr>
          <w:rFonts w:hint="eastAsia" w:cs="宋体" w:asciiTheme="majorEastAsia" w:hAnsiTheme="majorEastAsia" w:eastAsiaTheme="majorEastAsia"/>
          <w:b w:val="0"/>
          <w:bCs w:val="0"/>
          <w:color w:val="000000"/>
          <w:kern w:val="2"/>
          <w:sz w:val="24"/>
          <w:szCs w:val="24"/>
        </w:rPr>
        <w:t>投标报价根据本次发包项目的范围、答疑纪要、招标文件的要求，供应商根据现场情况并应结合企业情况自主报价进行编制。</w:t>
      </w:r>
      <w:bookmarkEnd w:id="71"/>
      <w:bookmarkEnd w:id="72"/>
      <w:bookmarkEnd w:id="73"/>
      <w:bookmarkEnd w:id="74"/>
      <w:bookmarkEnd w:id="75"/>
    </w:p>
    <w:p w14:paraId="535E1BD9">
      <w:pPr>
        <w:pStyle w:val="29"/>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76" w:name="_Toc504479198"/>
      <w:bookmarkStart w:id="77" w:name="_Toc445473488"/>
      <w:bookmarkStart w:id="78" w:name="_Toc373"/>
      <w:bookmarkStart w:id="79" w:name="_Toc504654685"/>
      <w:bookmarkStart w:id="80" w:name="_Toc504479649"/>
      <w:r>
        <w:rPr>
          <w:rFonts w:cs="宋体" w:asciiTheme="majorEastAsia" w:hAnsiTheme="majorEastAsia" w:eastAsiaTheme="majorEastAsia"/>
          <w:b w:val="0"/>
          <w:bCs w:val="0"/>
          <w:color w:val="000000"/>
          <w:kern w:val="2"/>
          <w:sz w:val="24"/>
          <w:szCs w:val="24"/>
        </w:rPr>
        <w:t>3.2</w:t>
      </w:r>
      <w:r>
        <w:rPr>
          <w:rFonts w:hint="eastAsia" w:cs="宋体" w:asciiTheme="majorEastAsia" w:hAnsiTheme="majorEastAsia" w:eastAsiaTheme="majorEastAsia"/>
          <w:b w:val="0"/>
          <w:bCs w:val="0"/>
          <w:color w:val="000000"/>
          <w:kern w:val="2"/>
          <w:sz w:val="24"/>
          <w:szCs w:val="24"/>
        </w:rPr>
        <w:t>供应商在报价时还应充分考虑项目实施期间包括物价变动在内的各种风险因素。</w:t>
      </w:r>
      <w:bookmarkEnd w:id="76"/>
      <w:bookmarkEnd w:id="77"/>
      <w:bookmarkEnd w:id="78"/>
      <w:bookmarkEnd w:id="79"/>
      <w:bookmarkEnd w:id="80"/>
    </w:p>
    <w:p w14:paraId="6DB7E851">
      <w:pPr>
        <w:pStyle w:val="29"/>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81" w:name="_Toc504479199"/>
      <w:bookmarkStart w:id="82" w:name="_Toc504654686"/>
      <w:bookmarkStart w:id="83" w:name="_Toc18493"/>
      <w:bookmarkStart w:id="84" w:name="_Toc504479650"/>
      <w:bookmarkStart w:id="85" w:name="_Toc445473489"/>
      <w:r>
        <w:rPr>
          <w:rFonts w:cs="宋体" w:asciiTheme="majorEastAsia" w:hAnsiTheme="majorEastAsia" w:eastAsiaTheme="majorEastAsia"/>
          <w:b w:val="0"/>
          <w:bCs w:val="0"/>
          <w:color w:val="000000"/>
          <w:kern w:val="2"/>
          <w:sz w:val="24"/>
          <w:szCs w:val="24"/>
        </w:rPr>
        <w:t>3.3</w:t>
      </w:r>
      <w:r>
        <w:rPr>
          <w:rFonts w:hint="eastAsia" w:cs="宋体" w:asciiTheme="majorEastAsia" w:hAnsiTheme="majorEastAsia" w:eastAsiaTheme="majorEastAsia"/>
          <w:b w:val="0"/>
          <w:bCs w:val="0"/>
          <w:color w:val="000000"/>
          <w:kern w:val="2"/>
          <w:sz w:val="24"/>
          <w:szCs w:val="24"/>
        </w:rPr>
        <w:t>投标报价为本项目全部费用，本项目中投标队伍的工作和生活等费用，以及在工作过程中因投标队伍需要第三方配合而产生的相关费用，由供应商自行解决。</w:t>
      </w:r>
      <w:bookmarkEnd w:id="81"/>
      <w:bookmarkEnd w:id="82"/>
      <w:bookmarkEnd w:id="83"/>
      <w:bookmarkEnd w:id="84"/>
      <w:bookmarkEnd w:id="85"/>
    </w:p>
    <w:p w14:paraId="1F00107D">
      <w:pPr>
        <w:pStyle w:val="29"/>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86" w:name="_Toc435021075"/>
      <w:bookmarkStart w:id="87" w:name="_Toc429224645"/>
      <w:bookmarkStart w:id="88" w:name="_Toc445473490"/>
      <w:bookmarkStart w:id="89" w:name="_Toc504479200"/>
      <w:bookmarkStart w:id="90" w:name="_Toc12504"/>
      <w:bookmarkStart w:id="91" w:name="_Toc504479651"/>
      <w:bookmarkStart w:id="92" w:name="_Toc504654687"/>
      <w:r>
        <w:rPr>
          <w:rFonts w:cs="宋体" w:asciiTheme="majorEastAsia" w:hAnsiTheme="majorEastAsia" w:eastAsiaTheme="majorEastAsia"/>
          <w:b w:val="0"/>
          <w:bCs w:val="0"/>
          <w:color w:val="000000"/>
          <w:kern w:val="2"/>
          <w:sz w:val="24"/>
          <w:szCs w:val="24"/>
        </w:rPr>
        <w:t>3.4</w:t>
      </w:r>
      <w:r>
        <w:rPr>
          <w:rFonts w:hint="eastAsia" w:cs="宋体" w:asciiTheme="majorEastAsia" w:hAnsiTheme="majorEastAsia" w:eastAsiaTheme="majorEastAsia"/>
          <w:b w:val="0"/>
          <w:bCs w:val="0"/>
          <w:color w:val="000000"/>
          <w:kern w:val="2"/>
          <w:sz w:val="24"/>
          <w:szCs w:val="24"/>
        </w:rPr>
        <w:t>投标和支付所使用的货币：</w:t>
      </w:r>
      <w:bookmarkEnd w:id="86"/>
      <w:bookmarkEnd w:id="87"/>
      <w:r>
        <w:rPr>
          <w:rFonts w:hint="eastAsia" w:cs="宋体" w:asciiTheme="majorEastAsia" w:hAnsiTheme="majorEastAsia" w:eastAsiaTheme="majorEastAsia"/>
          <w:b w:val="0"/>
          <w:bCs w:val="0"/>
          <w:color w:val="000000"/>
          <w:kern w:val="2"/>
          <w:sz w:val="24"/>
          <w:szCs w:val="24"/>
        </w:rPr>
        <w:t>供应商填报的投标报价均以人民币为计价依据，合同实施时亦以人民币支付。</w:t>
      </w:r>
      <w:bookmarkEnd w:id="88"/>
      <w:bookmarkEnd w:id="89"/>
      <w:bookmarkEnd w:id="90"/>
      <w:bookmarkEnd w:id="91"/>
      <w:bookmarkEnd w:id="92"/>
    </w:p>
    <w:p w14:paraId="7A38EB2A">
      <w:pPr>
        <w:pStyle w:val="29"/>
        <w:spacing w:before="0" w:after="0" w:line="360" w:lineRule="auto"/>
        <w:ind w:left="-2" w:leftChars="0" w:firstLine="0" w:firstLineChars="0"/>
        <w:jc w:val="left"/>
        <w:outlineLvl w:val="9"/>
        <w:rPr>
          <w:rFonts w:cs="宋体" w:asciiTheme="majorEastAsia" w:hAnsiTheme="majorEastAsia" w:eastAsiaTheme="majorEastAsia"/>
          <w:color w:val="000000"/>
          <w:kern w:val="2"/>
          <w:sz w:val="24"/>
          <w:szCs w:val="24"/>
        </w:rPr>
      </w:pPr>
      <w:bookmarkStart w:id="93" w:name="_Toc26848"/>
      <w:bookmarkStart w:id="94" w:name="_Toc504654688"/>
      <w:bookmarkStart w:id="95" w:name="_Toc504479201"/>
      <w:bookmarkStart w:id="96" w:name="_Toc504479652"/>
      <w:r>
        <w:rPr>
          <w:rFonts w:cs="宋体" w:asciiTheme="majorEastAsia" w:hAnsiTheme="majorEastAsia" w:eastAsiaTheme="majorEastAsia"/>
          <w:color w:val="000000"/>
          <w:kern w:val="2"/>
          <w:sz w:val="24"/>
          <w:szCs w:val="24"/>
        </w:rPr>
        <w:t>4</w:t>
      </w:r>
      <w:r>
        <w:rPr>
          <w:rFonts w:hint="eastAsia" w:cs="宋体" w:asciiTheme="majorEastAsia" w:hAnsiTheme="majorEastAsia" w:eastAsiaTheme="majorEastAsia"/>
          <w:color w:val="000000"/>
          <w:kern w:val="2"/>
          <w:sz w:val="24"/>
          <w:szCs w:val="24"/>
        </w:rPr>
        <w:t>、投标文件的递交</w:t>
      </w:r>
      <w:bookmarkEnd w:id="93"/>
      <w:bookmarkEnd w:id="94"/>
      <w:bookmarkEnd w:id="95"/>
      <w:bookmarkEnd w:id="96"/>
    </w:p>
    <w:p w14:paraId="36535F96">
      <w:pPr>
        <w:pStyle w:val="29"/>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97" w:name="_Toc504654689"/>
      <w:bookmarkStart w:id="98" w:name="_Toc504479202"/>
      <w:bookmarkStart w:id="99" w:name="_Toc12589"/>
      <w:bookmarkStart w:id="100" w:name="_Toc504479653"/>
      <w:r>
        <w:rPr>
          <w:rFonts w:cs="宋体" w:asciiTheme="majorEastAsia" w:hAnsiTheme="majorEastAsia" w:eastAsiaTheme="majorEastAsia"/>
          <w:b w:val="0"/>
          <w:bCs w:val="0"/>
          <w:color w:val="000000"/>
          <w:kern w:val="2"/>
          <w:sz w:val="24"/>
          <w:szCs w:val="24"/>
        </w:rPr>
        <w:t>4.1</w:t>
      </w:r>
      <w:r>
        <w:rPr>
          <w:rFonts w:hint="eastAsia" w:cs="宋体" w:asciiTheme="majorEastAsia" w:hAnsiTheme="majorEastAsia" w:eastAsiaTheme="majorEastAsia"/>
          <w:b w:val="0"/>
          <w:bCs w:val="0"/>
          <w:color w:val="000000"/>
          <w:kern w:val="2"/>
          <w:sz w:val="24"/>
          <w:szCs w:val="24"/>
        </w:rPr>
        <w:t>投标文件的密封与标志</w:t>
      </w:r>
      <w:bookmarkEnd w:id="97"/>
      <w:bookmarkEnd w:id="98"/>
      <w:bookmarkEnd w:id="99"/>
      <w:bookmarkEnd w:id="100"/>
    </w:p>
    <w:p w14:paraId="12FF762E">
      <w:pPr>
        <w:pStyle w:val="29"/>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101" w:name="_Toc30022"/>
      <w:bookmarkStart w:id="102" w:name="_Toc504654691"/>
      <w:bookmarkStart w:id="103" w:name="_Toc504479656"/>
      <w:bookmarkStart w:id="104" w:name="_Toc504479205"/>
      <w:r>
        <w:rPr>
          <w:rFonts w:hint="eastAsia" w:cs="宋体" w:asciiTheme="majorEastAsia" w:hAnsiTheme="majorEastAsia" w:eastAsiaTheme="majorEastAsia"/>
          <w:b w:val="0"/>
          <w:bCs w:val="0"/>
          <w:color w:val="000000"/>
          <w:kern w:val="2"/>
          <w:sz w:val="24"/>
          <w:szCs w:val="24"/>
        </w:rPr>
        <w:t>投标人应提交投标文件正本</w:t>
      </w:r>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rPr>
        <w:t>份、副本</w:t>
      </w:r>
      <w:r>
        <w:rPr>
          <w:rFonts w:cs="宋体" w:asciiTheme="majorEastAsia" w:hAnsiTheme="majorEastAsia" w:eastAsiaTheme="majorEastAsia"/>
          <w:b w:val="0"/>
          <w:bCs w:val="0"/>
          <w:color w:val="000000"/>
          <w:kern w:val="2"/>
          <w:sz w:val="24"/>
          <w:szCs w:val="24"/>
        </w:rPr>
        <w:t>4</w:t>
      </w:r>
      <w:r>
        <w:rPr>
          <w:rFonts w:hint="eastAsia" w:cs="宋体" w:asciiTheme="majorEastAsia" w:hAnsiTheme="majorEastAsia" w:eastAsiaTheme="majorEastAsia"/>
          <w:b w:val="0"/>
          <w:bCs w:val="0"/>
          <w:color w:val="000000"/>
          <w:kern w:val="2"/>
          <w:sz w:val="24"/>
          <w:szCs w:val="24"/>
        </w:rPr>
        <w:t>份，电子版1份，并标明“正本”、“副本”等字样</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投标文件的正本和副本</w:t>
      </w:r>
      <w:r>
        <w:rPr>
          <w:rFonts w:hint="eastAsia" w:cs="宋体" w:asciiTheme="majorEastAsia" w:hAnsiTheme="majorEastAsia" w:eastAsiaTheme="majorEastAsia"/>
          <w:b w:val="0"/>
          <w:bCs w:val="0"/>
          <w:color w:val="000000"/>
          <w:kern w:val="2"/>
          <w:sz w:val="24"/>
          <w:szCs w:val="24"/>
          <w:lang w:eastAsia="zh-CN"/>
        </w:rPr>
        <w:t>合并</w:t>
      </w:r>
      <w:r>
        <w:rPr>
          <w:rFonts w:hint="eastAsia" w:cs="宋体" w:asciiTheme="majorEastAsia" w:hAnsiTheme="majorEastAsia" w:eastAsiaTheme="majorEastAsia"/>
          <w:b w:val="0"/>
          <w:bCs w:val="0"/>
          <w:color w:val="000000"/>
          <w:kern w:val="2"/>
          <w:sz w:val="24"/>
          <w:szCs w:val="24"/>
        </w:rPr>
        <w:t>密封，加贴封条，封口处应加盖投标人公章</w:t>
      </w:r>
      <w:r>
        <w:rPr>
          <w:rFonts w:hint="eastAsia" w:cs="宋体" w:asciiTheme="majorEastAsia" w:hAnsiTheme="majorEastAsia" w:eastAsiaTheme="majorEastAsia"/>
          <w:b w:val="0"/>
          <w:bCs w:val="0"/>
          <w:color w:val="000000"/>
          <w:kern w:val="2"/>
          <w:sz w:val="24"/>
          <w:szCs w:val="24"/>
          <w:lang w:eastAsia="zh-CN"/>
        </w:rPr>
        <w:t>，</w:t>
      </w:r>
      <w:r>
        <w:rPr>
          <w:rFonts w:hint="eastAsia" w:cs="宋体" w:asciiTheme="majorEastAsia" w:hAnsiTheme="majorEastAsia" w:eastAsiaTheme="majorEastAsia"/>
          <w:b w:val="0"/>
          <w:bCs w:val="0"/>
          <w:color w:val="000000"/>
          <w:kern w:val="2"/>
          <w:sz w:val="24"/>
          <w:szCs w:val="24"/>
        </w:rPr>
        <w:t>同时分别在封皮上标注项目名称、项目编号、投标单位名称、开标时间截止前不得开封字样等，详见投标人须知前附表；以上为硬性指标，其中一项未通过为没有实质性响应按废标处理</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w:t>
      </w:r>
      <w:bookmarkEnd w:id="101"/>
    </w:p>
    <w:p w14:paraId="1A9BA6EB">
      <w:pPr>
        <w:pStyle w:val="29"/>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105" w:name="_Toc18287"/>
      <w:r>
        <w:rPr>
          <w:rFonts w:cs="宋体" w:asciiTheme="majorEastAsia" w:hAnsiTheme="majorEastAsia" w:eastAsiaTheme="majorEastAsia"/>
          <w:b w:val="0"/>
          <w:bCs w:val="0"/>
          <w:color w:val="000000"/>
          <w:kern w:val="2"/>
          <w:sz w:val="24"/>
          <w:szCs w:val="24"/>
        </w:rPr>
        <w:t>4.1.2</w:t>
      </w:r>
      <w:r>
        <w:rPr>
          <w:rFonts w:hint="eastAsia" w:cs="宋体" w:asciiTheme="majorEastAsia" w:hAnsiTheme="majorEastAsia" w:eastAsiaTheme="majorEastAsia"/>
          <w:b w:val="0"/>
          <w:bCs w:val="0"/>
          <w:color w:val="000000"/>
          <w:kern w:val="2"/>
          <w:sz w:val="24"/>
          <w:szCs w:val="24"/>
        </w:rPr>
        <w:t>投标文件正本与副本均应使用不能擦去的墨水打印或书写，</w:t>
      </w:r>
      <w:bookmarkEnd w:id="102"/>
      <w:bookmarkEnd w:id="103"/>
      <w:bookmarkEnd w:id="104"/>
      <w:r>
        <w:rPr>
          <w:rFonts w:hint="eastAsia" w:cs="宋体" w:asciiTheme="majorEastAsia" w:hAnsiTheme="majorEastAsia" w:eastAsiaTheme="majorEastAsia"/>
          <w:b w:val="0"/>
          <w:bCs w:val="0"/>
          <w:color w:val="000000"/>
          <w:kern w:val="2"/>
          <w:sz w:val="24"/>
          <w:szCs w:val="24"/>
        </w:rPr>
        <w:t>副本</w:t>
      </w:r>
      <w:r>
        <w:rPr>
          <w:rFonts w:hint="eastAsia" w:cs="宋体" w:asciiTheme="majorEastAsia" w:hAnsiTheme="majorEastAsia" w:eastAsiaTheme="majorEastAsia"/>
          <w:b w:val="0"/>
          <w:bCs w:val="0"/>
          <w:color w:val="000000"/>
          <w:kern w:val="2"/>
          <w:sz w:val="24"/>
          <w:szCs w:val="24"/>
          <w:lang w:eastAsia="zh-CN"/>
        </w:rPr>
        <w:t>不</w:t>
      </w:r>
      <w:r>
        <w:rPr>
          <w:rFonts w:hint="eastAsia" w:cs="宋体" w:asciiTheme="majorEastAsia" w:hAnsiTheme="majorEastAsia" w:eastAsiaTheme="majorEastAsia"/>
          <w:b w:val="0"/>
          <w:bCs w:val="0"/>
          <w:color w:val="000000"/>
          <w:kern w:val="2"/>
          <w:sz w:val="24"/>
          <w:szCs w:val="24"/>
        </w:rPr>
        <w:t>可以是正本的复印件。</w:t>
      </w:r>
      <w:bookmarkEnd w:id="105"/>
    </w:p>
    <w:p w14:paraId="73EF9748">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06" w:name="_Toc504479657"/>
      <w:bookmarkStart w:id="107" w:name="_Toc504479206"/>
      <w:bookmarkStart w:id="108" w:name="_Toc504654692"/>
      <w:r>
        <w:rPr>
          <w:rFonts w:cs="宋体" w:asciiTheme="majorEastAsia" w:hAnsiTheme="majorEastAsia" w:eastAsiaTheme="majorEastAsia"/>
          <w:color w:val="000000"/>
          <w:sz w:val="24"/>
        </w:rPr>
        <w:t>4.1.3</w:t>
      </w:r>
      <w:r>
        <w:rPr>
          <w:rFonts w:hint="eastAsia" w:cs="宋体" w:asciiTheme="majorEastAsia" w:hAnsiTheme="majorEastAsia" w:eastAsiaTheme="majorEastAsia"/>
          <w:color w:val="000000"/>
          <w:sz w:val="24"/>
        </w:rPr>
        <w:t>未按本章第</w:t>
      </w:r>
      <w:r>
        <w:rPr>
          <w:rFonts w:cs="宋体" w:asciiTheme="majorEastAsia" w:hAnsiTheme="majorEastAsia" w:eastAsiaTheme="majorEastAsia"/>
          <w:color w:val="000000"/>
          <w:sz w:val="24"/>
        </w:rPr>
        <w:t>4.1.1</w:t>
      </w:r>
      <w:r>
        <w:rPr>
          <w:rFonts w:hint="eastAsia" w:cs="宋体" w:asciiTheme="majorEastAsia" w:hAnsiTheme="majorEastAsia" w:eastAsiaTheme="majorEastAsia"/>
          <w:color w:val="000000"/>
          <w:sz w:val="24"/>
        </w:rPr>
        <w:t>项或第</w:t>
      </w:r>
      <w:r>
        <w:rPr>
          <w:rFonts w:cs="宋体" w:asciiTheme="majorEastAsia" w:hAnsiTheme="majorEastAsia" w:eastAsiaTheme="majorEastAsia"/>
          <w:color w:val="000000"/>
          <w:sz w:val="24"/>
        </w:rPr>
        <w:t>4.1.2</w:t>
      </w:r>
      <w:r>
        <w:rPr>
          <w:rFonts w:hint="eastAsia" w:cs="宋体" w:asciiTheme="majorEastAsia" w:hAnsiTheme="majorEastAsia" w:eastAsiaTheme="majorEastAsia"/>
          <w:color w:val="000000"/>
          <w:sz w:val="24"/>
        </w:rPr>
        <w:t>项要求密封和加写标记的投标文件，采购人不予受理、视为</w:t>
      </w:r>
      <w:r>
        <w:rPr>
          <w:rFonts w:hint="eastAsia" w:cs="宋体" w:asciiTheme="majorEastAsia" w:hAnsiTheme="majorEastAsia" w:eastAsiaTheme="majorEastAsia"/>
          <w:bCs/>
          <w:color w:val="000000"/>
          <w:sz w:val="24"/>
          <w:lang w:val="zh-CN"/>
        </w:rPr>
        <w:t>不响应招标文件。正本、副本如有不一致之处，以正本为准；如果用数字表示的数额与文字表示的数额不一致时，以文字表示的数额为准。</w:t>
      </w:r>
      <w:bookmarkEnd w:id="106"/>
      <w:bookmarkEnd w:id="107"/>
      <w:bookmarkEnd w:id="108"/>
    </w:p>
    <w:p w14:paraId="48A0E968">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09" w:name="_Toc504479207"/>
      <w:bookmarkStart w:id="110" w:name="_Toc504654693"/>
      <w:bookmarkStart w:id="111" w:name="_Toc504479658"/>
      <w:r>
        <w:rPr>
          <w:rFonts w:cs="宋体" w:asciiTheme="majorEastAsia" w:hAnsiTheme="majorEastAsia" w:eastAsiaTheme="majorEastAsia"/>
          <w:bCs/>
          <w:color w:val="000000"/>
          <w:sz w:val="24"/>
          <w:lang w:val="zh-CN"/>
        </w:rPr>
        <w:t>4.1.4</w:t>
      </w:r>
      <w:r>
        <w:rPr>
          <w:rFonts w:hint="eastAsia" w:cs="宋体" w:asciiTheme="majorEastAsia" w:hAnsiTheme="majorEastAsia" w:eastAsiaTheme="majorEastAsia"/>
          <w:bCs/>
          <w:color w:val="000000"/>
          <w:sz w:val="24"/>
          <w:lang w:val="zh-CN"/>
        </w:rPr>
        <w:t>全套投标文件应无涂改和行间插字，如有修改须在修改处加盖供应商的企业印章、企业法定代表人或授权委托人签字。</w:t>
      </w:r>
      <w:bookmarkEnd w:id="109"/>
      <w:bookmarkEnd w:id="110"/>
      <w:bookmarkEnd w:id="111"/>
      <w:bookmarkStart w:id="112" w:name="_Toc504479659"/>
      <w:bookmarkStart w:id="113" w:name="_Toc504479208"/>
      <w:bookmarkStart w:id="114" w:name="_Toc504654694"/>
    </w:p>
    <w:p w14:paraId="4825DE01">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4.1.5</w:t>
      </w:r>
      <w:r>
        <w:rPr>
          <w:rFonts w:hint="eastAsia" w:cs="宋体" w:asciiTheme="majorEastAsia" w:hAnsiTheme="majorEastAsia" w:eastAsiaTheme="majorEastAsia"/>
          <w:bCs/>
          <w:color w:val="000000"/>
          <w:sz w:val="24"/>
          <w:lang w:val="zh-CN"/>
        </w:rPr>
        <w:t>投标文件必须胶装成册，不能为活页装订。</w:t>
      </w:r>
      <w:bookmarkEnd w:id="112"/>
      <w:bookmarkEnd w:id="113"/>
      <w:bookmarkEnd w:id="114"/>
    </w:p>
    <w:p w14:paraId="097A4FAA">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15" w:name="_Toc504654695"/>
      <w:bookmarkStart w:id="116" w:name="_Toc504479660"/>
      <w:bookmarkStart w:id="117" w:name="_Toc504479209"/>
      <w:r>
        <w:rPr>
          <w:rFonts w:cs="宋体" w:asciiTheme="majorEastAsia" w:hAnsiTheme="majorEastAsia" w:eastAsiaTheme="majorEastAsia"/>
          <w:bCs/>
          <w:color w:val="000000"/>
          <w:sz w:val="24"/>
          <w:lang w:val="zh-CN"/>
        </w:rPr>
        <w:t>4.2</w:t>
      </w:r>
      <w:r>
        <w:rPr>
          <w:rFonts w:hint="eastAsia" w:cs="宋体" w:asciiTheme="majorEastAsia" w:hAnsiTheme="majorEastAsia" w:eastAsiaTheme="majorEastAsia"/>
          <w:bCs/>
          <w:color w:val="000000"/>
          <w:sz w:val="24"/>
          <w:lang w:val="zh-CN"/>
        </w:rPr>
        <w:t>投标文件的递交</w:t>
      </w:r>
      <w:bookmarkEnd w:id="115"/>
      <w:bookmarkEnd w:id="116"/>
      <w:bookmarkEnd w:id="117"/>
    </w:p>
    <w:p w14:paraId="2D04C34F">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18" w:name="_Toc504479661"/>
      <w:bookmarkStart w:id="119" w:name="_Toc504479210"/>
      <w:bookmarkStart w:id="120" w:name="_Toc504654696"/>
      <w:r>
        <w:rPr>
          <w:rFonts w:cs="宋体" w:asciiTheme="majorEastAsia" w:hAnsiTheme="majorEastAsia" w:eastAsiaTheme="majorEastAsia"/>
          <w:bCs/>
          <w:color w:val="000000"/>
          <w:sz w:val="24"/>
          <w:lang w:val="zh-CN"/>
        </w:rPr>
        <w:t>4.2.1</w:t>
      </w:r>
      <w:r>
        <w:rPr>
          <w:rFonts w:hint="eastAsia" w:cs="宋体" w:asciiTheme="majorEastAsia" w:hAnsiTheme="majorEastAsia" w:eastAsiaTheme="majorEastAsia"/>
          <w:bCs/>
          <w:color w:val="000000"/>
          <w:sz w:val="24"/>
          <w:lang w:val="zh-CN"/>
        </w:rPr>
        <w:t>供应商应在前附表所规定的投标文件递交截止时间之前将投标文件送达开标地点。</w:t>
      </w:r>
      <w:bookmarkEnd w:id="118"/>
      <w:bookmarkEnd w:id="119"/>
      <w:bookmarkEnd w:id="120"/>
    </w:p>
    <w:p w14:paraId="6FCDFDB5">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21" w:name="_Toc504479662"/>
      <w:bookmarkStart w:id="122" w:name="_Toc504654697"/>
      <w:bookmarkStart w:id="123" w:name="_Toc504479211"/>
      <w:r>
        <w:rPr>
          <w:rFonts w:cs="宋体" w:asciiTheme="majorEastAsia" w:hAnsiTheme="majorEastAsia" w:eastAsiaTheme="majorEastAsia"/>
          <w:bCs/>
          <w:color w:val="000000"/>
          <w:sz w:val="24"/>
          <w:lang w:val="zh-CN"/>
        </w:rPr>
        <w:t>4.2.2</w:t>
      </w:r>
      <w:r>
        <w:rPr>
          <w:rFonts w:hint="eastAsia" w:cs="宋体" w:asciiTheme="majorEastAsia" w:hAnsiTheme="majorEastAsia" w:eastAsiaTheme="majorEastAsia"/>
          <w:bCs/>
          <w:color w:val="000000"/>
          <w:sz w:val="24"/>
          <w:lang w:val="zh-CN"/>
        </w:rPr>
        <w:t>在投标文件递交截止时间以后送达的投标文件为无效的投标文件，采购人不予受理。</w:t>
      </w:r>
      <w:bookmarkEnd w:id="121"/>
      <w:bookmarkEnd w:id="122"/>
      <w:bookmarkEnd w:id="123"/>
    </w:p>
    <w:p w14:paraId="5B6BCF93">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bookmarkStart w:id="124" w:name="_Toc504479212"/>
      <w:bookmarkStart w:id="125" w:name="_Toc504479663"/>
      <w:bookmarkStart w:id="126" w:name="_Toc504654698"/>
      <w:r>
        <w:rPr>
          <w:rFonts w:cs="宋体" w:asciiTheme="majorEastAsia" w:hAnsiTheme="majorEastAsia" w:eastAsiaTheme="majorEastAsia"/>
          <w:b/>
          <w:color w:val="000000"/>
          <w:sz w:val="24"/>
          <w:lang w:val="zh-CN"/>
        </w:rPr>
        <w:t>5</w:t>
      </w:r>
      <w:r>
        <w:rPr>
          <w:rFonts w:hint="eastAsia" w:cs="宋体" w:asciiTheme="majorEastAsia" w:hAnsiTheme="majorEastAsia" w:eastAsiaTheme="majorEastAsia"/>
          <w:b/>
          <w:color w:val="000000"/>
          <w:sz w:val="24"/>
          <w:lang w:val="zh-CN"/>
        </w:rPr>
        <w:t>、投标有效期</w:t>
      </w:r>
      <w:bookmarkEnd w:id="124"/>
      <w:bookmarkEnd w:id="125"/>
      <w:bookmarkEnd w:id="126"/>
    </w:p>
    <w:p w14:paraId="091CF968">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bookmarkStart w:id="127" w:name="_Toc504479213"/>
      <w:bookmarkStart w:id="128" w:name="_Toc504479664"/>
      <w:bookmarkStart w:id="129" w:name="_Toc504654699"/>
      <w:r>
        <w:rPr>
          <w:rFonts w:cs="宋体" w:asciiTheme="majorEastAsia" w:hAnsiTheme="majorEastAsia" w:eastAsiaTheme="majorEastAsia"/>
          <w:bCs/>
          <w:color w:val="000000"/>
          <w:sz w:val="24"/>
          <w:lang w:val="zh-CN"/>
        </w:rPr>
        <w:t>5.1</w:t>
      </w:r>
      <w:r>
        <w:rPr>
          <w:rFonts w:hint="eastAsia" w:cs="宋体" w:asciiTheme="majorEastAsia" w:hAnsiTheme="majorEastAsia" w:eastAsiaTheme="majorEastAsia"/>
          <w:bCs/>
          <w:color w:val="000000"/>
          <w:sz w:val="24"/>
          <w:lang w:val="zh-CN"/>
        </w:rPr>
        <w:t>投标有效期从本须知前附表所规定的投标文件递交截止时间起开始计算。投标文件在本须知前附表所规定的日历天内保持有效。</w:t>
      </w:r>
      <w:bookmarkEnd w:id="127"/>
      <w:bookmarkEnd w:id="128"/>
      <w:bookmarkEnd w:id="129"/>
    </w:p>
    <w:p w14:paraId="47E36304">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bookmarkStart w:id="130" w:name="_Toc504479665"/>
      <w:bookmarkStart w:id="131" w:name="_Toc504654700"/>
      <w:bookmarkStart w:id="132" w:name="_Toc504479214"/>
      <w:r>
        <w:rPr>
          <w:rFonts w:cs="宋体" w:asciiTheme="majorEastAsia" w:hAnsiTheme="majorEastAsia" w:eastAsiaTheme="majorEastAsia"/>
          <w:bCs/>
          <w:color w:val="000000"/>
          <w:sz w:val="24"/>
          <w:lang w:val="zh-CN"/>
        </w:rPr>
        <w:t>5.2</w:t>
      </w:r>
      <w:r>
        <w:rPr>
          <w:rFonts w:hint="eastAsia" w:cs="宋体" w:asciiTheme="majorEastAsia" w:hAnsiTheme="majorEastAsia" w:eastAsiaTheme="majorEastAsia"/>
          <w:bCs/>
          <w:color w:val="000000"/>
          <w:sz w:val="24"/>
          <w:lang w:val="zh-CN"/>
        </w:rPr>
        <w:t>如果出现特殊情况，采购人可要求供应商将投标有效期延长一段时间。这种要求和供应商的答复均应以书面形式进行。同意延期的供应商不需要也不允许修改其投标文件。</w:t>
      </w:r>
      <w:bookmarkEnd w:id="130"/>
      <w:bookmarkEnd w:id="131"/>
      <w:bookmarkEnd w:id="132"/>
    </w:p>
    <w:p w14:paraId="7457376D">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6</w:t>
      </w:r>
      <w:r>
        <w:rPr>
          <w:rFonts w:hint="eastAsia" w:cs="宋体" w:asciiTheme="majorEastAsia" w:hAnsiTheme="majorEastAsia" w:eastAsiaTheme="majorEastAsia"/>
          <w:b/>
          <w:color w:val="000000"/>
          <w:sz w:val="24"/>
          <w:lang w:val="zh-CN"/>
        </w:rPr>
        <w:t>、投标保证金（不适用）</w:t>
      </w:r>
    </w:p>
    <w:p w14:paraId="180FEE7A">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6.1</w:t>
      </w:r>
      <w:r>
        <w:rPr>
          <w:rFonts w:hint="eastAsia" w:cs="宋体" w:asciiTheme="majorEastAsia" w:hAnsiTheme="majorEastAsia" w:eastAsiaTheme="majorEastAsia"/>
          <w:bCs/>
          <w:color w:val="000000"/>
          <w:sz w:val="24"/>
          <w:lang w:val="zh-CN"/>
        </w:rPr>
        <w:t>投标保证金是参加本项目的必要条件，交纳金额按招标文件要求执行。为了保护采购人免遭因供应商的行为而蒙受的损失，在因供应商的行为使采购人的权益受到损害时，投标保证金将不予退还。</w:t>
      </w:r>
    </w:p>
    <w:p w14:paraId="4609CA11">
      <w:pPr>
        <w:autoSpaceDE w:val="0"/>
        <w:autoSpaceDN w:val="0"/>
        <w:adjustRightInd w:val="0"/>
        <w:spacing w:line="360" w:lineRule="auto"/>
        <w:ind w:left="0" w:leftChars="0" w:firstLine="0" w:firstLineChars="0"/>
        <w:jc w:val="left"/>
        <w:rPr>
          <w:rFonts w:hint="eastAsia" w:cs="宋体" w:asciiTheme="majorEastAsia" w:hAnsiTheme="majorEastAsia" w:eastAsiaTheme="majorEastAsia"/>
          <w:b/>
          <w:color w:val="000000"/>
          <w:sz w:val="24"/>
          <w:lang w:eastAsia="zh-CN"/>
        </w:rPr>
      </w:pPr>
      <w:bookmarkStart w:id="133" w:name="_Toc504654701"/>
      <w:bookmarkStart w:id="134" w:name="_Toc504479215"/>
      <w:bookmarkStart w:id="135" w:name="_Toc504479666"/>
      <w:r>
        <w:rPr>
          <w:rFonts w:cs="宋体" w:asciiTheme="majorEastAsia" w:hAnsiTheme="majorEastAsia" w:eastAsiaTheme="majorEastAsia"/>
          <w:bCs/>
          <w:color w:val="000000"/>
          <w:sz w:val="24"/>
          <w:lang w:val="zh-CN"/>
        </w:rPr>
        <w:t>6.2</w:t>
      </w:r>
      <w:r>
        <w:rPr>
          <w:rFonts w:hint="eastAsia" w:cs="宋体" w:asciiTheme="majorEastAsia" w:hAnsiTheme="majorEastAsia" w:eastAsiaTheme="majorEastAsia"/>
          <w:bCs/>
          <w:color w:val="000000"/>
          <w:sz w:val="24"/>
          <w:lang w:val="zh-CN"/>
        </w:rPr>
        <w:t>投标保证金额</w:t>
      </w:r>
      <w:bookmarkEnd w:id="133"/>
      <w:bookmarkEnd w:id="134"/>
      <w:bookmarkEnd w:id="135"/>
      <w:r>
        <w:rPr>
          <w:rFonts w:hint="eastAsia" w:cs="宋体" w:asciiTheme="majorEastAsia" w:hAnsiTheme="majorEastAsia" w:eastAsiaTheme="majorEastAsia"/>
          <w:bCs/>
          <w:color w:val="000000"/>
          <w:sz w:val="24"/>
          <w:lang w:val="zh-CN"/>
        </w:rPr>
        <w:t>：</w:t>
      </w:r>
      <w:r>
        <w:rPr>
          <w:rFonts w:hint="eastAsia" w:cs="宋体" w:asciiTheme="majorEastAsia" w:hAnsiTheme="majorEastAsia" w:eastAsiaTheme="majorEastAsia"/>
          <w:b/>
          <w:color w:val="000000"/>
          <w:sz w:val="24"/>
          <w:lang w:val="en-US" w:eastAsia="zh-CN"/>
        </w:rPr>
        <w:t>/</w:t>
      </w:r>
    </w:p>
    <w:p w14:paraId="0D8F54AE">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bookmarkStart w:id="136" w:name="_Toc504479216"/>
      <w:bookmarkStart w:id="137" w:name="_Toc504479667"/>
      <w:bookmarkStart w:id="138" w:name="_Toc504654702"/>
      <w:r>
        <w:rPr>
          <w:rFonts w:cs="宋体" w:asciiTheme="majorEastAsia" w:hAnsiTheme="majorEastAsia" w:eastAsiaTheme="majorEastAsia"/>
          <w:bCs/>
          <w:color w:val="000000"/>
          <w:sz w:val="24"/>
          <w:lang w:val="zh-CN"/>
        </w:rPr>
        <w:t>6.3</w:t>
      </w:r>
      <w:bookmarkEnd w:id="136"/>
      <w:bookmarkEnd w:id="137"/>
      <w:bookmarkEnd w:id="138"/>
      <w:r>
        <w:rPr>
          <w:rFonts w:hint="eastAsia" w:cs="宋体" w:asciiTheme="majorEastAsia" w:hAnsiTheme="majorEastAsia" w:eastAsiaTheme="majorEastAsia"/>
          <w:bCs/>
          <w:color w:val="000000"/>
          <w:sz w:val="24"/>
          <w:lang w:val="zh-CN"/>
        </w:rPr>
        <w:t>递交方式：投标保证金应当以支票、汇票、本票或者金融机构、担保机构出具的保函等非现金形式提交。以现金缴纳的投标保证金应当从参加投标供应商的基本账户转出。采用保函方式的，应在提交响应文件时一并提交；采用其他方式的，应在提交响应文件截止日前交纳（不含截止日），以资金到账为准，否则视为放弃投标。投标保证金付款账户名称应与参加投标供应商名称一致。</w:t>
      </w:r>
    </w:p>
    <w:p w14:paraId="5FFC7A7F">
      <w:pPr>
        <w:pStyle w:val="4"/>
        <w:spacing w:line="360" w:lineRule="auto"/>
        <w:ind w:firstLine="0"/>
        <w:rPr>
          <w:lang w:val="zh-CN"/>
        </w:rPr>
      </w:pPr>
      <w:r>
        <w:rPr>
          <w:rFonts w:hint="eastAsia"/>
        </w:rPr>
        <w:t>6.4</w:t>
      </w:r>
      <w:r>
        <w:rPr>
          <w:rFonts w:hint="eastAsia"/>
          <w:lang w:val="zh-CN"/>
        </w:rPr>
        <w:t>投标保证金是响应文件的一个组成部分。凡没有按要求提交投保保证金的，其投标文件无效。</w:t>
      </w:r>
    </w:p>
    <w:p w14:paraId="15872C31">
      <w:pPr>
        <w:pStyle w:val="4"/>
        <w:spacing w:line="360" w:lineRule="auto"/>
        <w:ind w:firstLine="0"/>
        <w:rPr>
          <w:lang w:val="zh-CN"/>
        </w:rPr>
      </w:pPr>
      <w:r>
        <w:rPr>
          <w:rFonts w:hint="eastAsia"/>
        </w:rPr>
        <w:t>6.5</w:t>
      </w:r>
      <w:r>
        <w:rPr>
          <w:rFonts w:hint="eastAsia"/>
          <w:lang w:val="zh-CN"/>
        </w:rPr>
        <w:t>松原市公共资源交易中心按规定退还投标保证金，但因供应商自身原因导致无法及时退还的除外。</w:t>
      </w:r>
    </w:p>
    <w:p w14:paraId="37147C16">
      <w:pPr>
        <w:autoSpaceDE w:val="0"/>
        <w:autoSpaceDN w:val="0"/>
        <w:adjustRightInd w:val="0"/>
        <w:spacing w:line="360" w:lineRule="auto"/>
        <w:jc w:val="left"/>
        <w:rPr>
          <w:rFonts w:cs="宋体" w:asciiTheme="majorEastAsia" w:hAnsiTheme="majorEastAsia" w:eastAsiaTheme="majorEastAsia"/>
          <w:color w:val="000000"/>
          <w:sz w:val="24"/>
          <w:lang w:val="zh-CN"/>
        </w:rPr>
      </w:pPr>
      <w:r>
        <w:rPr>
          <w:rFonts w:cs="宋体" w:asciiTheme="majorEastAsia" w:hAnsiTheme="majorEastAsia" w:eastAsiaTheme="majorEastAsia"/>
          <w:color w:val="000000"/>
          <w:sz w:val="24"/>
          <w:lang w:val="zh-CN"/>
        </w:rPr>
        <w:t>6.</w:t>
      </w:r>
      <w:r>
        <w:rPr>
          <w:rFonts w:hint="eastAsia" w:cs="宋体" w:asciiTheme="majorEastAsia" w:hAnsiTheme="majorEastAsia" w:eastAsiaTheme="majorEastAsia"/>
          <w:color w:val="000000"/>
          <w:sz w:val="24"/>
        </w:rPr>
        <w:t>6</w:t>
      </w:r>
      <w:r>
        <w:rPr>
          <w:rFonts w:hint="eastAsia" w:cs="宋体" w:asciiTheme="majorEastAsia" w:hAnsiTheme="majorEastAsia" w:eastAsiaTheme="majorEastAsia"/>
          <w:color w:val="000000"/>
          <w:sz w:val="24"/>
          <w:lang w:val="zh-CN"/>
        </w:rPr>
        <w:t>下列情况之一发生时，投标保证金将不予退还：</w:t>
      </w:r>
    </w:p>
    <w:p w14:paraId="39386162">
      <w:pPr>
        <w:pStyle w:val="29"/>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39" w:name="_Toc445473508"/>
      <w:bookmarkStart w:id="140" w:name="_Toc21830"/>
      <w:bookmarkStart w:id="141" w:name="_Toc504479668"/>
      <w:bookmarkStart w:id="142" w:name="_Toc504479217"/>
      <w:bookmarkStart w:id="143" w:name="_Toc504654703"/>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rPr>
        <w:t>）供应商在招标文件规定的投标有效期内撤回其投标；</w:t>
      </w:r>
      <w:bookmarkEnd w:id="139"/>
      <w:bookmarkEnd w:id="140"/>
      <w:bookmarkEnd w:id="141"/>
      <w:bookmarkEnd w:id="142"/>
      <w:bookmarkEnd w:id="143"/>
    </w:p>
    <w:p w14:paraId="04CA23ED">
      <w:pPr>
        <w:pStyle w:val="29"/>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44" w:name="_Toc504479218"/>
      <w:bookmarkStart w:id="145" w:name="_Toc504479669"/>
      <w:bookmarkStart w:id="146" w:name="_Toc504654704"/>
      <w:bookmarkStart w:id="147" w:name="_Toc445473509"/>
      <w:bookmarkStart w:id="148" w:name="_Toc16312"/>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2</w:t>
      </w:r>
      <w:r>
        <w:rPr>
          <w:rFonts w:hint="eastAsia" w:cs="宋体" w:asciiTheme="majorEastAsia" w:hAnsiTheme="majorEastAsia" w:eastAsiaTheme="majorEastAsia"/>
          <w:b w:val="0"/>
          <w:bCs w:val="0"/>
          <w:color w:val="000000"/>
          <w:kern w:val="2"/>
          <w:sz w:val="24"/>
          <w:szCs w:val="24"/>
        </w:rPr>
        <w:t>）供应商恶意串通使招标失去竞争性的；</w:t>
      </w:r>
      <w:bookmarkEnd w:id="144"/>
      <w:bookmarkEnd w:id="145"/>
      <w:bookmarkEnd w:id="146"/>
      <w:bookmarkEnd w:id="147"/>
      <w:bookmarkEnd w:id="148"/>
    </w:p>
    <w:p w14:paraId="307881A6">
      <w:pPr>
        <w:pStyle w:val="29"/>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49" w:name="_Toc504479670"/>
      <w:bookmarkStart w:id="150" w:name="_Toc445473510"/>
      <w:bookmarkStart w:id="151" w:name="_Toc8625"/>
      <w:bookmarkStart w:id="152" w:name="_Toc504654705"/>
      <w:bookmarkStart w:id="153" w:name="_Toc504479219"/>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3</w:t>
      </w:r>
      <w:r>
        <w:rPr>
          <w:rFonts w:hint="eastAsia" w:cs="宋体" w:asciiTheme="majorEastAsia" w:hAnsiTheme="majorEastAsia" w:eastAsiaTheme="majorEastAsia"/>
          <w:b w:val="0"/>
          <w:bCs w:val="0"/>
          <w:color w:val="000000"/>
          <w:kern w:val="2"/>
          <w:sz w:val="24"/>
          <w:szCs w:val="24"/>
        </w:rPr>
        <w:t>）向政府集中采购机构或评标委员会有意提供虚假材料的；</w:t>
      </w:r>
      <w:bookmarkEnd w:id="149"/>
      <w:bookmarkEnd w:id="150"/>
      <w:bookmarkEnd w:id="151"/>
      <w:bookmarkEnd w:id="152"/>
      <w:bookmarkEnd w:id="153"/>
    </w:p>
    <w:p w14:paraId="4873A3FC">
      <w:pPr>
        <w:pStyle w:val="29"/>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54" w:name="_Toc504479671"/>
      <w:bookmarkStart w:id="155" w:name="_Toc504654706"/>
      <w:bookmarkStart w:id="156" w:name="_Toc445473511"/>
      <w:bookmarkStart w:id="157" w:name="_Toc16455"/>
      <w:bookmarkStart w:id="158" w:name="_Toc504479220"/>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4</w:t>
      </w:r>
      <w:r>
        <w:rPr>
          <w:rFonts w:hint="eastAsia" w:cs="宋体" w:asciiTheme="majorEastAsia" w:hAnsiTheme="majorEastAsia" w:eastAsiaTheme="majorEastAsia"/>
          <w:b w:val="0"/>
          <w:bCs w:val="0"/>
          <w:color w:val="000000"/>
          <w:kern w:val="2"/>
          <w:sz w:val="24"/>
          <w:szCs w:val="24"/>
        </w:rPr>
        <w:t>）投标文件出现妨碍公平竞争的行为的；</w:t>
      </w:r>
      <w:bookmarkEnd w:id="154"/>
      <w:bookmarkEnd w:id="155"/>
      <w:bookmarkEnd w:id="156"/>
      <w:bookmarkEnd w:id="157"/>
      <w:bookmarkEnd w:id="158"/>
    </w:p>
    <w:p w14:paraId="10531E93">
      <w:pPr>
        <w:pStyle w:val="29"/>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59" w:name="_Toc445473512"/>
      <w:bookmarkStart w:id="160" w:name="_Toc504479221"/>
      <w:bookmarkStart w:id="161" w:name="_Toc23985"/>
      <w:bookmarkStart w:id="162" w:name="_Toc504479672"/>
      <w:bookmarkStart w:id="163" w:name="_Toc504654707"/>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5</w:t>
      </w:r>
      <w:r>
        <w:rPr>
          <w:rFonts w:hint="eastAsia" w:cs="宋体" w:asciiTheme="majorEastAsia" w:hAnsiTheme="majorEastAsia" w:eastAsiaTheme="majorEastAsia"/>
          <w:b w:val="0"/>
          <w:bCs w:val="0"/>
          <w:color w:val="000000"/>
          <w:kern w:val="2"/>
          <w:sz w:val="24"/>
          <w:szCs w:val="24"/>
        </w:rPr>
        <w:t>）未在规定的期限内领取中标通知书的；</w:t>
      </w:r>
      <w:bookmarkEnd w:id="159"/>
      <w:bookmarkEnd w:id="160"/>
      <w:bookmarkEnd w:id="161"/>
      <w:bookmarkEnd w:id="162"/>
      <w:bookmarkEnd w:id="163"/>
    </w:p>
    <w:p w14:paraId="52FFFC6F">
      <w:pPr>
        <w:pStyle w:val="29"/>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64" w:name="_Toc504479673"/>
      <w:bookmarkStart w:id="165" w:name="_Toc1508"/>
      <w:bookmarkStart w:id="166" w:name="_Toc445473513"/>
      <w:bookmarkStart w:id="167" w:name="_Toc504654708"/>
      <w:bookmarkStart w:id="168" w:name="_Toc504479222"/>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6</w:t>
      </w:r>
      <w:r>
        <w:rPr>
          <w:rFonts w:hint="eastAsia" w:cs="宋体" w:asciiTheme="majorEastAsia" w:hAnsiTheme="majorEastAsia" w:eastAsiaTheme="majorEastAsia"/>
          <w:b w:val="0"/>
          <w:bCs w:val="0"/>
          <w:color w:val="000000"/>
          <w:kern w:val="2"/>
          <w:sz w:val="24"/>
          <w:szCs w:val="24"/>
        </w:rPr>
        <w:t>）中标人因自身原因在中标通知书规定的时间内未能与采购人签订合同的；</w:t>
      </w:r>
      <w:bookmarkEnd w:id="164"/>
      <w:bookmarkEnd w:id="165"/>
      <w:bookmarkEnd w:id="166"/>
      <w:bookmarkEnd w:id="167"/>
      <w:bookmarkEnd w:id="168"/>
    </w:p>
    <w:p w14:paraId="3EC3CA80">
      <w:pPr>
        <w:pStyle w:val="29"/>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69" w:name="_Toc504479674"/>
      <w:bookmarkStart w:id="170" w:name="_Toc2086"/>
      <w:bookmarkStart w:id="171" w:name="_Toc445473514"/>
      <w:bookmarkStart w:id="172" w:name="_Toc504654709"/>
      <w:bookmarkStart w:id="173" w:name="_Toc504479223"/>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7</w:t>
      </w:r>
      <w:r>
        <w:rPr>
          <w:rFonts w:hint="eastAsia" w:cs="宋体" w:asciiTheme="majorEastAsia" w:hAnsiTheme="majorEastAsia" w:eastAsiaTheme="majorEastAsia"/>
          <w:b w:val="0"/>
          <w:bCs w:val="0"/>
          <w:color w:val="000000"/>
          <w:kern w:val="2"/>
          <w:sz w:val="24"/>
          <w:szCs w:val="24"/>
        </w:rPr>
        <w:t>）违反政府釆购法及有关法律、法规的。</w:t>
      </w:r>
      <w:bookmarkEnd w:id="169"/>
      <w:bookmarkEnd w:id="170"/>
      <w:bookmarkEnd w:id="171"/>
      <w:bookmarkEnd w:id="172"/>
      <w:bookmarkEnd w:id="173"/>
      <w:bookmarkStart w:id="174" w:name="_Toc504479224"/>
      <w:bookmarkStart w:id="175" w:name="_Toc504654710"/>
      <w:bookmarkStart w:id="176" w:name="_Toc445473515"/>
      <w:bookmarkStart w:id="177" w:name="_Toc504479675"/>
    </w:p>
    <w:p w14:paraId="67D89280">
      <w:pPr>
        <w:pStyle w:val="29"/>
        <w:spacing w:before="0" w:after="0" w:line="360" w:lineRule="auto"/>
        <w:ind w:left="-2" w:leftChars="0" w:firstLine="0" w:firstLineChars="0"/>
        <w:jc w:val="left"/>
        <w:outlineLvl w:val="9"/>
        <w:rPr>
          <w:rFonts w:cs="宋体" w:asciiTheme="majorEastAsia" w:hAnsiTheme="majorEastAsia" w:eastAsiaTheme="majorEastAsia"/>
          <w:color w:val="000000"/>
          <w:kern w:val="2"/>
          <w:sz w:val="24"/>
          <w:szCs w:val="24"/>
        </w:rPr>
      </w:pPr>
      <w:bookmarkStart w:id="178" w:name="_Toc23612"/>
      <w:r>
        <w:rPr>
          <w:rFonts w:cs="宋体" w:asciiTheme="majorEastAsia" w:hAnsiTheme="majorEastAsia" w:eastAsiaTheme="majorEastAsia"/>
          <w:color w:val="000000"/>
          <w:kern w:val="2"/>
          <w:sz w:val="24"/>
          <w:szCs w:val="24"/>
        </w:rPr>
        <w:t>7</w:t>
      </w:r>
      <w:r>
        <w:rPr>
          <w:rFonts w:hint="eastAsia" w:cs="宋体" w:asciiTheme="majorEastAsia" w:hAnsiTheme="majorEastAsia" w:eastAsiaTheme="majorEastAsia"/>
          <w:color w:val="000000"/>
          <w:kern w:val="2"/>
          <w:sz w:val="24"/>
          <w:szCs w:val="24"/>
        </w:rPr>
        <w:t>、投标文件的修改、补充与撤回</w:t>
      </w:r>
      <w:bookmarkEnd w:id="174"/>
      <w:bookmarkEnd w:id="175"/>
      <w:bookmarkEnd w:id="176"/>
      <w:bookmarkEnd w:id="177"/>
      <w:bookmarkEnd w:id="178"/>
    </w:p>
    <w:p w14:paraId="2B0CE7F7">
      <w:pPr>
        <w:pStyle w:val="29"/>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rPr>
      </w:pPr>
      <w:bookmarkStart w:id="179" w:name="_Toc429224675"/>
      <w:bookmarkStart w:id="180" w:name="_Toc435021105"/>
      <w:bookmarkStart w:id="181" w:name="_Toc504479225"/>
      <w:bookmarkStart w:id="182" w:name="_Toc504654711"/>
      <w:bookmarkStart w:id="183" w:name="_Toc445473516"/>
      <w:bookmarkStart w:id="184" w:name="_Toc11542"/>
      <w:bookmarkStart w:id="185" w:name="_Toc504479676"/>
      <w:r>
        <w:rPr>
          <w:rFonts w:cs="宋体" w:asciiTheme="majorEastAsia" w:hAnsiTheme="majorEastAsia" w:eastAsiaTheme="majorEastAsia"/>
          <w:b w:val="0"/>
          <w:bCs w:val="0"/>
          <w:color w:val="000000"/>
          <w:kern w:val="2"/>
          <w:sz w:val="24"/>
          <w:szCs w:val="24"/>
        </w:rPr>
        <w:t>7. 1</w:t>
      </w:r>
      <w:r>
        <w:rPr>
          <w:rFonts w:hint="eastAsia" w:cs="宋体" w:asciiTheme="majorEastAsia" w:hAnsiTheme="majorEastAsia" w:eastAsiaTheme="majorEastAsia"/>
          <w:b w:val="0"/>
          <w:bCs w:val="0"/>
          <w:color w:val="000000"/>
          <w:kern w:val="2"/>
          <w:sz w:val="24"/>
          <w:szCs w:val="24"/>
        </w:rPr>
        <w:t>供应商可以在投标文件递交截止时间之前以书面形式修改、补充或撤回投标文件。</w:t>
      </w:r>
      <w:bookmarkEnd w:id="179"/>
      <w:bookmarkEnd w:id="180"/>
      <w:r>
        <w:rPr>
          <w:rFonts w:hint="eastAsia" w:cs="宋体" w:asciiTheme="majorEastAsia" w:hAnsiTheme="majorEastAsia" w:eastAsiaTheme="majorEastAsia"/>
          <w:b w:val="0"/>
          <w:bCs w:val="0"/>
          <w:color w:val="000000"/>
          <w:kern w:val="2"/>
          <w:sz w:val="24"/>
          <w:szCs w:val="24"/>
        </w:rPr>
        <w:t>在投标文件递交截止时间后不能修改、补充或撤回投标文件。</w:t>
      </w:r>
      <w:bookmarkEnd w:id="181"/>
      <w:bookmarkEnd w:id="182"/>
      <w:bookmarkEnd w:id="183"/>
      <w:bookmarkEnd w:id="184"/>
      <w:bookmarkEnd w:id="185"/>
    </w:p>
    <w:p w14:paraId="52A5A0E3">
      <w:pPr>
        <w:pStyle w:val="29"/>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rPr>
      </w:pPr>
      <w:bookmarkStart w:id="186" w:name="_Toc445473517"/>
      <w:bookmarkStart w:id="187" w:name="_Toc504479226"/>
      <w:bookmarkStart w:id="188" w:name="_Toc504479677"/>
      <w:bookmarkStart w:id="189" w:name="_Toc504654712"/>
      <w:bookmarkStart w:id="190" w:name="_Toc31265"/>
      <w:r>
        <w:rPr>
          <w:rFonts w:cs="宋体" w:asciiTheme="majorEastAsia" w:hAnsiTheme="majorEastAsia" w:eastAsiaTheme="majorEastAsia"/>
          <w:b w:val="0"/>
          <w:bCs w:val="0"/>
          <w:color w:val="000000"/>
          <w:kern w:val="2"/>
          <w:sz w:val="24"/>
          <w:szCs w:val="24"/>
        </w:rPr>
        <w:t>7.2</w:t>
      </w:r>
      <w:r>
        <w:rPr>
          <w:rFonts w:hint="eastAsia" w:cs="宋体" w:asciiTheme="majorEastAsia" w:hAnsiTheme="majorEastAsia" w:eastAsiaTheme="majorEastAsia"/>
          <w:b w:val="0"/>
          <w:bCs w:val="0"/>
          <w:color w:val="000000"/>
          <w:kern w:val="2"/>
          <w:sz w:val="24"/>
          <w:szCs w:val="24"/>
        </w:rPr>
        <w:t>投标文件的修改、补充与撤回，供应商均须按本款的规定密封、标志和递交</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标明“修改”“补充”或“撤回”字样</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w:t>
      </w:r>
      <w:bookmarkEnd w:id="186"/>
      <w:bookmarkEnd w:id="187"/>
      <w:bookmarkEnd w:id="188"/>
      <w:bookmarkEnd w:id="189"/>
      <w:bookmarkEnd w:id="190"/>
      <w:bookmarkStart w:id="191" w:name="_Toc504479678"/>
      <w:bookmarkStart w:id="192" w:name="_Toc445473518"/>
      <w:bookmarkStart w:id="193" w:name="_Toc504479227"/>
      <w:bookmarkStart w:id="194" w:name="_Toc504654713"/>
    </w:p>
    <w:p w14:paraId="4FE406E3">
      <w:pPr>
        <w:pStyle w:val="29"/>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rPr>
      </w:pPr>
      <w:bookmarkStart w:id="195" w:name="_Toc8038"/>
      <w:r>
        <w:rPr>
          <w:rFonts w:cs="宋体" w:asciiTheme="majorEastAsia" w:hAnsiTheme="majorEastAsia" w:eastAsiaTheme="majorEastAsia"/>
          <w:b w:val="0"/>
          <w:bCs w:val="0"/>
          <w:color w:val="000000"/>
          <w:kern w:val="2"/>
          <w:sz w:val="24"/>
          <w:szCs w:val="24"/>
        </w:rPr>
        <w:t>7.3</w:t>
      </w:r>
      <w:r>
        <w:rPr>
          <w:rFonts w:hint="eastAsia" w:cs="宋体" w:asciiTheme="majorEastAsia" w:hAnsiTheme="majorEastAsia" w:eastAsiaTheme="majorEastAsia"/>
          <w:b w:val="0"/>
          <w:bCs w:val="0"/>
          <w:color w:val="000000"/>
          <w:kern w:val="2"/>
          <w:sz w:val="24"/>
          <w:szCs w:val="24"/>
        </w:rPr>
        <w:t>在投标有效期内，供应商不能撤回其投标文件。</w:t>
      </w:r>
      <w:bookmarkEnd w:id="191"/>
      <w:bookmarkEnd w:id="192"/>
      <w:bookmarkEnd w:id="193"/>
      <w:bookmarkEnd w:id="194"/>
      <w:bookmarkEnd w:id="195"/>
    </w:p>
    <w:p w14:paraId="64C150C8">
      <w:pPr>
        <w:spacing w:line="360" w:lineRule="auto"/>
        <w:ind w:left="21" w:leftChars="-40" w:hanging="105" w:hangingChars="35"/>
        <w:rPr>
          <w:rFonts w:cs="宋体" w:asciiTheme="majorEastAsia" w:hAnsiTheme="majorEastAsia" w:eastAsiaTheme="majorEastAsia"/>
          <w:b/>
          <w:bCs/>
          <w:color w:val="000000"/>
          <w:sz w:val="30"/>
          <w:szCs w:val="30"/>
        </w:rPr>
      </w:pPr>
      <w:bookmarkStart w:id="196" w:name="_Toc445473519"/>
      <w:r>
        <w:rPr>
          <w:rFonts w:hint="eastAsia" w:cs="宋体" w:asciiTheme="majorEastAsia" w:hAnsiTheme="majorEastAsia" w:eastAsiaTheme="majorEastAsia"/>
          <w:b/>
          <w:bCs/>
          <w:color w:val="000000"/>
          <w:sz w:val="30"/>
          <w:szCs w:val="30"/>
        </w:rPr>
        <w:t>五、开标</w:t>
      </w:r>
      <w:bookmarkEnd w:id="196"/>
    </w:p>
    <w:p w14:paraId="5914D6F4">
      <w:pPr>
        <w:pStyle w:val="29"/>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rPr>
      </w:pPr>
      <w:bookmarkStart w:id="197" w:name="_Toc504654715"/>
      <w:bookmarkStart w:id="198" w:name="_Toc26841"/>
      <w:bookmarkStart w:id="199" w:name="_Toc445473520"/>
      <w:bookmarkStart w:id="200" w:name="_Toc504479680"/>
      <w:bookmarkStart w:id="201" w:name="_Toc504479229"/>
      <w:r>
        <w:rPr>
          <w:rFonts w:cs="宋体" w:asciiTheme="majorEastAsia" w:hAnsiTheme="majorEastAsia" w:eastAsiaTheme="majorEastAsia"/>
          <w:color w:val="000000"/>
          <w:kern w:val="2"/>
          <w:sz w:val="24"/>
          <w:szCs w:val="24"/>
        </w:rPr>
        <w:t>1</w:t>
      </w:r>
      <w:r>
        <w:rPr>
          <w:rFonts w:hint="eastAsia" w:cs="宋体" w:asciiTheme="majorEastAsia" w:hAnsiTheme="majorEastAsia" w:eastAsiaTheme="majorEastAsia"/>
          <w:color w:val="000000"/>
          <w:kern w:val="2"/>
          <w:sz w:val="24"/>
          <w:szCs w:val="24"/>
        </w:rPr>
        <w:t>、开标要求事项</w:t>
      </w:r>
      <w:bookmarkEnd w:id="197"/>
      <w:bookmarkEnd w:id="198"/>
      <w:bookmarkEnd w:id="199"/>
      <w:bookmarkEnd w:id="200"/>
      <w:bookmarkEnd w:id="201"/>
    </w:p>
    <w:p w14:paraId="5C8116C7">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02" w:name="_Toc435021110"/>
      <w:bookmarkStart w:id="203" w:name="_Toc429224680"/>
      <w:bookmarkStart w:id="204" w:name="_Toc504654716"/>
      <w:bookmarkStart w:id="205" w:name="_Toc504479230"/>
      <w:bookmarkStart w:id="206" w:name="_Toc1387"/>
      <w:bookmarkStart w:id="207" w:name="_Toc445473521"/>
      <w:bookmarkStart w:id="208" w:name="_Toc504479681"/>
      <w:r>
        <w:rPr>
          <w:rFonts w:cs="宋体" w:asciiTheme="majorEastAsia" w:hAnsiTheme="majorEastAsia" w:eastAsiaTheme="majorEastAsia"/>
          <w:b w:val="0"/>
          <w:bCs w:val="0"/>
          <w:color w:val="000000"/>
          <w:kern w:val="2"/>
          <w:sz w:val="24"/>
          <w:szCs w:val="24"/>
        </w:rPr>
        <w:t>1.1</w:t>
      </w:r>
      <w:r>
        <w:rPr>
          <w:rFonts w:hint="eastAsia" w:cs="宋体" w:asciiTheme="majorEastAsia" w:hAnsiTheme="majorEastAsia" w:eastAsiaTheme="majorEastAsia"/>
          <w:b w:val="0"/>
          <w:bCs w:val="0"/>
          <w:color w:val="000000"/>
          <w:kern w:val="2"/>
          <w:sz w:val="24"/>
          <w:szCs w:val="24"/>
          <w:lang w:val="zh-CN"/>
        </w:rPr>
        <w:t>开标时间：</w:t>
      </w:r>
      <w:bookmarkEnd w:id="202"/>
      <w:bookmarkEnd w:id="203"/>
      <w:r>
        <w:rPr>
          <w:rFonts w:hint="eastAsia" w:cs="宋体" w:asciiTheme="majorEastAsia" w:hAnsiTheme="majorEastAsia" w:eastAsiaTheme="majorEastAsia"/>
          <w:b w:val="0"/>
          <w:bCs w:val="0"/>
          <w:color w:val="000000"/>
          <w:kern w:val="2"/>
          <w:sz w:val="24"/>
          <w:szCs w:val="24"/>
          <w:lang w:val="zh-CN"/>
        </w:rPr>
        <w:t>见投标须知前附表。</w:t>
      </w:r>
      <w:bookmarkEnd w:id="204"/>
      <w:bookmarkEnd w:id="205"/>
      <w:bookmarkEnd w:id="206"/>
      <w:bookmarkEnd w:id="207"/>
      <w:bookmarkEnd w:id="208"/>
    </w:p>
    <w:p w14:paraId="36F89E04">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09" w:name="_Toc435021111"/>
      <w:bookmarkStart w:id="210" w:name="_Toc429224681"/>
      <w:bookmarkStart w:id="211" w:name="_Toc5859"/>
      <w:bookmarkStart w:id="212" w:name="_Toc504654717"/>
      <w:bookmarkStart w:id="213" w:name="_Toc504479231"/>
      <w:bookmarkStart w:id="214" w:name="_Toc445473522"/>
      <w:bookmarkStart w:id="215" w:name="_Toc504479682"/>
      <w:r>
        <w:rPr>
          <w:rFonts w:cs="宋体" w:asciiTheme="majorEastAsia" w:hAnsiTheme="majorEastAsia" w:eastAsiaTheme="majorEastAsia"/>
          <w:b w:val="0"/>
          <w:bCs w:val="0"/>
          <w:color w:val="000000"/>
          <w:kern w:val="2"/>
          <w:sz w:val="24"/>
          <w:szCs w:val="24"/>
          <w:lang w:val="zh-CN"/>
        </w:rPr>
        <w:t>1.2</w:t>
      </w:r>
      <w:r>
        <w:rPr>
          <w:rFonts w:hint="eastAsia" w:cs="宋体" w:asciiTheme="majorEastAsia" w:hAnsiTheme="majorEastAsia" w:eastAsiaTheme="majorEastAsia"/>
          <w:b w:val="0"/>
          <w:bCs w:val="0"/>
          <w:color w:val="000000"/>
          <w:kern w:val="2"/>
          <w:sz w:val="24"/>
          <w:szCs w:val="24"/>
          <w:lang w:val="zh-CN"/>
        </w:rPr>
        <w:t>开标地点：</w:t>
      </w:r>
      <w:bookmarkEnd w:id="209"/>
      <w:bookmarkEnd w:id="210"/>
      <w:r>
        <w:rPr>
          <w:rFonts w:hint="eastAsia" w:cs="宋体" w:asciiTheme="majorEastAsia" w:hAnsiTheme="majorEastAsia" w:eastAsiaTheme="majorEastAsia"/>
          <w:b w:val="0"/>
          <w:bCs w:val="0"/>
          <w:color w:val="000000"/>
          <w:kern w:val="2"/>
          <w:sz w:val="24"/>
          <w:szCs w:val="24"/>
          <w:lang w:val="zh-CN"/>
        </w:rPr>
        <w:t>见投标须知前附表。</w:t>
      </w:r>
      <w:bookmarkEnd w:id="211"/>
      <w:bookmarkEnd w:id="212"/>
      <w:bookmarkEnd w:id="213"/>
      <w:bookmarkEnd w:id="214"/>
      <w:bookmarkEnd w:id="215"/>
    </w:p>
    <w:p w14:paraId="1D45C417">
      <w:pPr>
        <w:pStyle w:val="29"/>
        <w:spacing w:before="0" w:after="0" w:line="360" w:lineRule="auto"/>
        <w:ind w:left="55" w:leftChars="0" w:hanging="55" w:hangingChars="23"/>
        <w:jc w:val="left"/>
        <w:outlineLvl w:val="9"/>
        <w:rPr>
          <w:rFonts w:cs="宋体" w:asciiTheme="majorEastAsia" w:hAnsiTheme="majorEastAsia" w:eastAsiaTheme="majorEastAsia"/>
          <w:color w:val="000000"/>
          <w:sz w:val="24"/>
          <w:szCs w:val="24"/>
        </w:rPr>
      </w:pPr>
      <w:bookmarkStart w:id="216" w:name="_Toc30499"/>
      <w:bookmarkStart w:id="217" w:name="_Toc504654718"/>
      <w:bookmarkStart w:id="218" w:name="_Toc504479232"/>
      <w:bookmarkStart w:id="219" w:name="_Toc445473523"/>
      <w:bookmarkStart w:id="220" w:name="_Toc504479683"/>
      <w:r>
        <w:rPr>
          <w:rFonts w:cs="宋体" w:asciiTheme="majorEastAsia" w:hAnsiTheme="majorEastAsia" w:eastAsiaTheme="majorEastAsia"/>
          <w:b w:val="0"/>
          <w:bCs w:val="0"/>
          <w:color w:val="000000"/>
          <w:kern w:val="2"/>
          <w:sz w:val="24"/>
          <w:szCs w:val="24"/>
          <w:lang w:val="zh-CN"/>
        </w:rPr>
        <w:t>1.3</w:t>
      </w:r>
      <w:r>
        <w:rPr>
          <w:rFonts w:hint="eastAsia" w:cs="宋体" w:asciiTheme="majorEastAsia" w:hAnsiTheme="majorEastAsia" w:eastAsiaTheme="majorEastAsia"/>
          <w:b w:val="0"/>
          <w:bCs w:val="0"/>
          <w:color w:val="000000"/>
          <w:kern w:val="2"/>
          <w:sz w:val="24"/>
          <w:szCs w:val="24"/>
          <w:lang w:val="zh-CN"/>
        </w:rPr>
        <w:t>招标代理机构主持会议并做好开标记录</w:t>
      </w:r>
      <w:r>
        <w:rPr>
          <w:rFonts w:hint="eastAsia" w:cs="宋体" w:asciiTheme="majorEastAsia" w:hAnsiTheme="majorEastAsia" w:eastAsiaTheme="majorEastAsia"/>
          <w:b w:val="0"/>
          <w:color w:val="000000"/>
          <w:sz w:val="24"/>
          <w:szCs w:val="24"/>
        </w:rPr>
        <w:t>。</w:t>
      </w:r>
      <w:bookmarkEnd w:id="216"/>
      <w:bookmarkEnd w:id="217"/>
      <w:bookmarkEnd w:id="218"/>
      <w:bookmarkEnd w:id="219"/>
      <w:bookmarkEnd w:id="220"/>
    </w:p>
    <w:p w14:paraId="5105E2A4">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rPr>
      </w:pPr>
      <w:bookmarkStart w:id="221" w:name="_Toc429224683"/>
      <w:bookmarkStart w:id="222" w:name="_Toc435021113"/>
      <w:bookmarkStart w:id="223" w:name="_Toc31190"/>
      <w:bookmarkStart w:id="224" w:name="_Toc504654719"/>
      <w:bookmarkStart w:id="225" w:name="_Toc504479684"/>
      <w:bookmarkStart w:id="226" w:name="_Toc445473524"/>
      <w:bookmarkStart w:id="227" w:name="_Toc504479233"/>
      <w:r>
        <w:rPr>
          <w:rFonts w:cs="宋体" w:asciiTheme="majorEastAsia" w:hAnsiTheme="majorEastAsia" w:eastAsiaTheme="majorEastAsia"/>
          <w:b w:val="0"/>
          <w:bCs w:val="0"/>
          <w:color w:val="000000"/>
          <w:kern w:val="2"/>
          <w:sz w:val="24"/>
          <w:szCs w:val="24"/>
        </w:rPr>
        <w:t>1.</w:t>
      </w:r>
      <w:bookmarkEnd w:id="221"/>
      <w:bookmarkEnd w:id="222"/>
      <w:r>
        <w:rPr>
          <w:rFonts w:cs="宋体" w:asciiTheme="majorEastAsia" w:hAnsiTheme="majorEastAsia" w:eastAsiaTheme="majorEastAsia"/>
          <w:b w:val="0"/>
          <w:bCs w:val="0"/>
          <w:color w:val="000000"/>
          <w:kern w:val="2"/>
          <w:sz w:val="24"/>
          <w:szCs w:val="24"/>
        </w:rPr>
        <w:t xml:space="preserve"> 4</w:t>
      </w:r>
      <w:r>
        <w:rPr>
          <w:rFonts w:hint="eastAsia" w:cs="宋体" w:asciiTheme="majorEastAsia" w:hAnsiTheme="majorEastAsia" w:eastAsiaTheme="majorEastAsia"/>
          <w:b w:val="0"/>
          <w:bCs w:val="0"/>
          <w:color w:val="000000"/>
          <w:kern w:val="2"/>
          <w:sz w:val="24"/>
          <w:szCs w:val="24"/>
        </w:rPr>
        <w:t>供应商须派法定代表人或授权委托人准时参加开标会议并签名报到，以证明其出席开标会议。</w:t>
      </w:r>
      <w:bookmarkEnd w:id="223"/>
      <w:bookmarkEnd w:id="224"/>
      <w:bookmarkEnd w:id="225"/>
      <w:bookmarkEnd w:id="226"/>
      <w:bookmarkEnd w:id="227"/>
    </w:p>
    <w:p w14:paraId="026245DE">
      <w:pPr>
        <w:pStyle w:val="29"/>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rPr>
      </w:pPr>
      <w:bookmarkStart w:id="228" w:name="_Toc504479685"/>
      <w:bookmarkStart w:id="229" w:name="_Toc504654720"/>
      <w:bookmarkStart w:id="230" w:name="_Toc445473525"/>
      <w:bookmarkStart w:id="231" w:name="_Toc504479234"/>
      <w:bookmarkStart w:id="232" w:name="_Toc8980"/>
      <w:r>
        <w:rPr>
          <w:rFonts w:cs="宋体" w:asciiTheme="majorEastAsia" w:hAnsiTheme="majorEastAsia" w:eastAsiaTheme="majorEastAsia"/>
          <w:color w:val="000000"/>
          <w:kern w:val="2"/>
          <w:sz w:val="24"/>
          <w:szCs w:val="24"/>
        </w:rPr>
        <w:t>2</w:t>
      </w:r>
      <w:r>
        <w:rPr>
          <w:rFonts w:hint="eastAsia" w:cs="宋体" w:asciiTheme="majorEastAsia" w:hAnsiTheme="majorEastAsia" w:eastAsiaTheme="majorEastAsia"/>
          <w:color w:val="000000"/>
          <w:kern w:val="2"/>
          <w:sz w:val="24"/>
          <w:szCs w:val="24"/>
        </w:rPr>
        <w:t>、开标会议程序</w:t>
      </w:r>
      <w:bookmarkEnd w:id="228"/>
      <w:bookmarkEnd w:id="229"/>
      <w:bookmarkEnd w:id="230"/>
      <w:bookmarkEnd w:id="231"/>
      <w:bookmarkEnd w:id="232"/>
    </w:p>
    <w:p w14:paraId="189B4EFB">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33" w:name="_Toc435021115"/>
      <w:bookmarkStart w:id="234" w:name="_Toc429224685"/>
      <w:bookmarkStart w:id="235" w:name="_Toc504654721"/>
      <w:bookmarkStart w:id="236" w:name="_Toc504479235"/>
      <w:bookmarkStart w:id="237" w:name="_Toc504479686"/>
      <w:bookmarkStart w:id="238" w:name="_Toc445473526"/>
      <w:bookmarkStart w:id="239" w:name="_Toc72"/>
      <w:r>
        <w:rPr>
          <w:rFonts w:cs="宋体" w:asciiTheme="majorEastAsia" w:hAnsiTheme="majorEastAsia" w:eastAsiaTheme="majorEastAsia"/>
          <w:b w:val="0"/>
          <w:bCs w:val="0"/>
          <w:color w:val="000000"/>
          <w:kern w:val="2"/>
          <w:sz w:val="24"/>
          <w:szCs w:val="24"/>
        </w:rPr>
        <w:t>2.</w:t>
      </w:r>
      <w:bookmarkEnd w:id="233"/>
      <w:bookmarkEnd w:id="234"/>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lang w:val="zh-CN"/>
        </w:rPr>
        <w:t>开标由招标代理主持，邀请所有供应商参加，并在招标文件规定的时间、地点公开进行，同时接受招标监督部门的监督。</w:t>
      </w:r>
      <w:bookmarkEnd w:id="235"/>
      <w:bookmarkEnd w:id="236"/>
      <w:bookmarkEnd w:id="237"/>
      <w:bookmarkEnd w:id="238"/>
      <w:bookmarkEnd w:id="239"/>
    </w:p>
    <w:p w14:paraId="5E5230FC">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40" w:name="_Toc504479687"/>
      <w:bookmarkStart w:id="241" w:name="_Toc445473527"/>
      <w:bookmarkStart w:id="242" w:name="_Toc504654722"/>
      <w:bookmarkStart w:id="243" w:name="_Toc504479236"/>
      <w:bookmarkStart w:id="244" w:name="_Toc22293"/>
      <w:r>
        <w:rPr>
          <w:rFonts w:cs="宋体" w:asciiTheme="majorEastAsia" w:hAnsiTheme="majorEastAsia" w:eastAsiaTheme="majorEastAsia"/>
          <w:b w:val="0"/>
          <w:bCs w:val="0"/>
          <w:color w:val="000000"/>
          <w:kern w:val="2"/>
          <w:sz w:val="24"/>
          <w:szCs w:val="24"/>
          <w:lang w:val="zh-CN"/>
        </w:rPr>
        <w:t>2.2</w:t>
      </w:r>
      <w:r>
        <w:rPr>
          <w:rFonts w:hint="eastAsia" w:cs="宋体" w:asciiTheme="majorEastAsia" w:hAnsiTheme="majorEastAsia" w:eastAsiaTheme="majorEastAsia"/>
          <w:b w:val="0"/>
          <w:bCs w:val="0"/>
          <w:color w:val="000000"/>
          <w:kern w:val="2"/>
          <w:sz w:val="24"/>
          <w:szCs w:val="24"/>
          <w:lang w:val="zh-CN"/>
        </w:rPr>
        <w:t>开标时间到后，主持人宣布开标会议正式开始。</w:t>
      </w:r>
      <w:bookmarkEnd w:id="240"/>
      <w:bookmarkEnd w:id="241"/>
      <w:bookmarkEnd w:id="242"/>
      <w:bookmarkEnd w:id="243"/>
      <w:bookmarkEnd w:id="244"/>
    </w:p>
    <w:p w14:paraId="48C283B7">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45" w:name="_Toc435021117"/>
      <w:bookmarkStart w:id="246" w:name="_Toc429224687"/>
      <w:bookmarkStart w:id="247" w:name="_Toc504479237"/>
      <w:bookmarkStart w:id="248" w:name="_Toc504479688"/>
      <w:bookmarkStart w:id="249" w:name="_Toc504654723"/>
      <w:bookmarkStart w:id="250" w:name="_Toc445473528"/>
      <w:bookmarkStart w:id="251" w:name="_Toc23519"/>
      <w:r>
        <w:rPr>
          <w:rFonts w:cs="宋体" w:asciiTheme="majorEastAsia" w:hAnsiTheme="majorEastAsia" w:eastAsiaTheme="majorEastAsia"/>
          <w:b w:val="0"/>
          <w:bCs w:val="0"/>
          <w:color w:val="000000"/>
          <w:kern w:val="2"/>
          <w:sz w:val="24"/>
          <w:szCs w:val="24"/>
          <w:lang w:val="zh-CN"/>
        </w:rPr>
        <w:t>2.</w:t>
      </w:r>
      <w:bookmarkEnd w:id="245"/>
      <w:bookmarkEnd w:id="246"/>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宣布开标会议纪律。</w:t>
      </w:r>
      <w:bookmarkEnd w:id="247"/>
      <w:bookmarkEnd w:id="248"/>
      <w:bookmarkEnd w:id="249"/>
      <w:bookmarkEnd w:id="250"/>
      <w:bookmarkEnd w:id="251"/>
    </w:p>
    <w:p w14:paraId="781CBFD2">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52" w:name="_Toc504654724"/>
      <w:bookmarkStart w:id="253" w:name="_Toc29854"/>
      <w:bookmarkStart w:id="254" w:name="_Toc445473529"/>
      <w:bookmarkStart w:id="255" w:name="_Toc504479238"/>
      <w:bookmarkStart w:id="256" w:name="_Toc504479689"/>
      <w:r>
        <w:rPr>
          <w:rFonts w:hint="eastAsia" w:cs="宋体" w:asciiTheme="majorEastAsia" w:hAnsiTheme="majorEastAsia" w:eastAsiaTheme="majorEastAsia"/>
          <w:b w:val="0"/>
          <w:bCs w:val="0"/>
          <w:color w:val="000000"/>
          <w:kern w:val="2"/>
          <w:sz w:val="24"/>
          <w:szCs w:val="24"/>
          <w:lang w:val="zh-CN"/>
        </w:rPr>
        <w:t>①到会人员成自觉维护会场秩序，服从会务人员安排。</w:t>
      </w:r>
      <w:bookmarkEnd w:id="252"/>
      <w:bookmarkEnd w:id="253"/>
      <w:bookmarkEnd w:id="254"/>
      <w:bookmarkEnd w:id="255"/>
      <w:bookmarkEnd w:id="256"/>
    </w:p>
    <w:p w14:paraId="27660AC6">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57" w:name="_Toc504654725"/>
      <w:bookmarkStart w:id="258" w:name="_Toc504479690"/>
      <w:bookmarkStart w:id="259" w:name="_Toc11515"/>
      <w:bookmarkStart w:id="260" w:name="_Toc445473530"/>
      <w:bookmarkStart w:id="261" w:name="_Toc504479239"/>
      <w:r>
        <w:rPr>
          <w:rFonts w:hint="eastAsia" w:cs="宋体" w:asciiTheme="majorEastAsia" w:hAnsiTheme="majorEastAsia" w:eastAsiaTheme="majorEastAsia"/>
          <w:b w:val="0"/>
          <w:bCs w:val="0"/>
          <w:color w:val="000000"/>
          <w:kern w:val="2"/>
          <w:sz w:val="24"/>
          <w:szCs w:val="24"/>
          <w:lang w:val="zh-CN"/>
        </w:rPr>
        <w:t>②所有与会人员的通讯工具暂停使用。</w:t>
      </w:r>
      <w:bookmarkEnd w:id="257"/>
      <w:bookmarkEnd w:id="258"/>
      <w:bookmarkEnd w:id="259"/>
      <w:bookmarkEnd w:id="260"/>
      <w:bookmarkEnd w:id="261"/>
    </w:p>
    <w:p w14:paraId="4C789BB3">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62" w:name="_Toc504479691"/>
      <w:bookmarkStart w:id="263" w:name="_Toc21578"/>
      <w:bookmarkStart w:id="264" w:name="_Toc504654726"/>
      <w:bookmarkStart w:id="265" w:name="_Toc504479240"/>
      <w:bookmarkStart w:id="266" w:name="_Toc445473531"/>
      <w:r>
        <w:rPr>
          <w:rFonts w:hint="eastAsia" w:cs="宋体" w:asciiTheme="majorEastAsia" w:hAnsiTheme="majorEastAsia" w:eastAsiaTheme="majorEastAsia"/>
          <w:b w:val="0"/>
          <w:bCs w:val="0"/>
          <w:color w:val="000000"/>
          <w:kern w:val="2"/>
          <w:sz w:val="24"/>
          <w:szCs w:val="24"/>
          <w:lang w:val="zh-CN"/>
        </w:rPr>
        <w:t>③非工作原因，不得来回走动。</w:t>
      </w:r>
      <w:bookmarkEnd w:id="262"/>
      <w:bookmarkEnd w:id="263"/>
      <w:bookmarkEnd w:id="264"/>
      <w:bookmarkEnd w:id="265"/>
      <w:bookmarkEnd w:id="266"/>
    </w:p>
    <w:p w14:paraId="1C68B507">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67" w:name="_Toc445473532"/>
      <w:bookmarkStart w:id="268" w:name="_Toc504654727"/>
      <w:bookmarkStart w:id="269" w:name="_Toc9368"/>
      <w:bookmarkStart w:id="270" w:name="_Toc504479241"/>
      <w:bookmarkStart w:id="271" w:name="_Toc504479692"/>
      <w:r>
        <w:rPr>
          <w:rFonts w:hint="eastAsia" w:cs="宋体" w:asciiTheme="majorEastAsia" w:hAnsiTheme="majorEastAsia" w:eastAsiaTheme="majorEastAsia"/>
          <w:b w:val="0"/>
          <w:bCs w:val="0"/>
          <w:color w:val="000000"/>
          <w:kern w:val="2"/>
          <w:sz w:val="24"/>
          <w:szCs w:val="24"/>
          <w:lang w:val="zh-CN"/>
        </w:rPr>
        <w:t>④供应商如有异议，可向采购人和监督部门书面陈述，不得高声喧哗，妨碍正常开标。</w:t>
      </w:r>
      <w:bookmarkEnd w:id="267"/>
      <w:bookmarkEnd w:id="268"/>
      <w:bookmarkEnd w:id="269"/>
      <w:bookmarkEnd w:id="270"/>
      <w:bookmarkEnd w:id="271"/>
    </w:p>
    <w:p w14:paraId="1CC4E798">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72" w:name="_Toc504479242"/>
      <w:bookmarkStart w:id="273" w:name="_Toc31407"/>
      <w:bookmarkStart w:id="274" w:name="_Toc504479693"/>
      <w:bookmarkStart w:id="275" w:name="_Toc504654728"/>
      <w:bookmarkStart w:id="276" w:name="_Toc445473533"/>
      <w:r>
        <w:rPr>
          <w:rFonts w:cs="宋体" w:asciiTheme="majorEastAsia" w:hAnsiTheme="majorEastAsia" w:eastAsiaTheme="majorEastAsia"/>
          <w:b w:val="0"/>
          <w:bCs w:val="0"/>
          <w:color w:val="000000"/>
          <w:kern w:val="2"/>
          <w:sz w:val="24"/>
          <w:szCs w:val="24"/>
          <w:lang w:val="zh-CN"/>
        </w:rPr>
        <w:t>2.4</w:t>
      </w:r>
      <w:r>
        <w:rPr>
          <w:rFonts w:hint="eastAsia" w:cs="宋体" w:asciiTheme="majorEastAsia" w:hAnsiTheme="majorEastAsia" w:eastAsiaTheme="majorEastAsia"/>
          <w:b w:val="0"/>
          <w:bCs w:val="0"/>
          <w:color w:val="000000"/>
          <w:kern w:val="2"/>
          <w:sz w:val="24"/>
          <w:szCs w:val="24"/>
          <w:lang w:val="zh-CN"/>
        </w:rPr>
        <w:t>介绍到会监督部门代表、采购人代表及供应商。</w:t>
      </w:r>
      <w:bookmarkEnd w:id="272"/>
      <w:bookmarkEnd w:id="273"/>
      <w:bookmarkEnd w:id="274"/>
      <w:bookmarkEnd w:id="275"/>
      <w:bookmarkEnd w:id="276"/>
    </w:p>
    <w:p w14:paraId="5612CF07">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77" w:name="_Toc504654729"/>
      <w:bookmarkStart w:id="278" w:name="_Toc504479694"/>
      <w:bookmarkStart w:id="279" w:name="_Toc445473534"/>
      <w:bookmarkStart w:id="280" w:name="_Toc504479243"/>
      <w:bookmarkStart w:id="281" w:name="_Toc5720"/>
      <w:r>
        <w:rPr>
          <w:rFonts w:cs="宋体" w:asciiTheme="majorEastAsia" w:hAnsiTheme="majorEastAsia" w:eastAsiaTheme="majorEastAsia"/>
          <w:b w:val="0"/>
          <w:bCs w:val="0"/>
          <w:color w:val="000000"/>
          <w:kern w:val="2"/>
          <w:sz w:val="24"/>
          <w:szCs w:val="24"/>
          <w:lang w:val="zh-CN"/>
        </w:rPr>
        <w:t>2.5</w:t>
      </w:r>
      <w:r>
        <w:rPr>
          <w:rFonts w:hint="eastAsia" w:cs="宋体" w:asciiTheme="majorEastAsia" w:hAnsiTheme="majorEastAsia" w:eastAsiaTheme="majorEastAsia"/>
          <w:b w:val="0"/>
          <w:bCs w:val="0"/>
          <w:color w:val="000000"/>
          <w:kern w:val="2"/>
          <w:sz w:val="24"/>
          <w:szCs w:val="24"/>
          <w:lang w:val="zh-CN"/>
        </w:rPr>
        <w:t>由供应商与监督部门同时检查投标文件密封情况，并宣布检查结果。</w:t>
      </w:r>
      <w:bookmarkEnd w:id="277"/>
      <w:bookmarkEnd w:id="278"/>
      <w:bookmarkEnd w:id="279"/>
      <w:bookmarkEnd w:id="280"/>
      <w:bookmarkEnd w:id="281"/>
    </w:p>
    <w:p w14:paraId="717FBA60">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82" w:name="_Toc20670"/>
      <w:bookmarkStart w:id="283" w:name="_Toc504479244"/>
      <w:bookmarkStart w:id="284" w:name="_Toc445473535"/>
      <w:bookmarkStart w:id="285" w:name="_Toc504654730"/>
      <w:bookmarkStart w:id="286" w:name="_Toc504479695"/>
      <w:r>
        <w:rPr>
          <w:rFonts w:cs="宋体" w:asciiTheme="majorEastAsia" w:hAnsiTheme="majorEastAsia" w:eastAsiaTheme="majorEastAsia"/>
          <w:b w:val="0"/>
          <w:bCs w:val="0"/>
          <w:color w:val="000000"/>
          <w:kern w:val="2"/>
          <w:sz w:val="24"/>
          <w:szCs w:val="24"/>
          <w:lang w:val="zh-CN"/>
        </w:rPr>
        <w:t>2.6</w:t>
      </w:r>
      <w:r>
        <w:rPr>
          <w:rFonts w:hint="eastAsia" w:cs="宋体" w:asciiTheme="majorEastAsia" w:hAnsiTheme="majorEastAsia" w:eastAsiaTheme="majorEastAsia"/>
          <w:b w:val="0"/>
          <w:bCs w:val="0"/>
          <w:color w:val="000000"/>
          <w:kern w:val="2"/>
          <w:sz w:val="24"/>
          <w:szCs w:val="24"/>
          <w:lang w:val="zh-CN"/>
        </w:rPr>
        <w:t>唱标并制作开标记录表。</w:t>
      </w:r>
      <w:bookmarkEnd w:id="282"/>
      <w:bookmarkEnd w:id="283"/>
      <w:bookmarkEnd w:id="284"/>
      <w:bookmarkEnd w:id="285"/>
      <w:bookmarkEnd w:id="286"/>
    </w:p>
    <w:p w14:paraId="3C3414B9">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87" w:name="_Toc504654731"/>
      <w:bookmarkStart w:id="288" w:name="_Toc504479245"/>
      <w:bookmarkStart w:id="289" w:name="_Toc989"/>
      <w:bookmarkStart w:id="290" w:name="_Toc445473536"/>
      <w:bookmarkStart w:id="291" w:name="_Toc504479696"/>
      <w:r>
        <w:rPr>
          <w:rFonts w:cs="宋体" w:asciiTheme="majorEastAsia" w:hAnsiTheme="majorEastAsia" w:eastAsiaTheme="majorEastAsia"/>
          <w:b w:val="0"/>
          <w:bCs w:val="0"/>
          <w:color w:val="000000"/>
          <w:kern w:val="2"/>
          <w:sz w:val="24"/>
          <w:szCs w:val="24"/>
          <w:lang w:val="zh-CN"/>
        </w:rPr>
        <w:t>2.7</w:t>
      </w:r>
      <w:r>
        <w:rPr>
          <w:rFonts w:hint="eastAsia" w:cs="宋体" w:asciiTheme="majorEastAsia" w:hAnsiTheme="majorEastAsia" w:eastAsiaTheme="majorEastAsia"/>
          <w:b w:val="0"/>
          <w:bCs w:val="0"/>
          <w:color w:val="000000"/>
          <w:kern w:val="2"/>
          <w:sz w:val="24"/>
          <w:szCs w:val="24"/>
          <w:lang w:val="zh-CN"/>
        </w:rPr>
        <w:t>宣布暂时休会，转入评标程序。</w:t>
      </w:r>
      <w:bookmarkEnd w:id="287"/>
      <w:bookmarkEnd w:id="288"/>
      <w:bookmarkEnd w:id="289"/>
      <w:bookmarkEnd w:id="290"/>
      <w:bookmarkEnd w:id="291"/>
    </w:p>
    <w:p w14:paraId="2AB91795">
      <w:pPr>
        <w:pStyle w:val="29"/>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92" w:name="_Toc504479697"/>
      <w:bookmarkStart w:id="293" w:name="_Toc504654732"/>
      <w:bookmarkStart w:id="294" w:name="_Toc445473537"/>
      <w:bookmarkStart w:id="295" w:name="_Toc25661"/>
      <w:bookmarkStart w:id="296" w:name="_Toc504479246"/>
      <w:r>
        <w:rPr>
          <w:rFonts w:cs="宋体" w:asciiTheme="majorEastAsia" w:hAnsiTheme="majorEastAsia" w:eastAsiaTheme="majorEastAsia"/>
          <w:b w:val="0"/>
          <w:bCs w:val="0"/>
          <w:color w:val="000000"/>
          <w:kern w:val="2"/>
          <w:sz w:val="24"/>
          <w:szCs w:val="24"/>
          <w:lang w:val="zh-CN"/>
        </w:rPr>
        <w:t>2.8</w:t>
      </w:r>
      <w:r>
        <w:rPr>
          <w:rFonts w:hint="eastAsia" w:cs="宋体" w:asciiTheme="majorEastAsia" w:hAnsiTheme="majorEastAsia" w:eastAsiaTheme="majorEastAsia"/>
          <w:b w:val="0"/>
          <w:bCs w:val="0"/>
          <w:color w:val="000000"/>
          <w:kern w:val="2"/>
          <w:sz w:val="24"/>
          <w:szCs w:val="24"/>
          <w:lang w:val="zh-CN"/>
        </w:rPr>
        <w:t>开标会议结束。</w:t>
      </w:r>
      <w:bookmarkEnd w:id="292"/>
      <w:bookmarkEnd w:id="293"/>
      <w:bookmarkEnd w:id="294"/>
      <w:bookmarkEnd w:id="295"/>
      <w:bookmarkEnd w:id="296"/>
    </w:p>
    <w:p w14:paraId="505F4629">
      <w:pPr>
        <w:pStyle w:val="29"/>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lang w:val="zh-CN"/>
        </w:rPr>
      </w:pPr>
      <w:bookmarkStart w:id="297" w:name="_Toc504479698"/>
      <w:bookmarkStart w:id="298" w:name="_Toc504479247"/>
      <w:bookmarkStart w:id="299" w:name="_Toc13265"/>
      <w:bookmarkStart w:id="300" w:name="_Toc504654733"/>
      <w:bookmarkStart w:id="301" w:name="_Toc445473538"/>
      <w:r>
        <w:rPr>
          <w:rFonts w:cs="宋体" w:asciiTheme="majorEastAsia" w:hAnsiTheme="majorEastAsia" w:eastAsiaTheme="majorEastAsia"/>
          <w:color w:val="000000"/>
          <w:kern w:val="2"/>
          <w:sz w:val="24"/>
          <w:szCs w:val="24"/>
          <w:lang w:val="zh-CN"/>
        </w:rPr>
        <w:t>3</w:t>
      </w:r>
      <w:r>
        <w:rPr>
          <w:rFonts w:hint="eastAsia" w:cs="宋体" w:asciiTheme="majorEastAsia" w:hAnsiTheme="majorEastAsia" w:eastAsiaTheme="majorEastAsia"/>
          <w:color w:val="000000"/>
          <w:kern w:val="2"/>
          <w:sz w:val="24"/>
          <w:szCs w:val="24"/>
          <w:lang w:val="zh-CN"/>
        </w:rPr>
        <w:t>、不予接收的投标文件</w:t>
      </w:r>
      <w:bookmarkEnd w:id="297"/>
      <w:bookmarkEnd w:id="298"/>
      <w:bookmarkEnd w:id="299"/>
      <w:bookmarkEnd w:id="300"/>
      <w:bookmarkEnd w:id="301"/>
    </w:p>
    <w:p w14:paraId="381CAA49">
      <w:pPr>
        <w:pStyle w:val="29"/>
        <w:spacing w:before="0" w:after="0" w:line="360" w:lineRule="auto"/>
        <w:ind w:left="-3" w:leftChars="0" w:firstLine="3" w:firstLineChars="0"/>
        <w:jc w:val="left"/>
        <w:outlineLvl w:val="9"/>
        <w:rPr>
          <w:rFonts w:cs="宋体" w:asciiTheme="majorEastAsia" w:hAnsiTheme="majorEastAsia" w:eastAsiaTheme="majorEastAsia"/>
          <w:b w:val="0"/>
          <w:bCs w:val="0"/>
          <w:color w:val="000000"/>
          <w:kern w:val="2"/>
          <w:sz w:val="24"/>
          <w:szCs w:val="24"/>
          <w:lang w:val="zh-CN"/>
        </w:rPr>
      </w:pPr>
      <w:bookmarkStart w:id="302" w:name="_Toc6443"/>
      <w:bookmarkStart w:id="303" w:name="_Toc504479248"/>
      <w:bookmarkStart w:id="304" w:name="_Toc504479699"/>
      <w:bookmarkStart w:id="305" w:name="_Toc504654734"/>
      <w:bookmarkStart w:id="306" w:name="_Toc445473539"/>
      <w:r>
        <w:rPr>
          <w:rFonts w:hint="eastAsia" w:cs="宋体" w:asciiTheme="majorEastAsia" w:hAnsiTheme="majorEastAsia" w:eastAsiaTheme="majorEastAsia"/>
          <w:b w:val="0"/>
          <w:bCs w:val="0"/>
          <w:color w:val="000000"/>
          <w:kern w:val="2"/>
          <w:sz w:val="24"/>
          <w:szCs w:val="24"/>
          <w:lang w:val="zh-CN"/>
        </w:rPr>
        <w:t>投标文件有下列情况之一者将被视为无效：</w:t>
      </w:r>
      <w:bookmarkEnd w:id="302"/>
      <w:bookmarkEnd w:id="303"/>
      <w:bookmarkEnd w:id="304"/>
      <w:bookmarkEnd w:id="305"/>
      <w:bookmarkEnd w:id="306"/>
      <w:bookmarkStart w:id="307" w:name="_Toc504654735"/>
      <w:bookmarkStart w:id="308" w:name="_Toc445473540"/>
      <w:bookmarkStart w:id="309" w:name="_Toc504479249"/>
      <w:bookmarkStart w:id="310" w:name="_Toc504479700"/>
    </w:p>
    <w:p w14:paraId="1B3E6CB9">
      <w:pPr>
        <w:pStyle w:val="29"/>
        <w:numPr>
          <w:ilvl w:val="0"/>
          <w:numId w:val="2"/>
        </w:numPr>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lang w:val="zh-CN"/>
        </w:rPr>
      </w:pPr>
      <w:bookmarkStart w:id="311" w:name="_Toc14926"/>
      <w:r>
        <w:rPr>
          <w:rFonts w:hint="eastAsia" w:cs="宋体" w:asciiTheme="majorEastAsia" w:hAnsiTheme="majorEastAsia" w:eastAsiaTheme="majorEastAsia"/>
          <w:b w:val="0"/>
          <w:bCs w:val="0"/>
          <w:color w:val="000000"/>
          <w:kern w:val="2"/>
          <w:sz w:val="24"/>
          <w:szCs w:val="24"/>
          <w:lang w:val="zh-CN"/>
        </w:rPr>
        <w:t>投标文件未按规定密封</w:t>
      </w:r>
      <w:bookmarkEnd w:id="307"/>
      <w:bookmarkEnd w:id="308"/>
      <w:bookmarkEnd w:id="309"/>
      <w:bookmarkEnd w:id="310"/>
      <w:bookmarkStart w:id="312" w:name="_Toc504479250"/>
      <w:bookmarkStart w:id="313" w:name="_Toc504654736"/>
      <w:bookmarkStart w:id="314" w:name="_Toc504479701"/>
      <w:bookmarkStart w:id="315" w:name="_Toc445473541"/>
      <w:r>
        <w:rPr>
          <w:rFonts w:hint="eastAsia" w:cs="宋体" w:asciiTheme="majorEastAsia" w:hAnsiTheme="majorEastAsia" w:eastAsiaTheme="majorEastAsia"/>
          <w:b w:val="0"/>
          <w:bCs w:val="0"/>
          <w:color w:val="000000"/>
          <w:kern w:val="2"/>
          <w:sz w:val="24"/>
          <w:szCs w:val="24"/>
          <w:lang w:val="zh-CN"/>
        </w:rPr>
        <w:t>；</w:t>
      </w:r>
      <w:bookmarkEnd w:id="311"/>
    </w:p>
    <w:p w14:paraId="5FF5BF34">
      <w:pPr>
        <w:pStyle w:val="29"/>
        <w:numPr>
          <w:ilvl w:val="0"/>
          <w:numId w:val="2"/>
        </w:numPr>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lang w:val="zh-CN"/>
        </w:rPr>
      </w:pPr>
      <w:bookmarkStart w:id="316" w:name="_Toc15103"/>
      <w:r>
        <w:rPr>
          <w:rFonts w:hint="eastAsia" w:cs="宋体" w:asciiTheme="majorEastAsia" w:hAnsiTheme="majorEastAsia" w:eastAsiaTheme="majorEastAsia"/>
          <w:b w:val="0"/>
          <w:bCs w:val="0"/>
          <w:color w:val="000000"/>
          <w:kern w:val="2"/>
          <w:sz w:val="24"/>
          <w:szCs w:val="24"/>
          <w:lang w:val="zh-CN"/>
        </w:rPr>
        <w:t>投标截止时间以后送达的投标文件</w:t>
      </w:r>
      <w:bookmarkEnd w:id="312"/>
      <w:bookmarkEnd w:id="313"/>
      <w:bookmarkEnd w:id="314"/>
      <w:bookmarkEnd w:id="315"/>
      <w:r>
        <w:rPr>
          <w:rFonts w:hint="eastAsia" w:cs="宋体" w:asciiTheme="majorEastAsia" w:hAnsiTheme="majorEastAsia" w:eastAsiaTheme="majorEastAsia"/>
          <w:b w:val="0"/>
          <w:bCs w:val="0"/>
          <w:color w:val="000000"/>
          <w:kern w:val="2"/>
          <w:sz w:val="24"/>
          <w:szCs w:val="24"/>
          <w:lang w:val="zh-CN"/>
        </w:rPr>
        <w:t>；</w:t>
      </w:r>
      <w:bookmarkEnd w:id="316"/>
      <w:bookmarkStart w:id="317" w:name="_Toc445473542"/>
      <w:bookmarkStart w:id="318" w:name="_Toc504479251"/>
      <w:bookmarkStart w:id="319" w:name="_Toc504479702"/>
      <w:bookmarkStart w:id="320" w:name="_Toc504654737"/>
    </w:p>
    <w:p w14:paraId="33AAAE54">
      <w:pPr>
        <w:pStyle w:val="29"/>
        <w:numPr>
          <w:ilvl w:val="0"/>
          <w:numId w:val="2"/>
        </w:numPr>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lang w:val="zh-CN"/>
        </w:rPr>
      </w:pPr>
      <w:bookmarkStart w:id="321" w:name="_Toc17808"/>
      <w:r>
        <w:rPr>
          <w:rFonts w:hint="eastAsia" w:cs="宋体" w:asciiTheme="majorEastAsia" w:hAnsiTheme="majorEastAsia" w:eastAsiaTheme="majorEastAsia"/>
          <w:b w:val="0"/>
          <w:bCs w:val="0"/>
          <w:color w:val="000000"/>
          <w:kern w:val="2"/>
          <w:sz w:val="24"/>
          <w:szCs w:val="24"/>
          <w:lang w:val="zh-CN"/>
        </w:rPr>
        <w:t>没按规定提交投标保证金的。</w:t>
      </w:r>
      <w:bookmarkEnd w:id="317"/>
      <w:bookmarkEnd w:id="318"/>
      <w:bookmarkEnd w:id="319"/>
      <w:bookmarkEnd w:id="320"/>
      <w:bookmarkEnd w:id="321"/>
    </w:p>
    <w:p w14:paraId="09360CE2">
      <w:pPr>
        <w:spacing w:line="360" w:lineRule="auto"/>
        <w:ind w:left="21" w:leftChars="-40" w:hanging="105" w:hangingChars="35"/>
        <w:rPr>
          <w:rFonts w:cs="宋体" w:asciiTheme="majorEastAsia" w:hAnsiTheme="majorEastAsia" w:eastAsiaTheme="majorEastAsia"/>
          <w:b/>
          <w:bCs/>
          <w:color w:val="000000"/>
          <w:sz w:val="30"/>
          <w:szCs w:val="30"/>
          <w:lang w:val="zh-CN"/>
        </w:rPr>
      </w:pPr>
      <w:bookmarkStart w:id="322" w:name="_Toc445473543"/>
      <w:r>
        <w:rPr>
          <w:rFonts w:hint="eastAsia" w:cs="宋体" w:asciiTheme="majorEastAsia" w:hAnsiTheme="majorEastAsia" w:eastAsiaTheme="majorEastAsia"/>
          <w:b/>
          <w:bCs/>
          <w:color w:val="000000"/>
          <w:sz w:val="30"/>
          <w:szCs w:val="30"/>
          <w:lang w:val="zh-CN"/>
        </w:rPr>
        <w:t>六、评标机构</w:t>
      </w:r>
      <w:bookmarkEnd w:id="322"/>
    </w:p>
    <w:p w14:paraId="684AE0AB">
      <w:pPr>
        <w:pStyle w:val="29"/>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lang w:val="zh-CN"/>
        </w:rPr>
      </w:pPr>
      <w:bookmarkStart w:id="323" w:name="_Toc504479253"/>
      <w:bookmarkStart w:id="324" w:name="_Toc504479704"/>
      <w:bookmarkStart w:id="325" w:name="_Toc504654739"/>
      <w:bookmarkStart w:id="326" w:name="_Toc445473544"/>
      <w:bookmarkStart w:id="327" w:name="_Toc5410"/>
      <w:r>
        <w:rPr>
          <w:rFonts w:cs="宋体" w:asciiTheme="majorEastAsia" w:hAnsiTheme="majorEastAsia" w:eastAsiaTheme="majorEastAsia"/>
          <w:b w:val="0"/>
          <w:bCs w:val="0"/>
          <w:color w:val="000000"/>
          <w:kern w:val="2"/>
          <w:sz w:val="24"/>
          <w:szCs w:val="24"/>
          <w:lang w:val="zh-CN"/>
        </w:rPr>
        <w:t>1</w:t>
      </w:r>
      <w:r>
        <w:rPr>
          <w:rFonts w:hint="eastAsia" w:cs="宋体" w:asciiTheme="majorEastAsia" w:hAnsiTheme="majorEastAsia" w:eastAsiaTheme="majorEastAsia"/>
          <w:b w:val="0"/>
          <w:bCs w:val="0"/>
          <w:color w:val="000000"/>
          <w:kern w:val="2"/>
          <w:sz w:val="24"/>
          <w:szCs w:val="24"/>
          <w:lang w:val="zh-CN"/>
        </w:rPr>
        <w:t>、本项目评标委员会由有关经济、技术方面专家</w:t>
      </w:r>
      <w:r>
        <w:rPr>
          <w:rFonts w:cs="宋体" w:asciiTheme="majorEastAsia" w:hAnsiTheme="majorEastAsia" w:eastAsiaTheme="majorEastAsia"/>
          <w:b w:val="0"/>
          <w:bCs w:val="0"/>
          <w:color w:val="000000"/>
          <w:kern w:val="2"/>
          <w:sz w:val="24"/>
          <w:szCs w:val="24"/>
        </w:rPr>
        <w:t>5</w:t>
      </w:r>
      <w:r>
        <w:rPr>
          <w:rFonts w:hint="eastAsia" w:cs="宋体" w:asciiTheme="majorEastAsia" w:hAnsiTheme="majorEastAsia" w:eastAsiaTheme="majorEastAsia"/>
          <w:b w:val="0"/>
          <w:bCs w:val="0"/>
          <w:color w:val="000000"/>
          <w:kern w:val="2"/>
          <w:sz w:val="24"/>
          <w:szCs w:val="24"/>
          <w:lang w:val="zh-CN"/>
        </w:rPr>
        <w:t>人组成。</w:t>
      </w:r>
      <w:bookmarkEnd w:id="323"/>
      <w:bookmarkEnd w:id="324"/>
      <w:bookmarkEnd w:id="325"/>
      <w:bookmarkEnd w:id="326"/>
      <w:bookmarkEnd w:id="327"/>
    </w:p>
    <w:p w14:paraId="6F7709CA">
      <w:pPr>
        <w:pStyle w:val="29"/>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lang w:val="zh-CN"/>
        </w:rPr>
      </w:pPr>
      <w:bookmarkStart w:id="328" w:name="_Toc504479705"/>
      <w:bookmarkStart w:id="329" w:name="_Toc504654740"/>
      <w:bookmarkStart w:id="330" w:name="_Toc504479254"/>
      <w:bookmarkStart w:id="331" w:name="_Toc445473545"/>
      <w:bookmarkStart w:id="332" w:name="_Toc22795"/>
      <w:r>
        <w:rPr>
          <w:rFonts w:cs="宋体" w:asciiTheme="majorEastAsia" w:hAnsiTheme="majorEastAsia" w:eastAsiaTheme="majorEastAsia"/>
          <w:b w:val="0"/>
          <w:bCs w:val="0"/>
          <w:color w:val="000000"/>
          <w:kern w:val="2"/>
          <w:sz w:val="24"/>
          <w:szCs w:val="24"/>
          <w:lang w:val="zh-CN"/>
        </w:rPr>
        <w:t>2</w:t>
      </w:r>
      <w:r>
        <w:rPr>
          <w:rFonts w:hint="eastAsia" w:cs="宋体" w:asciiTheme="majorEastAsia" w:hAnsiTheme="majorEastAsia" w:eastAsiaTheme="majorEastAsia"/>
          <w:b w:val="0"/>
          <w:bCs w:val="0"/>
          <w:color w:val="000000"/>
          <w:kern w:val="2"/>
          <w:sz w:val="24"/>
          <w:szCs w:val="24"/>
          <w:lang w:val="zh-CN"/>
        </w:rPr>
        <w:t>、评标专家从有关专家库中随机抽取产生。</w:t>
      </w:r>
      <w:bookmarkEnd w:id="328"/>
      <w:bookmarkEnd w:id="329"/>
      <w:bookmarkEnd w:id="330"/>
      <w:bookmarkEnd w:id="331"/>
      <w:bookmarkEnd w:id="332"/>
    </w:p>
    <w:p w14:paraId="275A5E5D">
      <w:pPr>
        <w:pStyle w:val="29"/>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lang w:val="zh-CN"/>
        </w:rPr>
      </w:pPr>
      <w:bookmarkStart w:id="333" w:name="_Toc504479255"/>
      <w:bookmarkStart w:id="334" w:name="_Toc13345"/>
      <w:bookmarkStart w:id="335" w:name="_Toc504654741"/>
      <w:bookmarkStart w:id="336" w:name="_Toc445473546"/>
      <w:bookmarkStart w:id="337" w:name="_Toc504479706"/>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、评标委员会在开标当天组建，其名单在评标结果确定前严格保密。</w:t>
      </w:r>
      <w:bookmarkEnd w:id="333"/>
      <w:bookmarkEnd w:id="334"/>
      <w:bookmarkEnd w:id="335"/>
      <w:bookmarkEnd w:id="336"/>
      <w:bookmarkEnd w:id="337"/>
    </w:p>
    <w:p w14:paraId="1700C5ED">
      <w:pPr>
        <w:pStyle w:val="29"/>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lang w:val="zh-CN"/>
        </w:rPr>
      </w:pPr>
      <w:bookmarkStart w:id="338" w:name="_Toc12893"/>
      <w:bookmarkStart w:id="339" w:name="_Toc504654742"/>
      <w:bookmarkStart w:id="340" w:name="_Toc504479256"/>
      <w:bookmarkStart w:id="341" w:name="_Toc504479707"/>
      <w:bookmarkStart w:id="342" w:name="_Toc445473547"/>
      <w:r>
        <w:rPr>
          <w:rFonts w:cs="宋体" w:asciiTheme="majorEastAsia" w:hAnsiTheme="majorEastAsia" w:eastAsiaTheme="majorEastAsia"/>
          <w:b w:val="0"/>
          <w:bCs w:val="0"/>
          <w:color w:val="000000"/>
          <w:kern w:val="2"/>
          <w:sz w:val="24"/>
          <w:szCs w:val="24"/>
          <w:lang w:val="zh-CN"/>
        </w:rPr>
        <w:t>4</w:t>
      </w:r>
      <w:r>
        <w:rPr>
          <w:rFonts w:hint="eastAsia" w:cs="宋体" w:asciiTheme="majorEastAsia" w:hAnsiTheme="majorEastAsia" w:eastAsiaTheme="majorEastAsia"/>
          <w:b w:val="0"/>
          <w:bCs w:val="0"/>
          <w:color w:val="000000"/>
          <w:kern w:val="2"/>
          <w:sz w:val="24"/>
          <w:szCs w:val="24"/>
          <w:lang w:val="zh-CN"/>
        </w:rPr>
        <w:t>、与供应商有利害关系的人应回避，不得进入评标委员会。</w:t>
      </w:r>
      <w:bookmarkEnd w:id="338"/>
      <w:bookmarkEnd w:id="339"/>
      <w:bookmarkEnd w:id="340"/>
      <w:bookmarkEnd w:id="341"/>
      <w:bookmarkEnd w:id="342"/>
    </w:p>
    <w:p w14:paraId="34087C60">
      <w:pPr>
        <w:pStyle w:val="29"/>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lang w:val="zh-CN"/>
        </w:rPr>
      </w:pPr>
      <w:bookmarkStart w:id="343" w:name="_Toc504479708"/>
      <w:bookmarkStart w:id="344" w:name="_Toc504654743"/>
      <w:bookmarkStart w:id="345" w:name="_Toc15707"/>
      <w:bookmarkStart w:id="346" w:name="_Toc504479257"/>
      <w:bookmarkStart w:id="347" w:name="_Toc445473548"/>
      <w:r>
        <w:rPr>
          <w:rFonts w:cs="宋体" w:asciiTheme="majorEastAsia" w:hAnsiTheme="majorEastAsia" w:eastAsiaTheme="majorEastAsia"/>
          <w:b w:val="0"/>
          <w:bCs w:val="0"/>
          <w:color w:val="000000"/>
          <w:kern w:val="2"/>
          <w:sz w:val="24"/>
          <w:szCs w:val="24"/>
          <w:lang w:val="zh-CN"/>
        </w:rPr>
        <w:t>5</w:t>
      </w:r>
      <w:r>
        <w:rPr>
          <w:rFonts w:hint="eastAsia" w:cs="宋体" w:asciiTheme="majorEastAsia" w:hAnsiTheme="majorEastAsia" w:eastAsiaTheme="majorEastAsia"/>
          <w:b w:val="0"/>
          <w:bCs w:val="0"/>
          <w:color w:val="000000"/>
          <w:kern w:val="2"/>
          <w:sz w:val="24"/>
          <w:szCs w:val="24"/>
          <w:lang w:val="zh-CN"/>
        </w:rPr>
        <w:t>、评标委员会成员应当客观、公正地履行职务，遵守职业道德，对所提出的评审意见承担个人责任。</w:t>
      </w:r>
      <w:bookmarkEnd w:id="343"/>
      <w:bookmarkEnd w:id="344"/>
      <w:bookmarkEnd w:id="345"/>
      <w:bookmarkEnd w:id="346"/>
      <w:bookmarkEnd w:id="347"/>
    </w:p>
    <w:p w14:paraId="5F59FB95">
      <w:pPr>
        <w:pStyle w:val="29"/>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48" w:name="_Toc504654744"/>
      <w:bookmarkStart w:id="349" w:name="_Toc11964"/>
      <w:bookmarkStart w:id="350" w:name="_Toc445473549"/>
      <w:bookmarkStart w:id="351" w:name="_Toc504479258"/>
      <w:bookmarkStart w:id="352" w:name="_Toc504479709"/>
      <w:r>
        <w:rPr>
          <w:rFonts w:cs="宋体" w:asciiTheme="majorEastAsia" w:hAnsiTheme="majorEastAsia" w:eastAsiaTheme="majorEastAsia"/>
          <w:b w:val="0"/>
          <w:bCs w:val="0"/>
          <w:color w:val="000000"/>
          <w:kern w:val="2"/>
          <w:sz w:val="24"/>
          <w:szCs w:val="24"/>
        </w:rPr>
        <w:t>6.1</w:t>
      </w:r>
      <w:r>
        <w:rPr>
          <w:rFonts w:hint="eastAsia" w:cs="宋体" w:asciiTheme="majorEastAsia" w:hAnsiTheme="majorEastAsia" w:eastAsiaTheme="majorEastAsia"/>
          <w:b w:val="0"/>
          <w:bCs w:val="0"/>
          <w:color w:val="000000"/>
          <w:kern w:val="2"/>
          <w:sz w:val="24"/>
          <w:szCs w:val="24"/>
        </w:rPr>
        <w:t>评标原则</w:t>
      </w:r>
      <w:bookmarkEnd w:id="348"/>
      <w:bookmarkEnd w:id="349"/>
      <w:bookmarkEnd w:id="350"/>
      <w:bookmarkEnd w:id="351"/>
      <w:bookmarkEnd w:id="352"/>
    </w:p>
    <w:p w14:paraId="7DFDB9C9">
      <w:pPr>
        <w:pStyle w:val="29"/>
        <w:spacing w:before="0" w:after="0" w:line="360" w:lineRule="auto"/>
        <w:ind w:left="-155" w:leftChars="-74"/>
        <w:jc w:val="left"/>
        <w:outlineLvl w:val="9"/>
        <w:rPr>
          <w:rFonts w:cs="宋体" w:asciiTheme="majorEastAsia" w:hAnsiTheme="majorEastAsia" w:eastAsiaTheme="majorEastAsia"/>
          <w:b w:val="0"/>
          <w:color w:val="000000"/>
          <w:sz w:val="24"/>
          <w:szCs w:val="24"/>
        </w:rPr>
      </w:pPr>
      <w:bookmarkStart w:id="353" w:name="_Toc31036"/>
      <w:bookmarkStart w:id="354" w:name="_Toc445473550"/>
      <w:bookmarkStart w:id="355" w:name="_Toc504654745"/>
      <w:bookmarkStart w:id="356" w:name="_Toc504479259"/>
      <w:bookmarkStart w:id="357" w:name="_Toc504479710"/>
      <w:r>
        <w:rPr>
          <w:rFonts w:hint="eastAsia" w:cs="宋体" w:asciiTheme="majorEastAsia" w:hAnsiTheme="majorEastAsia" w:eastAsiaTheme="majorEastAsia"/>
          <w:b w:val="0"/>
          <w:color w:val="000000"/>
          <w:sz w:val="24"/>
          <w:szCs w:val="24"/>
        </w:rPr>
        <w:t>评标活动遵循公平、公正、科学和择优的原则。</w:t>
      </w:r>
      <w:bookmarkEnd w:id="353"/>
      <w:bookmarkEnd w:id="354"/>
      <w:bookmarkEnd w:id="355"/>
      <w:bookmarkEnd w:id="356"/>
      <w:bookmarkEnd w:id="357"/>
    </w:p>
    <w:p w14:paraId="6EFF9EB4">
      <w:pPr>
        <w:pStyle w:val="29"/>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58" w:name="_Toc504654746"/>
      <w:bookmarkStart w:id="359" w:name="_Toc504479260"/>
      <w:bookmarkStart w:id="360" w:name="_Toc445473551"/>
      <w:bookmarkStart w:id="361" w:name="_Toc31939"/>
      <w:bookmarkStart w:id="362" w:name="_Toc504479711"/>
      <w:r>
        <w:rPr>
          <w:rFonts w:cs="宋体" w:asciiTheme="majorEastAsia" w:hAnsiTheme="majorEastAsia" w:eastAsiaTheme="majorEastAsia"/>
          <w:b w:val="0"/>
          <w:bCs w:val="0"/>
          <w:color w:val="000000"/>
          <w:kern w:val="2"/>
          <w:sz w:val="24"/>
          <w:szCs w:val="24"/>
        </w:rPr>
        <w:t>6.2</w:t>
      </w:r>
      <w:r>
        <w:rPr>
          <w:rFonts w:hint="eastAsia" w:cs="宋体" w:asciiTheme="majorEastAsia" w:hAnsiTheme="majorEastAsia" w:eastAsiaTheme="majorEastAsia"/>
          <w:b w:val="0"/>
          <w:bCs w:val="0"/>
          <w:color w:val="000000"/>
          <w:kern w:val="2"/>
          <w:sz w:val="24"/>
          <w:szCs w:val="24"/>
        </w:rPr>
        <w:t>评标</w:t>
      </w:r>
      <w:bookmarkEnd w:id="358"/>
      <w:bookmarkEnd w:id="359"/>
      <w:bookmarkEnd w:id="360"/>
      <w:bookmarkEnd w:id="361"/>
      <w:bookmarkEnd w:id="362"/>
    </w:p>
    <w:p w14:paraId="2B65F115">
      <w:pPr>
        <w:pStyle w:val="29"/>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63" w:name="_Toc435021141"/>
      <w:bookmarkStart w:id="364" w:name="_Toc429224711"/>
      <w:bookmarkStart w:id="365" w:name="_Toc504654747"/>
      <w:bookmarkStart w:id="366" w:name="_Toc19530"/>
      <w:bookmarkStart w:id="367" w:name="_Toc504479712"/>
      <w:bookmarkStart w:id="368" w:name="_Toc504479261"/>
      <w:bookmarkStart w:id="369" w:name="_Toc445473552"/>
      <w:r>
        <w:rPr>
          <w:rFonts w:cs="宋体" w:asciiTheme="majorEastAsia" w:hAnsiTheme="majorEastAsia" w:eastAsiaTheme="majorEastAsia"/>
          <w:b w:val="0"/>
          <w:bCs w:val="0"/>
          <w:color w:val="000000"/>
          <w:kern w:val="2"/>
          <w:sz w:val="24"/>
          <w:szCs w:val="24"/>
        </w:rPr>
        <w:t>6.2.1</w:t>
      </w:r>
      <w:r>
        <w:rPr>
          <w:rFonts w:hint="eastAsia" w:cs="宋体" w:asciiTheme="majorEastAsia" w:hAnsiTheme="majorEastAsia" w:eastAsiaTheme="majorEastAsia"/>
          <w:b w:val="0"/>
          <w:bCs w:val="0"/>
          <w:color w:val="000000"/>
          <w:kern w:val="2"/>
          <w:sz w:val="24"/>
          <w:szCs w:val="24"/>
          <w:lang w:val="zh-CN"/>
        </w:rPr>
        <w:t>评标委员会按照“评标办法”规定的方法、评审因素、标准和程序对投标文件进行评审。</w:t>
      </w:r>
      <w:bookmarkEnd w:id="363"/>
      <w:bookmarkEnd w:id="364"/>
      <w:r>
        <w:rPr>
          <w:rFonts w:hint="eastAsia" w:cs="宋体" w:asciiTheme="majorEastAsia" w:hAnsiTheme="majorEastAsia" w:eastAsiaTheme="majorEastAsia"/>
          <w:b w:val="0"/>
          <w:bCs w:val="0"/>
          <w:color w:val="000000"/>
          <w:kern w:val="2"/>
          <w:sz w:val="24"/>
          <w:szCs w:val="24"/>
          <w:lang w:val="zh-CN"/>
        </w:rPr>
        <w:t>“评标办法”没有规定的方法、评审因素和标准，不作为评标依据。</w:t>
      </w:r>
      <w:bookmarkEnd w:id="365"/>
      <w:bookmarkEnd w:id="366"/>
      <w:bookmarkEnd w:id="367"/>
      <w:bookmarkEnd w:id="368"/>
      <w:bookmarkEnd w:id="369"/>
    </w:p>
    <w:p w14:paraId="55601C16">
      <w:pPr>
        <w:pStyle w:val="29"/>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70" w:name="_Toc445473553"/>
      <w:bookmarkStart w:id="371" w:name="_Toc504654748"/>
      <w:bookmarkStart w:id="372" w:name="_Toc504479713"/>
      <w:bookmarkStart w:id="373" w:name="_Toc1493"/>
      <w:bookmarkStart w:id="374" w:name="_Toc504479262"/>
      <w:r>
        <w:rPr>
          <w:rFonts w:cs="宋体" w:asciiTheme="majorEastAsia" w:hAnsiTheme="majorEastAsia" w:eastAsiaTheme="majorEastAsia"/>
          <w:b w:val="0"/>
          <w:bCs w:val="0"/>
          <w:color w:val="000000"/>
          <w:kern w:val="2"/>
          <w:sz w:val="24"/>
          <w:szCs w:val="24"/>
        </w:rPr>
        <w:t>6.2.2</w:t>
      </w:r>
      <w:r>
        <w:rPr>
          <w:rFonts w:hint="eastAsia" w:cs="宋体" w:asciiTheme="majorEastAsia" w:hAnsiTheme="majorEastAsia" w:eastAsiaTheme="majorEastAsia"/>
          <w:b w:val="0"/>
          <w:bCs w:val="0"/>
          <w:color w:val="000000"/>
          <w:kern w:val="2"/>
          <w:sz w:val="24"/>
          <w:szCs w:val="24"/>
        </w:rPr>
        <w:t>、投标文件有下列情形之一的，按</w:t>
      </w:r>
      <w:r>
        <w:rPr>
          <w:rFonts w:hint="eastAsia" w:cs="宋体" w:asciiTheme="majorEastAsia" w:hAnsiTheme="majorEastAsia" w:eastAsiaTheme="majorEastAsia"/>
          <w:b w:val="0"/>
          <w:bCs w:val="0"/>
          <w:color w:val="000000"/>
          <w:kern w:val="2"/>
          <w:sz w:val="24"/>
          <w:szCs w:val="24"/>
          <w:lang w:eastAsia="zh-CN"/>
        </w:rPr>
        <w:t>否决</w:t>
      </w:r>
      <w:r>
        <w:rPr>
          <w:rFonts w:hint="eastAsia" w:cs="宋体" w:asciiTheme="majorEastAsia" w:hAnsiTheme="majorEastAsia" w:eastAsiaTheme="majorEastAsia"/>
          <w:b w:val="0"/>
          <w:bCs w:val="0"/>
          <w:color w:val="000000"/>
          <w:kern w:val="2"/>
          <w:sz w:val="24"/>
          <w:szCs w:val="24"/>
        </w:rPr>
        <w:t>处理：</w:t>
      </w:r>
      <w:bookmarkEnd w:id="370"/>
      <w:bookmarkEnd w:id="371"/>
      <w:bookmarkEnd w:id="372"/>
      <w:bookmarkEnd w:id="373"/>
      <w:bookmarkEnd w:id="374"/>
    </w:p>
    <w:p w14:paraId="45288A46">
      <w:pPr>
        <w:pStyle w:val="29"/>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rPr>
      </w:pPr>
      <w:bookmarkStart w:id="375" w:name="_Toc504479714"/>
      <w:bookmarkStart w:id="376" w:name="_Toc32133"/>
      <w:bookmarkStart w:id="377" w:name="_Toc445473554"/>
      <w:bookmarkStart w:id="378" w:name="_Toc504479263"/>
      <w:bookmarkStart w:id="379" w:name="_Toc504654749"/>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rPr>
        <w:t>）投标文件中的投标函未加盖供应商公章和法定代表人签字的；</w:t>
      </w:r>
      <w:bookmarkEnd w:id="375"/>
      <w:bookmarkEnd w:id="376"/>
      <w:bookmarkEnd w:id="377"/>
      <w:bookmarkEnd w:id="378"/>
      <w:bookmarkEnd w:id="379"/>
    </w:p>
    <w:p w14:paraId="2F2E2BC4">
      <w:pPr>
        <w:pStyle w:val="29"/>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80" w:name="_Toc445473555"/>
      <w:bookmarkStart w:id="381" w:name="_Toc504654750"/>
      <w:bookmarkStart w:id="382" w:name="_Toc504479264"/>
      <w:bookmarkStart w:id="383" w:name="_Toc4974"/>
      <w:bookmarkStart w:id="384" w:name="_Toc504479715"/>
      <w:r>
        <w:rPr>
          <w:rFonts w:cs="宋体" w:asciiTheme="majorEastAsia" w:hAnsiTheme="majorEastAsia" w:eastAsiaTheme="majorEastAsia"/>
          <w:b w:val="0"/>
          <w:bCs w:val="0"/>
          <w:color w:val="000000"/>
          <w:kern w:val="2"/>
          <w:sz w:val="24"/>
          <w:szCs w:val="24"/>
        </w:rPr>
        <w:t>2</w:t>
      </w:r>
      <w:r>
        <w:rPr>
          <w:rFonts w:hint="eastAsia" w:cs="宋体" w:asciiTheme="majorEastAsia" w:hAnsiTheme="majorEastAsia" w:eastAsiaTheme="majorEastAsia"/>
          <w:b w:val="0"/>
          <w:bCs w:val="0"/>
          <w:color w:val="000000"/>
          <w:kern w:val="2"/>
          <w:sz w:val="24"/>
          <w:szCs w:val="24"/>
        </w:rPr>
        <w:t>）投标文件中载明的技术标准和资格文件等不符合招标文件的要求；</w:t>
      </w:r>
      <w:bookmarkEnd w:id="380"/>
      <w:bookmarkEnd w:id="381"/>
      <w:bookmarkEnd w:id="382"/>
      <w:bookmarkEnd w:id="383"/>
      <w:bookmarkEnd w:id="384"/>
    </w:p>
    <w:p w14:paraId="3E602DC3">
      <w:pPr>
        <w:pStyle w:val="29"/>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85" w:name="_Toc504479265"/>
      <w:bookmarkStart w:id="386" w:name="_Toc504654751"/>
      <w:bookmarkStart w:id="387" w:name="_Toc445473556"/>
      <w:bookmarkStart w:id="388" w:name="_Toc23794"/>
      <w:bookmarkStart w:id="389" w:name="_Toc504479716"/>
      <w:r>
        <w:rPr>
          <w:rFonts w:cs="宋体" w:asciiTheme="majorEastAsia" w:hAnsiTheme="majorEastAsia" w:eastAsiaTheme="majorEastAsia"/>
          <w:b w:val="0"/>
          <w:bCs w:val="0"/>
          <w:color w:val="000000"/>
          <w:kern w:val="2"/>
          <w:sz w:val="24"/>
          <w:szCs w:val="24"/>
        </w:rPr>
        <w:t>3</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投标文件中有两个或两个以上报价的；</w:t>
      </w:r>
      <w:bookmarkEnd w:id="385"/>
      <w:bookmarkEnd w:id="386"/>
      <w:bookmarkEnd w:id="387"/>
      <w:bookmarkEnd w:id="388"/>
      <w:bookmarkEnd w:id="389"/>
    </w:p>
    <w:p w14:paraId="02C13531">
      <w:pPr>
        <w:pStyle w:val="29"/>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lang w:val="zh-CN"/>
        </w:rPr>
      </w:pPr>
      <w:bookmarkStart w:id="390" w:name="_Toc6168"/>
      <w:bookmarkStart w:id="391" w:name="_Toc504479266"/>
      <w:bookmarkStart w:id="392" w:name="_Toc504654752"/>
      <w:bookmarkStart w:id="393" w:name="_Toc445473557"/>
      <w:bookmarkStart w:id="394" w:name="_Toc504479717"/>
      <w:r>
        <w:rPr>
          <w:rFonts w:cs="宋体" w:asciiTheme="majorEastAsia" w:hAnsiTheme="majorEastAsia" w:eastAsiaTheme="majorEastAsia"/>
          <w:b w:val="0"/>
          <w:bCs w:val="0"/>
          <w:color w:val="000000"/>
          <w:kern w:val="2"/>
          <w:sz w:val="24"/>
          <w:szCs w:val="24"/>
        </w:rPr>
        <w:t>4</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投标文件的关键内容字迹模糊、无法辨认的；</w:t>
      </w:r>
      <w:bookmarkEnd w:id="390"/>
      <w:bookmarkEnd w:id="391"/>
      <w:bookmarkEnd w:id="392"/>
      <w:bookmarkEnd w:id="393"/>
      <w:bookmarkEnd w:id="394"/>
    </w:p>
    <w:p w14:paraId="386C2C3B">
      <w:pPr>
        <w:pStyle w:val="29"/>
        <w:spacing w:before="0" w:after="0" w:line="360" w:lineRule="auto"/>
        <w:ind w:left="-13" w:leftChars="-6" w:firstLine="12" w:firstLineChars="5"/>
        <w:jc w:val="both"/>
        <w:outlineLvl w:val="9"/>
        <w:rPr>
          <w:rFonts w:cs="宋体" w:asciiTheme="majorEastAsia" w:hAnsiTheme="majorEastAsia" w:eastAsiaTheme="majorEastAsia"/>
          <w:b w:val="0"/>
          <w:color w:val="000000"/>
          <w:sz w:val="24"/>
          <w:szCs w:val="24"/>
        </w:rPr>
      </w:pPr>
      <w:bookmarkStart w:id="395" w:name="_Toc504654753"/>
      <w:bookmarkStart w:id="396" w:name="_Toc13125"/>
      <w:bookmarkStart w:id="397" w:name="_Toc504479718"/>
      <w:bookmarkStart w:id="398" w:name="_Toc445473558"/>
      <w:bookmarkStart w:id="399" w:name="_Toc504479267"/>
      <w:r>
        <w:rPr>
          <w:rFonts w:cs="宋体" w:asciiTheme="majorEastAsia" w:hAnsiTheme="majorEastAsia" w:eastAsiaTheme="majorEastAsia"/>
          <w:b w:val="0"/>
          <w:bCs w:val="0"/>
          <w:color w:val="000000"/>
          <w:kern w:val="2"/>
          <w:sz w:val="24"/>
          <w:szCs w:val="24"/>
          <w:lang w:val="zh-CN"/>
        </w:rPr>
        <w:t>5</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投标文件未按供应商须知中“投标文件密封与标志”规定密封、标志的；</w:t>
      </w:r>
      <w:bookmarkEnd w:id="395"/>
      <w:bookmarkEnd w:id="396"/>
      <w:bookmarkEnd w:id="397"/>
      <w:bookmarkEnd w:id="398"/>
      <w:bookmarkEnd w:id="399"/>
    </w:p>
    <w:p w14:paraId="1420A70E">
      <w:pPr>
        <w:pStyle w:val="29"/>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rPr>
      </w:pPr>
      <w:bookmarkStart w:id="400" w:name="_Toc504479268"/>
      <w:bookmarkStart w:id="401" w:name="_Toc504654754"/>
      <w:bookmarkStart w:id="402" w:name="_Toc445473559"/>
      <w:bookmarkStart w:id="403" w:name="_Toc216"/>
      <w:bookmarkStart w:id="404" w:name="_Toc504479719"/>
      <w:r>
        <w:rPr>
          <w:rFonts w:cs="宋体" w:asciiTheme="majorEastAsia" w:hAnsiTheme="majorEastAsia" w:eastAsiaTheme="majorEastAsia"/>
          <w:b w:val="0"/>
          <w:bCs w:val="0"/>
          <w:color w:val="000000"/>
          <w:kern w:val="2"/>
          <w:sz w:val="24"/>
          <w:szCs w:val="24"/>
        </w:rPr>
        <w:t>6</w:t>
      </w:r>
      <w:r>
        <w:rPr>
          <w:rFonts w:hint="eastAsia" w:cs="宋体" w:asciiTheme="majorEastAsia" w:hAnsiTheme="majorEastAsia" w:eastAsiaTheme="majorEastAsia"/>
          <w:b w:val="0"/>
          <w:bCs w:val="0"/>
          <w:color w:val="000000"/>
          <w:kern w:val="2"/>
          <w:sz w:val="24"/>
          <w:szCs w:val="24"/>
        </w:rPr>
        <w:t>）投标文件附有采购人不能接受的条件的；</w:t>
      </w:r>
      <w:bookmarkEnd w:id="400"/>
      <w:bookmarkEnd w:id="401"/>
      <w:bookmarkEnd w:id="402"/>
      <w:bookmarkEnd w:id="403"/>
      <w:bookmarkEnd w:id="404"/>
    </w:p>
    <w:p w14:paraId="64280066">
      <w:pPr>
        <w:pStyle w:val="29"/>
        <w:spacing w:before="0" w:after="0" w:line="360" w:lineRule="auto"/>
        <w:ind w:left="-13" w:leftChars="-6" w:firstLine="12" w:firstLineChars="5"/>
        <w:jc w:val="both"/>
        <w:outlineLvl w:val="9"/>
        <w:rPr>
          <w:rFonts w:cs="宋体" w:asciiTheme="majorEastAsia" w:hAnsiTheme="majorEastAsia" w:eastAsiaTheme="majorEastAsia"/>
          <w:b w:val="0"/>
          <w:color w:val="000000"/>
          <w:sz w:val="24"/>
          <w:szCs w:val="24"/>
        </w:rPr>
      </w:pPr>
      <w:bookmarkStart w:id="405" w:name="_Toc504479720"/>
      <w:bookmarkStart w:id="406" w:name="_Toc27646"/>
      <w:bookmarkStart w:id="407" w:name="_Toc504479269"/>
      <w:bookmarkStart w:id="408" w:name="_Toc504654755"/>
      <w:bookmarkStart w:id="409" w:name="_Toc445473560"/>
      <w:r>
        <w:rPr>
          <w:rFonts w:cs="宋体" w:asciiTheme="majorEastAsia" w:hAnsiTheme="majorEastAsia" w:eastAsiaTheme="majorEastAsia"/>
          <w:b w:val="0"/>
          <w:bCs w:val="0"/>
          <w:color w:val="000000"/>
          <w:kern w:val="2"/>
          <w:sz w:val="24"/>
          <w:szCs w:val="24"/>
        </w:rPr>
        <w:t>7</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不符合招标文件中规定的其他实质性要求的。</w:t>
      </w:r>
      <w:bookmarkEnd w:id="405"/>
      <w:bookmarkEnd w:id="406"/>
      <w:bookmarkEnd w:id="407"/>
      <w:bookmarkEnd w:id="408"/>
      <w:bookmarkEnd w:id="409"/>
    </w:p>
    <w:p w14:paraId="54E21FEB">
      <w:pPr>
        <w:spacing w:line="360" w:lineRule="auto"/>
        <w:ind w:left="21" w:leftChars="0" w:hanging="21" w:hangingChars="7"/>
        <w:rPr>
          <w:rFonts w:cs="宋体" w:asciiTheme="majorEastAsia" w:hAnsiTheme="majorEastAsia" w:eastAsiaTheme="majorEastAsia"/>
          <w:b/>
          <w:bCs/>
          <w:color w:val="000000"/>
          <w:sz w:val="30"/>
          <w:szCs w:val="30"/>
          <w:lang w:val="zh-CN"/>
        </w:rPr>
      </w:pPr>
      <w:bookmarkStart w:id="410" w:name="_Toc445473561"/>
      <w:r>
        <w:rPr>
          <w:rFonts w:hint="eastAsia" w:cs="宋体" w:asciiTheme="majorEastAsia" w:hAnsiTheme="majorEastAsia" w:eastAsiaTheme="majorEastAsia"/>
          <w:b/>
          <w:bCs/>
          <w:color w:val="000000"/>
          <w:sz w:val="30"/>
          <w:szCs w:val="30"/>
          <w:lang w:val="zh-CN"/>
        </w:rPr>
        <w:t>七、合同授予</w:t>
      </w:r>
      <w:bookmarkEnd w:id="410"/>
    </w:p>
    <w:p w14:paraId="02614983">
      <w:pPr>
        <w:pStyle w:val="29"/>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lang w:val="zh-CN"/>
        </w:rPr>
      </w:pPr>
      <w:bookmarkStart w:id="411" w:name="_Toc504479724"/>
      <w:bookmarkStart w:id="412" w:name="_Toc23387"/>
      <w:bookmarkStart w:id="413" w:name="_Toc504654757"/>
      <w:bookmarkStart w:id="414" w:name="_Toc504479272"/>
      <w:r>
        <w:rPr>
          <w:rFonts w:cs="宋体" w:asciiTheme="majorEastAsia" w:hAnsiTheme="majorEastAsia" w:eastAsiaTheme="majorEastAsia"/>
          <w:color w:val="000000"/>
          <w:kern w:val="2"/>
          <w:sz w:val="24"/>
          <w:szCs w:val="24"/>
          <w:lang w:val="zh-CN"/>
        </w:rPr>
        <w:t>1</w:t>
      </w:r>
      <w:r>
        <w:rPr>
          <w:rFonts w:hint="eastAsia" w:cs="宋体" w:asciiTheme="majorEastAsia" w:hAnsiTheme="majorEastAsia" w:eastAsiaTheme="majorEastAsia"/>
          <w:color w:val="000000"/>
          <w:kern w:val="2"/>
          <w:sz w:val="24"/>
          <w:szCs w:val="24"/>
          <w:lang w:val="zh-CN"/>
        </w:rPr>
        <w:t>、评标结果异议：</w:t>
      </w:r>
      <w:bookmarkEnd w:id="411"/>
      <w:bookmarkEnd w:id="412"/>
      <w:bookmarkEnd w:id="413"/>
      <w:bookmarkEnd w:id="414"/>
      <w:bookmarkStart w:id="415" w:name="_Toc504479725"/>
      <w:bookmarkStart w:id="416" w:name="_Toc504654758"/>
      <w:bookmarkStart w:id="417" w:name="_Toc504479273"/>
    </w:p>
    <w:p w14:paraId="7663E6B4">
      <w:pPr>
        <w:pStyle w:val="29"/>
        <w:spacing w:before="0" w:after="0" w:line="360" w:lineRule="auto"/>
        <w:jc w:val="left"/>
        <w:outlineLvl w:val="9"/>
        <w:rPr>
          <w:rFonts w:cs="宋体" w:asciiTheme="majorEastAsia" w:hAnsiTheme="majorEastAsia" w:eastAsiaTheme="majorEastAsia"/>
          <w:b w:val="0"/>
          <w:bCs w:val="0"/>
          <w:color w:val="000000"/>
          <w:kern w:val="2"/>
          <w:sz w:val="24"/>
          <w:szCs w:val="24"/>
          <w:lang w:val="zh-CN"/>
        </w:rPr>
      </w:pPr>
      <w:bookmarkStart w:id="418" w:name="_Toc13705"/>
      <w:r>
        <w:rPr>
          <w:rFonts w:hint="eastAsia" w:cs="宋体" w:asciiTheme="majorEastAsia" w:hAnsiTheme="majorEastAsia" w:eastAsiaTheme="majorEastAsia"/>
          <w:b w:val="0"/>
          <w:bCs w:val="0"/>
          <w:color w:val="000000"/>
          <w:kern w:val="2"/>
          <w:sz w:val="24"/>
          <w:szCs w:val="24"/>
          <w:lang w:val="zh-CN"/>
        </w:rPr>
        <w:t>供应商或者其他利害关系人对评标结果有异议的，应当在知道或者应知道起</w:t>
      </w:r>
      <w:r>
        <w:rPr>
          <w:rFonts w:cs="宋体" w:asciiTheme="majorEastAsia" w:hAnsiTheme="majorEastAsia" w:eastAsiaTheme="majorEastAsia"/>
          <w:b w:val="0"/>
          <w:bCs w:val="0"/>
          <w:color w:val="000000"/>
          <w:kern w:val="2"/>
          <w:sz w:val="24"/>
          <w:szCs w:val="24"/>
        </w:rPr>
        <w:t>7</w:t>
      </w:r>
      <w:r>
        <w:rPr>
          <w:rFonts w:hint="eastAsia" w:cs="宋体" w:asciiTheme="majorEastAsia" w:hAnsiTheme="majorEastAsia" w:eastAsiaTheme="majorEastAsia"/>
          <w:b w:val="0"/>
          <w:bCs w:val="0"/>
          <w:color w:val="000000"/>
          <w:kern w:val="2"/>
          <w:sz w:val="24"/>
          <w:szCs w:val="24"/>
        </w:rPr>
        <w:t>个工作日内，以书面的形式向采购人、采购代理机构</w:t>
      </w:r>
      <w:r>
        <w:rPr>
          <w:rFonts w:hint="eastAsia" w:cs="宋体" w:asciiTheme="majorEastAsia" w:hAnsiTheme="majorEastAsia" w:eastAsiaTheme="majorEastAsia"/>
          <w:b w:val="0"/>
          <w:bCs w:val="0"/>
          <w:color w:val="000000"/>
          <w:kern w:val="2"/>
          <w:sz w:val="24"/>
          <w:szCs w:val="24"/>
          <w:lang w:val="zh-CN"/>
        </w:rPr>
        <w:t>提出。采购人将在收到异议之日起</w:t>
      </w:r>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日内作出答复；作出答复前，将暂停招标投标活动。</w:t>
      </w:r>
      <w:bookmarkEnd w:id="415"/>
      <w:bookmarkEnd w:id="416"/>
      <w:bookmarkEnd w:id="417"/>
      <w:bookmarkEnd w:id="418"/>
    </w:p>
    <w:p w14:paraId="0F4E4EB6">
      <w:pPr>
        <w:pStyle w:val="29"/>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lang w:val="zh-CN"/>
        </w:rPr>
      </w:pPr>
      <w:bookmarkStart w:id="419" w:name="_Toc504654759"/>
      <w:bookmarkStart w:id="420" w:name="_Toc504479274"/>
      <w:bookmarkStart w:id="421" w:name="_Toc15909"/>
      <w:bookmarkStart w:id="422" w:name="_Toc445473562"/>
      <w:bookmarkStart w:id="423" w:name="_Toc504479726"/>
      <w:r>
        <w:rPr>
          <w:rFonts w:cs="宋体" w:asciiTheme="majorEastAsia" w:hAnsiTheme="majorEastAsia" w:eastAsiaTheme="majorEastAsia"/>
          <w:color w:val="000000"/>
          <w:kern w:val="2"/>
          <w:sz w:val="24"/>
          <w:szCs w:val="24"/>
          <w:lang w:val="zh-CN"/>
        </w:rPr>
        <w:t>2</w:t>
      </w:r>
      <w:r>
        <w:rPr>
          <w:rFonts w:hint="eastAsia" w:cs="宋体" w:asciiTheme="majorEastAsia" w:hAnsiTheme="majorEastAsia" w:eastAsiaTheme="majorEastAsia"/>
          <w:color w:val="000000"/>
          <w:kern w:val="2"/>
          <w:sz w:val="24"/>
          <w:szCs w:val="24"/>
          <w:lang w:val="zh-CN"/>
        </w:rPr>
        <w:t>、定标方式</w:t>
      </w:r>
      <w:bookmarkEnd w:id="419"/>
      <w:bookmarkEnd w:id="420"/>
      <w:bookmarkEnd w:id="421"/>
      <w:bookmarkEnd w:id="422"/>
      <w:bookmarkEnd w:id="423"/>
    </w:p>
    <w:p w14:paraId="6E9728D6">
      <w:pPr>
        <w:pStyle w:val="29"/>
        <w:spacing w:before="0" w:after="0" w:line="360" w:lineRule="auto"/>
        <w:ind w:left="57" w:leftChars="27" w:firstLine="60" w:firstLineChars="25"/>
        <w:jc w:val="left"/>
        <w:outlineLvl w:val="9"/>
        <w:rPr>
          <w:rFonts w:cs="宋体" w:asciiTheme="majorEastAsia" w:hAnsiTheme="majorEastAsia" w:eastAsiaTheme="majorEastAsia"/>
          <w:b w:val="0"/>
          <w:bCs w:val="0"/>
          <w:color w:val="000000"/>
          <w:kern w:val="2"/>
          <w:sz w:val="24"/>
          <w:szCs w:val="24"/>
          <w:lang w:val="zh-CN"/>
        </w:rPr>
      </w:pPr>
      <w:bookmarkStart w:id="424" w:name="_Toc28430"/>
      <w:bookmarkStart w:id="425" w:name="_Toc435021152"/>
      <w:bookmarkStart w:id="426" w:name="_Toc429224722"/>
      <w:bookmarkStart w:id="427" w:name="_Toc504654760"/>
      <w:bookmarkStart w:id="428" w:name="_Toc445473563"/>
      <w:bookmarkStart w:id="429" w:name="_Toc504479727"/>
      <w:bookmarkStart w:id="430" w:name="_Toc504479275"/>
      <w:r>
        <w:rPr>
          <w:rFonts w:hint="eastAsia" w:cs="宋体" w:asciiTheme="majorEastAsia" w:hAnsiTheme="majorEastAsia" w:eastAsiaTheme="majorEastAsia"/>
          <w:b w:val="0"/>
          <w:bCs w:val="0"/>
          <w:color w:val="000000"/>
          <w:kern w:val="2"/>
          <w:sz w:val="24"/>
          <w:szCs w:val="24"/>
          <w:lang w:val="zh-CN"/>
        </w:rPr>
        <w:t>按照供应商须知前附表的规定，评标委员会推荐</w:t>
      </w:r>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名中标候选人，并标明推荐顺序。采购人将依据评标委员会推荐的中标候选人确定中标人。</w:t>
      </w:r>
      <w:bookmarkEnd w:id="424"/>
    </w:p>
    <w:bookmarkEnd w:id="425"/>
    <w:bookmarkEnd w:id="426"/>
    <w:bookmarkEnd w:id="427"/>
    <w:bookmarkEnd w:id="428"/>
    <w:bookmarkEnd w:id="429"/>
    <w:bookmarkEnd w:id="430"/>
    <w:p w14:paraId="5729C44C">
      <w:pPr>
        <w:pStyle w:val="29"/>
        <w:spacing w:before="0" w:after="0" w:line="360" w:lineRule="auto"/>
        <w:ind w:left="0" w:leftChars="0" w:firstLine="0" w:firstLineChars="0"/>
        <w:jc w:val="both"/>
        <w:outlineLvl w:val="9"/>
        <w:rPr>
          <w:rFonts w:cs="宋体" w:asciiTheme="majorEastAsia" w:hAnsiTheme="majorEastAsia" w:eastAsiaTheme="majorEastAsia"/>
          <w:color w:val="000000"/>
          <w:kern w:val="2"/>
          <w:sz w:val="24"/>
          <w:szCs w:val="24"/>
        </w:rPr>
      </w:pPr>
      <w:bookmarkStart w:id="431" w:name="_Toc504479728"/>
      <w:bookmarkStart w:id="432" w:name="_Toc445473564"/>
      <w:bookmarkStart w:id="433" w:name="_Toc504479276"/>
      <w:bookmarkStart w:id="434" w:name="_Toc2955"/>
      <w:bookmarkStart w:id="435" w:name="_Toc504654761"/>
      <w:r>
        <w:rPr>
          <w:rFonts w:cs="宋体" w:asciiTheme="majorEastAsia" w:hAnsiTheme="majorEastAsia" w:eastAsiaTheme="majorEastAsia"/>
          <w:color w:val="000000"/>
          <w:kern w:val="2"/>
          <w:sz w:val="24"/>
          <w:szCs w:val="24"/>
        </w:rPr>
        <w:t>3</w:t>
      </w:r>
      <w:r>
        <w:rPr>
          <w:rFonts w:hint="eastAsia" w:cs="宋体" w:asciiTheme="majorEastAsia" w:hAnsiTheme="majorEastAsia" w:eastAsiaTheme="majorEastAsia"/>
          <w:color w:val="000000"/>
          <w:kern w:val="2"/>
          <w:sz w:val="24"/>
          <w:szCs w:val="24"/>
        </w:rPr>
        <w:t>、中标通知书</w:t>
      </w:r>
      <w:bookmarkEnd w:id="431"/>
      <w:bookmarkEnd w:id="432"/>
      <w:bookmarkEnd w:id="433"/>
      <w:bookmarkEnd w:id="434"/>
      <w:bookmarkEnd w:id="435"/>
    </w:p>
    <w:p w14:paraId="64E4322D">
      <w:pPr>
        <w:pStyle w:val="29"/>
        <w:spacing w:before="0" w:after="0" w:line="360" w:lineRule="auto"/>
        <w:ind w:left="52" w:leftChars="0" w:hanging="52" w:hangingChars="22"/>
        <w:jc w:val="both"/>
        <w:outlineLvl w:val="9"/>
        <w:rPr>
          <w:rFonts w:cs="宋体" w:asciiTheme="majorEastAsia" w:hAnsiTheme="majorEastAsia" w:eastAsiaTheme="majorEastAsia"/>
          <w:b w:val="0"/>
          <w:bCs w:val="0"/>
          <w:color w:val="000000"/>
          <w:kern w:val="2"/>
          <w:sz w:val="24"/>
          <w:szCs w:val="24"/>
        </w:rPr>
      </w:pPr>
      <w:bookmarkStart w:id="436" w:name="_Toc14874"/>
      <w:bookmarkStart w:id="437" w:name="_Toc445473565"/>
      <w:bookmarkStart w:id="438" w:name="_Toc504479729"/>
      <w:bookmarkStart w:id="439" w:name="_Toc504654762"/>
      <w:bookmarkStart w:id="440" w:name="_Toc504479277"/>
      <w:r>
        <w:rPr>
          <w:rFonts w:hint="eastAsia" w:cs="宋体" w:asciiTheme="majorEastAsia" w:hAnsiTheme="majorEastAsia" w:eastAsiaTheme="majorEastAsia"/>
          <w:b w:val="0"/>
          <w:bCs w:val="0"/>
          <w:color w:val="000000"/>
          <w:kern w:val="2"/>
          <w:sz w:val="24"/>
          <w:szCs w:val="24"/>
        </w:rPr>
        <w:t>在采购人规定的原投标有效期截止前，采购人将以书面形式通知中标人，并写明采购人对中标的支付总额（本招标文件中称为“中标价格”）。</w:t>
      </w:r>
      <w:bookmarkEnd w:id="436"/>
      <w:bookmarkEnd w:id="437"/>
      <w:bookmarkEnd w:id="438"/>
      <w:bookmarkEnd w:id="439"/>
      <w:bookmarkEnd w:id="440"/>
    </w:p>
    <w:p w14:paraId="7E8140CD">
      <w:pPr>
        <w:pStyle w:val="29"/>
        <w:spacing w:before="0" w:after="0" w:line="360" w:lineRule="auto"/>
        <w:ind w:left="0" w:leftChars="0" w:firstLine="0" w:firstLineChars="0"/>
        <w:jc w:val="both"/>
        <w:outlineLvl w:val="9"/>
        <w:rPr>
          <w:rFonts w:cs="宋体" w:asciiTheme="majorEastAsia" w:hAnsiTheme="majorEastAsia" w:eastAsiaTheme="majorEastAsia"/>
          <w:color w:val="000000"/>
          <w:kern w:val="2"/>
          <w:sz w:val="24"/>
          <w:szCs w:val="24"/>
        </w:rPr>
      </w:pPr>
      <w:bookmarkStart w:id="441" w:name="_Toc504654763"/>
      <w:bookmarkStart w:id="442" w:name="_Toc504479730"/>
      <w:bookmarkStart w:id="443" w:name="_Toc504479278"/>
      <w:bookmarkStart w:id="444" w:name="_Toc445473566"/>
      <w:bookmarkStart w:id="445" w:name="_Toc11595"/>
      <w:r>
        <w:rPr>
          <w:rFonts w:cs="宋体" w:asciiTheme="majorEastAsia" w:hAnsiTheme="majorEastAsia" w:eastAsiaTheme="majorEastAsia"/>
          <w:color w:val="000000"/>
          <w:kern w:val="2"/>
          <w:sz w:val="24"/>
          <w:szCs w:val="24"/>
        </w:rPr>
        <w:t>4</w:t>
      </w:r>
      <w:r>
        <w:rPr>
          <w:rFonts w:hint="eastAsia" w:cs="宋体" w:asciiTheme="majorEastAsia" w:hAnsiTheme="majorEastAsia" w:eastAsiaTheme="majorEastAsia"/>
          <w:color w:val="000000"/>
          <w:kern w:val="2"/>
          <w:sz w:val="24"/>
          <w:szCs w:val="24"/>
        </w:rPr>
        <w:t>、履约保证金</w:t>
      </w:r>
      <w:bookmarkEnd w:id="441"/>
      <w:bookmarkEnd w:id="442"/>
      <w:bookmarkEnd w:id="443"/>
      <w:bookmarkEnd w:id="444"/>
      <w:bookmarkEnd w:id="445"/>
    </w:p>
    <w:p w14:paraId="0B8D5950">
      <w:pPr>
        <w:pStyle w:val="29"/>
        <w:spacing w:before="0" w:after="0" w:line="360" w:lineRule="auto"/>
        <w:ind w:left="-4" w:leftChars="0" w:firstLine="4" w:firstLineChars="0"/>
        <w:jc w:val="both"/>
        <w:outlineLvl w:val="9"/>
        <w:rPr>
          <w:rFonts w:cs="宋体" w:asciiTheme="majorEastAsia" w:hAnsiTheme="majorEastAsia" w:eastAsiaTheme="majorEastAsia"/>
          <w:b w:val="0"/>
          <w:bCs w:val="0"/>
          <w:color w:val="000000"/>
          <w:kern w:val="2"/>
          <w:sz w:val="24"/>
          <w:szCs w:val="24"/>
        </w:rPr>
      </w:pPr>
      <w:bookmarkStart w:id="446" w:name="_Toc504479731"/>
      <w:bookmarkStart w:id="447" w:name="_Toc504654764"/>
      <w:bookmarkStart w:id="448" w:name="_Toc30287"/>
      <w:bookmarkStart w:id="449" w:name="_Toc504479279"/>
      <w:bookmarkStart w:id="450" w:name="_Toc445473567"/>
      <w:r>
        <w:rPr>
          <w:rFonts w:cs="宋体" w:asciiTheme="majorEastAsia" w:hAnsiTheme="majorEastAsia" w:eastAsiaTheme="majorEastAsia"/>
          <w:b w:val="0"/>
          <w:bCs w:val="0"/>
          <w:color w:val="000000"/>
          <w:kern w:val="2"/>
          <w:sz w:val="24"/>
          <w:szCs w:val="24"/>
        </w:rPr>
        <w:t>4.1</w:t>
      </w:r>
      <w:r>
        <w:rPr>
          <w:rFonts w:hint="eastAsia" w:cs="宋体" w:asciiTheme="majorEastAsia" w:hAnsiTheme="majorEastAsia" w:eastAsiaTheme="majorEastAsia"/>
          <w:b w:val="0"/>
          <w:bCs w:val="0"/>
          <w:color w:val="000000"/>
          <w:kern w:val="2"/>
          <w:sz w:val="24"/>
          <w:szCs w:val="24"/>
        </w:rPr>
        <w:t>在签订合同前，中标人应按投标须知前附表规定的金额向采购人提交履约保证金。</w:t>
      </w:r>
      <w:bookmarkEnd w:id="446"/>
      <w:bookmarkEnd w:id="447"/>
      <w:bookmarkEnd w:id="448"/>
      <w:bookmarkEnd w:id="449"/>
      <w:bookmarkEnd w:id="450"/>
    </w:p>
    <w:p w14:paraId="726F308A">
      <w:pPr>
        <w:pStyle w:val="29"/>
        <w:spacing w:before="0" w:after="0" w:line="360" w:lineRule="auto"/>
        <w:ind w:left="-4" w:leftChars="0" w:firstLine="4" w:firstLineChars="0"/>
        <w:jc w:val="both"/>
        <w:outlineLvl w:val="9"/>
        <w:rPr>
          <w:rFonts w:cs="宋体" w:asciiTheme="majorEastAsia" w:hAnsiTheme="majorEastAsia" w:eastAsiaTheme="majorEastAsia"/>
          <w:b w:val="0"/>
          <w:bCs w:val="0"/>
          <w:color w:val="000000"/>
          <w:kern w:val="2"/>
          <w:sz w:val="24"/>
          <w:szCs w:val="24"/>
        </w:rPr>
      </w:pPr>
      <w:bookmarkStart w:id="451" w:name="_Toc504479732"/>
      <w:bookmarkStart w:id="452" w:name="_Toc5617"/>
      <w:bookmarkStart w:id="453" w:name="_Toc504654765"/>
      <w:bookmarkStart w:id="454" w:name="_Toc504479280"/>
      <w:bookmarkStart w:id="455" w:name="_Toc445473568"/>
      <w:r>
        <w:rPr>
          <w:rFonts w:cs="宋体" w:asciiTheme="majorEastAsia" w:hAnsiTheme="majorEastAsia" w:eastAsiaTheme="majorEastAsia"/>
          <w:b w:val="0"/>
          <w:bCs w:val="0"/>
          <w:color w:val="000000"/>
          <w:kern w:val="2"/>
          <w:sz w:val="24"/>
          <w:szCs w:val="24"/>
        </w:rPr>
        <w:t>4.2</w:t>
      </w:r>
      <w:r>
        <w:rPr>
          <w:rFonts w:hint="eastAsia" w:cs="宋体" w:asciiTheme="majorEastAsia" w:hAnsiTheme="majorEastAsia" w:eastAsiaTheme="majorEastAsia"/>
          <w:b w:val="0"/>
          <w:bCs w:val="0"/>
          <w:color w:val="000000"/>
          <w:kern w:val="2"/>
          <w:sz w:val="24"/>
          <w:szCs w:val="24"/>
        </w:rPr>
        <w:t>中标人不能按本章供应商须知前附表第</w:t>
      </w:r>
      <w:r>
        <w:rPr>
          <w:rFonts w:cs="宋体" w:asciiTheme="majorEastAsia" w:hAnsiTheme="majorEastAsia" w:eastAsiaTheme="majorEastAsia"/>
          <w:b w:val="0"/>
          <w:bCs w:val="0"/>
          <w:color w:val="000000"/>
          <w:kern w:val="2"/>
          <w:sz w:val="24"/>
          <w:szCs w:val="24"/>
        </w:rPr>
        <w:t>21</w:t>
      </w:r>
      <w:r>
        <w:rPr>
          <w:rFonts w:hint="eastAsia" w:cs="宋体" w:asciiTheme="majorEastAsia" w:hAnsiTheme="majorEastAsia" w:eastAsiaTheme="majorEastAsia"/>
          <w:b w:val="0"/>
          <w:bCs w:val="0"/>
          <w:color w:val="000000"/>
          <w:kern w:val="2"/>
          <w:sz w:val="24"/>
          <w:szCs w:val="24"/>
        </w:rPr>
        <w:t>项要求提交履约保证金的，视为放弃中标，其投标保证金不予退还</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给采购人造成的损失超过投标保证金数额的，中标人还应当对超过部分予以赔偿。</w:t>
      </w:r>
      <w:bookmarkEnd w:id="451"/>
      <w:bookmarkEnd w:id="452"/>
      <w:bookmarkEnd w:id="453"/>
      <w:bookmarkEnd w:id="454"/>
      <w:bookmarkEnd w:id="455"/>
    </w:p>
    <w:p w14:paraId="1BF5D792">
      <w:pPr>
        <w:pStyle w:val="29"/>
        <w:spacing w:before="0" w:after="0" w:line="360" w:lineRule="auto"/>
        <w:ind w:left="0" w:leftChars="0" w:firstLine="0" w:firstLineChars="0"/>
        <w:jc w:val="both"/>
        <w:outlineLvl w:val="9"/>
        <w:rPr>
          <w:rFonts w:cs="宋体" w:asciiTheme="majorEastAsia" w:hAnsiTheme="majorEastAsia" w:eastAsiaTheme="majorEastAsia"/>
          <w:color w:val="000000"/>
          <w:kern w:val="2"/>
          <w:sz w:val="24"/>
          <w:szCs w:val="24"/>
        </w:rPr>
      </w:pPr>
      <w:bookmarkStart w:id="456" w:name="_Toc504479281"/>
      <w:bookmarkStart w:id="457" w:name="_Toc445473569"/>
      <w:bookmarkStart w:id="458" w:name="_Toc24495"/>
      <w:bookmarkStart w:id="459" w:name="_Toc504654766"/>
      <w:bookmarkStart w:id="460" w:name="_Toc504479733"/>
      <w:r>
        <w:rPr>
          <w:rFonts w:cs="宋体" w:asciiTheme="majorEastAsia" w:hAnsiTheme="majorEastAsia" w:eastAsiaTheme="majorEastAsia"/>
          <w:color w:val="000000"/>
          <w:kern w:val="2"/>
          <w:sz w:val="24"/>
          <w:szCs w:val="24"/>
        </w:rPr>
        <w:t>5</w:t>
      </w:r>
      <w:r>
        <w:rPr>
          <w:rFonts w:hint="eastAsia" w:cs="宋体" w:asciiTheme="majorEastAsia" w:hAnsiTheme="majorEastAsia" w:eastAsiaTheme="majorEastAsia"/>
          <w:color w:val="000000"/>
          <w:kern w:val="2"/>
          <w:sz w:val="24"/>
          <w:szCs w:val="24"/>
        </w:rPr>
        <w:t>、签订合同</w:t>
      </w:r>
      <w:bookmarkEnd w:id="456"/>
      <w:bookmarkEnd w:id="457"/>
      <w:bookmarkEnd w:id="458"/>
      <w:bookmarkEnd w:id="459"/>
      <w:bookmarkEnd w:id="460"/>
    </w:p>
    <w:p w14:paraId="28ED4FEF">
      <w:pPr>
        <w:pStyle w:val="29"/>
        <w:spacing w:before="0" w:after="0" w:line="360" w:lineRule="auto"/>
        <w:jc w:val="both"/>
        <w:outlineLvl w:val="9"/>
        <w:rPr>
          <w:rFonts w:cs="宋体" w:asciiTheme="majorEastAsia" w:hAnsiTheme="majorEastAsia" w:eastAsiaTheme="majorEastAsia"/>
          <w:b w:val="0"/>
          <w:bCs w:val="0"/>
          <w:color w:val="000000"/>
          <w:kern w:val="2"/>
          <w:sz w:val="24"/>
          <w:szCs w:val="24"/>
          <w:lang w:val="zh-CN"/>
        </w:rPr>
      </w:pPr>
      <w:bookmarkStart w:id="461" w:name="_Toc435021159"/>
      <w:bookmarkStart w:id="462" w:name="_Toc429224729"/>
      <w:bookmarkStart w:id="463" w:name="_Toc504479282"/>
      <w:bookmarkStart w:id="464" w:name="_Toc32373"/>
      <w:bookmarkStart w:id="465" w:name="_Toc504479734"/>
      <w:bookmarkStart w:id="466" w:name="_Toc504654767"/>
      <w:bookmarkStart w:id="467" w:name="_Toc445473570"/>
      <w:r>
        <w:rPr>
          <w:rFonts w:cs="宋体" w:asciiTheme="majorEastAsia" w:hAnsiTheme="majorEastAsia" w:eastAsiaTheme="majorEastAsia"/>
          <w:b w:val="0"/>
          <w:bCs w:val="0"/>
          <w:color w:val="000000"/>
          <w:kern w:val="2"/>
          <w:sz w:val="24"/>
          <w:szCs w:val="24"/>
        </w:rPr>
        <w:t>5.1</w:t>
      </w:r>
      <w:r>
        <w:rPr>
          <w:rFonts w:hint="eastAsia" w:cs="宋体" w:asciiTheme="majorEastAsia" w:hAnsiTheme="majorEastAsia" w:eastAsiaTheme="majorEastAsia"/>
          <w:b w:val="0"/>
          <w:bCs w:val="0"/>
          <w:color w:val="000000"/>
          <w:kern w:val="2"/>
          <w:sz w:val="24"/>
          <w:szCs w:val="24"/>
          <w:lang w:val="zh-CN"/>
        </w:rPr>
        <w:t>采购人和中标人应当自中标通知书发出之日起</w:t>
      </w:r>
      <w:r>
        <w:rPr>
          <w:rFonts w:cs="宋体" w:asciiTheme="majorEastAsia" w:hAnsiTheme="majorEastAsia" w:eastAsiaTheme="majorEastAsia"/>
          <w:b w:val="0"/>
          <w:bCs w:val="0"/>
          <w:color w:val="000000"/>
          <w:kern w:val="2"/>
          <w:sz w:val="24"/>
          <w:szCs w:val="24"/>
          <w:lang w:val="zh-CN"/>
        </w:rPr>
        <w:t>30</w:t>
      </w:r>
      <w:r>
        <w:rPr>
          <w:rFonts w:hint="eastAsia" w:cs="宋体" w:asciiTheme="majorEastAsia" w:hAnsiTheme="majorEastAsia" w:eastAsiaTheme="majorEastAsia"/>
          <w:b w:val="0"/>
          <w:bCs w:val="0"/>
          <w:color w:val="000000"/>
          <w:kern w:val="2"/>
          <w:sz w:val="24"/>
          <w:szCs w:val="24"/>
          <w:lang w:val="zh-CN"/>
        </w:rPr>
        <w:t>天内，根据招标文件和中标人的投标文件订立书面合同。中标人无正当理由拒签合同的，采购人取消其中标资格，其投标保证金不予退还；</w:t>
      </w:r>
      <w:bookmarkEnd w:id="461"/>
      <w:bookmarkEnd w:id="462"/>
      <w:r>
        <w:rPr>
          <w:rFonts w:hint="eastAsia" w:cs="宋体" w:asciiTheme="majorEastAsia" w:hAnsiTheme="majorEastAsia" w:eastAsiaTheme="majorEastAsia"/>
          <w:b w:val="0"/>
          <w:bCs w:val="0"/>
          <w:color w:val="000000"/>
          <w:kern w:val="2"/>
          <w:sz w:val="24"/>
          <w:szCs w:val="24"/>
          <w:lang w:val="zh-CN"/>
        </w:rPr>
        <w:t>给采购人造成的损失超过投标保证金数额的，中标人还应当对超过部分予以赔偿。</w:t>
      </w:r>
      <w:bookmarkEnd w:id="463"/>
      <w:bookmarkEnd w:id="464"/>
      <w:bookmarkEnd w:id="465"/>
      <w:bookmarkEnd w:id="466"/>
      <w:bookmarkEnd w:id="467"/>
    </w:p>
    <w:p w14:paraId="22885746">
      <w:pPr>
        <w:pStyle w:val="29"/>
        <w:spacing w:before="0" w:after="0" w:line="360" w:lineRule="auto"/>
        <w:jc w:val="both"/>
        <w:outlineLvl w:val="9"/>
        <w:rPr>
          <w:rFonts w:cs="宋体" w:asciiTheme="majorEastAsia" w:hAnsiTheme="majorEastAsia" w:eastAsiaTheme="majorEastAsia"/>
          <w:b w:val="0"/>
          <w:bCs w:val="0"/>
          <w:color w:val="000000"/>
          <w:kern w:val="2"/>
          <w:sz w:val="24"/>
          <w:szCs w:val="24"/>
          <w:lang w:val="zh-CN"/>
        </w:rPr>
      </w:pPr>
      <w:bookmarkStart w:id="468" w:name="_Toc429224730"/>
      <w:bookmarkStart w:id="469" w:name="_Toc435021160"/>
      <w:bookmarkStart w:id="470" w:name="_Toc3150"/>
      <w:bookmarkStart w:id="471" w:name="_Toc445473571"/>
      <w:bookmarkStart w:id="472" w:name="_Toc504479283"/>
      <w:bookmarkStart w:id="473" w:name="_Toc504479735"/>
      <w:bookmarkStart w:id="474" w:name="_Toc504654768"/>
      <w:r>
        <w:rPr>
          <w:rFonts w:cs="宋体" w:asciiTheme="majorEastAsia" w:hAnsiTheme="majorEastAsia" w:eastAsiaTheme="majorEastAsia"/>
          <w:b w:val="0"/>
          <w:bCs w:val="0"/>
          <w:color w:val="000000"/>
          <w:kern w:val="2"/>
          <w:sz w:val="24"/>
          <w:szCs w:val="24"/>
          <w:lang w:val="zh-CN"/>
        </w:rPr>
        <w:t>5.2</w:t>
      </w:r>
      <w:r>
        <w:rPr>
          <w:rFonts w:hint="eastAsia" w:cs="宋体" w:asciiTheme="majorEastAsia" w:hAnsiTheme="majorEastAsia" w:eastAsiaTheme="majorEastAsia"/>
          <w:b w:val="0"/>
          <w:bCs w:val="0"/>
          <w:color w:val="000000"/>
          <w:kern w:val="2"/>
          <w:sz w:val="24"/>
          <w:szCs w:val="24"/>
          <w:lang w:val="zh-CN"/>
        </w:rPr>
        <w:t>发出中标通知书后，采购人无正当理由拒签合同的，采购人向中标人退还投标保证金；</w:t>
      </w:r>
      <w:bookmarkEnd w:id="468"/>
      <w:bookmarkEnd w:id="469"/>
      <w:r>
        <w:rPr>
          <w:rFonts w:hint="eastAsia" w:cs="宋体" w:asciiTheme="majorEastAsia" w:hAnsiTheme="majorEastAsia" w:eastAsiaTheme="majorEastAsia"/>
          <w:b w:val="0"/>
          <w:bCs w:val="0"/>
          <w:color w:val="000000"/>
          <w:kern w:val="2"/>
          <w:sz w:val="24"/>
          <w:szCs w:val="24"/>
          <w:lang w:val="zh-CN"/>
        </w:rPr>
        <w:t>给中标人造成损失的，还应当赔偿损失。</w:t>
      </w:r>
      <w:bookmarkEnd w:id="470"/>
      <w:bookmarkEnd w:id="471"/>
      <w:bookmarkEnd w:id="472"/>
      <w:bookmarkEnd w:id="473"/>
      <w:bookmarkEnd w:id="474"/>
      <w:bookmarkStart w:id="475" w:name="_Toc445473572"/>
    </w:p>
    <w:p w14:paraId="5A5108FB">
      <w:pPr>
        <w:pStyle w:val="29"/>
        <w:spacing w:before="0" w:after="0" w:line="360" w:lineRule="auto"/>
        <w:ind w:left="-2" w:leftChars="0" w:firstLine="0" w:firstLineChars="0"/>
        <w:jc w:val="both"/>
        <w:outlineLvl w:val="9"/>
        <w:rPr>
          <w:rFonts w:cs="宋体" w:asciiTheme="majorEastAsia" w:hAnsiTheme="majorEastAsia" w:eastAsiaTheme="majorEastAsia"/>
          <w:color w:val="000000"/>
          <w:kern w:val="2"/>
          <w:sz w:val="30"/>
          <w:szCs w:val="30"/>
          <w:lang w:val="zh-CN"/>
        </w:rPr>
      </w:pPr>
      <w:bookmarkStart w:id="476" w:name="_Toc18868"/>
      <w:r>
        <w:rPr>
          <w:rFonts w:hint="eastAsia" w:cs="宋体" w:asciiTheme="majorEastAsia" w:hAnsiTheme="majorEastAsia" w:eastAsiaTheme="majorEastAsia"/>
          <w:color w:val="000000"/>
          <w:kern w:val="2"/>
          <w:sz w:val="30"/>
          <w:szCs w:val="30"/>
          <w:lang w:val="zh-CN"/>
        </w:rPr>
        <w:t>八、在招标釆购中出现下列情形之一的，应予废标</w:t>
      </w:r>
      <w:bookmarkEnd w:id="475"/>
      <w:r>
        <w:rPr>
          <w:rFonts w:hint="eastAsia" w:cs="宋体" w:asciiTheme="majorEastAsia" w:hAnsiTheme="majorEastAsia" w:eastAsiaTheme="majorEastAsia"/>
          <w:color w:val="000000"/>
          <w:kern w:val="2"/>
          <w:sz w:val="30"/>
          <w:szCs w:val="30"/>
          <w:lang w:val="zh-CN"/>
        </w:rPr>
        <w:t>：</w:t>
      </w:r>
      <w:bookmarkEnd w:id="476"/>
    </w:p>
    <w:p w14:paraId="3B7467A8">
      <w:pPr>
        <w:pStyle w:val="29"/>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77" w:name="_Toc504479285"/>
      <w:bookmarkStart w:id="478" w:name="_Toc504479737"/>
      <w:bookmarkStart w:id="479" w:name="_Toc11362"/>
      <w:bookmarkStart w:id="480" w:name="_Toc445473573"/>
      <w:bookmarkStart w:id="481" w:name="_Toc504654770"/>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1</w:t>
      </w:r>
      <w:r>
        <w:rPr>
          <w:rFonts w:hint="eastAsia" w:cs="宋体" w:asciiTheme="majorEastAsia" w:hAnsiTheme="majorEastAsia" w:eastAsiaTheme="majorEastAsia"/>
          <w:b w:val="0"/>
          <w:bCs w:val="0"/>
          <w:color w:val="000000"/>
          <w:kern w:val="2"/>
          <w:sz w:val="24"/>
          <w:szCs w:val="24"/>
          <w:lang w:val="zh-CN"/>
        </w:rPr>
        <w:t>）符合专业条件的供应商或者对招标文件作实质响应的供成商不足三家的；</w:t>
      </w:r>
      <w:bookmarkEnd w:id="477"/>
      <w:bookmarkEnd w:id="478"/>
      <w:bookmarkEnd w:id="479"/>
      <w:bookmarkEnd w:id="480"/>
      <w:bookmarkEnd w:id="481"/>
    </w:p>
    <w:p w14:paraId="762CBEC6">
      <w:pPr>
        <w:pStyle w:val="29"/>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82" w:name="_Toc504479738"/>
      <w:bookmarkStart w:id="483" w:name="_Toc1194"/>
      <w:bookmarkStart w:id="484" w:name="_Toc445473574"/>
      <w:bookmarkStart w:id="485" w:name="_Toc504654771"/>
      <w:bookmarkStart w:id="486" w:name="_Toc504479286"/>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2</w:t>
      </w:r>
      <w:r>
        <w:rPr>
          <w:rFonts w:hint="eastAsia" w:cs="宋体" w:asciiTheme="majorEastAsia" w:hAnsiTheme="majorEastAsia" w:eastAsiaTheme="majorEastAsia"/>
          <w:b w:val="0"/>
          <w:bCs w:val="0"/>
          <w:color w:val="000000"/>
          <w:kern w:val="2"/>
          <w:sz w:val="24"/>
          <w:szCs w:val="24"/>
          <w:lang w:val="zh-CN"/>
        </w:rPr>
        <w:t>）出现影响釆购公正的违法、违规行为的；</w:t>
      </w:r>
      <w:bookmarkEnd w:id="482"/>
      <w:bookmarkEnd w:id="483"/>
      <w:bookmarkEnd w:id="484"/>
      <w:bookmarkEnd w:id="485"/>
      <w:bookmarkEnd w:id="486"/>
    </w:p>
    <w:p w14:paraId="67BB8FDE">
      <w:pPr>
        <w:pStyle w:val="29"/>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87" w:name="_Toc445473575"/>
      <w:bookmarkStart w:id="488" w:name="_Toc504654772"/>
      <w:bookmarkStart w:id="489" w:name="_Toc504479287"/>
      <w:bookmarkStart w:id="490" w:name="_Toc504479739"/>
      <w:bookmarkStart w:id="491" w:name="_Toc18446"/>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）供应商的报价均超过了采购预算，釆购人不能支付的；</w:t>
      </w:r>
      <w:bookmarkEnd w:id="487"/>
      <w:bookmarkEnd w:id="488"/>
      <w:bookmarkEnd w:id="489"/>
      <w:bookmarkEnd w:id="490"/>
      <w:bookmarkEnd w:id="491"/>
    </w:p>
    <w:p w14:paraId="4EFF07EE">
      <w:pPr>
        <w:pStyle w:val="29"/>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92" w:name="_Toc435021165"/>
      <w:bookmarkStart w:id="493" w:name="_Toc429224735"/>
      <w:bookmarkStart w:id="494" w:name="_Toc504654773"/>
      <w:bookmarkStart w:id="495" w:name="_Toc29087"/>
      <w:bookmarkStart w:id="496" w:name="_Toc504479740"/>
      <w:bookmarkStart w:id="497" w:name="_Toc504479288"/>
      <w:bookmarkStart w:id="498" w:name="_Toc445473576"/>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4</w:t>
      </w:r>
      <w:r>
        <w:rPr>
          <w:rFonts w:hint="eastAsia" w:cs="宋体" w:asciiTheme="majorEastAsia" w:hAnsiTheme="majorEastAsia" w:eastAsiaTheme="majorEastAsia"/>
          <w:b w:val="0"/>
          <w:bCs w:val="0"/>
          <w:color w:val="000000"/>
          <w:kern w:val="2"/>
          <w:sz w:val="24"/>
          <w:szCs w:val="24"/>
          <w:lang w:val="zh-CN"/>
        </w:rPr>
        <w:t>）因重大变故，釆购任务取消的。</w:t>
      </w:r>
      <w:bookmarkEnd w:id="492"/>
      <w:bookmarkEnd w:id="493"/>
      <w:r>
        <w:rPr>
          <w:rFonts w:hint="eastAsia" w:cs="宋体" w:asciiTheme="majorEastAsia" w:hAnsiTheme="majorEastAsia" w:eastAsiaTheme="majorEastAsia"/>
          <w:b w:val="0"/>
          <w:bCs w:val="0"/>
          <w:color w:val="000000"/>
          <w:kern w:val="2"/>
          <w:sz w:val="24"/>
          <w:szCs w:val="24"/>
          <w:lang w:val="zh-CN"/>
        </w:rPr>
        <w:t>废标后，除釆购任务取消外，采购人应重新组织招标。</w:t>
      </w:r>
      <w:bookmarkEnd w:id="494"/>
      <w:bookmarkEnd w:id="495"/>
      <w:bookmarkEnd w:id="496"/>
      <w:bookmarkEnd w:id="497"/>
      <w:bookmarkEnd w:id="498"/>
      <w:bookmarkStart w:id="499" w:name="_Toc445473577"/>
    </w:p>
    <w:p w14:paraId="5907C816">
      <w:pPr>
        <w:pStyle w:val="29"/>
        <w:spacing w:before="0" w:after="0" w:line="360" w:lineRule="auto"/>
        <w:ind w:left="102" w:leftChars="0" w:hanging="102" w:hangingChars="34"/>
        <w:jc w:val="both"/>
        <w:outlineLvl w:val="9"/>
        <w:rPr>
          <w:rFonts w:cs="宋体" w:asciiTheme="majorEastAsia" w:hAnsiTheme="majorEastAsia" w:eastAsiaTheme="majorEastAsia"/>
          <w:color w:val="000000"/>
          <w:kern w:val="2"/>
          <w:sz w:val="30"/>
          <w:szCs w:val="30"/>
          <w:lang w:val="zh-CN"/>
        </w:rPr>
      </w:pPr>
      <w:bookmarkStart w:id="500" w:name="_Toc20577"/>
      <w:r>
        <w:rPr>
          <w:rFonts w:hint="eastAsia" w:cs="宋体" w:asciiTheme="majorEastAsia" w:hAnsiTheme="majorEastAsia" w:eastAsiaTheme="majorEastAsia"/>
          <w:color w:val="000000"/>
          <w:kern w:val="2"/>
          <w:sz w:val="30"/>
          <w:szCs w:val="30"/>
          <w:lang w:val="zh-CN"/>
        </w:rPr>
        <w:t>九、纪律和监督</w:t>
      </w:r>
      <w:bookmarkEnd w:id="499"/>
      <w:bookmarkEnd w:id="500"/>
    </w:p>
    <w:p w14:paraId="19D6253B">
      <w:pPr>
        <w:pStyle w:val="29"/>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01" w:name="_Toc504479742"/>
      <w:bookmarkStart w:id="502" w:name="_Toc504479290"/>
      <w:bookmarkStart w:id="503" w:name="_Toc504654775"/>
      <w:bookmarkStart w:id="504" w:name="_Toc445473578"/>
      <w:bookmarkStart w:id="505" w:name="_Toc15785"/>
      <w:r>
        <w:rPr>
          <w:rFonts w:cs="宋体" w:asciiTheme="majorEastAsia" w:hAnsiTheme="majorEastAsia" w:eastAsiaTheme="majorEastAsia"/>
          <w:bCs w:val="0"/>
          <w:color w:val="000000"/>
          <w:sz w:val="24"/>
          <w:szCs w:val="24"/>
          <w:lang w:val="zh-CN"/>
        </w:rPr>
        <w:t>1</w:t>
      </w:r>
      <w:r>
        <w:rPr>
          <w:rFonts w:hint="eastAsia" w:cs="宋体" w:asciiTheme="majorEastAsia" w:hAnsiTheme="majorEastAsia" w:eastAsiaTheme="majorEastAsia"/>
          <w:bCs w:val="0"/>
          <w:color w:val="000000"/>
          <w:sz w:val="24"/>
          <w:szCs w:val="24"/>
          <w:lang w:val="zh-CN"/>
        </w:rPr>
        <w:t>、对采购人的纪律要求</w:t>
      </w:r>
      <w:bookmarkEnd w:id="501"/>
      <w:bookmarkEnd w:id="502"/>
      <w:bookmarkEnd w:id="503"/>
      <w:bookmarkEnd w:id="504"/>
      <w:bookmarkEnd w:id="505"/>
    </w:p>
    <w:p w14:paraId="52200B59">
      <w:pPr>
        <w:autoSpaceDE w:val="0"/>
        <w:autoSpaceDN w:val="0"/>
        <w:adjustRightInd w:val="0"/>
        <w:spacing w:line="360" w:lineRule="auto"/>
        <w:ind w:left="55" w:leftChars="0" w:hanging="55" w:hangingChars="23"/>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采购人不得泄漏招标投标活动中应当保密的情况和资料，不得与供应商串通损害国家利益、社会公共利益或者他人合法权益。</w:t>
      </w:r>
    </w:p>
    <w:p w14:paraId="240ED16B">
      <w:pPr>
        <w:pStyle w:val="29"/>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06" w:name="_Toc504479743"/>
      <w:bookmarkStart w:id="507" w:name="_Toc504654776"/>
      <w:bookmarkStart w:id="508" w:name="_Toc504479291"/>
      <w:bookmarkStart w:id="509" w:name="_Toc17752"/>
      <w:bookmarkStart w:id="510" w:name="_Toc445473579"/>
      <w:r>
        <w:rPr>
          <w:rFonts w:cs="宋体" w:asciiTheme="majorEastAsia" w:hAnsiTheme="majorEastAsia" w:eastAsiaTheme="majorEastAsia"/>
          <w:bCs w:val="0"/>
          <w:color w:val="000000"/>
          <w:sz w:val="24"/>
          <w:szCs w:val="24"/>
          <w:lang w:val="zh-CN"/>
        </w:rPr>
        <w:t>2</w:t>
      </w:r>
      <w:r>
        <w:rPr>
          <w:rFonts w:hint="eastAsia" w:cs="宋体" w:asciiTheme="majorEastAsia" w:hAnsiTheme="majorEastAsia" w:eastAsiaTheme="majorEastAsia"/>
          <w:bCs w:val="0"/>
          <w:color w:val="000000"/>
          <w:sz w:val="24"/>
          <w:szCs w:val="24"/>
          <w:lang w:val="zh-CN"/>
        </w:rPr>
        <w:t>、对供应商的纪律要求</w:t>
      </w:r>
      <w:bookmarkEnd w:id="506"/>
      <w:bookmarkEnd w:id="507"/>
      <w:bookmarkEnd w:id="508"/>
      <w:bookmarkEnd w:id="509"/>
      <w:bookmarkEnd w:id="510"/>
    </w:p>
    <w:p w14:paraId="2D70D39C">
      <w:pPr>
        <w:autoSpaceDE w:val="0"/>
        <w:autoSpaceDN w:val="0"/>
        <w:adjustRightInd w:val="0"/>
        <w:spacing w:line="360" w:lineRule="auto"/>
        <w:ind w:left="14" w:leftChars="0" w:hanging="14" w:hangingChars="6"/>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42D86C7E">
      <w:pPr>
        <w:pStyle w:val="29"/>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11" w:name="_Toc504654777"/>
      <w:bookmarkStart w:id="512" w:name="_Toc445473580"/>
      <w:bookmarkStart w:id="513" w:name="_Toc15141"/>
      <w:bookmarkStart w:id="514" w:name="_Toc504479744"/>
      <w:bookmarkStart w:id="515" w:name="_Toc504479292"/>
      <w:r>
        <w:rPr>
          <w:rFonts w:cs="宋体" w:asciiTheme="majorEastAsia" w:hAnsiTheme="majorEastAsia" w:eastAsiaTheme="majorEastAsia"/>
          <w:bCs w:val="0"/>
          <w:color w:val="000000"/>
          <w:sz w:val="24"/>
          <w:szCs w:val="24"/>
          <w:lang w:val="zh-CN"/>
        </w:rPr>
        <w:t>3</w:t>
      </w:r>
      <w:r>
        <w:rPr>
          <w:rFonts w:hint="eastAsia" w:cs="宋体" w:asciiTheme="majorEastAsia" w:hAnsiTheme="majorEastAsia" w:eastAsiaTheme="majorEastAsia"/>
          <w:bCs w:val="0"/>
          <w:color w:val="000000"/>
          <w:sz w:val="24"/>
          <w:szCs w:val="24"/>
          <w:lang w:val="zh-CN"/>
        </w:rPr>
        <w:t>、对评标委员会成员的纪律要求</w:t>
      </w:r>
      <w:bookmarkEnd w:id="511"/>
      <w:bookmarkEnd w:id="512"/>
      <w:bookmarkEnd w:id="513"/>
      <w:bookmarkEnd w:id="514"/>
      <w:bookmarkEnd w:id="515"/>
    </w:p>
    <w:p w14:paraId="1A29FE93">
      <w:pPr>
        <w:autoSpaceDE w:val="0"/>
        <w:autoSpaceDN w:val="0"/>
        <w:adjustRightInd w:val="0"/>
        <w:spacing w:line="360" w:lineRule="auto"/>
        <w:ind w:left="55" w:leftChars="0" w:hanging="55" w:hangingChars="23"/>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F749FD3">
      <w:pPr>
        <w:pStyle w:val="29"/>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16" w:name="_Toc445473581"/>
      <w:bookmarkStart w:id="517" w:name="_Toc504479745"/>
      <w:bookmarkStart w:id="518" w:name="_Toc230"/>
      <w:bookmarkStart w:id="519" w:name="_Toc504479293"/>
      <w:bookmarkStart w:id="520" w:name="_Toc504654778"/>
      <w:r>
        <w:rPr>
          <w:rFonts w:cs="宋体" w:asciiTheme="majorEastAsia" w:hAnsiTheme="majorEastAsia" w:eastAsiaTheme="majorEastAsia"/>
          <w:bCs w:val="0"/>
          <w:color w:val="000000"/>
          <w:sz w:val="24"/>
          <w:szCs w:val="24"/>
          <w:lang w:val="zh-CN"/>
        </w:rPr>
        <w:t>4</w:t>
      </w:r>
      <w:r>
        <w:rPr>
          <w:rFonts w:hint="eastAsia" w:cs="宋体" w:asciiTheme="majorEastAsia" w:hAnsiTheme="majorEastAsia" w:eastAsiaTheme="majorEastAsia"/>
          <w:bCs w:val="0"/>
          <w:color w:val="000000"/>
          <w:sz w:val="24"/>
          <w:szCs w:val="24"/>
          <w:lang w:val="zh-CN"/>
        </w:rPr>
        <w:t>、对与评标活动有关的工作人员的纪律要求</w:t>
      </w:r>
      <w:bookmarkEnd w:id="516"/>
      <w:bookmarkEnd w:id="517"/>
      <w:bookmarkEnd w:id="518"/>
      <w:bookmarkEnd w:id="519"/>
      <w:bookmarkEnd w:id="520"/>
    </w:p>
    <w:p w14:paraId="25420E1B">
      <w:pPr>
        <w:autoSpaceDE w:val="0"/>
        <w:autoSpaceDN w:val="0"/>
        <w:adjustRightInd w:val="0"/>
        <w:spacing w:line="360" w:lineRule="auto"/>
        <w:ind w:left="55" w:leftChars="0" w:hanging="55" w:hangingChars="23"/>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30E2940">
      <w:pPr>
        <w:pStyle w:val="29"/>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21" w:name="_Toc445473582"/>
      <w:bookmarkStart w:id="522" w:name="_Toc4376"/>
      <w:bookmarkStart w:id="523" w:name="_Toc504479294"/>
      <w:bookmarkStart w:id="524" w:name="_Toc504654779"/>
      <w:bookmarkStart w:id="525" w:name="_Toc504479746"/>
      <w:r>
        <w:rPr>
          <w:rFonts w:cs="宋体" w:asciiTheme="majorEastAsia" w:hAnsiTheme="majorEastAsia" w:eastAsiaTheme="majorEastAsia"/>
          <w:bCs w:val="0"/>
          <w:color w:val="000000"/>
          <w:sz w:val="24"/>
          <w:szCs w:val="24"/>
          <w:lang w:val="zh-CN"/>
        </w:rPr>
        <w:t>5</w:t>
      </w:r>
      <w:r>
        <w:rPr>
          <w:rFonts w:hint="eastAsia" w:cs="宋体" w:asciiTheme="majorEastAsia" w:hAnsiTheme="majorEastAsia" w:eastAsiaTheme="majorEastAsia"/>
          <w:bCs w:val="0"/>
          <w:color w:val="000000"/>
          <w:sz w:val="24"/>
          <w:szCs w:val="24"/>
          <w:lang w:val="zh-CN"/>
        </w:rPr>
        <w:t>、投诉</w:t>
      </w:r>
      <w:bookmarkEnd w:id="521"/>
      <w:bookmarkEnd w:id="522"/>
      <w:bookmarkEnd w:id="523"/>
      <w:bookmarkEnd w:id="524"/>
      <w:bookmarkEnd w:id="525"/>
    </w:p>
    <w:p w14:paraId="11E2C880">
      <w:p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5.1</w:t>
      </w:r>
      <w:r>
        <w:rPr>
          <w:rFonts w:hint="eastAsia" w:cs="宋体" w:asciiTheme="majorEastAsia" w:hAnsiTheme="majorEastAsia" w:eastAsiaTheme="majorEastAsia"/>
          <w:bCs/>
          <w:color w:val="000000"/>
          <w:sz w:val="24"/>
          <w:lang w:val="zh-CN"/>
        </w:rPr>
        <w:t>供应商或者其他利害关系人认为招标投标活动不符合法律、行政法规规定的，可以自知道或者应当知道之日起</w:t>
      </w:r>
      <w:r>
        <w:rPr>
          <w:rFonts w:cs="宋体" w:asciiTheme="majorEastAsia" w:hAnsiTheme="majorEastAsia" w:eastAsiaTheme="majorEastAsia"/>
          <w:bCs/>
          <w:color w:val="000000"/>
          <w:sz w:val="24"/>
        </w:rPr>
        <w:t>7</w:t>
      </w:r>
      <w:r>
        <w:rPr>
          <w:rFonts w:hint="eastAsia" w:cs="宋体" w:asciiTheme="majorEastAsia" w:hAnsiTheme="majorEastAsia" w:eastAsiaTheme="majorEastAsia"/>
          <w:bCs/>
          <w:color w:val="000000"/>
          <w:sz w:val="24"/>
        </w:rPr>
        <w:t>个工作</w:t>
      </w:r>
      <w:r>
        <w:rPr>
          <w:rFonts w:hint="eastAsia" w:cs="宋体" w:asciiTheme="majorEastAsia" w:hAnsiTheme="majorEastAsia" w:eastAsiaTheme="majorEastAsia"/>
          <w:bCs/>
          <w:color w:val="000000"/>
          <w:sz w:val="24"/>
          <w:lang w:val="zh-CN"/>
        </w:rPr>
        <w:t>日内向有关行政监督部门投诉。投诉应当有明确的请求和必要的证明材料。</w:t>
      </w:r>
    </w:p>
    <w:p w14:paraId="0B7F9B10">
      <w:p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5.2</w:t>
      </w:r>
      <w:r>
        <w:rPr>
          <w:rFonts w:hint="eastAsia" w:cs="宋体" w:asciiTheme="majorEastAsia" w:hAnsiTheme="majorEastAsia" w:eastAsiaTheme="majorEastAsia"/>
          <w:color w:val="000000"/>
          <w:sz w:val="24"/>
          <w:lang w:val="zh-CN"/>
        </w:rPr>
        <w:t>供应商投诉时，应当具备以下法定必备条件：</w:t>
      </w:r>
    </w:p>
    <w:p w14:paraId="499F5424">
      <w:pPr>
        <w:numPr>
          <w:ilvl w:val="0"/>
          <w:numId w:val="3"/>
        </w:num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投诉供应商应具备以下基木条件：</w:t>
      </w:r>
    </w:p>
    <w:p w14:paraId="4EBF2876">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color w:val="000000"/>
          <w:sz w:val="24"/>
          <w:lang w:val="zh-CN"/>
        </w:rPr>
        <w:t>①</w:t>
      </w:r>
      <w:r>
        <w:rPr>
          <w:rFonts w:hint="eastAsia" w:cs="宋体" w:asciiTheme="majorEastAsia" w:hAnsiTheme="majorEastAsia" w:eastAsiaTheme="majorEastAsia"/>
          <w:bCs/>
          <w:color w:val="000000"/>
          <w:sz w:val="24"/>
          <w:lang w:val="zh-CN"/>
        </w:rPr>
        <w:t>投诉人是参与所投诉政府采购活动的供应商；</w:t>
      </w:r>
    </w:p>
    <w:p w14:paraId="718DC795">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color w:val="000000"/>
          <w:sz w:val="24"/>
          <w:lang w:val="zh-CN"/>
        </w:rPr>
        <w:t>②</w:t>
      </w:r>
      <w:r>
        <w:rPr>
          <w:rFonts w:hint="eastAsia" w:cs="宋体" w:asciiTheme="majorEastAsia" w:hAnsiTheme="majorEastAsia" w:eastAsiaTheme="majorEastAsia"/>
          <w:bCs/>
          <w:color w:val="000000"/>
          <w:sz w:val="24"/>
          <w:lang w:val="zh-CN"/>
        </w:rPr>
        <w:t>提起投诉前已依法进行质疑；</w:t>
      </w:r>
    </w:p>
    <w:p w14:paraId="0D9546D1">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color w:val="000000"/>
          <w:sz w:val="24"/>
          <w:lang w:val="zh-CN"/>
        </w:rPr>
        <w:t>③</w:t>
      </w:r>
      <w:r>
        <w:rPr>
          <w:rFonts w:hint="eastAsia" w:cs="宋体" w:asciiTheme="majorEastAsia" w:hAnsiTheme="majorEastAsia" w:eastAsiaTheme="majorEastAsia"/>
          <w:bCs/>
          <w:color w:val="000000"/>
          <w:sz w:val="24"/>
          <w:lang w:val="zh-CN"/>
        </w:rPr>
        <w:t>投诉有效期限内提起投诉；</w:t>
      </w:r>
    </w:p>
    <w:p w14:paraId="2456DA26">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④属于本财政部门管辖；</w:t>
      </w:r>
    </w:p>
    <w:p w14:paraId="4A9511B2">
      <w:pPr>
        <w:autoSpaceDE w:val="0"/>
        <w:autoSpaceDN w:val="0"/>
        <w:adjustRightInd w:val="0"/>
        <w:spacing w:line="360" w:lineRule="auto"/>
        <w:jc w:val="left"/>
        <w:rPr>
          <w:rFonts w:cs="宋体" w:asciiTheme="majorEastAsia" w:hAnsiTheme="majorEastAsia" w:eastAsiaTheme="majorEastAsia"/>
          <w:bCs/>
          <w:color w:val="000000"/>
          <w:sz w:val="24"/>
        </w:rPr>
      </w:pPr>
      <w:r>
        <w:rPr>
          <w:rFonts w:hint="eastAsia" w:cs="宋体" w:asciiTheme="majorEastAsia" w:hAnsiTheme="majorEastAsia" w:eastAsiaTheme="majorEastAsia"/>
          <w:color w:val="000000"/>
          <w:sz w:val="24"/>
          <w:lang w:val="zh-CN"/>
        </w:rPr>
        <w:t>⑤</w:t>
      </w:r>
      <w:r>
        <w:rPr>
          <w:rFonts w:hint="eastAsia" w:cs="宋体" w:asciiTheme="majorEastAsia" w:hAnsiTheme="majorEastAsia" w:eastAsiaTheme="majorEastAsia"/>
          <w:bCs/>
          <w:color w:val="000000"/>
          <w:sz w:val="24"/>
          <w:lang w:val="zh-CN"/>
        </w:rPr>
        <w:t>同一投诉事项未经财政部门投诉处理。</w:t>
      </w:r>
    </w:p>
    <w:p w14:paraId="68E04AD3">
      <w:pPr>
        <w:numPr>
          <w:ilvl w:val="0"/>
          <w:numId w:val="3"/>
        </w:num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供应商投诉时，应当提交投诉书，投诉书应包括以下主要内容：</w:t>
      </w:r>
    </w:p>
    <w:p w14:paraId="3F0CD85E">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①投诉人和被投诉人的名称、地址、电话等应齐全；</w:t>
      </w:r>
    </w:p>
    <w:p w14:paraId="47926E76">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②具体的投诉事项及事实依据应清晰；</w:t>
      </w:r>
    </w:p>
    <w:p w14:paraId="7B58EE25">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③质疑和质疑答复情况及相关证明材料等应齐全；</w:t>
      </w:r>
    </w:p>
    <w:p w14:paraId="558C399A">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④投诉事项应与质疑事项一致，应标注提起投诉的日期；</w:t>
      </w:r>
    </w:p>
    <w:p w14:paraId="3E282E46">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⑤投诉人为自然人的，应由本人签字；</w:t>
      </w:r>
    </w:p>
    <w:p w14:paraId="234DB92F">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bookmarkStart w:id="526" w:name="bookmark29"/>
      <w:r>
        <w:rPr>
          <w:rFonts w:hint="eastAsia" w:cs="宋体" w:asciiTheme="majorEastAsia" w:hAnsiTheme="majorEastAsia" w:eastAsiaTheme="majorEastAsia"/>
          <w:bCs/>
          <w:color w:val="000000"/>
          <w:sz w:val="24"/>
        </w:rPr>
        <w:t>⑥投诉人为法人或者其他组织的，应由法定代表人或者主要负责人签字盖章并加盖公章。</w:t>
      </w:r>
    </w:p>
    <w:bookmarkEnd w:id="526"/>
    <w:p w14:paraId="34ED884F">
      <w:pPr>
        <w:pStyle w:val="3"/>
        <w:spacing w:line="360" w:lineRule="auto"/>
        <w:rPr>
          <w:rFonts w:cs="宋体" w:asciiTheme="majorEastAsia" w:hAnsiTheme="majorEastAsia" w:eastAsiaTheme="majorEastAsia"/>
          <w:color w:val="000000"/>
          <w:szCs w:val="30"/>
          <w:lang w:val="zh-CN"/>
        </w:rPr>
      </w:pPr>
      <w:bookmarkStart w:id="527" w:name="_Toc30546"/>
      <w:r>
        <w:rPr>
          <w:rFonts w:hint="eastAsia" w:cs="宋体" w:asciiTheme="majorEastAsia" w:hAnsiTheme="majorEastAsia" w:eastAsiaTheme="majorEastAsia"/>
          <w:color w:val="000000"/>
          <w:szCs w:val="30"/>
          <w:lang w:val="zh-CN"/>
        </w:rPr>
        <w:t>十、其它</w:t>
      </w:r>
      <w:bookmarkEnd w:id="527"/>
    </w:p>
    <w:p w14:paraId="38DC56FA">
      <w:pPr>
        <w:autoSpaceDE w:val="0"/>
        <w:autoSpaceDN w:val="0"/>
        <w:adjustRightInd w:val="0"/>
        <w:spacing w:line="360" w:lineRule="auto"/>
        <w:jc w:val="left"/>
        <w:rPr>
          <w:rFonts w:cs="宋体" w:asciiTheme="majorEastAsia" w:hAnsiTheme="majorEastAsia" w:eastAsiaTheme="majorEastAsia"/>
          <w:bCs/>
          <w:color w:val="000000"/>
          <w:sz w:val="24"/>
        </w:rPr>
      </w:pPr>
      <w:r>
        <w:rPr>
          <w:rFonts w:cs="宋体" w:asciiTheme="majorEastAsia" w:hAnsiTheme="majorEastAsia" w:eastAsiaTheme="majorEastAsia"/>
          <w:bCs/>
          <w:color w:val="000000"/>
          <w:sz w:val="24"/>
        </w:rPr>
        <w:t>1</w:t>
      </w:r>
      <w:r>
        <w:rPr>
          <w:rFonts w:hint="eastAsia" w:cs="宋体" w:asciiTheme="majorEastAsia" w:hAnsiTheme="majorEastAsia" w:eastAsiaTheme="majorEastAsia"/>
          <w:bCs/>
          <w:color w:val="000000"/>
          <w:sz w:val="24"/>
        </w:rPr>
        <w:t>、未尽事宜，按国家有关规定执行。</w:t>
      </w:r>
    </w:p>
    <w:p w14:paraId="4C10DB3E">
      <w:pPr>
        <w:autoSpaceDE w:val="0"/>
        <w:autoSpaceDN w:val="0"/>
        <w:adjustRightInd w:val="0"/>
        <w:spacing w:line="360" w:lineRule="auto"/>
        <w:jc w:val="left"/>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、本招标文件的解释权属采购人。</w:t>
      </w:r>
    </w:p>
    <w:p w14:paraId="3B831A55">
      <w:pPr>
        <w:widowControl/>
        <w:spacing w:line="360" w:lineRule="auto"/>
        <w:ind w:firstLine="480"/>
        <w:rPr>
          <w:rFonts w:cs="宋体" w:asciiTheme="majorEastAsia" w:hAnsiTheme="majorEastAsia" w:eastAsiaTheme="majorEastAsia"/>
          <w:b/>
          <w:bCs/>
          <w:color w:val="000000"/>
          <w:kern w:val="0"/>
          <w:sz w:val="24"/>
        </w:rPr>
      </w:pPr>
      <w:r>
        <w:rPr>
          <w:rFonts w:cs="宋体" w:asciiTheme="majorEastAsia" w:hAnsiTheme="majorEastAsia" w:eastAsiaTheme="majorEastAsia"/>
          <w:b/>
          <w:bCs/>
          <w:color w:val="000000"/>
          <w:kern w:val="0"/>
          <w:sz w:val="24"/>
        </w:rPr>
        <w:br w:type="page"/>
      </w:r>
    </w:p>
    <w:p w14:paraId="725BDEF1">
      <w:pPr>
        <w:pStyle w:val="29"/>
        <w:spacing w:line="276" w:lineRule="auto"/>
        <w:rPr>
          <w:rFonts w:cs="宋体" w:asciiTheme="majorEastAsia" w:hAnsiTheme="majorEastAsia" w:eastAsiaTheme="majorEastAsia"/>
          <w:color w:val="000000"/>
          <w:sz w:val="24"/>
          <w:szCs w:val="28"/>
        </w:rPr>
      </w:pPr>
      <w:bookmarkStart w:id="528" w:name="_Toc3746"/>
      <w:r>
        <w:rPr>
          <w:rFonts w:hint="eastAsia" w:cs="宋体" w:asciiTheme="majorEastAsia" w:hAnsiTheme="majorEastAsia" w:eastAsiaTheme="majorEastAsia"/>
          <w:color w:val="000000"/>
          <w:sz w:val="40"/>
        </w:rPr>
        <w:t>第三章</w:t>
      </w:r>
      <w:r>
        <w:rPr>
          <w:rFonts w:cs="宋体" w:asciiTheme="majorEastAsia" w:hAnsiTheme="majorEastAsia" w:eastAsiaTheme="majorEastAsia"/>
          <w:color w:val="000000"/>
          <w:sz w:val="40"/>
        </w:rPr>
        <w:t xml:space="preserve">  </w:t>
      </w:r>
      <w:r>
        <w:rPr>
          <w:rFonts w:hint="eastAsia" w:cs="宋体" w:asciiTheme="majorEastAsia" w:hAnsiTheme="majorEastAsia" w:eastAsiaTheme="majorEastAsia"/>
          <w:color w:val="000000"/>
          <w:sz w:val="40"/>
        </w:rPr>
        <w:t>评标办法</w:t>
      </w:r>
      <w:bookmarkEnd w:id="528"/>
    </w:p>
    <w:tbl>
      <w:tblPr>
        <w:tblStyle w:val="32"/>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25"/>
        <w:gridCol w:w="2121"/>
        <w:gridCol w:w="6372"/>
      </w:tblGrid>
      <w:tr w14:paraId="6076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52" w:type="dxa"/>
            <w:gridSpan w:val="2"/>
            <w:vAlign w:val="center"/>
          </w:tcPr>
          <w:p w14:paraId="03BFDF8F">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条款号</w:t>
            </w:r>
          </w:p>
        </w:tc>
        <w:tc>
          <w:tcPr>
            <w:tcW w:w="2121" w:type="dxa"/>
            <w:vAlign w:val="center"/>
          </w:tcPr>
          <w:p w14:paraId="1BC01B0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评审因素</w:t>
            </w:r>
          </w:p>
        </w:tc>
        <w:tc>
          <w:tcPr>
            <w:tcW w:w="6372" w:type="dxa"/>
            <w:vAlign w:val="center"/>
          </w:tcPr>
          <w:p w14:paraId="2A0D01D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评审标准</w:t>
            </w:r>
          </w:p>
        </w:tc>
      </w:tr>
      <w:tr w14:paraId="0CE2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restart"/>
            <w:vAlign w:val="center"/>
          </w:tcPr>
          <w:p w14:paraId="2B5B44E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2.1.1</w:t>
            </w:r>
          </w:p>
        </w:tc>
        <w:tc>
          <w:tcPr>
            <w:tcW w:w="725" w:type="dxa"/>
            <w:vMerge w:val="restart"/>
            <w:vAlign w:val="center"/>
          </w:tcPr>
          <w:p w14:paraId="4DD59645">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形式评审标准</w:t>
            </w:r>
          </w:p>
        </w:tc>
        <w:tc>
          <w:tcPr>
            <w:tcW w:w="2121" w:type="dxa"/>
            <w:vAlign w:val="center"/>
          </w:tcPr>
          <w:p w14:paraId="52405DF5">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供应商名称</w:t>
            </w:r>
          </w:p>
        </w:tc>
        <w:tc>
          <w:tcPr>
            <w:tcW w:w="6372" w:type="dxa"/>
            <w:vAlign w:val="center"/>
          </w:tcPr>
          <w:p w14:paraId="2AF9E479">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与营业执照一致</w:t>
            </w:r>
          </w:p>
        </w:tc>
      </w:tr>
      <w:tr w14:paraId="2DF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08831BDD">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0D1E9326">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319385E4">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投标函签字盖章</w:t>
            </w:r>
          </w:p>
        </w:tc>
        <w:tc>
          <w:tcPr>
            <w:tcW w:w="6372" w:type="dxa"/>
            <w:vAlign w:val="center"/>
          </w:tcPr>
          <w:p w14:paraId="4ABFA5E9">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按招标文件要求有法定代表人或其委托代理人签字或盖章并加盖单位章</w:t>
            </w:r>
          </w:p>
        </w:tc>
      </w:tr>
      <w:tr w14:paraId="37F5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793069F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0387BAE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1566A409">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投标文件格式</w:t>
            </w:r>
          </w:p>
        </w:tc>
        <w:tc>
          <w:tcPr>
            <w:tcW w:w="6372" w:type="dxa"/>
            <w:vAlign w:val="center"/>
          </w:tcPr>
          <w:p w14:paraId="69417436">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符合第六章“投标文件格式”的要求</w:t>
            </w:r>
          </w:p>
        </w:tc>
      </w:tr>
      <w:tr w14:paraId="76E1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5D10D189">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06815BF1">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BA2BA79">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报价唯一</w:t>
            </w:r>
          </w:p>
        </w:tc>
        <w:tc>
          <w:tcPr>
            <w:tcW w:w="6372" w:type="dxa"/>
            <w:vAlign w:val="center"/>
          </w:tcPr>
          <w:p w14:paraId="3DAAB09D">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只能有一个有效报价</w:t>
            </w:r>
          </w:p>
        </w:tc>
      </w:tr>
      <w:tr w14:paraId="0B65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restart"/>
            <w:vAlign w:val="center"/>
          </w:tcPr>
          <w:p w14:paraId="46CFBDE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2.1.2</w:t>
            </w:r>
          </w:p>
        </w:tc>
        <w:tc>
          <w:tcPr>
            <w:tcW w:w="725" w:type="dxa"/>
            <w:vMerge w:val="restart"/>
            <w:vAlign w:val="center"/>
          </w:tcPr>
          <w:p w14:paraId="76F79ABC">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资格评审标准</w:t>
            </w:r>
          </w:p>
          <w:p w14:paraId="12EB16B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46B8ED58">
            <w:pPr>
              <w:autoSpaceDE w:val="0"/>
              <w:autoSpaceDN w:val="0"/>
              <w:adjustRightInd w:val="0"/>
              <w:spacing w:line="276" w:lineRule="auto"/>
              <w:ind w:left="57" w:leftChars="27" w:firstLine="52" w:firstLineChars="25"/>
              <w:jc w:val="left"/>
              <w:rPr>
                <w:rFonts w:cs="宋体" w:asciiTheme="majorEastAsia" w:hAnsiTheme="majorEastAsia" w:eastAsiaTheme="majorEastAsia"/>
                <w:bCs/>
                <w:color w:val="000000"/>
                <w:sz w:val="21"/>
                <w:szCs w:val="21"/>
                <w:lang w:val="zh-CN"/>
              </w:rPr>
            </w:pPr>
            <w:bookmarkStart w:id="529" w:name="OLE_LINK15"/>
            <w:r>
              <w:rPr>
                <w:rFonts w:hint="eastAsia" w:cs="宋体" w:asciiTheme="majorEastAsia" w:hAnsiTheme="majorEastAsia" w:eastAsiaTheme="majorEastAsia"/>
                <w:bCs/>
                <w:color w:val="000000"/>
                <w:sz w:val="21"/>
                <w:szCs w:val="21"/>
                <w:lang w:val="zh-CN"/>
              </w:rPr>
              <w:t>营业执照</w:t>
            </w:r>
            <w:bookmarkEnd w:id="529"/>
          </w:p>
        </w:tc>
        <w:tc>
          <w:tcPr>
            <w:tcW w:w="6372" w:type="dxa"/>
            <w:vAlign w:val="center"/>
          </w:tcPr>
          <w:p w14:paraId="183E77D6">
            <w:pPr>
              <w:autoSpaceDE w:val="0"/>
              <w:autoSpaceDN w:val="0"/>
              <w:adjustRightInd w:val="0"/>
              <w:spacing w:line="276" w:lineRule="auto"/>
              <w:jc w:val="left"/>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具备有效的企业营业执照副本（</w:t>
            </w:r>
            <w:r>
              <w:rPr>
                <w:rFonts w:hint="eastAsia" w:cs="宋体" w:asciiTheme="majorEastAsia" w:hAnsiTheme="majorEastAsia" w:eastAsiaTheme="majorEastAsia"/>
                <w:bCs/>
                <w:color w:val="000000"/>
                <w:sz w:val="21"/>
                <w:szCs w:val="21"/>
                <w:lang w:val="zh-CN" w:eastAsia="zh-CN"/>
              </w:rPr>
              <w:t>标书内</w:t>
            </w:r>
            <w:r>
              <w:rPr>
                <w:rFonts w:hint="eastAsia" w:cs="宋体" w:asciiTheme="majorEastAsia" w:hAnsiTheme="majorEastAsia" w:eastAsiaTheme="majorEastAsia"/>
                <w:bCs/>
                <w:color w:val="000000"/>
                <w:sz w:val="21"/>
                <w:szCs w:val="21"/>
                <w:lang w:val="zh-CN"/>
              </w:rPr>
              <w:t>复印件加盖公章）</w:t>
            </w:r>
          </w:p>
        </w:tc>
      </w:tr>
      <w:tr w14:paraId="71A5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27" w:type="dxa"/>
            <w:vMerge w:val="continue"/>
            <w:vAlign w:val="center"/>
          </w:tcPr>
          <w:p w14:paraId="525051B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4B1217A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3463E5B0">
            <w:pPr>
              <w:autoSpaceDE w:val="0"/>
              <w:autoSpaceDN w:val="0"/>
              <w:adjustRightInd w:val="0"/>
              <w:spacing w:line="276" w:lineRule="auto"/>
              <w:ind w:left="57" w:leftChars="27" w:firstLine="52" w:firstLineChars="25"/>
              <w:jc w:val="left"/>
              <w:rPr>
                <w:rFonts w:hint="eastAsia" w:cs="宋体" w:asciiTheme="majorEastAsia" w:hAnsiTheme="majorEastAsia" w:eastAsiaTheme="majorEastAsia"/>
                <w:bCs/>
                <w:color w:val="000000"/>
                <w:sz w:val="21"/>
                <w:szCs w:val="21"/>
                <w:lang w:val="zh-CN"/>
              </w:rPr>
            </w:pPr>
            <w:bookmarkStart w:id="530" w:name="OLE_LINK16"/>
            <w:r>
              <w:rPr>
                <w:rFonts w:hint="eastAsia" w:cs="宋体" w:asciiTheme="majorEastAsia" w:hAnsiTheme="majorEastAsia" w:eastAsiaTheme="majorEastAsia"/>
                <w:bCs/>
                <w:color w:val="000000"/>
                <w:sz w:val="21"/>
                <w:szCs w:val="21"/>
                <w:lang w:val="zh-CN"/>
              </w:rPr>
              <w:t>社保及完税证明</w:t>
            </w:r>
            <w:bookmarkEnd w:id="530"/>
          </w:p>
        </w:tc>
        <w:tc>
          <w:tcPr>
            <w:tcW w:w="6372" w:type="dxa"/>
            <w:vAlign w:val="center"/>
          </w:tcPr>
          <w:p w14:paraId="0D99E660">
            <w:pPr>
              <w:autoSpaceDE w:val="0"/>
              <w:autoSpaceDN w:val="0"/>
              <w:adjustRightInd w:val="0"/>
              <w:spacing w:line="276" w:lineRule="auto"/>
              <w:jc w:val="left"/>
              <w:rPr>
                <w:rFonts w:hint="eastAsia" w:cs="宋体" w:asciiTheme="majorEastAsia" w:hAnsiTheme="majorEastAsia" w:eastAsiaTheme="majorEastAsia"/>
                <w:bCs/>
                <w:color w:val="000000"/>
                <w:sz w:val="21"/>
                <w:szCs w:val="21"/>
                <w:lang w:val="zh-CN"/>
              </w:rPr>
            </w:pPr>
            <w:bookmarkStart w:id="531" w:name="OLE_LINK17"/>
            <w:r>
              <w:rPr>
                <w:rFonts w:hint="eastAsia" w:cs="宋体" w:asciiTheme="majorEastAsia" w:hAnsiTheme="majorEastAsia" w:eastAsiaTheme="majorEastAsia"/>
                <w:bCs/>
                <w:color w:val="000000"/>
                <w:sz w:val="21"/>
                <w:szCs w:val="21"/>
                <w:lang w:val="zh-CN"/>
              </w:rPr>
              <w:t>近</w:t>
            </w:r>
            <w:r>
              <w:rPr>
                <w:rFonts w:hint="eastAsia" w:cs="宋体" w:asciiTheme="majorEastAsia" w:hAnsiTheme="majorEastAsia" w:eastAsiaTheme="majorEastAsia"/>
                <w:bCs/>
                <w:color w:val="000000"/>
                <w:sz w:val="21"/>
                <w:szCs w:val="21"/>
                <w:lang w:val="en-US" w:eastAsia="zh-CN"/>
              </w:rPr>
              <w:t>2025年1月至今</w:t>
            </w:r>
            <w:r>
              <w:rPr>
                <w:rFonts w:hint="eastAsia" w:cs="宋体" w:asciiTheme="majorEastAsia" w:hAnsiTheme="majorEastAsia" w:eastAsiaTheme="majorEastAsia"/>
                <w:bCs/>
                <w:color w:val="000000"/>
                <w:sz w:val="21"/>
                <w:szCs w:val="21"/>
                <w:lang w:val="zh-CN"/>
              </w:rPr>
              <w:t>具有依法缴纳税收和社会保障资金的良好记录证明（任意一月即可）（</w:t>
            </w:r>
            <w:r>
              <w:rPr>
                <w:rFonts w:hint="eastAsia" w:cs="宋体" w:asciiTheme="majorEastAsia" w:hAnsiTheme="majorEastAsia" w:eastAsiaTheme="majorEastAsia"/>
                <w:bCs/>
                <w:color w:val="000000"/>
                <w:sz w:val="21"/>
                <w:szCs w:val="21"/>
                <w:lang w:val="zh-CN" w:eastAsia="zh-CN"/>
              </w:rPr>
              <w:t>标书内</w:t>
            </w:r>
            <w:r>
              <w:rPr>
                <w:rFonts w:hint="eastAsia" w:cs="宋体" w:asciiTheme="majorEastAsia" w:hAnsiTheme="majorEastAsia" w:eastAsiaTheme="majorEastAsia"/>
                <w:bCs/>
                <w:color w:val="000000"/>
                <w:sz w:val="21"/>
                <w:szCs w:val="21"/>
                <w:lang w:val="zh-CN"/>
              </w:rPr>
              <w:t>复印件加盖公章）。</w:t>
            </w:r>
            <w:bookmarkEnd w:id="531"/>
          </w:p>
        </w:tc>
      </w:tr>
      <w:tr w14:paraId="1E63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7" w:type="dxa"/>
            <w:vMerge w:val="continue"/>
            <w:vAlign w:val="center"/>
          </w:tcPr>
          <w:p w14:paraId="3B78227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6ED86F0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3B5C528">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32" w:name="OLE_LINK18"/>
            <w:r>
              <w:rPr>
                <w:rFonts w:hint="eastAsia" w:cs="宋体" w:asciiTheme="majorEastAsia" w:hAnsiTheme="majorEastAsia" w:eastAsiaTheme="majorEastAsia"/>
                <w:bCs/>
                <w:color w:val="000000"/>
                <w:sz w:val="21"/>
                <w:szCs w:val="21"/>
                <w:lang w:val="zh-CN"/>
              </w:rPr>
              <w:t>具有健全的财务会计制度</w:t>
            </w:r>
            <w:bookmarkEnd w:id="532"/>
          </w:p>
        </w:tc>
        <w:tc>
          <w:tcPr>
            <w:tcW w:w="6372" w:type="dxa"/>
            <w:vAlign w:val="center"/>
          </w:tcPr>
          <w:p w14:paraId="54B94DE4">
            <w:pPr>
              <w:autoSpaceDE w:val="0"/>
              <w:autoSpaceDN w:val="0"/>
              <w:adjustRightInd w:val="0"/>
              <w:spacing w:line="276" w:lineRule="auto"/>
              <w:rPr>
                <w:rFonts w:hint="eastAsia" w:cs="宋体" w:asciiTheme="majorEastAsia" w:hAnsiTheme="majorEastAsia" w:eastAsiaTheme="majorEastAsia"/>
                <w:bCs/>
                <w:color w:val="000000"/>
                <w:sz w:val="21"/>
                <w:szCs w:val="21"/>
                <w:lang w:val="zh-CN" w:eastAsia="zh-CN"/>
              </w:rPr>
            </w:pPr>
            <w:r>
              <w:rPr>
                <w:rFonts w:hint="eastAsia" w:cs="宋体" w:asciiTheme="majorEastAsia" w:hAnsiTheme="majorEastAsia" w:eastAsiaTheme="majorEastAsia"/>
                <w:bCs/>
                <w:color w:val="000000"/>
                <w:sz w:val="21"/>
                <w:szCs w:val="21"/>
                <w:lang w:val="zh-CN" w:eastAsia="zh-CN"/>
              </w:rPr>
              <w:t>提供近三年（202</w:t>
            </w:r>
            <w:r>
              <w:rPr>
                <w:rFonts w:hint="eastAsia" w:cs="宋体" w:asciiTheme="majorEastAsia" w:hAnsiTheme="majorEastAsia" w:eastAsiaTheme="majorEastAsia"/>
                <w:bCs/>
                <w:color w:val="000000"/>
                <w:sz w:val="21"/>
                <w:szCs w:val="21"/>
                <w:lang w:val="en-US" w:eastAsia="zh-CN"/>
              </w:rPr>
              <w:t>2</w:t>
            </w:r>
            <w:r>
              <w:rPr>
                <w:rFonts w:hint="eastAsia" w:cs="宋体" w:asciiTheme="majorEastAsia" w:hAnsiTheme="majorEastAsia" w:eastAsiaTheme="majorEastAsia"/>
                <w:bCs/>
                <w:color w:val="000000"/>
                <w:sz w:val="21"/>
                <w:szCs w:val="21"/>
                <w:lang w:val="zh-CN" w:eastAsia="zh-CN"/>
              </w:rPr>
              <w:t>、202</w:t>
            </w:r>
            <w:r>
              <w:rPr>
                <w:rFonts w:hint="eastAsia" w:cs="宋体" w:asciiTheme="majorEastAsia" w:hAnsiTheme="majorEastAsia" w:eastAsiaTheme="majorEastAsia"/>
                <w:bCs/>
                <w:color w:val="000000"/>
                <w:sz w:val="21"/>
                <w:szCs w:val="21"/>
                <w:lang w:val="en-US" w:eastAsia="zh-CN"/>
              </w:rPr>
              <w:t>3</w:t>
            </w:r>
            <w:r>
              <w:rPr>
                <w:rFonts w:hint="eastAsia" w:cs="宋体" w:asciiTheme="majorEastAsia" w:hAnsiTheme="majorEastAsia" w:eastAsiaTheme="majorEastAsia"/>
                <w:bCs/>
                <w:color w:val="000000"/>
                <w:sz w:val="21"/>
                <w:szCs w:val="21"/>
                <w:lang w:val="zh-CN" w:eastAsia="zh-CN"/>
              </w:rPr>
              <w:t>、202</w:t>
            </w:r>
            <w:r>
              <w:rPr>
                <w:rFonts w:hint="eastAsia" w:cs="宋体" w:asciiTheme="majorEastAsia" w:hAnsiTheme="majorEastAsia" w:eastAsiaTheme="majorEastAsia"/>
                <w:bCs/>
                <w:color w:val="000000"/>
                <w:sz w:val="21"/>
                <w:szCs w:val="21"/>
                <w:lang w:val="en-US" w:eastAsia="zh-CN"/>
              </w:rPr>
              <w:t>4</w:t>
            </w:r>
            <w:r>
              <w:rPr>
                <w:rFonts w:hint="eastAsia" w:cs="宋体" w:asciiTheme="majorEastAsia" w:hAnsiTheme="majorEastAsia" w:eastAsiaTheme="majorEastAsia"/>
                <w:bCs/>
                <w:color w:val="000000"/>
                <w:sz w:val="21"/>
                <w:szCs w:val="21"/>
                <w:lang w:val="zh-CN" w:eastAsia="zh-CN"/>
              </w:rPr>
              <w:t>年）财务报表（包含现金流量表、资产负债表、利润表，加盖财务章）或经会计师事务所审计的财务审计报告或基本开户银行在投标截止时间前六个月内出具的资信证明（</w:t>
            </w:r>
            <w:r>
              <w:rPr>
                <w:rFonts w:hint="eastAsia" w:cs="宋体" w:asciiTheme="majorEastAsia" w:hAnsiTheme="majorEastAsia" w:eastAsiaTheme="majorEastAsia"/>
                <w:bCs/>
                <w:color w:val="000000"/>
                <w:sz w:val="21"/>
                <w:szCs w:val="21"/>
                <w:lang w:val="en-US" w:eastAsia="zh-CN"/>
              </w:rPr>
              <w:t>复印件加盖公章</w:t>
            </w:r>
            <w:r>
              <w:rPr>
                <w:rFonts w:hint="eastAsia" w:cs="宋体" w:asciiTheme="majorEastAsia" w:hAnsiTheme="majorEastAsia" w:eastAsiaTheme="majorEastAsia"/>
                <w:bCs/>
                <w:color w:val="000000"/>
                <w:sz w:val="21"/>
                <w:szCs w:val="21"/>
                <w:lang w:val="zh-CN" w:eastAsia="zh-CN"/>
              </w:rPr>
              <w:t>）。</w:t>
            </w:r>
          </w:p>
        </w:tc>
      </w:tr>
      <w:tr w14:paraId="6E03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39749819">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3907E221">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57873E56">
            <w:pPr>
              <w:autoSpaceDE w:val="0"/>
              <w:autoSpaceDN w:val="0"/>
              <w:adjustRightInd w:val="0"/>
              <w:spacing w:line="276" w:lineRule="auto"/>
              <w:ind w:left="57" w:leftChars="27" w:firstLine="52" w:firstLineChars="25"/>
              <w:rPr>
                <w:rFonts w:hint="eastAsia" w:cs="宋体" w:asciiTheme="majorEastAsia" w:hAnsiTheme="majorEastAsia" w:eastAsiaTheme="majorEastAsia"/>
                <w:bCs/>
                <w:color w:val="000000"/>
                <w:sz w:val="21"/>
                <w:szCs w:val="21"/>
                <w:lang w:val="zh-CN"/>
              </w:rPr>
            </w:pPr>
            <w:bookmarkStart w:id="533" w:name="OLE_LINK19"/>
            <w:r>
              <w:rPr>
                <w:rFonts w:hint="eastAsia" w:cs="宋体" w:asciiTheme="majorEastAsia" w:hAnsiTheme="majorEastAsia" w:eastAsiaTheme="majorEastAsia"/>
                <w:bCs/>
                <w:color w:val="000000"/>
                <w:sz w:val="21"/>
                <w:szCs w:val="21"/>
                <w:lang w:val="zh-CN"/>
              </w:rPr>
              <w:t>无弄虚作假承诺</w:t>
            </w:r>
            <w:bookmarkEnd w:id="533"/>
          </w:p>
        </w:tc>
        <w:tc>
          <w:tcPr>
            <w:tcW w:w="6372" w:type="dxa"/>
            <w:vAlign w:val="center"/>
          </w:tcPr>
          <w:p w14:paraId="11CF085C">
            <w:pPr>
              <w:autoSpaceDE w:val="0"/>
              <w:autoSpaceDN w:val="0"/>
              <w:adjustRightInd w:val="0"/>
              <w:spacing w:line="276" w:lineRule="auto"/>
              <w:rPr>
                <w:rFonts w:hint="eastAsia" w:cs="宋体" w:asciiTheme="majorEastAsia" w:hAnsiTheme="majorEastAsia" w:eastAsiaTheme="majorEastAsia"/>
                <w:sz w:val="21"/>
                <w:szCs w:val="21"/>
                <w:lang w:eastAsia="zh-CN"/>
              </w:rPr>
            </w:pPr>
            <w:bookmarkStart w:id="534" w:name="OLE_LINK20"/>
            <w:r>
              <w:rPr>
                <w:rFonts w:hint="eastAsia" w:cs="宋体" w:asciiTheme="majorEastAsia" w:hAnsiTheme="majorEastAsia" w:eastAsiaTheme="majorEastAsia"/>
                <w:sz w:val="21"/>
                <w:szCs w:val="21"/>
                <w:lang w:eastAsia="zh-CN"/>
              </w:rPr>
              <w:t>提供由法定代表人或被授权委托人签字或盖章并加盖公章的无弄虚作假承诺书。</w:t>
            </w:r>
            <w:bookmarkEnd w:id="534"/>
          </w:p>
        </w:tc>
      </w:tr>
      <w:tr w14:paraId="3D95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0F1CFED5">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411E5308">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0C5C536A">
            <w:pPr>
              <w:autoSpaceDE w:val="0"/>
              <w:autoSpaceDN w:val="0"/>
              <w:adjustRightInd w:val="0"/>
              <w:spacing w:line="276" w:lineRule="auto"/>
              <w:jc w:val="left"/>
              <w:rPr>
                <w:rFonts w:cs="宋体" w:asciiTheme="majorEastAsia" w:hAnsiTheme="majorEastAsia" w:eastAsiaTheme="majorEastAsia"/>
                <w:bCs/>
                <w:color w:val="000000"/>
                <w:sz w:val="21"/>
                <w:szCs w:val="21"/>
                <w:lang w:val="zh-CN"/>
              </w:rPr>
            </w:pPr>
            <w:bookmarkStart w:id="535" w:name="OLE_LINK21"/>
            <w:r>
              <w:rPr>
                <w:rFonts w:hint="eastAsia" w:cs="宋体" w:asciiTheme="majorEastAsia" w:hAnsiTheme="majorEastAsia" w:eastAsiaTheme="majorEastAsia"/>
                <w:bCs/>
                <w:color w:val="000000"/>
                <w:sz w:val="21"/>
                <w:szCs w:val="21"/>
                <w:lang w:val="zh-CN"/>
              </w:rPr>
              <w:t>信誉</w:t>
            </w:r>
            <w:bookmarkEnd w:id="535"/>
          </w:p>
        </w:tc>
        <w:tc>
          <w:tcPr>
            <w:tcW w:w="6372" w:type="dxa"/>
            <w:vAlign w:val="center"/>
          </w:tcPr>
          <w:p w14:paraId="38409CB3">
            <w:pPr>
              <w:spacing w:line="320" w:lineRule="exact"/>
              <w:rPr>
                <w:rFonts w:hint="eastAsia" w:ascii="宋体" w:hAnsi="宋体" w:eastAsia="宋体" w:cs="宋体"/>
                <w:szCs w:val="21"/>
              </w:rPr>
            </w:pPr>
            <w:bookmarkStart w:id="536" w:name="OLE_LINK22"/>
            <w:r>
              <w:rPr>
                <w:rFonts w:hint="eastAsia" w:ascii="宋体" w:hAnsi="宋体" w:eastAsia="宋体" w:cs="宋体"/>
                <w:szCs w:val="21"/>
              </w:rPr>
              <w:t>（1）拒绝列入政府取消投标资格记录期间的企业或个人投标。</w:t>
            </w:r>
          </w:p>
          <w:p w14:paraId="72A8791C">
            <w:pPr>
              <w:spacing w:line="320" w:lineRule="exact"/>
              <w:rPr>
                <w:rFonts w:hint="eastAsia" w:ascii="宋体" w:hAnsi="宋体" w:eastAsia="宋体" w:cs="宋体"/>
                <w:szCs w:val="21"/>
              </w:rPr>
            </w:pPr>
            <w:r>
              <w:rPr>
                <w:rFonts w:hint="eastAsia" w:ascii="宋体" w:hAnsi="宋体" w:eastAsia="宋体" w:cs="宋体"/>
                <w:szCs w:val="21"/>
              </w:rPr>
              <w:t>（2）未被工商行政管理机关在全国企业信用信息公示系统（www.gsxt.gov.cn）中列入严重违法失信企业名单。</w:t>
            </w:r>
          </w:p>
          <w:p w14:paraId="5DA1EA5F">
            <w:pPr>
              <w:spacing w:line="320" w:lineRule="exact"/>
              <w:rPr>
                <w:rFonts w:hint="eastAsia" w:ascii="宋体" w:hAnsi="宋体" w:eastAsia="宋体" w:cs="宋体"/>
                <w:szCs w:val="21"/>
              </w:rPr>
            </w:pPr>
            <w:r>
              <w:rPr>
                <w:rFonts w:hint="eastAsia" w:ascii="宋体" w:hAnsi="宋体" w:eastAsia="宋体" w:cs="宋体"/>
                <w:szCs w:val="21"/>
              </w:rPr>
              <w:t>（3）未被最高人民法院在“信用中国”网站（www.creditchina.gov.cn）或各级信用信息共享平台中列入失信被执行人名单。</w:t>
            </w:r>
          </w:p>
          <w:p w14:paraId="634BDCBB">
            <w:pPr>
              <w:spacing w:line="320" w:lineRule="exact"/>
              <w:rPr>
                <w:rFonts w:hint="eastAsia" w:ascii="宋体" w:hAnsi="宋体" w:eastAsia="宋体" w:cs="宋体"/>
                <w:szCs w:val="21"/>
              </w:rPr>
            </w:pPr>
            <w:r>
              <w:rPr>
                <w:rFonts w:hint="eastAsia" w:ascii="宋体" w:hAnsi="宋体" w:eastAsia="宋体" w:cs="宋体"/>
                <w:szCs w:val="21"/>
              </w:rPr>
              <w:t>（4）在近三年（</w:t>
            </w:r>
            <w:r>
              <w:rPr>
                <w:rFonts w:hint="eastAsia" w:ascii="宋体" w:hAnsi="宋体" w:cs="宋体"/>
                <w:szCs w:val="21"/>
                <w:lang w:eastAsia="zh-CN"/>
              </w:rPr>
              <w:t>2022年7月1日至2025年7月1日</w:t>
            </w:r>
            <w:r>
              <w:rPr>
                <w:rFonts w:hint="eastAsia" w:ascii="宋体" w:hAnsi="宋体" w:eastAsia="宋体" w:cs="宋体"/>
                <w:szCs w:val="21"/>
              </w:rPr>
              <w:t>）内投标人或其法定代表人未在“中国裁判文书网”(wenshu.court.gov.cn)上有行贿犯罪行为。</w:t>
            </w:r>
          </w:p>
          <w:p w14:paraId="11747600">
            <w:pPr>
              <w:numPr>
                <w:ilvl w:val="0"/>
                <w:numId w:val="0"/>
              </w:num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ascii="宋体" w:hAnsi="宋体" w:eastAsia="宋体" w:cs="宋体"/>
                <w:szCs w:val="21"/>
              </w:rPr>
              <w:t>※投标文件内（1）附由法定代表人或其委托代理人签字</w:t>
            </w:r>
            <w:r>
              <w:rPr>
                <w:rFonts w:hint="eastAsia" w:ascii="宋体" w:hAnsi="宋体" w:eastAsia="宋体" w:cs="宋体"/>
                <w:szCs w:val="21"/>
                <w:lang w:val="en-US" w:eastAsia="zh-CN"/>
              </w:rPr>
              <w:t>或盖章</w:t>
            </w:r>
            <w:r>
              <w:rPr>
                <w:rFonts w:hint="eastAsia" w:ascii="宋体" w:hAnsi="宋体" w:eastAsia="宋体" w:cs="宋体"/>
                <w:szCs w:val="21"/>
              </w:rPr>
              <w:t>并加盖投标单位公章的承诺书，（2）至（4）附网站查询截图复印件加盖投标单位公章。</w:t>
            </w:r>
            <w:bookmarkEnd w:id="536"/>
          </w:p>
        </w:tc>
      </w:tr>
      <w:tr w14:paraId="116F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605A902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0435AB3D">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78E777E2">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其他要求</w:t>
            </w:r>
          </w:p>
        </w:tc>
        <w:tc>
          <w:tcPr>
            <w:tcW w:w="6372" w:type="dxa"/>
            <w:vAlign w:val="center"/>
          </w:tcPr>
          <w:p w14:paraId="5802C765">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符合供应商须知前附表第</w:t>
            </w:r>
            <w:r>
              <w:rPr>
                <w:rFonts w:hint="eastAsia" w:cs="宋体" w:asciiTheme="majorEastAsia" w:hAnsiTheme="majorEastAsia" w:eastAsiaTheme="majorEastAsia"/>
                <w:bCs/>
                <w:color w:val="000000"/>
                <w:sz w:val="21"/>
                <w:szCs w:val="21"/>
                <w:lang w:val="en-US" w:eastAsia="zh-CN"/>
              </w:rPr>
              <w:t>10</w:t>
            </w:r>
            <w:r>
              <w:rPr>
                <w:rFonts w:hint="eastAsia" w:cs="宋体" w:asciiTheme="majorEastAsia" w:hAnsiTheme="majorEastAsia" w:eastAsiaTheme="majorEastAsia"/>
                <w:bCs/>
                <w:color w:val="000000"/>
                <w:sz w:val="21"/>
                <w:szCs w:val="21"/>
                <w:lang w:val="zh-CN"/>
              </w:rPr>
              <w:t>条和第</w:t>
            </w:r>
            <w:r>
              <w:rPr>
                <w:rFonts w:hint="eastAsia" w:cs="宋体" w:asciiTheme="majorEastAsia" w:hAnsiTheme="majorEastAsia" w:eastAsiaTheme="majorEastAsia"/>
                <w:bCs/>
                <w:color w:val="000000"/>
                <w:sz w:val="21"/>
                <w:szCs w:val="21"/>
                <w:lang w:val="en-US" w:eastAsia="zh-CN"/>
              </w:rPr>
              <w:t>31</w:t>
            </w:r>
            <w:r>
              <w:rPr>
                <w:rFonts w:hint="eastAsia" w:cs="宋体" w:asciiTheme="majorEastAsia" w:hAnsiTheme="majorEastAsia" w:eastAsiaTheme="majorEastAsia"/>
                <w:bCs/>
                <w:color w:val="000000"/>
                <w:sz w:val="21"/>
                <w:szCs w:val="21"/>
                <w:lang w:val="zh-CN"/>
              </w:rPr>
              <w:t>条规定；</w:t>
            </w:r>
          </w:p>
        </w:tc>
      </w:tr>
      <w:tr w14:paraId="6569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7" w:type="dxa"/>
            <w:vMerge w:val="restart"/>
            <w:vAlign w:val="center"/>
          </w:tcPr>
          <w:p w14:paraId="4C6686C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2.1.3</w:t>
            </w:r>
          </w:p>
        </w:tc>
        <w:tc>
          <w:tcPr>
            <w:tcW w:w="725" w:type="dxa"/>
            <w:vMerge w:val="restart"/>
            <w:vAlign w:val="center"/>
          </w:tcPr>
          <w:p w14:paraId="2FE5684A">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响应性评审标准</w:t>
            </w:r>
          </w:p>
          <w:p w14:paraId="6ED76D5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3C83B5C5">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37" w:name="OLE_LINK23"/>
            <w:r>
              <w:rPr>
                <w:rFonts w:hint="eastAsia" w:cs="宋体" w:asciiTheme="majorEastAsia" w:hAnsiTheme="majorEastAsia" w:eastAsiaTheme="majorEastAsia"/>
                <w:bCs/>
                <w:color w:val="000000"/>
                <w:sz w:val="21"/>
                <w:szCs w:val="21"/>
                <w:lang w:val="zh-CN"/>
              </w:rPr>
              <w:t>质量要求</w:t>
            </w:r>
            <w:bookmarkEnd w:id="537"/>
          </w:p>
        </w:tc>
        <w:tc>
          <w:tcPr>
            <w:tcW w:w="6372" w:type="dxa"/>
            <w:vAlign w:val="center"/>
          </w:tcPr>
          <w:p w14:paraId="01CBC5C3">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38" w:name="OLE_LINK24"/>
            <w:r>
              <w:rPr>
                <w:rFonts w:hint="eastAsia" w:cs="宋体" w:asciiTheme="majorEastAsia" w:hAnsiTheme="majorEastAsia" w:eastAsiaTheme="majorEastAsia"/>
                <w:bCs/>
                <w:color w:val="000000"/>
                <w:sz w:val="21"/>
                <w:szCs w:val="21"/>
                <w:lang w:val="zh-CN"/>
              </w:rPr>
              <w:t>符合国家及行业合格标准并满足采购人需求；</w:t>
            </w:r>
            <w:bookmarkEnd w:id="538"/>
          </w:p>
        </w:tc>
      </w:tr>
      <w:tr w14:paraId="0BC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2E95CA0C">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0C631E3F">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392D28F5">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39" w:name="OLE_LINK25"/>
            <w:r>
              <w:rPr>
                <w:rFonts w:hint="eastAsia" w:cs="宋体" w:asciiTheme="majorEastAsia" w:hAnsiTheme="majorEastAsia" w:eastAsiaTheme="majorEastAsia"/>
                <w:bCs/>
                <w:color w:val="000000"/>
                <w:sz w:val="21"/>
                <w:szCs w:val="21"/>
                <w:lang w:val="zh-CN"/>
              </w:rPr>
              <w:t>投标有效期</w:t>
            </w:r>
            <w:bookmarkEnd w:id="539"/>
          </w:p>
        </w:tc>
        <w:tc>
          <w:tcPr>
            <w:tcW w:w="6372" w:type="dxa"/>
            <w:vAlign w:val="center"/>
          </w:tcPr>
          <w:p w14:paraId="2E7CDB4F">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90</w:t>
            </w:r>
            <w:r>
              <w:rPr>
                <w:rFonts w:hint="eastAsia" w:cs="宋体" w:asciiTheme="majorEastAsia" w:hAnsiTheme="majorEastAsia" w:eastAsiaTheme="majorEastAsia"/>
                <w:bCs/>
                <w:color w:val="000000"/>
                <w:sz w:val="21"/>
                <w:szCs w:val="21"/>
                <w:lang w:val="zh-CN"/>
              </w:rPr>
              <w:t>天（日历天）</w:t>
            </w:r>
          </w:p>
        </w:tc>
      </w:tr>
      <w:tr w14:paraId="76AC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7" w:type="dxa"/>
            <w:vMerge w:val="continue"/>
            <w:vAlign w:val="center"/>
          </w:tcPr>
          <w:p w14:paraId="53F281B2">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61CDD321">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5F010A8E">
            <w:pPr>
              <w:autoSpaceDE w:val="0"/>
              <w:autoSpaceDN w:val="0"/>
              <w:adjustRightInd w:val="0"/>
              <w:spacing w:line="276" w:lineRule="auto"/>
              <w:rPr>
                <w:rFonts w:cs="宋体" w:asciiTheme="majorEastAsia" w:hAnsiTheme="majorEastAsia" w:eastAsiaTheme="majorEastAsia"/>
                <w:bCs/>
                <w:color w:val="000000"/>
                <w:sz w:val="21"/>
                <w:szCs w:val="21"/>
                <w:lang w:val="zh-CN"/>
              </w:rPr>
            </w:pPr>
            <w:bookmarkStart w:id="540" w:name="OLE_LINK26"/>
            <w:r>
              <w:rPr>
                <w:rFonts w:hint="eastAsia" w:cs="宋体" w:asciiTheme="majorEastAsia" w:hAnsiTheme="majorEastAsia" w:eastAsiaTheme="majorEastAsia"/>
                <w:bCs/>
                <w:color w:val="000000"/>
                <w:sz w:val="21"/>
                <w:szCs w:val="21"/>
                <w:lang w:val="zh-CN"/>
              </w:rPr>
              <w:t>供货期</w:t>
            </w:r>
            <w:bookmarkEnd w:id="540"/>
          </w:p>
        </w:tc>
        <w:tc>
          <w:tcPr>
            <w:tcW w:w="6372" w:type="dxa"/>
            <w:vAlign w:val="center"/>
          </w:tcPr>
          <w:p w14:paraId="613DD6BC">
            <w:pPr>
              <w:autoSpaceDE w:val="0"/>
              <w:autoSpaceDN w:val="0"/>
              <w:adjustRightInd w:val="0"/>
              <w:spacing w:line="276" w:lineRule="auto"/>
              <w:rPr>
                <w:rFonts w:cs="宋体" w:asciiTheme="majorEastAsia" w:hAnsiTheme="majorEastAsia" w:eastAsiaTheme="majorEastAsia"/>
                <w:bCs/>
                <w:sz w:val="21"/>
                <w:szCs w:val="21"/>
                <w:lang w:val="zh-CN"/>
              </w:rPr>
            </w:pPr>
            <w:bookmarkStart w:id="541" w:name="OLE_LINK27"/>
            <w:r>
              <w:rPr>
                <w:rFonts w:hint="eastAsia" w:cs="宋体" w:asciiTheme="majorEastAsia" w:hAnsiTheme="majorEastAsia" w:eastAsiaTheme="majorEastAsia"/>
                <w:bCs/>
                <w:sz w:val="21"/>
                <w:szCs w:val="21"/>
                <w:lang w:val="zh-CN"/>
              </w:rPr>
              <w:t>按照采购人要求进行供货，具体供货内容以合同签订为准。</w:t>
            </w:r>
            <w:bookmarkEnd w:id="541"/>
          </w:p>
        </w:tc>
      </w:tr>
      <w:tr w14:paraId="2A1D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4E13A0E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7381AB4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7E657260">
            <w:pPr>
              <w:autoSpaceDE w:val="0"/>
              <w:autoSpaceDN w:val="0"/>
              <w:adjustRightInd w:val="0"/>
              <w:spacing w:line="276" w:lineRule="auto"/>
              <w:rPr>
                <w:rFonts w:hint="eastAsia" w:cs="宋体" w:asciiTheme="majorEastAsia" w:hAnsiTheme="majorEastAsia" w:eastAsiaTheme="majorEastAsia"/>
                <w:bCs/>
                <w:color w:val="000000"/>
                <w:sz w:val="21"/>
                <w:szCs w:val="21"/>
                <w:lang w:val="zh-CN"/>
              </w:rPr>
            </w:pPr>
            <w:bookmarkStart w:id="542" w:name="OLE_LINK28"/>
            <w:r>
              <w:rPr>
                <w:rFonts w:hint="eastAsia" w:cs="宋体" w:asciiTheme="majorEastAsia" w:hAnsiTheme="majorEastAsia" w:eastAsiaTheme="majorEastAsia"/>
                <w:bCs/>
                <w:color w:val="000000"/>
                <w:sz w:val="21"/>
                <w:szCs w:val="21"/>
                <w:lang w:val="zh-CN"/>
              </w:rPr>
              <w:t>质保期</w:t>
            </w:r>
            <w:bookmarkEnd w:id="542"/>
          </w:p>
        </w:tc>
        <w:tc>
          <w:tcPr>
            <w:tcW w:w="6372" w:type="dxa"/>
            <w:vAlign w:val="center"/>
          </w:tcPr>
          <w:p w14:paraId="738C1374">
            <w:pPr>
              <w:autoSpaceDE w:val="0"/>
              <w:autoSpaceDN w:val="0"/>
              <w:adjustRightInd w:val="0"/>
              <w:spacing w:line="276" w:lineRule="auto"/>
              <w:rPr>
                <w:rFonts w:hint="eastAsia" w:cs="宋体" w:asciiTheme="majorEastAsia" w:hAnsiTheme="majorEastAsia" w:eastAsiaTheme="majorEastAsia"/>
                <w:bCs/>
                <w:sz w:val="21"/>
                <w:szCs w:val="21"/>
                <w:lang w:val="en-US" w:eastAsia="zh-CN"/>
              </w:rPr>
            </w:pPr>
            <w:bookmarkStart w:id="543" w:name="OLE_LINK29"/>
            <w:r>
              <w:rPr>
                <w:rFonts w:hint="eastAsia" w:cs="宋体" w:asciiTheme="majorEastAsia" w:hAnsiTheme="majorEastAsia" w:eastAsiaTheme="majorEastAsia"/>
                <w:bCs/>
                <w:sz w:val="21"/>
                <w:szCs w:val="21"/>
                <w:lang w:val="en-US" w:eastAsia="zh-CN"/>
              </w:rPr>
              <w:t>1年；</w:t>
            </w:r>
            <w:bookmarkEnd w:id="543"/>
          </w:p>
        </w:tc>
      </w:tr>
      <w:tr w14:paraId="781A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27" w:type="dxa"/>
            <w:vMerge w:val="continue"/>
            <w:vAlign w:val="center"/>
          </w:tcPr>
          <w:p w14:paraId="5A9FED9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725" w:type="dxa"/>
            <w:vMerge w:val="continue"/>
            <w:vAlign w:val="center"/>
          </w:tcPr>
          <w:p w14:paraId="6D91775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2121" w:type="dxa"/>
            <w:vAlign w:val="center"/>
          </w:tcPr>
          <w:p w14:paraId="230F3638">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权利义务</w:t>
            </w:r>
          </w:p>
        </w:tc>
        <w:tc>
          <w:tcPr>
            <w:tcW w:w="6372" w:type="dxa"/>
            <w:vAlign w:val="center"/>
          </w:tcPr>
          <w:p w14:paraId="37500890">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符合第四章“合同条款及格式”的相关规定；</w:t>
            </w:r>
          </w:p>
        </w:tc>
      </w:tr>
      <w:tr w14:paraId="06BF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1D9008B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725" w:type="dxa"/>
            <w:vMerge w:val="continue"/>
            <w:vAlign w:val="center"/>
          </w:tcPr>
          <w:p w14:paraId="5376BAD2">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2121" w:type="dxa"/>
            <w:vAlign w:val="center"/>
          </w:tcPr>
          <w:p w14:paraId="0F900183">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技术标准和要求</w:t>
            </w:r>
          </w:p>
        </w:tc>
        <w:tc>
          <w:tcPr>
            <w:tcW w:w="6372" w:type="dxa"/>
            <w:vAlign w:val="center"/>
          </w:tcPr>
          <w:p w14:paraId="7A75110A">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符合第五章“技术标准和要求”规定；</w:t>
            </w:r>
          </w:p>
        </w:tc>
      </w:tr>
      <w:tr w14:paraId="21EF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7" w:type="dxa"/>
            <w:vMerge w:val="continue"/>
            <w:vAlign w:val="center"/>
          </w:tcPr>
          <w:p w14:paraId="564E708A">
            <w:pPr>
              <w:autoSpaceDE w:val="0"/>
              <w:autoSpaceDN w:val="0"/>
              <w:adjustRightInd w:val="0"/>
              <w:spacing w:line="276" w:lineRule="auto"/>
              <w:ind w:left="57" w:leftChars="27" w:firstLine="52" w:firstLineChars="25"/>
              <w:jc w:val="left"/>
              <w:rPr>
                <w:rFonts w:cs="宋体" w:asciiTheme="majorEastAsia" w:hAnsiTheme="majorEastAsia" w:eastAsiaTheme="majorEastAsia"/>
                <w:bCs/>
                <w:color w:val="000000"/>
                <w:sz w:val="21"/>
                <w:szCs w:val="21"/>
                <w:highlight w:val="none"/>
                <w:lang w:val="zh-CN"/>
              </w:rPr>
            </w:pPr>
          </w:p>
        </w:tc>
        <w:tc>
          <w:tcPr>
            <w:tcW w:w="725" w:type="dxa"/>
            <w:vMerge w:val="continue"/>
            <w:vAlign w:val="center"/>
          </w:tcPr>
          <w:p w14:paraId="4BE715C7">
            <w:pPr>
              <w:autoSpaceDE w:val="0"/>
              <w:autoSpaceDN w:val="0"/>
              <w:adjustRightInd w:val="0"/>
              <w:spacing w:line="276" w:lineRule="auto"/>
              <w:ind w:left="57" w:leftChars="27" w:firstLine="52" w:firstLineChars="25"/>
              <w:jc w:val="left"/>
              <w:rPr>
                <w:rFonts w:cs="宋体" w:asciiTheme="majorEastAsia" w:hAnsiTheme="majorEastAsia" w:eastAsiaTheme="majorEastAsia"/>
                <w:bCs/>
                <w:color w:val="000000"/>
                <w:sz w:val="21"/>
                <w:szCs w:val="21"/>
                <w:highlight w:val="none"/>
                <w:lang w:val="zh-CN"/>
              </w:rPr>
            </w:pPr>
          </w:p>
        </w:tc>
        <w:tc>
          <w:tcPr>
            <w:tcW w:w="2121" w:type="dxa"/>
            <w:vAlign w:val="center"/>
          </w:tcPr>
          <w:p w14:paraId="24461EC4">
            <w:pPr>
              <w:autoSpaceDE w:val="0"/>
              <w:autoSpaceDN w:val="0"/>
              <w:adjustRightInd w:val="0"/>
              <w:spacing w:line="276" w:lineRule="auto"/>
              <w:jc w:val="left"/>
              <w:rPr>
                <w:rFonts w:cs="宋体" w:asciiTheme="majorEastAsia" w:hAnsiTheme="majorEastAsia" w:eastAsiaTheme="majorEastAsia"/>
                <w:bCs/>
                <w:color w:val="000000"/>
                <w:sz w:val="21"/>
                <w:szCs w:val="21"/>
                <w:highlight w:val="none"/>
              </w:rPr>
            </w:pPr>
            <w:bookmarkStart w:id="544" w:name="OLE_LINK30"/>
            <w:bookmarkStart w:id="545" w:name="_Toc460361803"/>
            <w:r>
              <w:rPr>
                <w:rFonts w:hint="eastAsia" w:cs="宋体" w:asciiTheme="majorEastAsia" w:hAnsiTheme="majorEastAsia" w:eastAsiaTheme="majorEastAsia"/>
                <w:bCs/>
                <w:color w:val="000000"/>
                <w:sz w:val="21"/>
                <w:szCs w:val="21"/>
                <w:highlight w:val="none"/>
              </w:rPr>
              <w:t>投标价格</w:t>
            </w:r>
            <w:bookmarkEnd w:id="544"/>
            <w:bookmarkEnd w:id="545"/>
          </w:p>
        </w:tc>
        <w:tc>
          <w:tcPr>
            <w:tcW w:w="6372" w:type="dxa"/>
            <w:vAlign w:val="center"/>
          </w:tcPr>
          <w:p w14:paraId="662C664B">
            <w:pPr>
              <w:autoSpaceDE w:val="0"/>
              <w:autoSpaceDN w:val="0"/>
              <w:adjustRightInd w:val="0"/>
              <w:spacing w:line="276" w:lineRule="auto"/>
              <w:jc w:val="left"/>
              <w:rPr>
                <w:rFonts w:hint="eastAsia" w:cs="宋体" w:asciiTheme="majorEastAsia" w:hAnsiTheme="majorEastAsia" w:eastAsiaTheme="majorEastAsia"/>
                <w:bCs/>
                <w:color w:val="000000"/>
                <w:sz w:val="21"/>
                <w:szCs w:val="21"/>
                <w:highlight w:val="none"/>
                <w:lang w:eastAsia="zh-CN"/>
              </w:rPr>
            </w:pPr>
            <w:bookmarkStart w:id="546" w:name="_Toc460361804"/>
            <w:bookmarkStart w:id="547" w:name="OLE_LINK31"/>
            <w:r>
              <w:rPr>
                <w:rFonts w:hint="eastAsia" w:cs="宋体" w:asciiTheme="majorEastAsia" w:hAnsiTheme="majorEastAsia" w:eastAsiaTheme="majorEastAsia"/>
                <w:bCs/>
                <w:color w:val="000000"/>
                <w:sz w:val="21"/>
                <w:szCs w:val="21"/>
                <w:highlight w:val="none"/>
              </w:rPr>
              <w:t>低于（含等于）第二章“供应商须知”前附表第</w:t>
            </w:r>
            <w:r>
              <w:rPr>
                <w:rFonts w:hint="eastAsia" w:cs="宋体" w:asciiTheme="majorEastAsia" w:hAnsiTheme="majorEastAsia" w:eastAsiaTheme="majorEastAsia"/>
                <w:bCs/>
                <w:color w:val="000000"/>
                <w:sz w:val="21"/>
                <w:szCs w:val="21"/>
                <w:highlight w:val="none"/>
                <w:lang w:val="en-US" w:eastAsia="zh-CN"/>
              </w:rPr>
              <w:t>43</w:t>
            </w:r>
            <w:r>
              <w:rPr>
                <w:rFonts w:hint="eastAsia" w:cs="宋体" w:asciiTheme="majorEastAsia" w:hAnsiTheme="majorEastAsia" w:eastAsiaTheme="majorEastAsia"/>
                <w:bCs/>
                <w:color w:val="000000"/>
                <w:sz w:val="21"/>
                <w:szCs w:val="21"/>
                <w:highlight w:val="none"/>
              </w:rPr>
              <w:t>条规定载明的最高投标限价。</w:t>
            </w:r>
            <w:bookmarkEnd w:id="546"/>
            <w:r>
              <w:rPr>
                <w:rFonts w:hint="eastAsia" w:cs="宋体" w:asciiTheme="majorEastAsia" w:hAnsiTheme="majorEastAsia" w:eastAsiaTheme="majorEastAsia"/>
                <w:bCs/>
                <w:color w:val="000000"/>
                <w:sz w:val="21"/>
                <w:szCs w:val="21"/>
                <w:highlight w:val="none"/>
                <w:lang w:eastAsia="zh-CN"/>
              </w:rPr>
              <w:t>（明显低于其他通过符合性审查投标人的投标报价，有可能影响产品质量或者不能诚信履约的，须提供成本构成表及相应证明材料，内容包括但不限于生产成本（如原材成本、生产设备损耗成本、安装成本等）、管理成本（人员工资、福利、社保等）、运输成本（汽油、过路费等）、税费等，并列明计算过程。投标人不能证明其报价合理性的，未提供或内容不全面无法支持成本构成的，由评标委员会认定该投标人是否以低于成本价竞标，如果是，做无效投标处理。）</w:t>
            </w:r>
            <w:bookmarkEnd w:id="547"/>
          </w:p>
        </w:tc>
      </w:tr>
    </w:tbl>
    <w:p w14:paraId="3B87690A">
      <w:pPr>
        <w:autoSpaceDE w:val="0"/>
        <w:autoSpaceDN w:val="0"/>
        <w:adjustRightInd w:val="0"/>
        <w:spacing w:line="276" w:lineRule="auto"/>
        <w:jc w:val="left"/>
        <w:rPr>
          <w:rFonts w:cs="宋体" w:asciiTheme="majorEastAsia" w:hAnsiTheme="majorEastAsia" w:eastAsiaTheme="majorEastAsia"/>
          <w:bCs/>
          <w:color w:val="000000"/>
          <w:sz w:val="24"/>
          <w:lang w:val="zh-CN"/>
        </w:rPr>
      </w:pPr>
    </w:p>
    <w:p w14:paraId="39E6AC70">
      <w:pPr>
        <w:pStyle w:val="4"/>
        <w:rPr>
          <w:rFonts w:hint="eastAsia" w:eastAsia="宋体"/>
          <w:lang w:val="zh-CN" w:eastAsia="zh-CN"/>
        </w:rPr>
      </w:pPr>
      <w:r>
        <w:rPr>
          <w:rFonts w:hint="eastAsia"/>
          <w:lang w:val="zh-CN" w:eastAsia="zh-CN"/>
        </w:rPr>
        <w:t>详细评审</w:t>
      </w:r>
    </w:p>
    <w:tbl>
      <w:tblPr>
        <w:tblStyle w:val="32"/>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121"/>
        <w:gridCol w:w="6372"/>
      </w:tblGrid>
      <w:tr w14:paraId="4F0B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552" w:type="dxa"/>
            <w:vAlign w:val="center"/>
          </w:tcPr>
          <w:p w14:paraId="577740FC">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条款号</w:t>
            </w:r>
          </w:p>
        </w:tc>
        <w:tc>
          <w:tcPr>
            <w:tcW w:w="2121" w:type="dxa"/>
            <w:vAlign w:val="center"/>
          </w:tcPr>
          <w:p w14:paraId="184E380A">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条款内容</w:t>
            </w:r>
          </w:p>
        </w:tc>
        <w:tc>
          <w:tcPr>
            <w:tcW w:w="6372" w:type="dxa"/>
            <w:vAlign w:val="center"/>
          </w:tcPr>
          <w:p w14:paraId="320BBCCD">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编列内容</w:t>
            </w:r>
          </w:p>
        </w:tc>
      </w:tr>
      <w:tr w14:paraId="7480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52" w:type="dxa"/>
            <w:vAlign w:val="center"/>
          </w:tcPr>
          <w:p w14:paraId="59DCF208">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2.2.1</w:t>
            </w:r>
          </w:p>
        </w:tc>
        <w:tc>
          <w:tcPr>
            <w:tcW w:w="2121" w:type="dxa"/>
            <w:vAlign w:val="center"/>
          </w:tcPr>
          <w:p w14:paraId="045213E7">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分值构成</w:t>
            </w:r>
          </w:p>
          <w:p w14:paraId="18E30237">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（总分</w:t>
            </w:r>
            <w:r>
              <w:rPr>
                <w:rFonts w:cs="宋体" w:asciiTheme="majorEastAsia" w:hAnsiTheme="majorEastAsia" w:eastAsiaTheme="majorEastAsia"/>
                <w:bCs/>
                <w:color w:val="000000"/>
                <w:sz w:val="24"/>
                <w:lang w:val="zh-CN"/>
              </w:rPr>
              <w:t>100</w:t>
            </w:r>
            <w:r>
              <w:rPr>
                <w:rFonts w:hint="eastAsia" w:cs="宋体" w:asciiTheme="majorEastAsia" w:hAnsiTheme="majorEastAsia" w:eastAsiaTheme="majorEastAsia"/>
                <w:bCs/>
                <w:color w:val="000000"/>
                <w:sz w:val="24"/>
                <w:lang w:val="zh-CN"/>
              </w:rPr>
              <w:t>分）</w:t>
            </w:r>
          </w:p>
        </w:tc>
        <w:tc>
          <w:tcPr>
            <w:tcW w:w="6372" w:type="dxa"/>
            <w:vAlign w:val="center"/>
          </w:tcPr>
          <w:p w14:paraId="3246CBE6">
            <w:pPr>
              <w:autoSpaceDE w:val="0"/>
              <w:autoSpaceDN w:val="0"/>
              <w:adjustRightInd w:val="0"/>
              <w:spacing w:line="276" w:lineRule="auto"/>
              <w:ind w:left="57" w:leftChars="27" w:firstLine="52" w:firstLineChars="25"/>
              <w:jc w:val="left"/>
              <w:rPr>
                <w:lang w:val="zh-CN"/>
              </w:rPr>
            </w:pPr>
            <w:r>
              <w:rPr>
                <w:rFonts w:hint="eastAsia"/>
                <w:lang w:val="zh-CN"/>
              </w:rPr>
              <w:t>投标报价：</w:t>
            </w:r>
            <w:r>
              <w:t>3</w:t>
            </w:r>
            <w:r>
              <w:rPr>
                <w:lang w:val="zh-CN"/>
              </w:rPr>
              <w:t>0</w:t>
            </w:r>
            <w:r>
              <w:rPr>
                <w:rFonts w:hint="eastAsia"/>
                <w:lang w:val="zh-CN"/>
              </w:rPr>
              <w:t>分</w:t>
            </w:r>
          </w:p>
          <w:p w14:paraId="45AF26F4">
            <w:pPr>
              <w:autoSpaceDE w:val="0"/>
              <w:autoSpaceDN w:val="0"/>
              <w:adjustRightInd w:val="0"/>
              <w:spacing w:line="276" w:lineRule="auto"/>
              <w:ind w:left="57" w:leftChars="27" w:firstLine="52" w:firstLineChars="25"/>
              <w:jc w:val="left"/>
              <w:rPr>
                <w:lang w:val="zh-CN"/>
              </w:rPr>
            </w:pPr>
            <w:r>
              <w:rPr>
                <w:rFonts w:hint="eastAsia"/>
                <w:lang w:val="zh-CN"/>
              </w:rPr>
              <w:t>商务评分因素：</w:t>
            </w:r>
            <w:r>
              <w:rPr>
                <w:rFonts w:hint="eastAsia"/>
                <w:lang w:val="en-US" w:eastAsia="zh-CN"/>
              </w:rPr>
              <w:t>15</w:t>
            </w:r>
            <w:r>
              <w:rPr>
                <w:rFonts w:hint="eastAsia"/>
                <w:lang w:val="zh-CN"/>
              </w:rPr>
              <w:t>分</w:t>
            </w:r>
          </w:p>
          <w:p w14:paraId="42104E66">
            <w:pPr>
              <w:autoSpaceDE w:val="0"/>
              <w:autoSpaceDN w:val="0"/>
              <w:adjustRightInd w:val="0"/>
              <w:spacing w:line="276" w:lineRule="auto"/>
              <w:ind w:left="57" w:leftChars="27" w:firstLine="52" w:firstLineChars="25"/>
              <w:jc w:val="left"/>
              <w:rPr>
                <w:rFonts w:hint="default" w:eastAsia="宋体"/>
                <w:lang w:val="en-US" w:eastAsia="zh-CN"/>
              </w:rPr>
            </w:pPr>
            <w:r>
              <w:rPr>
                <w:rFonts w:hint="eastAsia"/>
                <w:lang w:val="zh-CN"/>
              </w:rPr>
              <w:t>技术评分因素：</w:t>
            </w:r>
            <w:r>
              <w:rPr>
                <w:rFonts w:hint="eastAsia"/>
                <w:lang w:val="en-US" w:eastAsia="zh-CN"/>
              </w:rPr>
              <w:t>55</w:t>
            </w:r>
            <w:r>
              <w:rPr>
                <w:rFonts w:hint="eastAsia"/>
                <w:lang w:val="zh-CN"/>
              </w:rPr>
              <w:t>分</w:t>
            </w:r>
          </w:p>
        </w:tc>
      </w:tr>
    </w:tbl>
    <w:p w14:paraId="7CCEC1F9">
      <w:pPr>
        <w:pStyle w:val="4"/>
        <w:numPr>
          <w:ilvl w:val="0"/>
          <w:numId w:val="0"/>
        </w:numPr>
      </w:pPr>
    </w:p>
    <w:tbl>
      <w:tblPr>
        <w:tblStyle w:val="32"/>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499"/>
        <w:gridCol w:w="5994"/>
        <w:gridCol w:w="780"/>
      </w:tblGrid>
      <w:tr w14:paraId="1F071C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pct"/>
            <w:gridSpan w:val="2"/>
            <w:tcBorders>
              <w:top w:val="double" w:color="auto" w:sz="4" w:space="0"/>
              <w:left w:val="double" w:color="auto" w:sz="4" w:space="0"/>
              <w:bottom w:val="single" w:color="auto" w:sz="4" w:space="0"/>
              <w:right w:val="single" w:color="auto" w:sz="4" w:space="0"/>
            </w:tcBorders>
            <w:vAlign w:val="center"/>
          </w:tcPr>
          <w:p w14:paraId="401318A2">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评分因素</w:t>
            </w:r>
          </w:p>
        </w:tc>
        <w:tc>
          <w:tcPr>
            <w:tcW w:w="3167" w:type="pct"/>
            <w:tcBorders>
              <w:top w:val="double" w:color="auto" w:sz="4" w:space="0"/>
              <w:left w:val="single" w:color="auto" w:sz="4" w:space="0"/>
              <w:bottom w:val="single" w:color="auto" w:sz="4" w:space="0"/>
              <w:right w:val="single" w:color="auto" w:sz="4" w:space="0"/>
            </w:tcBorders>
            <w:vAlign w:val="center"/>
          </w:tcPr>
          <w:p w14:paraId="4F5319B1">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评分标准</w:t>
            </w:r>
          </w:p>
        </w:tc>
        <w:tc>
          <w:tcPr>
            <w:tcW w:w="412" w:type="pct"/>
            <w:tcBorders>
              <w:top w:val="double" w:color="auto" w:sz="4" w:space="0"/>
              <w:left w:val="single" w:color="auto" w:sz="4" w:space="0"/>
              <w:bottom w:val="single" w:color="auto" w:sz="4" w:space="0"/>
              <w:right w:val="double" w:color="auto" w:sz="4" w:space="0"/>
            </w:tcBorders>
            <w:vAlign w:val="center"/>
          </w:tcPr>
          <w:p w14:paraId="2ED17E0B">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得分</w:t>
            </w:r>
          </w:p>
        </w:tc>
      </w:tr>
      <w:tr w14:paraId="7C1AB7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9" w:type="pct"/>
            <w:gridSpan w:val="2"/>
            <w:tcBorders>
              <w:top w:val="single" w:color="auto" w:sz="4" w:space="0"/>
              <w:left w:val="double" w:color="auto" w:sz="4" w:space="0"/>
              <w:bottom w:val="single" w:color="auto" w:sz="4" w:space="0"/>
              <w:right w:val="single" w:color="auto" w:sz="4" w:space="0"/>
            </w:tcBorders>
            <w:vAlign w:val="center"/>
          </w:tcPr>
          <w:p w14:paraId="1086A25F">
            <w:pPr>
              <w:jc w:val="center"/>
              <w:rPr>
                <w:rFonts w:hint="eastAsia" w:ascii="宋体" w:hAnsi="宋体" w:eastAsia="宋体" w:cs="Times New Roman"/>
                <w:szCs w:val="21"/>
              </w:rPr>
            </w:pPr>
            <w:r>
              <w:rPr>
                <w:rFonts w:hint="eastAsia" w:ascii="宋体" w:hAnsi="宋体" w:eastAsia="宋体" w:cs="Times New Roman"/>
                <w:szCs w:val="21"/>
              </w:rPr>
              <w:t>分值构成</w:t>
            </w:r>
          </w:p>
          <w:p w14:paraId="66A608E1">
            <w:pPr>
              <w:spacing w:before="152" w:line="340" w:lineRule="exact"/>
              <w:ind w:left="107" w:right="-15"/>
              <w:jc w:val="center"/>
              <w:rPr>
                <w:rFonts w:ascii="Times New Roman" w:hAnsi="Times New Roman" w:eastAsia="宋体" w:cs="Times New Roman"/>
                <w:spacing w:val="-11"/>
                <w:szCs w:val="21"/>
                <w:lang w:val="zh-CN"/>
              </w:rPr>
            </w:pPr>
            <w:r>
              <w:rPr>
                <w:rFonts w:hint="eastAsia" w:ascii="宋体" w:hAnsi="宋体" w:eastAsia="宋体" w:cs="宋体"/>
                <w:szCs w:val="21"/>
                <w:lang w:val="zh-CN"/>
              </w:rPr>
              <w:t>（总分100分）</w:t>
            </w:r>
          </w:p>
        </w:tc>
        <w:tc>
          <w:tcPr>
            <w:tcW w:w="3167" w:type="pct"/>
            <w:tcBorders>
              <w:top w:val="single" w:color="auto" w:sz="4" w:space="0"/>
              <w:left w:val="single" w:color="auto" w:sz="4" w:space="0"/>
              <w:bottom w:val="single" w:color="auto" w:sz="4" w:space="0"/>
              <w:right w:val="single" w:color="auto" w:sz="4" w:space="0"/>
            </w:tcBorders>
          </w:tcPr>
          <w:p w14:paraId="4B20A3D7">
            <w:pPr>
              <w:rPr>
                <w:rFonts w:hint="eastAsia" w:ascii="宋体" w:hAnsi="宋体" w:eastAsia="宋体" w:cs="Times New Roman"/>
                <w:szCs w:val="21"/>
              </w:rPr>
            </w:pPr>
            <w:r>
              <w:rPr>
                <w:rFonts w:hint="eastAsia" w:ascii="宋体" w:hAnsi="宋体" w:eastAsia="宋体" w:cs="Times New Roman"/>
                <w:szCs w:val="21"/>
              </w:rPr>
              <w:t>投标报价（30分）</w:t>
            </w:r>
          </w:p>
          <w:p w14:paraId="3BB8D902">
            <w:pPr>
              <w:rPr>
                <w:rFonts w:hint="eastAsia" w:ascii="宋体" w:hAnsi="宋体" w:eastAsia="宋体" w:cs="Times New Roman"/>
                <w:szCs w:val="21"/>
              </w:rPr>
            </w:pPr>
            <w:r>
              <w:rPr>
                <w:rFonts w:hint="eastAsia" w:ascii="宋体" w:hAnsi="宋体" w:eastAsia="宋体" w:cs="Times New Roman"/>
                <w:szCs w:val="21"/>
              </w:rPr>
              <w:t>商务条款（15分）</w:t>
            </w:r>
          </w:p>
          <w:p w14:paraId="19D72846">
            <w:pPr>
              <w:adjustRightInd w:val="0"/>
              <w:spacing w:line="340" w:lineRule="exact"/>
              <w:rPr>
                <w:rFonts w:ascii="Times New Roman" w:hAnsi="Times New Roman" w:eastAsia="宋体" w:cs="Times New Roman"/>
                <w:szCs w:val="21"/>
              </w:rPr>
            </w:pPr>
            <w:r>
              <w:rPr>
                <w:rFonts w:hint="eastAsia" w:ascii="宋体" w:hAnsi="宋体" w:eastAsia="宋体" w:cs="Times New Roman"/>
                <w:szCs w:val="21"/>
              </w:rPr>
              <w:t>技术条款（55分）</w:t>
            </w:r>
          </w:p>
        </w:tc>
        <w:tc>
          <w:tcPr>
            <w:tcW w:w="412" w:type="pct"/>
            <w:tcBorders>
              <w:top w:val="single" w:color="auto" w:sz="4" w:space="0"/>
              <w:left w:val="single" w:color="auto" w:sz="4" w:space="0"/>
              <w:bottom w:val="single" w:color="auto" w:sz="4" w:space="0"/>
              <w:right w:val="double" w:color="auto" w:sz="4" w:space="0"/>
            </w:tcBorders>
            <w:vAlign w:val="center"/>
          </w:tcPr>
          <w:p w14:paraId="1ECB9358">
            <w:pPr>
              <w:autoSpaceDE w:val="0"/>
              <w:autoSpaceDN w:val="0"/>
              <w:adjustRightInd w:val="0"/>
              <w:spacing w:line="3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w:t>
            </w:r>
          </w:p>
        </w:tc>
      </w:tr>
      <w:tr w14:paraId="3C6F75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pct"/>
            <w:gridSpan w:val="2"/>
            <w:tcBorders>
              <w:top w:val="single" w:color="auto" w:sz="4" w:space="0"/>
              <w:left w:val="double" w:color="auto" w:sz="4" w:space="0"/>
              <w:bottom w:val="single" w:color="auto" w:sz="4" w:space="0"/>
              <w:right w:val="single" w:color="auto" w:sz="4" w:space="0"/>
            </w:tcBorders>
            <w:vAlign w:val="center"/>
          </w:tcPr>
          <w:p w14:paraId="5B14062B">
            <w:pPr>
              <w:spacing w:before="152" w:line="340" w:lineRule="exact"/>
              <w:ind w:left="107" w:right="-15"/>
              <w:jc w:val="center"/>
              <w:rPr>
                <w:rFonts w:ascii="Times New Roman" w:hAnsi="Times New Roman" w:eastAsia="宋体" w:cs="Times New Roman"/>
                <w:spacing w:val="-11"/>
                <w:szCs w:val="21"/>
                <w:lang w:val="zh-CN"/>
              </w:rPr>
            </w:pPr>
            <w:r>
              <w:rPr>
                <w:rFonts w:hint="eastAsia" w:ascii="宋体" w:hAnsi="宋体" w:eastAsia="宋体" w:cs="宋体"/>
                <w:szCs w:val="21"/>
                <w:lang w:val="zh-CN"/>
              </w:rPr>
              <w:t>评标基准价计算方法</w:t>
            </w:r>
          </w:p>
        </w:tc>
        <w:tc>
          <w:tcPr>
            <w:tcW w:w="3167" w:type="pct"/>
            <w:tcBorders>
              <w:top w:val="single" w:color="auto" w:sz="4" w:space="0"/>
              <w:left w:val="single" w:color="auto" w:sz="4" w:space="0"/>
              <w:bottom w:val="single" w:color="auto" w:sz="4" w:space="0"/>
              <w:right w:val="single" w:color="auto" w:sz="4" w:space="0"/>
            </w:tcBorders>
          </w:tcPr>
          <w:p w14:paraId="0F733200">
            <w:pPr>
              <w:adjustRightInd w:val="0"/>
              <w:spacing w:line="340" w:lineRule="exact"/>
              <w:rPr>
                <w:rFonts w:ascii="Times New Roman" w:hAnsi="Times New Roman" w:eastAsia="宋体" w:cs="Times New Roman"/>
                <w:szCs w:val="21"/>
              </w:rPr>
            </w:pPr>
            <w:r>
              <w:rPr>
                <w:rFonts w:hint="eastAsia" w:ascii="宋体" w:hAnsi="宋体" w:eastAsia="宋体" w:cs="Times New Roman"/>
                <w:szCs w:val="21"/>
              </w:rPr>
              <w:t>综合评分法中的价格分统一采用低价优先法计算，即满足招标文件要求且投标价格最低的投标报价为评标基准价，其价格分为满分。</w:t>
            </w:r>
          </w:p>
        </w:tc>
        <w:tc>
          <w:tcPr>
            <w:tcW w:w="412" w:type="pct"/>
            <w:tcBorders>
              <w:top w:val="single" w:color="auto" w:sz="4" w:space="0"/>
              <w:left w:val="single" w:color="auto" w:sz="4" w:space="0"/>
              <w:bottom w:val="single" w:color="auto" w:sz="4" w:space="0"/>
              <w:right w:val="double" w:color="auto" w:sz="4" w:space="0"/>
            </w:tcBorders>
            <w:vAlign w:val="center"/>
          </w:tcPr>
          <w:p w14:paraId="1FF13B08">
            <w:pPr>
              <w:autoSpaceDE w:val="0"/>
              <w:autoSpaceDN w:val="0"/>
              <w:adjustRightInd w:val="0"/>
              <w:spacing w:line="3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w:t>
            </w:r>
          </w:p>
        </w:tc>
      </w:tr>
      <w:tr w14:paraId="35BA3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9" w:type="pct"/>
            <w:gridSpan w:val="2"/>
            <w:tcBorders>
              <w:top w:val="single" w:color="auto" w:sz="4" w:space="0"/>
              <w:left w:val="double" w:color="auto" w:sz="4" w:space="0"/>
              <w:bottom w:val="single" w:color="auto" w:sz="4" w:space="0"/>
              <w:right w:val="single" w:color="auto" w:sz="4" w:space="0"/>
            </w:tcBorders>
            <w:vAlign w:val="center"/>
          </w:tcPr>
          <w:p w14:paraId="1CC2BE89">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评分因素</w:t>
            </w:r>
          </w:p>
        </w:tc>
        <w:tc>
          <w:tcPr>
            <w:tcW w:w="3167" w:type="pct"/>
            <w:tcBorders>
              <w:top w:val="single" w:color="auto" w:sz="4" w:space="0"/>
              <w:left w:val="single" w:color="auto" w:sz="4" w:space="0"/>
              <w:bottom w:val="single" w:color="auto" w:sz="4" w:space="0"/>
              <w:right w:val="single" w:color="auto" w:sz="4" w:space="0"/>
            </w:tcBorders>
            <w:vAlign w:val="center"/>
          </w:tcPr>
          <w:p w14:paraId="6404C518">
            <w:pPr>
              <w:spacing w:line="340" w:lineRule="exact"/>
              <w:jc w:val="center"/>
              <w:rPr>
                <w:rFonts w:ascii="Times New Roman" w:hAnsi="Times New Roman" w:eastAsia="宋体" w:cs="Times New Roman"/>
                <w:szCs w:val="21"/>
              </w:rPr>
            </w:pPr>
            <w:r>
              <w:rPr>
                <w:rFonts w:hint="eastAsia" w:ascii="Times New Roman" w:hAnsi="Times New Roman" w:eastAsia="宋体" w:cs="Times New Roman"/>
                <w:szCs w:val="21"/>
              </w:rPr>
              <w:t>评分</w:t>
            </w:r>
            <w:r>
              <w:rPr>
                <w:rFonts w:ascii="Times New Roman" w:hAnsi="Times New Roman" w:eastAsia="宋体" w:cs="Times New Roman"/>
                <w:szCs w:val="21"/>
              </w:rPr>
              <w:t>标准</w:t>
            </w:r>
          </w:p>
        </w:tc>
        <w:tc>
          <w:tcPr>
            <w:tcW w:w="412" w:type="pct"/>
            <w:tcBorders>
              <w:top w:val="single" w:color="auto" w:sz="4" w:space="0"/>
              <w:left w:val="single" w:color="auto" w:sz="4" w:space="0"/>
              <w:bottom w:val="single" w:color="auto" w:sz="4" w:space="0"/>
              <w:right w:val="double" w:color="auto" w:sz="4" w:space="0"/>
            </w:tcBorders>
            <w:vAlign w:val="center"/>
          </w:tcPr>
          <w:p w14:paraId="2F3245D5">
            <w:pPr>
              <w:autoSpaceDE w:val="0"/>
              <w:autoSpaceDN w:val="0"/>
              <w:adjustRightInd w:val="0"/>
              <w:spacing w:line="340" w:lineRule="exact"/>
              <w:jc w:val="center"/>
              <w:rPr>
                <w:rFonts w:ascii="Times New Roman" w:hAnsi="Times New Roman" w:eastAsia="宋体" w:cs="Times New Roman"/>
                <w:szCs w:val="21"/>
              </w:rPr>
            </w:pPr>
            <w:r>
              <w:rPr>
                <w:rFonts w:ascii="Times New Roman" w:hAnsi="Times New Roman" w:eastAsia="宋体" w:cs="Times New Roman"/>
                <w:szCs w:val="21"/>
              </w:rPr>
              <w:t>得分</w:t>
            </w:r>
          </w:p>
        </w:tc>
      </w:tr>
      <w:tr w14:paraId="4C73B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27" w:type="pct"/>
            <w:tcBorders>
              <w:top w:val="single" w:color="auto" w:sz="4" w:space="0"/>
              <w:left w:val="double" w:color="auto" w:sz="4" w:space="0"/>
              <w:bottom w:val="single" w:color="auto" w:sz="4" w:space="0"/>
              <w:right w:val="single" w:color="auto" w:sz="4" w:space="0"/>
            </w:tcBorders>
            <w:vAlign w:val="center"/>
          </w:tcPr>
          <w:p w14:paraId="325FBC7A">
            <w:pPr>
              <w:spacing w:before="152" w:line="340" w:lineRule="exact"/>
              <w:ind w:left="60" w:right="24"/>
              <w:jc w:val="center"/>
              <w:rPr>
                <w:rFonts w:ascii="Times New Roman" w:hAnsi="Times New Roman" w:eastAsia="宋体" w:cs="Times New Roman"/>
                <w:szCs w:val="21"/>
                <w:lang w:val="zh-CN"/>
              </w:rPr>
            </w:pPr>
            <w:r>
              <w:rPr>
                <w:rFonts w:ascii="Times New Roman" w:hAnsi="Times New Roman" w:eastAsia="宋体" w:cs="Times New Roman"/>
                <w:szCs w:val="21"/>
                <w:lang w:val="zh-CN"/>
              </w:rPr>
              <w:t>价格部分（30 分）</w:t>
            </w:r>
          </w:p>
        </w:tc>
        <w:tc>
          <w:tcPr>
            <w:tcW w:w="792" w:type="pct"/>
            <w:tcBorders>
              <w:top w:val="single" w:color="auto" w:sz="4" w:space="0"/>
              <w:left w:val="single" w:color="auto" w:sz="4" w:space="0"/>
              <w:bottom w:val="single" w:color="auto" w:sz="4" w:space="0"/>
              <w:right w:val="single" w:color="auto" w:sz="4" w:space="0"/>
            </w:tcBorders>
            <w:vAlign w:val="center"/>
          </w:tcPr>
          <w:p w14:paraId="1AE182E2">
            <w:pPr>
              <w:spacing w:before="152" w:line="340" w:lineRule="exact"/>
              <w:ind w:left="107" w:right="-15"/>
              <w:jc w:val="center"/>
              <w:rPr>
                <w:rFonts w:ascii="Times New Roman" w:hAnsi="Times New Roman" w:eastAsia="宋体" w:cs="Times New Roman"/>
                <w:spacing w:val="-11"/>
                <w:szCs w:val="21"/>
                <w:lang w:val="zh-CN"/>
              </w:rPr>
            </w:pPr>
            <w:r>
              <w:rPr>
                <w:rFonts w:ascii="Times New Roman" w:hAnsi="Times New Roman" w:eastAsia="宋体" w:cs="Times New Roman"/>
                <w:spacing w:val="-11"/>
                <w:szCs w:val="21"/>
                <w:lang w:val="zh-CN"/>
              </w:rPr>
              <w:t>投标报价</w:t>
            </w:r>
          </w:p>
          <w:p w14:paraId="0D602D52">
            <w:pPr>
              <w:spacing w:before="152" w:line="340" w:lineRule="exact"/>
              <w:ind w:left="107" w:right="-15"/>
              <w:jc w:val="center"/>
              <w:rPr>
                <w:rFonts w:ascii="Times New Roman" w:hAnsi="Times New Roman" w:eastAsia="宋体" w:cs="Times New Roman"/>
                <w:szCs w:val="21"/>
                <w:lang w:val="zh-CN"/>
              </w:rPr>
            </w:pPr>
            <w:r>
              <w:rPr>
                <w:rFonts w:ascii="Times New Roman" w:hAnsi="Times New Roman" w:eastAsia="宋体" w:cs="Times New Roman"/>
                <w:szCs w:val="21"/>
                <w:lang w:val="zh-CN"/>
              </w:rPr>
              <w:t>（30</w:t>
            </w:r>
            <w:r>
              <w:rPr>
                <w:rFonts w:ascii="Times New Roman" w:hAnsi="Times New Roman" w:eastAsia="宋体" w:cs="Times New Roman"/>
                <w:spacing w:val="-30"/>
                <w:szCs w:val="21"/>
                <w:lang w:val="zh-CN"/>
              </w:rPr>
              <w:t xml:space="preserve"> 分</w:t>
            </w:r>
            <w:r>
              <w:rPr>
                <w:rFonts w:ascii="Times New Roman" w:hAnsi="Times New Roman" w:eastAsia="宋体" w:cs="Times New Roman"/>
                <w:szCs w:val="21"/>
                <w:lang w:val="zh-CN"/>
              </w:rPr>
              <w:t>）</w:t>
            </w:r>
          </w:p>
        </w:tc>
        <w:tc>
          <w:tcPr>
            <w:tcW w:w="3167" w:type="pct"/>
            <w:tcBorders>
              <w:top w:val="single" w:color="auto" w:sz="4" w:space="0"/>
              <w:left w:val="single" w:color="auto" w:sz="4" w:space="0"/>
              <w:bottom w:val="single" w:color="auto" w:sz="4" w:space="0"/>
              <w:right w:val="single" w:color="auto" w:sz="4" w:space="0"/>
            </w:tcBorders>
          </w:tcPr>
          <w:p w14:paraId="4250CB1B">
            <w:pPr>
              <w:tabs>
                <w:tab w:val="left" w:pos="634"/>
              </w:tabs>
              <w:spacing w:line="340" w:lineRule="exact"/>
              <w:rPr>
                <w:rFonts w:hint="eastAsia" w:ascii="Times New Roman" w:hAnsi="Times New Roman" w:eastAsia="宋体" w:cs="Times New Roman"/>
                <w:szCs w:val="21"/>
                <w:lang w:eastAsia="zh-CN"/>
              </w:rPr>
            </w:pPr>
            <w:r>
              <w:rPr>
                <w:rFonts w:ascii="Times New Roman" w:hAnsi="Times New Roman" w:eastAsia="宋体" w:cs="Times New Roman"/>
                <w:szCs w:val="21"/>
              </w:rPr>
              <w:t>（</w:t>
            </w:r>
            <w:r>
              <w:rPr>
                <w:rFonts w:hint="eastAsia" w:ascii="Times New Roman" w:hAnsi="Times New Roman" w:eastAsia="宋体" w:cs="Times New Roman"/>
                <w:szCs w:val="21"/>
              </w:rPr>
              <w:t>满足招标文件要求且投标价格最低的投标报价为评标基准价，其价格分为满分 30 分，其他投标人的价格分统一按照下列公式计算：投标报价得分= (评标基准价／投标报价)×30％×100</w:t>
            </w:r>
            <w:r>
              <w:rPr>
                <w:rFonts w:hint="eastAsia" w:cs="Times New Roman"/>
                <w:szCs w:val="21"/>
                <w:lang w:eastAsia="zh-CN"/>
              </w:rPr>
              <w:t>。</w:t>
            </w:r>
          </w:p>
        </w:tc>
        <w:tc>
          <w:tcPr>
            <w:tcW w:w="412" w:type="pct"/>
            <w:tcBorders>
              <w:top w:val="single" w:color="auto" w:sz="4" w:space="0"/>
              <w:left w:val="single" w:color="auto" w:sz="4" w:space="0"/>
              <w:bottom w:val="single" w:color="auto" w:sz="4" w:space="0"/>
              <w:right w:val="double" w:color="auto" w:sz="4" w:space="0"/>
            </w:tcBorders>
            <w:vAlign w:val="center"/>
          </w:tcPr>
          <w:p w14:paraId="21502FB1">
            <w:pPr>
              <w:autoSpaceDE w:val="0"/>
              <w:autoSpaceDN w:val="0"/>
              <w:adjustRightInd w:val="0"/>
              <w:spacing w:line="340" w:lineRule="exact"/>
              <w:jc w:val="center"/>
              <w:rPr>
                <w:rFonts w:ascii="Times New Roman" w:hAnsi="Times New Roman" w:eastAsia="宋体" w:cs="Times New Roman"/>
                <w:szCs w:val="21"/>
              </w:rPr>
            </w:pPr>
            <w:r>
              <w:rPr>
                <w:rFonts w:ascii="Times New Roman" w:hAnsi="Times New Roman" w:eastAsia="宋体" w:cs="Times New Roman"/>
                <w:szCs w:val="21"/>
              </w:rPr>
              <w:t>30分</w:t>
            </w:r>
          </w:p>
        </w:tc>
      </w:tr>
      <w:tr w14:paraId="19172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27" w:type="pct"/>
            <w:vMerge w:val="restart"/>
            <w:tcBorders>
              <w:top w:val="single" w:color="auto" w:sz="4" w:space="0"/>
              <w:left w:val="double" w:color="auto" w:sz="4" w:space="0"/>
              <w:bottom w:val="single" w:color="auto" w:sz="4" w:space="0"/>
              <w:right w:val="single" w:color="auto" w:sz="4" w:space="0"/>
            </w:tcBorders>
            <w:vAlign w:val="center"/>
          </w:tcPr>
          <w:p w14:paraId="1149C7EC">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商务部分（</w:t>
            </w:r>
            <w:r>
              <w:rPr>
                <w:rFonts w:hint="eastAsia" w:ascii="Times New Roman" w:hAnsi="Times New Roman" w:eastAsia="宋体" w:cs="Times New Roman"/>
                <w:szCs w:val="21"/>
              </w:rPr>
              <w:t>15</w:t>
            </w:r>
            <w:r>
              <w:rPr>
                <w:rFonts w:ascii="Times New Roman" w:hAnsi="Times New Roman" w:eastAsia="宋体" w:cs="Times New Roman"/>
                <w:szCs w:val="21"/>
              </w:rPr>
              <w:t>分）</w:t>
            </w:r>
          </w:p>
        </w:tc>
        <w:tc>
          <w:tcPr>
            <w:tcW w:w="792" w:type="pct"/>
            <w:tcBorders>
              <w:top w:val="single" w:color="auto" w:sz="4" w:space="0"/>
              <w:left w:val="single" w:color="auto" w:sz="4" w:space="0"/>
              <w:bottom w:val="single" w:color="auto" w:sz="4" w:space="0"/>
              <w:right w:val="single" w:color="auto" w:sz="4" w:space="0"/>
            </w:tcBorders>
            <w:vAlign w:val="center"/>
          </w:tcPr>
          <w:p w14:paraId="5471E1A4">
            <w:pPr>
              <w:spacing w:line="340" w:lineRule="exact"/>
              <w:ind w:left="107" w:right="-15"/>
              <w:jc w:val="center"/>
              <w:rPr>
                <w:rFonts w:ascii="Times New Roman" w:hAnsi="Times New Roman" w:eastAsia="宋体" w:cs="Times New Roman"/>
                <w:spacing w:val="-5"/>
                <w:szCs w:val="21"/>
              </w:rPr>
            </w:pPr>
            <w:r>
              <w:rPr>
                <w:rFonts w:hint="eastAsia" w:ascii="Times New Roman" w:hAnsi="Times New Roman" w:eastAsia="宋体" w:cs="Times New Roman"/>
                <w:spacing w:val="-5"/>
                <w:szCs w:val="21"/>
              </w:rPr>
              <w:t>类似</w:t>
            </w:r>
            <w:r>
              <w:rPr>
                <w:rFonts w:ascii="Times New Roman" w:hAnsi="Times New Roman" w:eastAsia="宋体" w:cs="Times New Roman"/>
                <w:spacing w:val="-5"/>
                <w:szCs w:val="21"/>
              </w:rPr>
              <w:t>业绩</w:t>
            </w:r>
          </w:p>
          <w:p w14:paraId="1F4C9C33">
            <w:pPr>
              <w:spacing w:line="340" w:lineRule="exact"/>
              <w:ind w:left="107" w:right="-15"/>
              <w:jc w:val="center"/>
              <w:rPr>
                <w:rFonts w:ascii="Times New Roman" w:hAnsi="Times New Roman" w:eastAsia="宋体" w:cs="Times New Roman"/>
                <w:spacing w:val="-11"/>
                <w:szCs w:val="21"/>
                <w:lang w:val="zh-CN"/>
              </w:rPr>
            </w:pPr>
            <w:r>
              <w:rPr>
                <w:rFonts w:ascii="Times New Roman" w:hAnsi="Times New Roman" w:eastAsia="宋体" w:cs="Times New Roman"/>
                <w:spacing w:val="-5"/>
                <w:szCs w:val="21"/>
              </w:rPr>
              <w:t>（</w:t>
            </w:r>
            <w:r>
              <w:rPr>
                <w:rFonts w:hint="eastAsia" w:ascii="Times New Roman" w:hAnsi="Times New Roman" w:eastAsia="宋体" w:cs="Times New Roman"/>
                <w:spacing w:val="-5"/>
                <w:szCs w:val="21"/>
              </w:rPr>
              <w:t>6</w:t>
            </w:r>
            <w:r>
              <w:rPr>
                <w:rFonts w:ascii="Times New Roman" w:hAnsi="Times New Roman" w:eastAsia="宋体" w:cs="Times New Roman"/>
                <w:spacing w:val="-5"/>
                <w:szCs w:val="21"/>
              </w:rPr>
              <w:t>分）</w:t>
            </w:r>
          </w:p>
        </w:tc>
        <w:tc>
          <w:tcPr>
            <w:tcW w:w="3167" w:type="pct"/>
            <w:tcBorders>
              <w:top w:val="single" w:color="auto" w:sz="4" w:space="0"/>
              <w:left w:val="single" w:color="auto" w:sz="4" w:space="0"/>
              <w:bottom w:val="single" w:color="auto" w:sz="4" w:space="0"/>
              <w:right w:val="single" w:color="auto" w:sz="4" w:space="0"/>
            </w:tcBorders>
            <w:vAlign w:val="center"/>
          </w:tcPr>
          <w:p w14:paraId="2950B6FC">
            <w:pPr>
              <w:autoSpaceDE w:val="0"/>
              <w:autoSpaceDN w:val="0"/>
              <w:adjustRightInd w:val="0"/>
              <w:spacing w:line="340" w:lineRule="exact"/>
              <w:rPr>
                <w:rFonts w:ascii="Times New Roman" w:hAnsi="Times New Roman" w:eastAsia="宋体" w:cs="Times New Roman"/>
                <w:kern w:val="0"/>
                <w:szCs w:val="21"/>
              </w:rPr>
            </w:pPr>
            <w:bookmarkStart w:id="548" w:name="OLE_LINK34"/>
            <w:r>
              <w:rPr>
                <w:rFonts w:ascii="Times New Roman" w:hAnsi="Times New Roman" w:eastAsia="宋体" w:cs="Times New Roman"/>
                <w:kern w:val="0"/>
                <w:szCs w:val="21"/>
              </w:rPr>
              <w:t>投标人在近年（</w:t>
            </w:r>
            <w:r>
              <w:rPr>
                <w:rFonts w:hint="eastAsia" w:cs="Times New Roman"/>
                <w:kern w:val="0"/>
                <w:szCs w:val="21"/>
                <w:lang w:eastAsia="zh-CN"/>
              </w:rPr>
              <w:t>202</w:t>
            </w:r>
            <w:r>
              <w:rPr>
                <w:rFonts w:hint="eastAsia" w:cs="Times New Roman"/>
                <w:kern w:val="0"/>
                <w:szCs w:val="21"/>
                <w:lang w:val="en-US" w:eastAsia="zh-CN"/>
              </w:rPr>
              <w:t>2</w:t>
            </w:r>
            <w:r>
              <w:rPr>
                <w:rFonts w:hint="eastAsia" w:cs="Times New Roman"/>
                <w:kern w:val="0"/>
                <w:szCs w:val="21"/>
                <w:lang w:eastAsia="zh-CN"/>
              </w:rPr>
              <w:t>年1月1日至今</w:t>
            </w:r>
            <w:r>
              <w:rPr>
                <w:rFonts w:ascii="Times New Roman" w:hAnsi="Times New Roman" w:eastAsia="宋体" w:cs="Times New Roman"/>
                <w:kern w:val="0"/>
                <w:szCs w:val="21"/>
              </w:rPr>
              <w:t>）完成过类似项目业绩，每有一项业绩得</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分，最多</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分。</w:t>
            </w:r>
          </w:p>
          <w:p w14:paraId="6AED882C">
            <w:pPr>
              <w:autoSpaceDE w:val="0"/>
              <w:autoSpaceDN w:val="0"/>
              <w:adjustRightInd w:val="0"/>
              <w:spacing w:line="340" w:lineRule="exact"/>
              <w:rPr>
                <w:rFonts w:ascii="Times New Roman" w:hAnsi="Times New Roman" w:eastAsia="宋体" w:cs="Times New Roman"/>
                <w:szCs w:val="21"/>
              </w:rPr>
            </w:pPr>
            <w:r>
              <w:rPr>
                <w:rFonts w:ascii="Times New Roman" w:hAnsi="Times New Roman" w:eastAsia="宋体" w:cs="Times New Roman"/>
                <w:b/>
                <w:bCs/>
                <w:szCs w:val="21"/>
              </w:rPr>
              <w:t>（投标文件中附复印件加盖公章，否则不计分）</w:t>
            </w:r>
            <w:bookmarkEnd w:id="548"/>
          </w:p>
        </w:tc>
        <w:tc>
          <w:tcPr>
            <w:tcW w:w="412" w:type="pct"/>
            <w:tcBorders>
              <w:top w:val="single" w:color="auto" w:sz="4" w:space="0"/>
              <w:left w:val="single" w:color="auto" w:sz="4" w:space="0"/>
              <w:bottom w:val="single" w:color="auto" w:sz="4" w:space="0"/>
              <w:right w:val="double" w:color="auto" w:sz="4" w:space="0"/>
            </w:tcBorders>
            <w:vAlign w:val="center"/>
          </w:tcPr>
          <w:p w14:paraId="0C821B5E">
            <w:pPr>
              <w:autoSpaceDE w:val="0"/>
              <w:autoSpaceDN w:val="0"/>
              <w:adjustRightInd w:val="0"/>
              <w:spacing w:line="34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分</w:t>
            </w:r>
          </w:p>
        </w:tc>
      </w:tr>
      <w:tr w14:paraId="72B94F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27" w:type="pct"/>
            <w:vMerge w:val="continue"/>
            <w:tcBorders>
              <w:top w:val="single" w:color="auto" w:sz="4" w:space="0"/>
              <w:left w:val="double" w:color="auto" w:sz="4" w:space="0"/>
              <w:bottom w:val="single" w:color="auto" w:sz="4" w:space="0"/>
              <w:right w:val="single" w:color="auto" w:sz="4" w:space="0"/>
            </w:tcBorders>
            <w:vAlign w:val="center"/>
          </w:tcPr>
          <w:p w14:paraId="0077C1B0">
            <w:pPr>
              <w:spacing w:line="340" w:lineRule="exact"/>
              <w:jc w:val="center"/>
              <w:rPr>
                <w:rFonts w:ascii="Times New Roman" w:hAnsi="Times New Roman" w:eastAsia="宋体" w:cs="Times New Roman"/>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28B599B5">
            <w:pPr>
              <w:spacing w:line="340" w:lineRule="exact"/>
              <w:ind w:left="107" w:right="-15"/>
              <w:jc w:val="center"/>
              <w:rPr>
                <w:rFonts w:ascii="Times New Roman" w:hAnsi="Times New Roman" w:eastAsia="宋体" w:cs="Times New Roman"/>
                <w:szCs w:val="21"/>
                <w:lang w:val="zh-CN"/>
              </w:rPr>
            </w:pPr>
            <w:r>
              <w:rPr>
                <w:rFonts w:hint="eastAsia" w:ascii="Times New Roman" w:hAnsi="Times New Roman" w:eastAsia="宋体" w:cs="Times New Roman"/>
                <w:szCs w:val="21"/>
                <w:lang w:val="zh-CN"/>
              </w:rPr>
              <w:t>优惠</w:t>
            </w:r>
            <w:r>
              <w:rPr>
                <w:rFonts w:ascii="Times New Roman" w:hAnsi="Times New Roman" w:eastAsia="宋体" w:cs="Times New Roman"/>
                <w:szCs w:val="21"/>
                <w:lang w:val="zh-CN"/>
              </w:rPr>
              <w:t>条件</w:t>
            </w:r>
          </w:p>
          <w:p w14:paraId="60B2040B">
            <w:pPr>
              <w:spacing w:line="340" w:lineRule="exact"/>
              <w:ind w:left="107" w:right="-15"/>
              <w:jc w:val="center"/>
              <w:rPr>
                <w:rFonts w:ascii="Times New Roman" w:hAnsi="Times New Roman" w:eastAsia="宋体" w:cs="Times New Roman"/>
                <w:spacing w:val="-5"/>
                <w:szCs w:val="21"/>
                <w:lang w:val="zh-CN"/>
              </w:rPr>
            </w:pPr>
            <w:r>
              <w:rPr>
                <w:rFonts w:hint="eastAsia" w:ascii="Times New Roman" w:hAnsi="Times New Roman" w:eastAsia="宋体" w:cs="Times New Roman"/>
                <w:szCs w:val="21"/>
              </w:rPr>
              <w:t>（5</w:t>
            </w:r>
            <w:r>
              <w:rPr>
                <w:rFonts w:ascii="Times New Roman" w:hAnsi="Times New Roman" w:eastAsia="宋体" w:cs="Times New Roman"/>
                <w:szCs w:val="21"/>
                <w:lang w:val="zh-CN"/>
              </w:rPr>
              <w:t>分</w:t>
            </w:r>
            <w:r>
              <w:rPr>
                <w:rFonts w:hint="eastAsia" w:ascii="Times New Roman" w:hAnsi="Times New Roman" w:eastAsia="宋体" w:cs="Times New Roman"/>
                <w:szCs w:val="21"/>
              </w:rPr>
              <w:t>）</w:t>
            </w:r>
          </w:p>
        </w:tc>
        <w:tc>
          <w:tcPr>
            <w:tcW w:w="3167" w:type="pct"/>
            <w:tcBorders>
              <w:top w:val="single" w:color="auto" w:sz="4" w:space="0"/>
              <w:left w:val="single" w:color="auto" w:sz="4" w:space="0"/>
              <w:bottom w:val="single" w:color="auto" w:sz="4" w:space="0"/>
              <w:right w:val="single" w:color="auto" w:sz="4" w:space="0"/>
            </w:tcBorders>
          </w:tcPr>
          <w:p w14:paraId="456B7A23">
            <w:pPr>
              <w:spacing w:line="340" w:lineRule="exact"/>
              <w:rPr>
                <w:rFonts w:ascii="Times New Roman" w:hAnsi="Times New Roman" w:eastAsia="宋体" w:cs="Times New Roman"/>
                <w:szCs w:val="21"/>
              </w:rPr>
            </w:pPr>
            <w:bookmarkStart w:id="549" w:name="OLE_LINK35"/>
            <w:r>
              <w:rPr>
                <w:rFonts w:hint="eastAsia" w:ascii="宋体" w:hAnsi="宋体" w:eastAsia="宋体" w:cs="宋体"/>
                <w:szCs w:val="21"/>
                <w:shd w:val="clear" w:color="auto" w:fill="FFFFFF"/>
              </w:rPr>
              <w:t>对投标人提出的有实质性优惠条件进行综合对比，优得5分，良得4-3分，一般得2-1分，无不得分。</w:t>
            </w:r>
            <w:bookmarkEnd w:id="549"/>
          </w:p>
        </w:tc>
        <w:tc>
          <w:tcPr>
            <w:tcW w:w="412" w:type="pct"/>
            <w:tcBorders>
              <w:top w:val="single" w:color="auto" w:sz="4" w:space="0"/>
              <w:left w:val="single" w:color="auto" w:sz="4" w:space="0"/>
              <w:bottom w:val="single" w:color="auto" w:sz="4" w:space="0"/>
              <w:right w:val="double" w:color="auto" w:sz="4" w:space="0"/>
            </w:tcBorders>
            <w:vAlign w:val="center"/>
          </w:tcPr>
          <w:p w14:paraId="7EAC8764">
            <w:pPr>
              <w:autoSpaceDE w:val="0"/>
              <w:autoSpaceDN w:val="0"/>
              <w:adjustRightInd w:val="0"/>
              <w:spacing w:line="340" w:lineRule="exact"/>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分</w:t>
            </w:r>
          </w:p>
        </w:tc>
      </w:tr>
      <w:tr w14:paraId="552AE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pct"/>
            <w:vMerge w:val="continue"/>
            <w:tcBorders>
              <w:top w:val="single" w:color="auto" w:sz="4" w:space="0"/>
              <w:left w:val="double" w:color="auto" w:sz="4" w:space="0"/>
              <w:bottom w:val="single" w:color="auto" w:sz="4" w:space="0"/>
              <w:right w:val="single" w:color="auto" w:sz="4" w:space="0"/>
            </w:tcBorders>
            <w:vAlign w:val="center"/>
          </w:tcPr>
          <w:p w14:paraId="3AAD962C">
            <w:pPr>
              <w:spacing w:line="340" w:lineRule="exact"/>
              <w:jc w:val="center"/>
              <w:rPr>
                <w:rFonts w:ascii="Times New Roman" w:hAnsi="Times New Roman" w:eastAsia="宋体" w:cs="Times New Roman"/>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75482500">
            <w:pPr>
              <w:spacing w:line="340" w:lineRule="exact"/>
              <w:ind w:left="107" w:right="-15"/>
              <w:jc w:val="center"/>
              <w:rPr>
                <w:rFonts w:hint="eastAsia" w:ascii="Times New Roman" w:hAnsi="Times New Roman" w:eastAsia="宋体" w:cs="Times New Roman"/>
                <w:spacing w:val="-5"/>
                <w:szCs w:val="21"/>
                <w:lang w:val="zh-CN"/>
              </w:rPr>
            </w:pPr>
            <w:r>
              <w:rPr>
                <w:rFonts w:hint="eastAsia" w:ascii="Times New Roman" w:hAnsi="Times New Roman" w:eastAsia="宋体" w:cs="Times New Roman"/>
                <w:spacing w:val="-5"/>
                <w:szCs w:val="21"/>
              </w:rPr>
              <w:t>服务</w:t>
            </w:r>
            <w:r>
              <w:rPr>
                <w:rFonts w:ascii="Times New Roman" w:hAnsi="Times New Roman" w:eastAsia="宋体" w:cs="Times New Roman"/>
                <w:spacing w:val="-5"/>
                <w:szCs w:val="21"/>
                <w:lang w:val="zh-CN"/>
              </w:rPr>
              <w:t>承诺</w:t>
            </w:r>
          </w:p>
          <w:p w14:paraId="7550746B">
            <w:pPr>
              <w:spacing w:line="340" w:lineRule="exact"/>
              <w:ind w:left="107" w:right="-15"/>
              <w:jc w:val="center"/>
              <w:rPr>
                <w:rFonts w:ascii="Times New Roman" w:hAnsi="Times New Roman" w:eastAsia="宋体" w:cs="Times New Roman"/>
                <w:spacing w:val="-5"/>
                <w:szCs w:val="21"/>
                <w:lang w:val="zh-CN"/>
              </w:rPr>
            </w:pPr>
            <w:r>
              <w:rPr>
                <w:rFonts w:ascii="Times New Roman" w:hAnsi="Times New Roman" w:eastAsia="宋体" w:cs="Times New Roman"/>
                <w:szCs w:val="21"/>
                <w:lang w:val="zh-CN"/>
              </w:rPr>
              <w:t>（</w:t>
            </w:r>
            <w:r>
              <w:rPr>
                <w:rFonts w:hint="eastAsia" w:ascii="Times New Roman" w:hAnsi="Times New Roman" w:eastAsia="宋体" w:cs="Times New Roman"/>
                <w:szCs w:val="21"/>
              </w:rPr>
              <w:t>4</w:t>
            </w:r>
            <w:r>
              <w:rPr>
                <w:rFonts w:ascii="Times New Roman" w:hAnsi="Times New Roman" w:eastAsia="宋体" w:cs="Times New Roman"/>
                <w:spacing w:val="-27"/>
                <w:szCs w:val="21"/>
                <w:lang w:val="zh-CN"/>
              </w:rPr>
              <w:t>分</w:t>
            </w:r>
            <w:r>
              <w:rPr>
                <w:rFonts w:ascii="Times New Roman" w:hAnsi="Times New Roman" w:eastAsia="宋体" w:cs="Times New Roman"/>
                <w:spacing w:val="-14"/>
                <w:szCs w:val="21"/>
                <w:lang w:val="zh-CN"/>
              </w:rPr>
              <w:t>）</w:t>
            </w:r>
          </w:p>
        </w:tc>
        <w:tc>
          <w:tcPr>
            <w:tcW w:w="3167" w:type="pct"/>
            <w:tcBorders>
              <w:top w:val="single" w:color="auto" w:sz="4" w:space="0"/>
              <w:left w:val="single" w:color="auto" w:sz="4" w:space="0"/>
              <w:bottom w:val="single" w:color="auto" w:sz="4" w:space="0"/>
              <w:right w:val="single" w:color="auto" w:sz="4" w:space="0"/>
            </w:tcBorders>
            <w:vAlign w:val="center"/>
          </w:tcPr>
          <w:p w14:paraId="2BAECB7E">
            <w:pPr>
              <w:spacing w:line="340" w:lineRule="exact"/>
              <w:rPr>
                <w:rFonts w:ascii="Times New Roman" w:hAnsi="Times New Roman" w:eastAsia="宋体" w:cs="Times New Roman"/>
                <w:szCs w:val="21"/>
              </w:rPr>
            </w:pPr>
            <w:bookmarkStart w:id="550" w:name="OLE_LINK36"/>
            <w:r>
              <w:rPr>
                <w:rFonts w:hint="eastAsia" w:ascii="宋体" w:hAnsi="宋体" w:eastAsia="宋体" w:cs="宋体"/>
                <w:szCs w:val="21"/>
                <w:shd w:val="clear" w:color="auto" w:fill="FFFFFF"/>
              </w:rPr>
              <w:t>对投标人提出的有实质性服务承诺进行综合对比，优得4分，良得3-2分，一般得1分，无不得分。</w:t>
            </w:r>
            <w:bookmarkEnd w:id="550"/>
          </w:p>
        </w:tc>
        <w:tc>
          <w:tcPr>
            <w:tcW w:w="412" w:type="pct"/>
            <w:tcBorders>
              <w:top w:val="single" w:color="auto" w:sz="4" w:space="0"/>
              <w:left w:val="single" w:color="auto" w:sz="4" w:space="0"/>
              <w:bottom w:val="single" w:color="auto" w:sz="4" w:space="0"/>
              <w:right w:val="double" w:color="auto" w:sz="4" w:space="0"/>
            </w:tcBorders>
            <w:vAlign w:val="center"/>
          </w:tcPr>
          <w:p w14:paraId="65E81305">
            <w:pPr>
              <w:autoSpaceDE w:val="0"/>
              <w:autoSpaceDN w:val="0"/>
              <w:adjustRightInd w:val="0"/>
              <w:spacing w:line="34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分</w:t>
            </w:r>
          </w:p>
        </w:tc>
      </w:tr>
      <w:tr w14:paraId="1A83C3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27" w:type="pct"/>
            <w:vMerge w:val="restart"/>
            <w:tcBorders>
              <w:top w:val="single" w:color="auto" w:sz="4" w:space="0"/>
              <w:left w:val="double" w:color="auto" w:sz="4" w:space="0"/>
              <w:bottom w:val="single" w:color="auto" w:sz="4" w:space="0"/>
              <w:right w:val="single" w:color="auto" w:sz="4" w:space="0"/>
            </w:tcBorders>
            <w:vAlign w:val="center"/>
          </w:tcPr>
          <w:p w14:paraId="0DB0B3B9">
            <w:pPr>
              <w:spacing w:line="340" w:lineRule="exact"/>
              <w:jc w:val="center"/>
              <w:rPr>
                <w:rFonts w:ascii="Times New Roman" w:hAnsi="Times New Roman" w:eastAsia="宋体" w:cs="Times New Roman"/>
                <w:szCs w:val="21"/>
              </w:rPr>
            </w:pPr>
            <w:r>
              <w:rPr>
                <w:rFonts w:ascii="Times New Roman" w:hAnsi="Times New Roman" w:eastAsia="宋体" w:cs="Times New Roman"/>
                <w:szCs w:val="21"/>
              </w:rPr>
              <w:t>技术部分（</w:t>
            </w:r>
            <w:r>
              <w:rPr>
                <w:rFonts w:hint="eastAsia" w:ascii="Times New Roman" w:hAnsi="Times New Roman" w:eastAsia="宋体" w:cs="Times New Roman"/>
                <w:szCs w:val="21"/>
              </w:rPr>
              <w:t>55</w:t>
            </w:r>
            <w:r>
              <w:rPr>
                <w:rFonts w:ascii="Times New Roman" w:hAnsi="Times New Roman" w:eastAsia="宋体" w:cs="Times New Roman"/>
                <w:szCs w:val="21"/>
              </w:rPr>
              <w:t>分）</w:t>
            </w:r>
          </w:p>
        </w:tc>
        <w:tc>
          <w:tcPr>
            <w:tcW w:w="792" w:type="pct"/>
            <w:tcBorders>
              <w:top w:val="single" w:color="auto" w:sz="4" w:space="0"/>
              <w:left w:val="single" w:color="auto" w:sz="4" w:space="0"/>
              <w:right w:val="single" w:color="auto" w:sz="4" w:space="0"/>
            </w:tcBorders>
            <w:vAlign w:val="center"/>
          </w:tcPr>
          <w:p w14:paraId="0617F1DC">
            <w:pPr>
              <w:autoSpaceDE w:val="0"/>
              <w:autoSpaceDN w:val="0"/>
              <w:adjustRightInd w:val="0"/>
              <w:spacing w:line="0" w:lineRule="atLeast"/>
              <w:jc w:val="center"/>
              <w:rPr>
                <w:rFonts w:hint="eastAsia" w:ascii="宋体" w:hAnsi="宋体" w:eastAsia="宋体" w:cs="Times New Roman"/>
                <w:szCs w:val="21"/>
              </w:rPr>
            </w:pPr>
            <w:bookmarkStart w:id="551" w:name="_Hlk114933751"/>
            <w:r>
              <w:rPr>
                <w:rFonts w:hint="eastAsia" w:ascii="宋体" w:hAnsi="宋体" w:eastAsia="宋体" w:cs="Times New Roman"/>
                <w:color w:val="000000"/>
                <w:szCs w:val="21"/>
              </w:rPr>
              <w:t>货物制造、包装、运输实施方案</w:t>
            </w:r>
            <w:bookmarkEnd w:id="551"/>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15</w:t>
            </w:r>
            <w:r>
              <w:rPr>
                <w:rFonts w:hint="eastAsia" w:ascii="宋体" w:hAnsi="宋体" w:eastAsia="宋体" w:cs="Times New Roman"/>
                <w:color w:val="000000"/>
                <w:szCs w:val="21"/>
              </w:rPr>
              <w:t>分）</w:t>
            </w:r>
          </w:p>
        </w:tc>
        <w:tc>
          <w:tcPr>
            <w:tcW w:w="3167" w:type="pct"/>
            <w:tcBorders>
              <w:top w:val="single" w:color="auto" w:sz="4" w:space="0"/>
              <w:left w:val="single" w:color="auto" w:sz="4" w:space="0"/>
              <w:right w:val="single" w:color="auto" w:sz="4" w:space="0"/>
            </w:tcBorders>
            <w:vAlign w:val="center"/>
          </w:tcPr>
          <w:p w14:paraId="57C8D4E7">
            <w:pPr>
              <w:rPr>
                <w:rFonts w:hint="eastAsia" w:ascii="宋体" w:hAnsi="宋体" w:eastAsia="宋体" w:cs="Times New Roman"/>
                <w:color w:val="000000"/>
                <w:szCs w:val="21"/>
              </w:rPr>
            </w:pPr>
            <w:bookmarkStart w:id="552" w:name="OLE_LINK37"/>
            <w:r>
              <w:rPr>
                <w:rFonts w:hint="eastAsia" w:ascii="宋体" w:hAnsi="宋体" w:eastAsia="宋体" w:cs="Times New Roman"/>
                <w:color w:val="000000"/>
                <w:szCs w:val="21"/>
              </w:rPr>
              <w:t>货物制造、包装、运输方案，提出相应的实施措施：</w:t>
            </w:r>
          </w:p>
          <w:p w14:paraId="7FA0CCF8">
            <w:pPr>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描述全面、详细得</w:t>
            </w:r>
            <w:r>
              <w:rPr>
                <w:rFonts w:hint="eastAsia" w:ascii="宋体" w:hAnsi="宋体" w:eastAsia="宋体" w:cs="宋体"/>
                <w:bCs/>
                <w:color w:val="000000"/>
                <w:szCs w:val="21"/>
                <w:lang w:val="en-US" w:eastAsia="zh-CN"/>
              </w:rPr>
              <w:t>15</w:t>
            </w:r>
            <w:r>
              <w:rPr>
                <w:rFonts w:hint="eastAsia" w:ascii="宋体" w:hAnsi="宋体" w:eastAsia="宋体" w:cs="宋体"/>
                <w:bCs/>
                <w:color w:val="000000"/>
                <w:szCs w:val="21"/>
              </w:rPr>
              <w:t>-</w:t>
            </w:r>
            <w:r>
              <w:rPr>
                <w:rFonts w:hint="eastAsia" w:ascii="宋体" w:hAnsi="宋体" w:eastAsia="宋体" w:cs="宋体"/>
                <w:bCs/>
                <w:color w:val="000000"/>
                <w:szCs w:val="21"/>
                <w:lang w:val="en-US" w:eastAsia="zh-CN"/>
              </w:rPr>
              <w:t>12</w:t>
            </w:r>
            <w:r>
              <w:rPr>
                <w:rFonts w:hint="eastAsia" w:ascii="宋体" w:hAnsi="宋体" w:eastAsia="宋体" w:cs="宋体"/>
                <w:bCs/>
                <w:color w:val="000000"/>
                <w:szCs w:val="21"/>
                <w:lang w:val="zh-CN"/>
              </w:rPr>
              <w:t>分；</w:t>
            </w:r>
          </w:p>
          <w:p w14:paraId="525CCF8A">
            <w:pPr>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基本详细、</w:t>
            </w:r>
            <w:r>
              <w:rPr>
                <w:rFonts w:hint="eastAsia" w:ascii="宋体" w:hAnsi="宋体" w:eastAsia="宋体" w:cs="Times New Roman"/>
                <w:szCs w:val="21"/>
              </w:rPr>
              <w:t>准确、</w:t>
            </w:r>
            <w:r>
              <w:rPr>
                <w:rFonts w:hint="eastAsia" w:ascii="宋体" w:hAnsi="宋体" w:eastAsia="宋体" w:cs="宋体"/>
                <w:bCs/>
                <w:color w:val="000000"/>
                <w:szCs w:val="21"/>
                <w:lang w:val="zh-CN"/>
              </w:rPr>
              <w:t>得</w:t>
            </w:r>
            <w:r>
              <w:rPr>
                <w:rFonts w:hint="eastAsia" w:ascii="宋体" w:hAnsi="宋体" w:eastAsia="宋体" w:cs="宋体"/>
                <w:bCs/>
                <w:color w:val="000000"/>
                <w:szCs w:val="21"/>
                <w:lang w:val="en-US" w:eastAsia="zh-CN"/>
              </w:rPr>
              <w:t>11</w:t>
            </w:r>
            <w:r>
              <w:rPr>
                <w:rFonts w:hint="eastAsia" w:ascii="宋体" w:hAnsi="宋体" w:eastAsia="宋体" w:cs="宋体"/>
                <w:bCs/>
                <w:color w:val="000000"/>
                <w:szCs w:val="21"/>
              </w:rPr>
              <w:t>-</w:t>
            </w:r>
            <w:r>
              <w:rPr>
                <w:rFonts w:hint="eastAsia" w:ascii="宋体" w:hAnsi="宋体" w:eastAsia="宋体" w:cs="宋体"/>
                <w:bCs/>
                <w:color w:val="000000"/>
                <w:szCs w:val="21"/>
                <w:lang w:val="en-US" w:eastAsia="zh-CN"/>
              </w:rPr>
              <w:t>6</w:t>
            </w:r>
            <w:r>
              <w:rPr>
                <w:rFonts w:hint="eastAsia" w:ascii="宋体" w:hAnsi="宋体" w:eastAsia="宋体" w:cs="宋体"/>
                <w:bCs/>
                <w:color w:val="000000"/>
                <w:szCs w:val="21"/>
                <w:lang w:val="zh-CN"/>
              </w:rPr>
              <w:t>分；</w:t>
            </w:r>
          </w:p>
          <w:p w14:paraId="69CF35F4">
            <w:pPr>
              <w:rPr>
                <w:rFonts w:hint="eastAsia" w:ascii="宋体" w:hAnsi="宋体" w:eastAsia="宋体" w:cs="Times New Roman"/>
                <w:szCs w:val="21"/>
              </w:rPr>
            </w:pPr>
            <w:r>
              <w:rPr>
                <w:rFonts w:hint="eastAsia" w:ascii="宋体" w:hAnsi="宋体" w:eastAsia="宋体" w:cs="宋体"/>
                <w:bCs/>
                <w:color w:val="000000"/>
                <w:szCs w:val="21"/>
              </w:rPr>
              <w:t>一般得</w:t>
            </w:r>
            <w:r>
              <w:rPr>
                <w:rFonts w:hint="eastAsia" w:ascii="宋体" w:hAnsi="宋体" w:eastAsia="宋体" w:cs="宋体"/>
                <w:bCs/>
                <w:color w:val="000000"/>
                <w:szCs w:val="21"/>
                <w:lang w:val="en-US" w:eastAsia="zh-CN"/>
              </w:rPr>
              <w:t>5</w:t>
            </w:r>
            <w:r>
              <w:rPr>
                <w:rFonts w:hint="eastAsia" w:ascii="宋体" w:hAnsi="宋体" w:eastAsia="宋体" w:cs="宋体"/>
                <w:bCs/>
                <w:color w:val="000000"/>
                <w:szCs w:val="21"/>
              </w:rPr>
              <w:t>-1分；无</w:t>
            </w:r>
            <w:r>
              <w:rPr>
                <w:rFonts w:hint="eastAsia" w:ascii="宋体" w:hAnsi="宋体" w:eastAsia="宋体" w:cs="Times New Roman"/>
                <w:szCs w:val="21"/>
              </w:rPr>
              <w:t>不得分。</w:t>
            </w:r>
            <w:bookmarkEnd w:id="552"/>
          </w:p>
        </w:tc>
        <w:tc>
          <w:tcPr>
            <w:tcW w:w="412" w:type="pct"/>
            <w:tcBorders>
              <w:top w:val="single" w:color="auto" w:sz="4" w:space="0"/>
              <w:left w:val="single" w:color="auto" w:sz="4" w:space="0"/>
              <w:bottom w:val="single" w:color="auto" w:sz="4" w:space="0"/>
              <w:right w:val="double" w:color="auto" w:sz="4" w:space="0"/>
            </w:tcBorders>
            <w:vAlign w:val="center"/>
          </w:tcPr>
          <w:p w14:paraId="3553DD5D">
            <w:pPr>
              <w:autoSpaceDE w:val="0"/>
              <w:autoSpaceDN w:val="0"/>
              <w:adjustRightInd w:val="0"/>
              <w:jc w:val="center"/>
              <w:rPr>
                <w:rFonts w:hint="eastAsia"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lang w:val="zh-CN"/>
              </w:rPr>
              <w:t>分</w:t>
            </w:r>
          </w:p>
        </w:tc>
      </w:tr>
      <w:tr w14:paraId="5486F7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27" w:type="pct"/>
            <w:vMerge w:val="continue"/>
            <w:tcBorders>
              <w:top w:val="single" w:color="auto" w:sz="4" w:space="0"/>
              <w:left w:val="double" w:color="auto" w:sz="4" w:space="0"/>
              <w:bottom w:val="single" w:color="auto" w:sz="4" w:space="0"/>
              <w:right w:val="single" w:color="auto" w:sz="4" w:space="0"/>
            </w:tcBorders>
            <w:vAlign w:val="center"/>
          </w:tcPr>
          <w:p w14:paraId="22E761D4">
            <w:pPr>
              <w:spacing w:line="340" w:lineRule="exact"/>
              <w:jc w:val="center"/>
              <w:rPr>
                <w:rFonts w:ascii="Times New Roman" w:hAnsi="Times New Roman" w:eastAsia="宋体" w:cs="Times New Roman"/>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4305866D">
            <w:pPr>
              <w:autoSpaceDE w:val="0"/>
              <w:autoSpaceDN w:val="0"/>
              <w:adjustRightInd w:val="0"/>
              <w:spacing w:line="0" w:lineRule="atLeast"/>
              <w:jc w:val="center"/>
              <w:rPr>
                <w:rFonts w:hint="eastAsia" w:ascii="宋体" w:hAnsi="宋体" w:eastAsia="宋体" w:cs="Arial"/>
                <w:szCs w:val="21"/>
              </w:rPr>
            </w:pPr>
            <w:bookmarkStart w:id="553" w:name="_Hlk114933838"/>
            <w:r>
              <w:rPr>
                <w:rFonts w:hint="eastAsia" w:ascii="宋体" w:hAnsi="宋体" w:eastAsia="宋体" w:cs="Arial"/>
                <w:szCs w:val="21"/>
              </w:rPr>
              <w:t>质量保证措施</w:t>
            </w:r>
            <w:bookmarkEnd w:id="553"/>
          </w:p>
          <w:p w14:paraId="54E748BC">
            <w:pPr>
              <w:autoSpaceDE w:val="0"/>
              <w:autoSpaceDN w:val="0"/>
              <w:adjustRightInd w:val="0"/>
              <w:spacing w:line="0" w:lineRule="atLeast"/>
              <w:jc w:val="center"/>
              <w:rPr>
                <w:rFonts w:hint="eastAsia" w:ascii="宋体" w:hAnsi="宋体" w:eastAsia="宋体" w:cs="宋体"/>
                <w:bCs/>
                <w:szCs w:val="21"/>
                <w:lang w:val="zh-CN"/>
              </w:rPr>
            </w:pPr>
            <w:r>
              <w:rPr>
                <w:rFonts w:hint="eastAsia" w:ascii="宋体" w:hAnsi="宋体" w:eastAsia="宋体" w:cs="Arial"/>
                <w:szCs w:val="21"/>
              </w:rPr>
              <w:t>（</w:t>
            </w:r>
            <w:r>
              <w:rPr>
                <w:rFonts w:hint="eastAsia" w:ascii="宋体" w:hAnsi="宋体" w:cs="Arial"/>
                <w:szCs w:val="21"/>
                <w:lang w:val="en-US" w:eastAsia="zh-CN"/>
              </w:rPr>
              <w:t>15</w:t>
            </w:r>
            <w:r>
              <w:rPr>
                <w:rFonts w:hint="eastAsia" w:ascii="宋体" w:hAnsi="宋体" w:eastAsia="宋体" w:cs="Arial"/>
                <w:szCs w:val="21"/>
              </w:rPr>
              <w:t>分）</w:t>
            </w:r>
          </w:p>
        </w:tc>
        <w:tc>
          <w:tcPr>
            <w:tcW w:w="3167" w:type="pct"/>
            <w:tcBorders>
              <w:top w:val="single" w:color="auto" w:sz="4" w:space="0"/>
              <w:left w:val="single" w:color="auto" w:sz="4" w:space="0"/>
              <w:bottom w:val="single" w:color="auto" w:sz="4" w:space="0"/>
              <w:right w:val="single" w:color="auto" w:sz="4" w:space="0"/>
            </w:tcBorders>
            <w:vAlign w:val="center"/>
          </w:tcPr>
          <w:p w14:paraId="78B36E5F">
            <w:pPr>
              <w:autoSpaceDE w:val="0"/>
              <w:autoSpaceDN w:val="0"/>
              <w:adjustRightInd w:val="0"/>
              <w:spacing w:line="0" w:lineRule="atLeast"/>
              <w:jc w:val="left"/>
              <w:rPr>
                <w:rFonts w:hint="eastAsia" w:ascii="宋体" w:hAnsi="宋体" w:eastAsia="宋体" w:cs="Arial"/>
                <w:szCs w:val="21"/>
              </w:rPr>
            </w:pPr>
            <w:bookmarkStart w:id="554" w:name="OLE_LINK38"/>
            <w:r>
              <w:rPr>
                <w:rFonts w:hint="eastAsia" w:ascii="宋体" w:hAnsi="宋体" w:eastAsia="宋体" w:cs="Arial"/>
                <w:szCs w:val="21"/>
              </w:rPr>
              <w:t>质量保证措施合理性</w:t>
            </w:r>
            <w:r>
              <w:rPr>
                <w:rFonts w:ascii="宋体" w:hAnsi="宋体" w:eastAsia="宋体" w:cs="Arial"/>
                <w:szCs w:val="21"/>
              </w:rPr>
              <w:t>综合评价</w:t>
            </w:r>
            <w:r>
              <w:rPr>
                <w:rFonts w:hint="eastAsia" w:ascii="宋体" w:hAnsi="宋体" w:eastAsia="宋体" w:cs="Arial"/>
                <w:szCs w:val="21"/>
              </w:rPr>
              <w:t>：</w:t>
            </w:r>
          </w:p>
          <w:p w14:paraId="4A8E73DE">
            <w:pPr>
              <w:autoSpaceDE w:val="0"/>
              <w:autoSpaceDN w:val="0"/>
              <w:adjustRightInd w:val="0"/>
              <w:spacing w:line="0" w:lineRule="atLeast"/>
              <w:jc w:val="left"/>
              <w:rPr>
                <w:rFonts w:hint="eastAsia" w:ascii="宋体" w:hAnsi="宋体" w:eastAsia="宋体" w:cs="Times New Roman"/>
                <w:color w:val="000000"/>
                <w:szCs w:val="21"/>
                <w:lang w:val="zh-CN"/>
              </w:rPr>
            </w:pPr>
            <w:r>
              <w:rPr>
                <w:rFonts w:hint="eastAsia" w:ascii="宋体" w:hAnsi="宋体" w:eastAsia="宋体" w:cs="Times New Roman"/>
                <w:color w:val="000000"/>
                <w:szCs w:val="21"/>
                <w:lang w:val="zh-CN"/>
              </w:rPr>
              <w:t>保证措施描述全面、详细得</w:t>
            </w:r>
            <w:r>
              <w:rPr>
                <w:rFonts w:hint="eastAsia" w:ascii="宋体" w:hAnsi="宋体" w:eastAsia="宋体" w:cs="Times New Roman"/>
                <w:color w:val="000000"/>
                <w:szCs w:val="21"/>
              </w:rPr>
              <w:t>1</w:t>
            </w:r>
            <w:r>
              <w:rPr>
                <w:rFonts w:hint="eastAsia" w:ascii="宋体" w:hAnsi="宋体" w:cs="Times New Roman"/>
                <w:color w:val="000000"/>
                <w:szCs w:val="21"/>
                <w:lang w:val="en-US" w:eastAsia="zh-CN"/>
              </w:rPr>
              <w:t>5</w:t>
            </w:r>
            <w:r>
              <w:rPr>
                <w:rFonts w:hint="eastAsia" w:ascii="宋体" w:hAnsi="宋体" w:eastAsia="宋体" w:cs="Times New Roman"/>
                <w:color w:val="000000"/>
                <w:szCs w:val="21"/>
              </w:rPr>
              <w:t>-</w:t>
            </w:r>
            <w:r>
              <w:rPr>
                <w:rFonts w:hint="eastAsia" w:ascii="宋体" w:hAnsi="宋体" w:cs="Times New Roman"/>
                <w:color w:val="000000"/>
                <w:szCs w:val="21"/>
                <w:lang w:val="en-US" w:eastAsia="zh-CN"/>
              </w:rPr>
              <w:t>12</w:t>
            </w:r>
            <w:r>
              <w:rPr>
                <w:rFonts w:hint="eastAsia" w:ascii="宋体" w:hAnsi="宋体" w:eastAsia="宋体" w:cs="Times New Roman"/>
                <w:color w:val="000000"/>
                <w:szCs w:val="21"/>
                <w:lang w:val="zh-CN"/>
              </w:rPr>
              <w:t>分；</w:t>
            </w:r>
          </w:p>
          <w:p w14:paraId="331F14E3">
            <w:pPr>
              <w:autoSpaceDE w:val="0"/>
              <w:autoSpaceDN w:val="0"/>
              <w:adjustRightInd w:val="0"/>
              <w:spacing w:line="0" w:lineRule="atLeast"/>
              <w:jc w:val="left"/>
              <w:rPr>
                <w:rFonts w:hint="eastAsia" w:ascii="宋体" w:hAnsi="宋体" w:eastAsia="宋体" w:cs="Times New Roman"/>
                <w:color w:val="000000"/>
                <w:szCs w:val="21"/>
              </w:rPr>
            </w:pPr>
            <w:r>
              <w:rPr>
                <w:rFonts w:hint="eastAsia" w:ascii="宋体" w:hAnsi="宋体" w:eastAsia="宋体" w:cs="Times New Roman"/>
                <w:color w:val="000000"/>
                <w:szCs w:val="21"/>
                <w:lang w:val="zh-CN"/>
              </w:rPr>
              <w:t>基本详细、</w:t>
            </w:r>
            <w:r>
              <w:rPr>
                <w:rFonts w:hint="eastAsia" w:ascii="宋体" w:hAnsi="宋体" w:eastAsia="宋体" w:cs="Times New Roman"/>
                <w:color w:val="000000"/>
                <w:szCs w:val="21"/>
              </w:rPr>
              <w:t>准确、</w:t>
            </w:r>
            <w:r>
              <w:rPr>
                <w:rFonts w:hint="eastAsia" w:ascii="宋体" w:hAnsi="宋体" w:eastAsia="宋体" w:cs="Times New Roman"/>
                <w:color w:val="000000"/>
                <w:szCs w:val="21"/>
                <w:lang w:val="zh-CN"/>
              </w:rPr>
              <w:t>得</w:t>
            </w:r>
            <w:r>
              <w:rPr>
                <w:rFonts w:hint="eastAsia" w:ascii="宋体" w:hAnsi="宋体" w:cs="Times New Roman"/>
                <w:color w:val="000000"/>
                <w:szCs w:val="21"/>
                <w:lang w:val="en-US" w:eastAsia="zh-CN"/>
              </w:rPr>
              <w:t>11</w:t>
            </w:r>
            <w:r>
              <w:rPr>
                <w:rFonts w:hint="eastAsia" w:ascii="宋体" w:hAnsi="宋体" w:eastAsia="宋体" w:cs="Times New Roman"/>
                <w:color w:val="000000"/>
                <w:szCs w:val="21"/>
              </w:rPr>
              <w:t>-</w:t>
            </w:r>
            <w:r>
              <w:rPr>
                <w:rFonts w:hint="eastAsia" w:ascii="宋体" w:hAnsi="宋体" w:cs="Times New Roman"/>
                <w:color w:val="000000"/>
                <w:szCs w:val="21"/>
                <w:lang w:val="en-US" w:eastAsia="zh-CN"/>
              </w:rPr>
              <w:t>6</w:t>
            </w:r>
            <w:r>
              <w:rPr>
                <w:rFonts w:hint="eastAsia" w:ascii="宋体" w:hAnsi="宋体" w:eastAsia="宋体" w:cs="Times New Roman"/>
                <w:color w:val="000000"/>
                <w:szCs w:val="21"/>
              </w:rPr>
              <w:t>分；</w:t>
            </w:r>
          </w:p>
          <w:p w14:paraId="38314262">
            <w:pPr>
              <w:autoSpaceDE w:val="0"/>
              <w:autoSpaceDN w:val="0"/>
              <w:adjustRightInd w:val="0"/>
              <w:spacing w:line="0" w:lineRule="atLeast"/>
              <w:jc w:val="left"/>
              <w:rPr>
                <w:rFonts w:hint="eastAsia" w:ascii="宋体" w:hAnsi="宋体" w:eastAsia="宋体" w:cs="宋体"/>
                <w:bCs/>
                <w:szCs w:val="21"/>
              </w:rPr>
            </w:pPr>
            <w:r>
              <w:rPr>
                <w:rFonts w:hint="eastAsia" w:ascii="宋体" w:hAnsi="宋体" w:eastAsia="宋体" w:cs="Times New Roman"/>
                <w:color w:val="000000"/>
                <w:szCs w:val="21"/>
              </w:rPr>
              <w:t>一般得</w:t>
            </w:r>
            <w:r>
              <w:rPr>
                <w:rFonts w:hint="eastAsia" w:ascii="宋体" w:hAnsi="宋体" w:cs="Times New Roman"/>
                <w:color w:val="000000"/>
                <w:szCs w:val="21"/>
                <w:lang w:val="en-US" w:eastAsia="zh-CN"/>
              </w:rPr>
              <w:t>5</w:t>
            </w:r>
            <w:r>
              <w:rPr>
                <w:rFonts w:hint="eastAsia" w:ascii="宋体" w:hAnsi="宋体" w:eastAsia="宋体" w:cs="Times New Roman"/>
                <w:color w:val="000000"/>
                <w:szCs w:val="21"/>
              </w:rPr>
              <w:t>-1</w:t>
            </w:r>
            <w:r>
              <w:rPr>
                <w:rFonts w:hint="eastAsia" w:ascii="宋体" w:hAnsi="宋体" w:eastAsia="宋体" w:cs="Times New Roman"/>
                <w:color w:val="000000"/>
                <w:szCs w:val="21"/>
                <w:lang w:val="zh-CN"/>
              </w:rPr>
              <w:t>分；</w:t>
            </w:r>
            <w:r>
              <w:rPr>
                <w:rFonts w:hint="eastAsia" w:ascii="宋体" w:hAnsi="宋体" w:eastAsia="宋体" w:cs="宋体"/>
                <w:bCs/>
                <w:color w:val="000000"/>
                <w:szCs w:val="21"/>
              </w:rPr>
              <w:t>无</w:t>
            </w:r>
            <w:r>
              <w:rPr>
                <w:rFonts w:hint="eastAsia" w:ascii="宋体" w:hAnsi="宋体" w:eastAsia="宋体" w:cs="Times New Roman"/>
                <w:szCs w:val="21"/>
              </w:rPr>
              <w:t>不得分。</w:t>
            </w:r>
            <w:bookmarkEnd w:id="554"/>
          </w:p>
        </w:tc>
        <w:tc>
          <w:tcPr>
            <w:tcW w:w="412" w:type="pct"/>
            <w:tcBorders>
              <w:top w:val="single" w:color="auto" w:sz="4" w:space="0"/>
              <w:left w:val="single" w:color="auto" w:sz="4" w:space="0"/>
              <w:bottom w:val="single" w:color="auto" w:sz="4" w:space="0"/>
              <w:right w:val="double" w:color="auto" w:sz="4" w:space="0"/>
            </w:tcBorders>
            <w:vAlign w:val="center"/>
          </w:tcPr>
          <w:p w14:paraId="0C597111">
            <w:pPr>
              <w:autoSpaceDE w:val="0"/>
              <w:autoSpaceDN w:val="0"/>
              <w:adjustRightInd w:val="0"/>
              <w:jc w:val="center"/>
              <w:rPr>
                <w:rFonts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5</w:t>
            </w:r>
            <w:r>
              <w:rPr>
                <w:rFonts w:hint="eastAsia" w:ascii="宋体" w:hAnsi="宋体" w:eastAsia="宋体" w:cs="宋体"/>
                <w:szCs w:val="21"/>
              </w:rPr>
              <w:t>分</w:t>
            </w:r>
          </w:p>
        </w:tc>
      </w:tr>
      <w:tr w14:paraId="1EF9B3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27" w:type="pct"/>
            <w:vMerge w:val="continue"/>
            <w:tcBorders>
              <w:top w:val="single" w:color="auto" w:sz="4" w:space="0"/>
              <w:left w:val="double" w:color="auto" w:sz="4" w:space="0"/>
              <w:bottom w:val="single" w:color="auto" w:sz="4" w:space="0"/>
              <w:right w:val="single" w:color="auto" w:sz="4" w:space="0"/>
            </w:tcBorders>
            <w:vAlign w:val="center"/>
          </w:tcPr>
          <w:p w14:paraId="149EB305">
            <w:pPr>
              <w:spacing w:line="340" w:lineRule="exact"/>
              <w:jc w:val="center"/>
              <w:rPr>
                <w:rFonts w:ascii="Times New Roman" w:hAnsi="Times New Roman" w:eastAsia="宋体" w:cs="Times New Roman"/>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7425076E">
            <w:pPr>
              <w:jc w:val="center"/>
              <w:rPr>
                <w:rFonts w:hint="eastAsia" w:ascii="宋体" w:hAnsi="宋体" w:eastAsia="宋体" w:cs="Times New Roman"/>
                <w:szCs w:val="21"/>
              </w:rPr>
            </w:pPr>
            <w:bookmarkStart w:id="555" w:name="_Hlk114933842"/>
            <w:r>
              <w:rPr>
                <w:rFonts w:hint="eastAsia" w:ascii="宋体" w:hAnsi="宋体" w:eastAsia="宋体" w:cs="Times New Roman"/>
                <w:szCs w:val="21"/>
                <w:lang w:val="zh-CN"/>
              </w:rPr>
              <w:t>供货方案</w:t>
            </w:r>
            <w:bookmarkEnd w:id="555"/>
          </w:p>
          <w:p w14:paraId="0C85FC69">
            <w:pPr>
              <w:jc w:val="center"/>
              <w:rPr>
                <w:rFonts w:hint="eastAsia" w:ascii="宋体" w:hAnsi="宋体" w:eastAsia="宋体" w:cs="Times New Roman"/>
                <w:szCs w:val="21"/>
              </w:rPr>
            </w:pPr>
            <w:r>
              <w:rPr>
                <w:rFonts w:hint="eastAsia" w:ascii="宋体" w:hAnsi="宋体" w:eastAsia="宋体" w:cs="Times New Roman"/>
                <w:szCs w:val="21"/>
                <w:lang w:val="zh-CN"/>
              </w:rPr>
              <w:t>（</w:t>
            </w:r>
            <w:r>
              <w:rPr>
                <w:rFonts w:hint="eastAsia" w:ascii="宋体" w:hAnsi="宋体" w:cs="Times New Roman"/>
                <w:szCs w:val="21"/>
                <w:lang w:val="en-US" w:eastAsia="zh-CN"/>
              </w:rPr>
              <w:t>13</w:t>
            </w:r>
            <w:r>
              <w:rPr>
                <w:rFonts w:hint="eastAsia" w:ascii="宋体" w:hAnsi="宋体" w:eastAsia="宋体" w:cs="Times New Roman"/>
                <w:szCs w:val="21"/>
                <w:lang w:val="zh-CN"/>
              </w:rPr>
              <w:t>分）</w:t>
            </w:r>
          </w:p>
        </w:tc>
        <w:tc>
          <w:tcPr>
            <w:tcW w:w="3167" w:type="pct"/>
            <w:tcBorders>
              <w:top w:val="single" w:color="auto" w:sz="4" w:space="0"/>
              <w:left w:val="single" w:color="auto" w:sz="4" w:space="0"/>
              <w:bottom w:val="single" w:color="auto" w:sz="4" w:space="0"/>
              <w:right w:val="single" w:color="auto" w:sz="4" w:space="0"/>
            </w:tcBorders>
            <w:vAlign w:val="center"/>
          </w:tcPr>
          <w:p w14:paraId="5D0C32E3">
            <w:pPr>
              <w:rPr>
                <w:rFonts w:hint="eastAsia" w:ascii="宋体" w:hAnsi="宋体" w:eastAsia="宋体" w:cs="Times New Roman"/>
                <w:color w:val="000000"/>
                <w:szCs w:val="21"/>
                <w:lang w:val="zh-CN"/>
              </w:rPr>
            </w:pPr>
            <w:bookmarkStart w:id="556" w:name="OLE_LINK39"/>
            <w:r>
              <w:rPr>
                <w:rFonts w:hint="eastAsia" w:ascii="宋体" w:hAnsi="宋体" w:eastAsia="宋体" w:cs="Times New Roman"/>
                <w:szCs w:val="21"/>
              </w:rPr>
              <w:t>针对本项目的供货方案完整、科学合理、适用可行</w:t>
            </w:r>
            <w:r>
              <w:rPr>
                <w:rFonts w:hint="eastAsia" w:ascii="宋体" w:hAnsi="宋体" w:eastAsia="宋体" w:cs="Arial"/>
                <w:szCs w:val="21"/>
              </w:rPr>
              <w:t>得</w:t>
            </w:r>
            <w:r>
              <w:rPr>
                <w:rFonts w:hint="eastAsia" w:ascii="宋体" w:hAnsi="宋体" w:cs="Times New Roman"/>
                <w:color w:val="000000"/>
                <w:szCs w:val="21"/>
                <w:lang w:val="en-US" w:eastAsia="zh-CN"/>
              </w:rPr>
              <w:t>13-11</w:t>
            </w:r>
            <w:r>
              <w:rPr>
                <w:rFonts w:hint="eastAsia" w:ascii="宋体" w:hAnsi="宋体" w:eastAsia="宋体" w:cs="Times New Roman"/>
                <w:color w:val="000000"/>
                <w:szCs w:val="21"/>
                <w:lang w:val="zh-CN"/>
              </w:rPr>
              <w:t>分；</w:t>
            </w:r>
          </w:p>
          <w:p w14:paraId="557FAA2D">
            <w:pPr>
              <w:rPr>
                <w:rFonts w:hint="eastAsia" w:ascii="宋体" w:hAnsi="宋体" w:eastAsia="宋体" w:cs="Times New Roman"/>
                <w:color w:val="000000"/>
                <w:szCs w:val="21"/>
              </w:rPr>
            </w:pPr>
            <w:r>
              <w:rPr>
                <w:rFonts w:hint="eastAsia" w:ascii="宋体" w:hAnsi="宋体" w:eastAsia="宋体" w:cs="Arial"/>
                <w:szCs w:val="21"/>
              </w:rPr>
              <w:t>基本可行得</w:t>
            </w:r>
            <w:r>
              <w:rPr>
                <w:rFonts w:hint="eastAsia" w:ascii="宋体" w:hAnsi="宋体" w:cs="Times New Roman"/>
                <w:color w:val="000000"/>
                <w:szCs w:val="21"/>
                <w:lang w:val="en-US" w:eastAsia="zh-CN"/>
              </w:rPr>
              <w:t>10-6</w:t>
            </w:r>
            <w:r>
              <w:rPr>
                <w:rFonts w:hint="eastAsia" w:ascii="宋体" w:hAnsi="宋体" w:eastAsia="宋体" w:cs="Times New Roman"/>
                <w:color w:val="000000"/>
                <w:szCs w:val="21"/>
              </w:rPr>
              <w:t>分；</w:t>
            </w:r>
          </w:p>
          <w:p w14:paraId="2CD8574A">
            <w:pPr>
              <w:rPr>
                <w:rFonts w:ascii="宋体" w:hAnsi="宋体" w:eastAsia="宋体" w:cs="Times New Roman"/>
                <w:szCs w:val="21"/>
              </w:rPr>
            </w:pPr>
            <w:r>
              <w:rPr>
                <w:rFonts w:hint="eastAsia" w:ascii="宋体" w:hAnsi="宋体" w:eastAsia="宋体" w:cs="Times New Roman"/>
                <w:color w:val="000000"/>
                <w:szCs w:val="21"/>
              </w:rPr>
              <w:t>一般得</w:t>
            </w:r>
            <w:r>
              <w:rPr>
                <w:rFonts w:hint="eastAsia" w:ascii="宋体" w:hAnsi="宋体" w:cs="Times New Roman"/>
                <w:color w:val="000000"/>
                <w:szCs w:val="21"/>
                <w:lang w:val="en-US" w:eastAsia="zh-CN"/>
              </w:rPr>
              <w:t>5-1</w:t>
            </w:r>
            <w:r>
              <w:rPr>
                <w:rFonts w:hint="eastAsia" w:ascii="宋体" w:hAnsi="宋体" w:eastAsia="宋体" w:cs="Times New Roman"/>
                <w:color w:val="000000"/>
                <w:szCs w:val="21"/>
                <w:lang w:val="zh-CN"/>
              </w:rPr>
              <w:t>分；</w:t>
            </w:r>
            <w:r>
              <w:rPr>
                <w:rFonts w:hint="eastAsia" w:ascii="宋体" w:hAnsi="宋体" w:eastAsia="宋体" w:cs="宋体"/>
                <w:bCs/>
                <w:color w:val="000000"/>
                <w:szCs w:val="21"/>
              </w:rPr>
              <w:t>无</w:t>
            </w:r>
            <w:r>
              <w:rPr>
                <w:rFonts w:hint="eastAsia" w:ascii="宋体" w:hAnsi="宋体" w:eastAsia="宋体" w:cs="Times New Roman"/>
                <w:szCs w:val="21"/>
              </w:rPr>
              <w:t>不得分。</w:t>
            </w:r>
            <w:bookmarkEnd w:id="556"/>
          </w:p>
        </w:tc>
        <w:tc>
          <w:tcPr>
            <w:tcW w:w="412" w:type="pct"/>
            <w:tcBorders>
              <w:top w:val="single" w:color="auto" w:sz="4" w:space="0"/>
              <w:left w:val="single" w:color="auto" w:sz="4" w:space="0"/>
              <w:bottom w:val="single" w:color="auto" w:sz="4" w:space="0"/>
              <w:right w:val="double" w:color="auto" w:sz="4" w:space="0"/>
            </w:tcBorders>
            <w:vAlign w:val="center"/>
          </w:tcPr>
          <w:p w14:paraId="35124DFC">
            <w:pPr>
              <w:autoSpaceDE w:val="0"/>
              <w:autoSpaceDN w:val="0"/>
              <w:adjustRightInd w:val="0"/>
              <w:jc w:val="center"/>
              <w:rPr>
                <w:rFonts w:ascii="宋体" w:hAnsi="宋体" w:eastAsia="宋体" w:cs="宋体"/>
                <w:szCs w:val="21"/>
              </w:rPr>
            </w:pPr>
            <w:r>
              <w:rPr>
                <w:rFonts w:hint="eastAsia" w:ascii="宋体" w:hAnsi="宋体" w:cs="宋体"/>
                <w:szCs w:val="21"/>
                <w:lang w:val="en-US" w:eastAsia="zh-CN"/>
              </w:rPr>
              <w:t>13</w:t>
            </w:r>
            <w:r>
              <w:rPr>
                <w:rFonts w:hint="eastAsia" w:ascii="宋体" w:hAnsi="宋体" w:eastAsia="宋体" w:cs="宋体"/>
                <w:szCs w:val="21"/>
              </w:rPr>
              <w:t>分</w:t>
            </w:r>
          </w:p>
        </w:tc>
      </w:tr>
      <w:tr w14:paraId="25B1A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27" w:type="pct"/>
            <w:vMerge w:val="continue"/>
            <w:tcBorders>
              <w:top w:val="single" w:color="auto" w:sz="4" w:space="0"/>
              <w:left w:val="double" w:color="auto" w:sz="4" w:space="0"/>
              <w:bottom w:val="single" w:color="auto" w:sz="4" w:space="0"/>
              <w:right w:val="single" w:color="auto" w:sz="4" w:space="0"/>
            </w:tcBorders>
            <w:vAlign w:val="center"/>
          </w:tcPr>
          <w:p w14:paraId="4CD38088">
            <w:pPr>
              <w:spacing w:line="340" w:lineRule="exact"/>
              <w:jc w:val="center"/>
              <w:rPr>
                <w:rFonts w:ascii="Times New Roman" w:hAnsi="Times New Roman" w:eastAsia="宋体" w:cs="Times New Roman"/>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60381B71">
            <w:pPr>
              <w:jc w:val="center"/>
              <w:rPr>
                <w:rFonts w:hint="eastAsia" w:ascii="宋体" w:hAnsi="宋体" w:eastAsia="宋体" w:cs="宋体"/>
                <w:szCs w:val="21"/>
              </w:rPr>
            </w:pPr>
            <w:bookmarkStart w:id="557" w:name="_Hlk114933847"/>
            <w:r>
              <w:rPr>
                <w:rFonts w:hint="eastAsia" w:ascii="宋体" w:hAnsi="宋体" w:eastAsia="宋体" w:cs="宋体"/>
                <w:szCs w:val="21"/>
              </w:rPr>
              <w:t>售后服务方案</w:t>
            </w:r>
            <w:bookmarkEnd w:id="557"/>
            <w:r>
              <w:rPr>
                <w:rFonts w:hint="eastAsia" w:ascii="宋体" w:hAnsi="宋体" w:eastAsia="宋体" w:cs="宋体"/>
                <w:szCs w:val="21"/>
              </w:rPr>
              <w:t xml:space="preserve"> </w:t>
            </w:r>
          </w:p>
          <w:p w14:paraId="6D1B1F78">
            <w:pPr>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Times New Roman"/>
                <w:szCs w:val="21"/>
                <w:lang w:val="en-US" w:eastAsia="zh-CN"/>
              </w:rPr>
              <w:t>12</w:t>
            </w:r>
            <w:r>
              <w:rPr>
                <w:rFonts w:hint="eastAsia" w:ascii="宋体" w:hAnsi="宋体" w:eastAsia="宋体" w:cs="Times New Roman"/>
                <w:szCs w:val="21"/>
              </w:rPr>
              <w:t>分）</w:t>
            </w:r>
          </w:p>
        </w:tc>
        <w:tc>
          <w:tcPr>
            <w:tcW w:w="3167" w:type="pct"/>
            <w:tcBorders>
              <w:top w:val="single" w:color="auto" w:sz="4" w:space="0"/>
              <w:left w:val="single" w:color="auto" w:sz="4" w:space="0"/>
              <w:bottom w:val="single" w:color="auto" w:sz="4" w:space="0"/>
              <w:right w:val="single" w:color="auto" w:sz="4" w:space="0"/>
            </w:tcBorders>
            <w:vAlign w:val="center"/>
          </w:tcPr>
          <w:p w14:paraId="7705FA75">
            <w:pPr>
              <w:spacing w:line="0" w:lineRule="atLeast"/>
              <w:rPr>
                <w:rFonts w:hint="eastAsia" w:ascii="宋体" w:hAnsi="宋体" w:eastAsia="宋体" w:cs="Arial"/>
                <w:szCs w:val="21"/>
              </w:rPr>
            </w:pPr>
            <w:bookmarkStart w:id="558" w:name="OLE_LINK40"/>
            <w:r>
              <w:rPr>
                <w:rFonts w:hint="eastAsia" w:ascii="宋体" w:hAnsi="宋体" w:eastAsia="宋体" w:cs="Arial"/>
                <w:szCs w:val="21"/>
              </w:rPr>
              <w:t>售后服务方案流程科学、服务时间安排合理、服务工作计划详细、完善的服务方案、完整的项目组织管理措施以及服务保障措施，切实可行、</w:t>
            </w:r>
            <w:r>
              <w:rPr>
                <w:rFonts w:hint="eastAsia" w:ascii="宋体" w:hAnsi="宋体" w:eastAsia="宋体" w:cs="宋体"/>
                <w:bCs/>
                <w:color w:val="000000"/>
                <w:szCs w:val="21"/>
                <w:lang w:val="zh-CN"/>
              </w:rPr>
              <w:t>描述全面、详细</w:t>
            </w:r>
            <w:r>
              <w:rPr>
                <w:rFonts w:hint="eastAsia" w:ascii="宋体" w:hAnsi="宋体" w:eastAsia="宋体" w:cs="Arial"/>
                <w:szCs w:val="21"/>
              </w:rPr>
              <w:t>得</w:t>
            </w:r>
            <w:r>
              <w:rPr>
                <w:rFonts w:hint="eastAsia" w:ascii="宋体" w:hAnsi="宋体" w:cs="Times New Roman"/>
                <w:color w:val="000000"/>
                <w:szCs w:val="21"/>
                <w:lang w:val="en-US" w:eastAsia="zh-CN"/>
              </w:rPr>
              <w:t>12</w:t>
            </w:r>
            <w:r>
              <w:rPr>
                <w:rFonts w:hint="eastAsia" w:ascii="宋体" w:hAnsi="宋体" w:eastAsia="宋体" w:cs="Times New Roman"/>
                <w:color w:val="000000"/>
                <w:szCs w:val="21"/>
              </w:rPr>
              <w:t>-7</w:t>
            </w:r>
            <w:r>
              <w:rPr>
                <w:rFonts w:hint="eastAsia" w:ascii="宋体" w:hAnsi="宋体" w:eastAsia="宋体" w:cs="Arial"/>
                <w:szCs w:val="21"/>
              </w:rPr>
              <w:t>分；</w:t>
            </w:r>
          </w:p>
          <w:p w14:paraId="00866A4D">
            <w:pPr>
              <w:spacing w:line="0" w:lineRule="atLeast"/>
              <w:rPr>
                <w:rFonts w:hint="eastAsia" w:ascii="宋体" w:hAnsi="宋体" w:eastAsia="宋体" w:cs="Times New Roman"/>
                <w:szCs w:val="21"/>
              </w:rPr>
            </w:pPr>
            <w:r>
              <w:rPr>
                <w:rFonts w:hint="eastAsia" w:ascii="宋体" w:hAnsi="宋体" w:eastAsia="宋体" w:cs="Arial"/>
                <w:szCs w:val="21"/>
              </w:rPr>
              <w:t>基本可行得</w:t>
            </w:r>
            <w:r>
              <w:rPr>
                <w:rFonts w:hint="eastAsia" w:ascii="宋体" w:hAnsi="宋体" w:eastAsia="宋体" w:cs="Times New Roman"/>
                <w:color w:val="000000"/>
                <w:szCs w:val="21"/>
              </w:rPr>
              <w:t>6-4</w:t>
            </w:r>
            <w:r>
              <w:rPr>
                <w:rFonts w:hint="eastAsia" w:ascii="宋体" w:hAnsi="宋体" w:eastAsia="宋体" w:cs="Times New Roman"/>
                <w:color w:val="000000"/>
                <w:szCs w:val="21"/>
                <w:lang w:val="zh-CN"/>
              </w:rPr>
              <w:t>分；</w:t>
            </w:r>
            <w:r>
              <w:rPr>
                <w:rFonts w:hint="eastAsia" w:ascii="宋体" w:hAnsi="宋体" w:eastAsia="宋体" w:cs="Times New Roman"/>
                <w:color w:val="000000"/>
                <w:szCs w:val="21"/>
              </w:rPr>
              <w:t>一般得3-1分；</w:t>
            </w:r>
            <w:r>
              <w:rPr>
                <w:rFonts w:hint="eastAsia" w:ascii="宋体" w:hAnsi="宋体" w:eastAsia="宋体" w:cs="宋体"/>
                <w:bCs/>
                <w:color w:val="000000"/>
                <w:szCs w:val="21"/>
              </w:rPr>
              <w:t>无</w:t>
            </w:r>
            <w:r>
              <w:rPr>
                <w:rFonts w:hint="eastAsia" w:ascii="宋体" w:hAnsi="宋体" w:eastAsia="宋体" w:cs="Times New Roman"/>
                <w:szCs w:val="21"/>
              </w:rPr>
              <w:t>不得分。</w:t>
            </w:r>
            <w:bookmarkEnd w:id="558"/>
          </w:p>
        </w:tc>
        <w:tc>
          <w:tcPr>
            <w:tcW w:w="412" w:type="pct"/>
            <w:tcBorders>
              <w:top w:val="single" w:color="auto" w:sz="4" w:space="0"/>
              <w:left w:val="single" w:color="auto" w:sz="4" w:space="0"/>
              <w:bottom w:val="single" w:color="auto" w:sz="4" w:space="0"/>
              <w:right w:val="double" w:color="auto" w:sz="4" w:space="0"/>
            </w:tcBorders>
            <w:vAlign w:val="center"/>
          </w:tcPr>
          <w:p w14:paraId="46BA6E23">
            <w:pPr>
              <w:autoSpaceDE w:val="0"/>
              <w:autoSpaceDN w:val="0"/>
              <w:spacing w:line="340" w:lineRule="exact"/>
              <w:jc w:val="center"/>
              <w:rPr>
                <w:rFonts w:ascii="Times New Roman" w:hAnsi="Times New Roman" w:eastAsia="宋体" w:cs="Times New Roman"/>
                <w:szCs w:val="21"/>
              </w:rPr>
            </w:pPr>
            <w:r>
              <w:rPr>
                <w:rFonts w:hint="eastAsia" w:cs="Times New Roman"/>
                <w:szCs w:val="21"/>
                <w:lang w:val="en-US" w:eastAsia="zh-CN"/>
              </w:rPr>
              <w:t>12</w:t>
            </w:r>
            <w:r>
              <w:rPr>
                <w:rFonts w:hint="eastAsia" w:ascii="Times New Roman" w:hAnsi="Times New Roman" w:eastAsia="宋体" w:cs="Times New Roman"/>
                <w:szCs w:val="21"/>
              </w:rPr>
              <w:t>分</w:t>
            </w:r>
          </w:p>
        </w:tc>
      </w:tr>
      <w:tr w14:paraId="31A298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587" w:type="pct"/>
            <w:gridSpan w:val="3"/>
            <w:tcBorders>
              <w:top w:val="single" w:color="auto" w:sz="4" w:space="0"/>
              <w:left w:val="double" w:color="auto" w:sz="4" w:space="0"/>
              <w:bottom w:val="double" w:color="auto" w:sz="4" w:space="0"/>
              <w:right w:val="single" w:color="auto" w:sz="4" w:space="0"/>
            </w:tcBorders>
            <w:vAlign w:val="center"/>
          </w:tcPr>
          <w:p w14:paraId="13FDF90A">
            <w:pPr>
              <w:autoSpaceDE w:val="0"/>
              <w:autoSpaceDN w:val="0"/>
              <w:adjustRightInd w:val="0"/>
              <w:spacing w:line="34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总分</w:t>
            </w:r>
          </w:p>
        </w:tc>
        <w:tc>
          <w:tcPr>
            <w:tcW w:w="412" w:type="pct"/>
            <w:tcBorders>
              <w:top w:val="single" w:color="auto" w:sz="4" w:space="0"/>
              <w:left w:val="single" w:color="auto" w:sz="4" w:space="0"/>
              <w:bottom w:val="double" w:color="auto" w:sz="4" w:space="0"/>
              <w:right w:val="double" w:color="auto" w:sz="4" w:space="0"/>
            </w:tcBorders>
            <w:vAlign w:val="center"/>
          </w:tcPr>
          <w:p w14:paraId="3A0A6A1B">
            <w:pPr>
              <w:autoSpaceDE w:val="0"/>
              <w:autoSpaceDN w:val="0"/>
              <w:adjustRightInd w:val="0"/>
              <w:spacing w:line="340" w:lineRule="exact"/>
              <w:jc w:val="center"/>
              <w:rPr>
                <w:rFonts w:ascii="Times New Roman" w:hAnsi="Times New Roman" w:eastAsia="宋体" w:cs="Times New Roman"/>
                <w:szCs w:val="21"/>
              </w:rPr>
            </w:pPr>
            <w:r>
              <w:rPr>
                <w:rFonts w:ascii="Times New Roman" w:hAnsi="Times New Roman" w:eastAsia="宋体" w:cs="Times New Roman"/>
                <w:szCs w:val="21"/>
              </w:rPr>
              <w:t>100分</w:t>
            </w:r>
          </w:p>
        </w:tc>
      </w:tr>
    </w:tbl>
    <w:p w14:paraId="40B2C0C4">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p>
    <w:p w14:paraId="59FA4603">
      <w:pPr>
        <w:pStyle w:val="3"/>
        <w:tabs>
          <w:tab w:val="left" w:pos="7371"/>
        </w:tabs>
        <w:spacing w:line="276" w:lineRule="auto"/>
        <w:jc w:val="center"/>
        <w:rPr>
          <w:rFonts w:cs="宋体" w:asciiTheme="majorEastAsia" w:hAnsiTheme="majorEastAsia" w:eastAsiaTheme="majorEastAsia"/>
          <w:b w:val="0"/>
          <w:bCs w:val="0"/>
          <w:color w:val="000000"/>
          <w:kern w:val="0"/>
          <w:sz w:val="36"/>
          <w:szCs w:val="36"/>
        </w:rPr>
      </w:pPr>
      <w:bookmarkStart w:id="559" w:name="_Toc32617"/>
      <w:r>
        <w:rPr>
          <w:rFonts w:hint="eastAsia" w:cs="宋体" w:asciiTheme="majorEastAsia" w:hAnsiTheme="majorEastAsia" w:eastAsiaTheme="majorEastAsia"/>
          <w:color w:val="000000"/>
          <w:sz w:val="36"/>
          <w:szCs w:val="36"/>
        </w:rPr>
        <w:t>评标办法</w:t>
      </w:r>
      <w:r>
        <w:rPr>
          <w:rFonts w:cs="宋体" w:asciiTheme="majorEastAsia" w:hAnsiTheme="majorEastAsia" w:eastAsiaTheme="majorEastAsia"/>
          <w:color w:val="000000"/>
          <w:sz w:val="36"/>
          <w:szCs w:val="36"/>
        </w:rPr>
        <w:t xml:space="preserve">  </w:t>
      </w:r>
      <w:r>
        <w:rPr>
          <w:rFonts w:hint="eastAsia" w:cs="宋体" w:asciiTheme="majorEastAsia" w:hAnsiTheme="majorEastAsia" w:eastAsiaTheme="majorEastAsia"/>
          <w:color w:val="000000"/>
          <w:sz w:val="36"/>
          <w:szCs w:val="36"/>
        </w:rPr>
        <w:t>正文部分</w:t>
      </w:r>
      <w:bookmarkEnd w:id="559"/>
    </w:p>
    <w:p w14:paraId="1C425588">
      <w:pPr>
        <w:pStyle w:val="86"/>
        <w:spacing w:line="276" w:lineRule="auto"/>
        <w:rPr>
          <w:rFonts w:asciiTheme="majorEastAsia" w:hAnsiTheme="majorEastAsia" w:eastAsiaTheme="majorEastAsia"/>
          <w:color w:val="000000"/>
          <w:szCs w:val="28"/>
        </w:rPr>
      </w:pPr>
      <w:bookmarkStart w:id="560" w:name="_Toc152042377"/>
      <w:bookmarkStart w:id="561" w:name="_Toc179632618"/>
      <w:bookmarkStart w:id="562" w:name="_Toc144974567"/>
      <w:bookmarkStart w:id="563" w:name="_Toc2782"/>
      <w:bookmarkStart w:id="564" w:name="_Toc152045600"/>
      <w:r>
        <w:rPr>
          <w:rFonts w:asciiTheme="majorEastAsia" w:hAnsiTheme="majorEastAsia" w:eastAsiaTheme="majorEastAsia"/>
          <w:color w:val="000000"/>
          <w:szCs w:val="28"/>
        </w:rPr>
        <w:t xml:space="preserve">1. </w:t>
      </w:r>
      <w:r>
        <w:rPr>
          <w:rFonts w:hint="eastAsia" w:asciiTheme="majorEastAsia" w:hAnsiTheme="majorEastAsia" w:eastAsiaTheme="majorEastAsia"/>
          <w:color w:val="000000"/>
          <w:szCs w:val="28"/>
        </w:rPr>
        <w:t>评标方法</w:t>
      </w:r>
      <w:bookmarkEnd w:id="560"/>
      <w:bookmarkEnd w:id="561"/>
      <w:bookmarkEnd w:id="562"/>
      <w:bookmarkEnd w:id="563"/>
      <w:bookmarkEnd w:id="564"/>
    </w:p>
    <w:p w14:paraId="4801714D">
      <w:pPr>
        <w:spacing w:line="276" w:lineRule="auto"/>
        <w:ind w:firstLine="480" w:firstLineChars="200"/>
        <w:rPr>
          <w:rFonts w:cs="宋体" w:asciiTheme="majorEastAsia" w:hAnsiTheme="majorEastAsia" w:eastAsiaTheme="majorEastAsia"/>
          <w:color w:val="000000"/>
          <w:sz w:val="24"/>
        </w:rPr>
      </w:pPr>
      <w:bookmarkStart w:id="565" w:name="_Toc179632619"/>
      <w:bookmarkStart w:id="566" w:name="_Toc152042378"/>
      <w:bookmarkStart w:id="567" w:name="_Toc144974568"/>
      <w:bookmarkStart w:id="568" w:name="_Toc152045601"/>
      <w:r>
        <w:rPr>
          <w:rFonts w:hint="eastAsia" w:cs="宋体" w:asciiTheme="majorEastAsia" w:hAnsiTheme="majorEastAsia" w:eastAsiaTheme="majorEastAsia"/>
          <w:color w:val="000000"/>
          <w:sz w:val="24"/>
        </w:rPr>
        <w:t>本次评标采用综合评估法。评标委员会对满足招标文件实质性要求的投标文件，按照本章</w:t>
      </w:r>
      <w:r>
        <w:rPr>
          <w:rFonts w:cs="宋体" w:asciiTheme="majorEastAsia" w:hAnsiTheme="majorEastAsia" w:eastAsiaTheme="majorEastAsia"/>
          <w:color w:val="000000"/>
          <w:sz w:val="24"/>
        </w:rPr>
        <w:t xml:space="preserve">2.2 </w:t>
      </w:r>
      <w:r>
        <w:rPr>
          <w:rFonts w:hint="eastAsia" w:cs="宋体" w:asciiTheme="majorEastAsia" w:hAnsiTheme="majorEastAsia" w:eastAsiaTheme="majorEastAsia"/>
          <w:color w:val="000000"/>
          <w:sz w:val="24"/>
        </w:rPr>
        <w:t>款规定的评分标准进行打分，并按得分由高到低顺序推荐中标候选人，或根据采购人授权直接确定中标人，但投标报价低于其成本的除外。综合评分相等时，以投标报价低的优先；投标报价也相等的，以技术得分高的优先；如果技术得分也相等，按照评标办法前附表的规定确定中标候选人顺序。</w:t>
      </w:r>
    </w:p>
    <w:p w14:paraId="7C358B84">
      <w:pPr>
        <w:pStyle w:val="86"/>
        <w:spacing w:line="276" w:lineRule="auto"/>
        <w:rPr>
          <w:rFonts w:asciiTheme="majorEastAsia" w:hAnsiTheme="majorEastAsia" w:eastAsiaTheme="majorEastAsia"/>
          <w:color w:val="000000"/>
          <w:szCs w:val="28"/>
        </w:rPr>
      </w:pPr>
      <w:bookmarkStart w:id="569" w:name="_Toc2387"/>
      <w:r>
        <w:rPr>
          <w:rFonts w:asciiTheme="majorEastAsia" w:hAnsiTheme="majorEastAsia" w:eastAsiaTheme="majorEastAsia"/>
          <w:color w:val="000000"/>
          <w:szCs w:val="28"/>
        </w:rPr>
        <w:t xml:space="preserve">2. </w:t>
      </w:r>
      <w:r>
        <w:rPr>
          <w:rFonts w:hint="eastAsia" w:asciiTheme="majorEastAsia" w:hAnsiTheme="majorEastAsia" w:eastAsiaTheme="majorEastAsia"/>
          <w:color w:val="000000"/>
          <w:szCs w:val="28"/>
        </w:rPr>
        <w:t>评审标准</w:t>
      </w:r>
      <w:bookmarkEnd w:id="565"/>
      <w:bookmarkEnd w:id="566"/>
      <w:bookmarkEnd w:id="567"/>
      <w:bookmarkEnd w:id="568"/>
      <w:bookmarkEnd w:id="569"/>
    </w:p>
    <w:p w14:paraId="5E40A09F">
      <w:pPr>
        <w:pStyle w:val="87"/>
        <w:spacing w:line="276" w:lineRule="auto"/>
        <w:rPr>
          <w:rFonts w:asciiTheme="majorEastAsia" w:hAnsiTheme="majorEastAsia" w:eastAsiaTheme="majorEastAsia"/>
          <w:color w:val="000000"/>
          <w:szCs w:val="24"/>
        </w:rPr>
      </w:pPr>
      <w:bookmarkStart w:id="570" w:name="_Toc179632620"/>
      <w:bookmarkStart w:id="571" w:name="_Toc152045602"/>
      <w:bookmarkStart w:id="572" w:name="_Toc504479300"/>
      <w:bookmarkStart w:id="573" w:name="_Toc15588"/>
      <w:bookmarkStart w:id="574" w:name="_Toc152042379"/>
      <w:bookmarkStart w:id="575" w:name="_Toc504479752"/>
      <w:bookmarkStart w:id="576" w:name="_Toc504654785"/>
      <w:bookmarkStart w:id="577" w:name="_Toc144974569"/>
      <w:r>
        <w:rPr>
          <w:rFonts w:asciiTheme="majorEastAsia" w:hAnsiTheme="majorEastAsia" w:eastAsiaTheme="majorEastAsia"/>
          <w:color w:val="000000"/>
          <w:szCs w:val="24"/>
        </w:rPr>
        <w:t xml:space="preserve">2.1 </w:t>
      </w:r>
      <w:r>
        <w:rPr>
          <w:rFonts w:hint="eastAsia" w:asciiTheme="majorEastAsia" w:hAnsiTheme="majorEastAsia" w:eastAsiaTheme="majorEastAsia"/>
          <w:color w:val="000000"/>
          <w:szCs w:val="24"/>
        </w:rPr>
        <w:t>初步评审标准</w:t>
      </w:r>
      <w:bookmarkEnd w:id="570"/>
      <w:bookmarkEnd w:id="571"/>
      <w:bookmarkEnd w:id="572"/>
      <w:bookmarkEnd w:id="573"/>
      <w:bookmarkEnd w:id="574"/>
      <w:bookmarkEnd w:id="575"/>
      <w:bookmarkEnd w:id="576"/>
      <w:bookmarkEnd w:id="577"/>
    </w:p>
    <w:p w14:paraId="37D46428">
      <w:pPr>
        <w:spacing w:line="276" w:lineRule="auto"/>
        <w:ind w:firstLine="463" w:firstLineChars="193"/>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评审标准见评标办法前附表。</w:t>
      </w:r>
    </w:p>
    <w:p w14:paraId="5A645B17">
      <w:pPr>
        <w:pStyle w:val="87"/>
        <w:spacing w:line="276" w:lineRule="auto"/>
        <w:rPr>
          <w:rFonts w:asciiTheme="majorEastAsia" w:hAnsiTheme="majorEastAsia" w:eastAsiaTheme="majorEastAsia"/>
          <w:color w:val="000000"/>
          <w:szCs w:val="24"/>
        </w:rPr>
      </w:pPr>
      <w:bookmarkStart w:id="578" w:name="_Toc504479301"/>
      <w:bookmarkStart w:id="579" w:name="_Toc8468"/>
      <w:bookmarkStart w:id="580" w:name="_Toc144974570"/>
      <w:bookmarkStart w:id="581" w:name="_Toc504479753"/>
      <w:bookmarkStart w:id="582" w:name="_Toc504654786"/>
      <w:bookmarkStart w:id="583" w:name="_Toc152042380"/>
      <w:bookmarkStart w:id="584" w:name="_Toc179632621"/>
      <w:bookmarkStart w:id="585" w:name="_Toc152045603"/>
      <w:r>
        <w:rPr>
          <w:rFonts w:asciiTheme="majorEastAsia" w:hAnsiTheme="majorEastAsia" w:eastAsiaTheme="majorEastAsia"/>
          <w:color w:val="000000"/>
          <w:szCs w:val="24"/>
        </w:rPr>
        <w:t xml:space="preserve">2.2 </w:t>
      </w:r>
      <w:r>
        <w:rPr>
          <w:rFonts w:hint="eastAsia" w:asciiTheme="majorEastAsia" w:hAnsiTheme="majorEastAsia" w:eastAsiaTheme="majorEastAsia"/>
          <w:color w:val="000000"/>
          <w:szCs w:val="24"/>
        </w:rPr>
        <w:t>分值构成与评分标准</w:t>
      </w:r>
      <w:bookmarkEnd w:id="578"/>
      <w:bookmarkEnd w:id="579"/>
      <w:bookmarkEnd w:id="580"/>
      <w:bookmarkEnd w:id="581"/>
      <w:bookmarkEnd w:id="582"/>
      <w:bookmarkEnd w:id="583"/>
      <w:bookmarkEnd w:id="584"/>
      <w:bookmarkEnd w:id="585"/>
    </w:p>
    <w:p w14:paraId="4B715116">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2.2.1 </w:t>
      </w:r>
      <w:r>
        <w:rPr>
          <w:rFonts w:hint="eastAsia" w:cs="宋体" w:asciiTheme="majorEastAsia" w:hAnsiTheme="majorEastAsia" w:eastAsiaTheme="majorEastAsia"/>
          <w:color w:val="000000"/>
          <w:sz w:val="24"/>
        </w:rPr>
        <w:t>分值构成</w:t>
      </w:r>
    </w:p>
    <w:p w14:paraId="0DE55555">
      <w:pPr>
        <w:spacing w:line="276" w:lineRule="auto"/>
        <w:ind w:firstLine="840" w:firstLineChars="35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）价格因素：见评标办法前附表。</w:t>
      </w:r>
    </w:p>
    <w:p w14:paraId="776FAF29">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）商务因素：见评标办法前附表；</w:t>
      </w:r>
    </w:p>
    <w:p w14:paraId="70D11D07">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）技术因素：见评标办法前附表；</w:t>
      </w:r>
    </w:p>
    <w:p w14:paraId="15FCABD0">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2.2.2 </w:t>
      </w:r>
      <w:r>
        <w:rPr>
          <w:rFonts w:hint="eastAsia" w:cs="宋体" w:asciiTheme="majorEastAsia" w:hAnsiTheme="majorEastAsia" w:eastAsiaTheme="majorEastAsia"/>
          <w:color w:val="000000"/>
          <w:sz w:val="24"/>
        </w:rPr>
        <w:t>评标基准价计算</w:t>
      </w:r>
    </w:p>
    <w:p w14:paraId="51A73FD8">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评标基准价计算方法：见评标办法前附表。</w:t>
      </w:r>
    </w:p>
    <w:p w14:paraId="0FF7015F">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2.2.3 </w:t>
      </w:r>
      <w:r>
        <w:rPr>
          <w:rFonts w:hint="eastAsia" w:cs="宋体" w:asciiTheme="majorEastAsia" w:hAnsiTheme="majorEastAsia" w:eastAsiaTheme="majorEastAsia"/>
          <w:color w:val="000000"/>
          <w:sz w:val="24"/>
        </w:rPr>
        <w:t>投标报价的偏差率计算</w:t>
      </w:r>
    </w:p>
    <w:p w14:paraId="2A4A703B">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投标报价的偏差率计算公式：见评标办法前附表。</w:t>
      </w:r>
    </w:p>
    <w:p w14:paraId="5DCDBB4D">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2.2.4 </w:t>
      </w:r>
      <w:r>
        <w:rPr>
          <w:rFonts w:hint="eastAsia" w:cs="宋体" w:asciiTheme="majorEastAsia" w:hAnsiTheme="majorEastAsia" w:eastAsiaTheme="majorEastAsia"/>
          <w:color w:val="000000"/>
          <w:sz w:val="24"/>
        </w:rPr>
        <w:t>评分标准</w:t>
      </w:r>
    </w:p>
    <w:p w14:paraId="43DA2981">
      <w:pPr>
        <w:spacing w:line="276" w:lineRule="auto"/>
        <w:ind w:firstLine="820" w:firstLineChars="342"/>
        <w:rPr>
          <w:rFonts w:cs="宋体" w:asciiTheme="majorEastAsia" w:hAnsiTheme="majorEastAsia" w:eastAsiaTheme="majorEastAsia"/>
          <w:color w:val="000000"/>
          <w:sz w:val="24"/>
        </w:rPr>
      </w:pPr>
      <w:bookmarkStart w:id="586" w:name="_Toc179632622"/>
      <w:bookmarkStart w:id="587" w:name="_Toc152045604"/>
      <w:bookmarkStart w:id="588" w:name="_Toc144974571"/>
      <w:bookmarkStart w:id="589" w:name="_Toc152042381"/>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）价格因素：见评标办法前附表。</w:t>
      </w:r>
    </w:p>
    <w:p w14:paraId="57B59A1F">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）商务因素：见评标办法前附表；</w:t>
      </w:r>
    </w:p>
    <w:p w14:paraId="18F23A4B">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）技术因素：见评标办法前附表；</w:t>
      </w:r>
    </w:p>
    <w:p w14:paraId="7E98EA2F">
      <w:pPr>
        <w:pStyle w:val="86"/>
        <w:spacing w:line="276" w:lineRule="auto"/>
        <w:rPr>
          <w:rFonts w:asciiTheme="majorEastAsia" w:hAnsiTheme="majorEastAsia" w:eastAsiaTheme="majorEastAsia"/>
          <w:color w:val="000000"/>
          <w:szCs w:val="28"/>
        </w:rPr>
      </w:pPr>
      <w:bookmarkStart w:id="590" w:name="_Toc5326"/>
      <w:r>
        <w:rPr>
          <w:rFonts w:asciiTheme="majorEastAsia" w:hAnsiTheme="majorEastAsia" w:eastAsiaTheme="majorEastAsia"/>
          <w:color w:val="000000"/>
          <w:szCs w:val="28"/>
        </w:rPr>
        <w:t xml:space="preserve">3. </w:t>
      </w:r>
      <w:r>
        <w:rPr>
          <w:rFonts w:hint="eastAsia" w:asciiTheme="majorEastAsia" w:hAnsiTheme="majorEastAsia" w:eastAsiaTheme="majorEastAsia"/>
          <w:color w:val="000000"/>
          <w:szCs w:val="28"/>
        </w:rPr>
        <w:t>评标程序</w:t>
      </w:r>
      <w:bookmarkEnd w:id="586"/>
      <w:bookmarkEnd w:id="587"/>
      <w:bookmarkEnd w:id="588"/>
      <w:bookmarkEnd w:id="589"/>
      <w:bookmarkEnd w:id="590"/>
    </w:p>
    <w:p w14:paraId="3CA40651">
      <w:pPr>
        <w:pStyle w:val="87"/>
        <w:spacing w:line="276" w:lineRule="auto"/>
        <w:rPr>
          <w:rFonts w:asciiTheme="majorEastAsia" w:hAnsiTheme="majorEastAsia" w:eastAsiaTheme="majorEastAsia"/>
          <w:color w:val="000000"/>
          <w:szCs w:val="24"/>
        </w:rPr>
      </w:pPr>
      <w:bookmarkStart w:id="591" w:name="_Toc144974572"/>
      <w:bookmarkStart w:id="592" w:name="_Toc504479303"/>
      <w:bookmarkStart w:id="593" w:name="_Toc152042382"/>
      <w:bookmarkStart w:id="594" w:name="_Toc152045605"/>
      <w:bookmarkStart w:id="595" w:name="_Toc504654788"/>
      <w:bookmarkStart w:id="596" w:name="_Toc179632623"/>
      <w:bookmarkStart w:id="597" w:name="_Toc504479755"/>
      <w:bookmarkStart w:id="598" w:name="_Toc16886"/>
      <w:r>
        <w:rPr>
          <w:rFonts w:asciiTheme="majorEastAsia" w:hAnsiTheme="majorEastAsia" w:eastAsiaTheme="majorEastAsia"/>
          <w:color w:val="000000"/>
          <w:szCs w:val="24"/>
        </w:rPr>
        <w:t xml:space="preserve">3.1 </w:t>
      </w:r>
      <w:r>
        <w:rPr>
          <w:rFonts w:hint="eastAsia" w:asciiTheme="majorEastAsia" w:hAnsiTheme="majorEastAsia" w:eastAsiaTheme="majorEastAsia"/>
          <w:color w:val="000000"/>
          <w:szCs w:val="24"/>
        </w:rPr>
        <w:t>初步评审</w:t>
      </w:r>
      <w:bookmarkEnd w:id="591"/>
      <w:bookmarkEnd w:id="592"/>
      <w:bookmarkEnd w:id="593"/>
      <w:bookmarkEnd w:id="594"/>
      <w:bookmarkEnd w:id="595"/>
      <w:bookmarkEnd w:id="596"/>
      <w:bookmarkEnd w:id="597"/>
      <w:bookmarkEnd w:id="598"/>
    </w:p>
    <w:p w14:paraId="4A175E5F">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3.1.1</w:t>
      </w:r>
      <w:r>
        <w:rPr>
          <w:rFonts w:hint="eastAsia" w:cs="宋体" w:asciiTheme="majorEastAsia" w:hAnsiTheme="majorEastAsia" w:eastAsiaTheme="majorEastAsia"/>
          <w:color w:val="000000"/>
          <w:sz w:val="24"/>
        </w:rPr>
        <w:t>评标委员会依据本章第</w:t>
      </w:r>
      <w:r>
        <w:rPr>
          <w:rFonts w:cs="宋体" w:asciiTheme="majorEastAsia" w:hAnsiTheme="majorEastAsia" w:eastAsiaTheme="majorEastAsia"/>
          <w:color w:val="000000"/>
          <w:sz w:val="24"/>
        </w:rPr>
        <w:t>2.1</w:t>
      </w:r>
      <w:r>
        <w:rPr>
          <w:rFonts w:hint="eastAsia" w:cs="宋体" w:asciiTheme="majorEastAsia" w:hAnsiTheme="majorEastAsia" w:eastAsiaTheme="majorEastAsia"/>
          <w:color w:val="000000"/>
          <w:sz w:val="24"/>
        </w:rPr>
        <w:t>款规定的标准对投标文件进行初步评审。有一项不符合评审标准的，作废标处理。</w:t>
      </w:r>
    </w:p>
    <w:p w14:paraId="12FE4165">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3.1.2 </w:t>
      </w:r>
      <w:r>
        <w:rPr>
          <w:rFonts w:hint="eastAsia" w:cs="宋体" w:asciiTheme="majorEastAsia" w:hAnsiTheme="majorEastAsia" w:eastAsiaTheme="majorEastAsia"/>
          <w:color w:val="000000"/>
          <w:sz w:val="24"/>
        </w:rPr>
        <w:t>供应商有以下情形之一的，其投标作无效标处理：</w:t>
      </w:r>
    </w:p>
    <w:p w14:paraId="077BA8A8">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）串通投标或弄虚作假或有其他违法行为的；</w:t>
      </w:r>
    </w:p>
    <w:p w14:paraId="613D952A">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）不按评标委员会要求澄清、说明或补正的。</w:t>
      </w:r>
    </w:p>
    <w:p w14:paraId="703902B3">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3.1.3</w:t>
      </w:r>
      <w:r>
        <w:rPr>
          <w:rFonts w:hint="eastAsia" w:cs="宋体" w:asciiTheme="majorEastAsia" w:hAnsiTheme="majorEastAsia" w:eastAsiaTheme="majorEastAsia"/>
          <w:color w:val="000000"/>
          <w:sz w:val="24"/>
        </w:rPr>
        <w:t>投标报价有算术错误的，评标委员会按以下原则对投标报价进行修正，修正的价格经供应商书面确认后具有约束力。供应商不接受修正价格的，其投标作废标处理。</w:t>
      </w:r>
    </w:p>
    <w:p w14:paraId="4C522015">
      <w:pPr>
        <w:spacing w:line="276" w:lineRule="auto"/>
        <w:ind w:firstLine="480" w:firstLineChars="200"/>
        <w:rPr>
          <w:rFonts w:cs="宋体" w:asciiTheme="majorEastAsia" w:hAnsiTheme="majorEastAsia" w:eastAsiaTheme="majorEastAsia"/>
          <w:color w:val="000000"/>
          <w:sz w:val="24"/>
        </w:rPr>
      </w:pPr>
      <w:bookmarkStart w:id="599" w:name="_Toc152042383"/>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）投标文件中的大写金额与小写金额不一致的，以大写金额为准；</w:t>
      </w:r>
      <w:bookmarkEnd w:id="599"/>
    </w:p>
    <w:p w14:paraId="4932D8A0">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）总价金额与依据单价计算出的结果不一致的，以单价金额为准修正总价，但单价金额小数点有明显错误的除外。</w:t>
      </w:r>
    </w:p>
    <w:p w14:paraId="100C8F40">
      <w:pPr>
        <w:pStyle w:val="87"/>
        <w:spacing w:line="276" w:lineRule="auto"/>
        <w:rPr>
          <w:rFonts w:asciiTheme="majorEastAsia" w:hAnsiTheme="majorEastAsia" w:eastAsiaTheme="majorEastAsia"/>
          <w:color w:val="000000"/>
          <w:szCs w:val="24"/>
        </w:rPr>
      </w:pPr>
      <w:bookmarkStart w:id="600" w:name="_Toc504479756"/>
      <w:bookmarkStart w:id="601" w:name="_Toc179632624"/>
      <w:bookmarkStart w:id="602" w:name="_Toc152045606"/>
      <w:bookmarkStart w:id="603" w:name="_Toc9706"/>
      <w:bookmarkStart w:id="604" w:name="_Toc504479304"/>
      <w:bookmarkStart w:id="605" w:name="_Toc504654789"/>
      <w:bookmarkStart w:id="606" w:name="_Toc144974573"/>
      <w:bookmarkStart w:id="607" w:name="_Toc152042384"/>
      <w:r>
        <w:rPr>
          <w:rFonts w:asciiTheme="majorEastAsia" w:hAnsiTheme="majorEastAsia" w:eastAsiaTheme="majorEastAsia"/>
          <w:color w:val="000000"/>
          <w:szCs w:val="24"/>
        </w:rPr>
        <w:t xml:space="preserve">3.2 </w:t>
      </w:r>
      <w:r>
        <w:rPr>
          <w:rFonts w:hint="eastAsia" w:asciiTheme="majorEastAsia" w:hAnsiTheme="majorEastAsia" w:eastAsiaTheme="majorEastAsia"/>
          <w:color w:val="000000"/>
          <w:szCs w:val="24"/>
        </w:rPr>
        <w:t>详细评审</w:t>
      </w:r>
      <w:bookmarkEnd w:id="600"/>
      <w:bookmarkEnd w:id="601"/>
      <w:bookmarkEnd w:id="602"/>
      <w:bookmarkEnd w:id="603"/>
      <w:bookmarkEnd w:id="604"/>
      <w:bookmarkEnd w:id="605"/>
      <w:bookmarkEnd w:id="606"/>
      <w:bookmarkEnd w:id="607"/>
    </w:p>
    <w:p w14:paraId="053A54A4">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3.2.1 </w:t>
      </w:r>
      <w:r>
        <w:rPr>
          <w:rFonts w:hint="eastAsia" w:cs="宋体" w:asciiTheme="majorEastAsia" w:hAnsiTheme="majorEastAsia" w:eastAsiaTheme="majorEastAsia"/>
          <w:color w:val="000000"/>
          <w:sz w:val="24"/>
        </w:rPr>
        <w:t>评标委员会按本章第</w:t>
      </w:r>
      <w:r>
        <w:rPr>
          <w:rFonts w:cs="宋体" w:asciiTheme="majorEastAsia" w:hAnsiTheme="majorEastAsia" w:eastAsiaTheme="majorEastAsia"/>
          <w:color w:val="000000"/>
          <w:sz w:val="24"/>
        </w:rPr>
        <w:t>2.2</w:t>
      </w:r>
      <w:r>
        <w:rPr>
          <w:rFonts w:hint="eastAsia" w:cs="宋体" w:asciiTheme="majorEastAsia" w:hAnsiTheme="majorEastAsia" w:eastAsiaTheme="majorEastAsia"/>
          <w:color w:val="000000"/>
          <w:sz w:val="24"/>
        </w:rPr>
        <w:t>款规定的量化因素和分值进行打分，并计算出综合评估得分。</w:t>
      </w:r>
    </w:p>
    <w:p w14:paraId="0B43148A">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）按本章第</w:t>
      </w:r>
      <w:r>
        <w:rPr>
          <w:rFonts w:cs="宋体" w:asciiTheme="majorEastAsia" w:hAnsiTheme="majorEastAsia" w:eastAsiaTheme="majorEastAsia"/>
          <w:color w:val="000000"/>
          <w:sz w:val="24"/>
        </w:rPr>
        <w:t>2.2.4</w:t>
      </w:r>
      <w:r>
        <w:rPr>
          <w:rFonts w:hint="eastAsia" w:cs="宋体" w:asciiTheme="majorEastAsia" w:hAnsiTheme="majorEastAsia" w:eastAsiaTheme="majorEastAsia"/>
          <w:color w:val="000000"/>
          <w:sz w:val="24"/>
        </w:rPr>
        <w:t>目规定的评审因素和分值对投标报价因素计算出得分</w:t>
      </w:r>
      <w:r>
        <w:rPr>
          <w:rFonts w:cs="宋体" w:asciiTheme="majorEastAsia" w:hAnsiTheme="majorEastAsia" w:eastAsiaTheme="majorEastAsia"/>
          <w:color w:val="000000"/>
          <w:sz w:val="24"/>
        </w:rPr>
        <w:t>A</w:t>
      </w:r>
      <w:r>
        <w:rPr>
          <w:rFonts w:hint="eastAsia" w:cs="宋体" w:asciiTheme="majorEastAsia" w:hAnsiTheme="majorEastAsia" w:eastAsiaTheme="majorEastAsia"/>
          <w:color w:val="000000"/>
          <w:sz w:val="24"/>
        </w:rPr>
        <w:t>；</w:t>
      </w:r>
    </w:p>
    <w:p w14:paraId="6F2A851D">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）按本章第</w:t>
      </w:r>
      <w:r>
        <w:rPr>
          <w:rFonts w:cs="宋体" w:asciiTheme="majorEastAsia" w:hAnsiTheme="majorEastAsia" w:eastAsiaTheme="majorEastAsia"/>
          <w:color w:val="000000"/>
          <w:sz w:val="24"/>
        </w:rPr>
        <w:t>2.2.5</w:t>
      </w:r>
      <w:r>
        <w:rPr>
          <w:rFonts w:hint="eastAsia" w:cs="宋体" w:asciiTheme="majorEastAsia" w:hAnsiTheme="majorEastAsia" w:eastAsiaTheme="majorEastAsia"/>
          <w:color w:val="000000"/>
          <w:sz w:val="24"/>
        </w:rPr>
        <w:t>目规定的评审因素和分值对商务因素计算出得分</w:t>
      </w:r>
      <w:r>
        <w:rPr>
          <w:rFonts w:cs="宋体" w:asciiTheme="majorEastAsia" w:hAnsiTheme="majorEastAsia" w:eastAsiaTheme="majorEastAsia"/>
          <w:color w:val="000000"/>
          <w:sz w:val="24"/>
        </w:rPr>
        <w:t>B</w:t>
      </w:r>
      <w:r>
        <w:rPr>
          <w:rFonts w:hint="eastAsia" w:cs="宋体" w:asciiTheme="majorEastAsia" w:hAnsiTheme="majorEastAsia" w:eastAsiaTheme="majorEastAsia"/>
          <w:color w:val="000000"/>
          <w:sz w:val="24"/>
        </w:rPr>
        <w:t>；</w:t>
      </w:r>
    </w:p>
    <w:p w14:paraId="710C8BD7">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）按本章第</w:t>
      </w:r>
      <w:r>
        <w:rPr>
          <w:rFonts w:cs="宋体" w:asciiTheme="majorEastAsia" w:hAnsiTheme="majorEastAsia" w:eastAsiaTheme="majorEastAsia"/>
          <w:color w:val="000000"/>
          <w:sz w:val="24"/>
        </w:rPr>
        <w:t>2.2.6</w:t>
      </w:r>
      <w:r>
        <w:rPr>
          <w:rFonts w:hint="eastAsia" w:cs="宋体" w:asciiTheme="majorEastAsia" w:hAnsiTheme="majorEastAsia" w:eastAsiaTheme="majorEastAsia"/>
          <w:color w:val="000000"/>
          <w:sz w:val="24"/>
        </w:rPr>
        <w:t>目规定的评审因素和分值对技术因素计算出得分</w:t>
      </w:r>
      <w:r>
        <w:rPr>
          <w:rFonts w:cs="宋体" w:asciiTheme="majorEastAsia" w:hAnsiTheme="majorEastAsia" w:eastAsiaTheme="majorEastAsia"/>
          <w:color w:val="000000"/>
          <w:sz w:val="24"/>
        </w:rPr>
        <w:t>C</w:t>
      </w:r>
      <w:r>
        <w:rPr>
          <w:rFonts w:hint="eastAsia" w:cs="宋体" w:asciiTheme="majorEastAsia" w:hAnsiTheme="majorEastAsia" w:eastAsiaTheme="majorEastAsia"/>
          <w:color w:val="000000"/>
          <w:sz w:val="24"/>
        </w:rPr>
        <w:t>；</w:t>
      </w:r>
    </w:p>
    <w:p w14:paraId="0762CA19">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3.2.2 </w:t>
      </w:r>
      <w:r>
        <w:rPr>
          <w:rFonts w:hint="eastAsia" w:cs="宋体" w:asciiTheme="majorEastAsia" w:hAnsiTheme="majorEastAsia" w:eastAsiaTheme="majorEastAsia"/>
          <w:color w:val="000000"/>
          <w:sz w:val="24"/>
        </w:rPr>
        <w:t>评分分值计算保留小数点后两位，小数点后第三位“四舍五入”。</w:t>
      </w:r>
    </w:p>
    <w:p w14:paraId="784BBCB9">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3.2.3 </w:t>
      </w:r>
      <w:r>
        <w:rPr>
          <w:rFonts w:hint="eastAsia" w:cs="宋体" w:asciiTheme="majorEastAsia" w:hAnsiTheme="majorEastAsia" w:eastAsiaTheme="majorEastAsia"/>
          <w:color w:val="000000"/>
          <w:sz w:val="24"/>
        </w:rPr>
        <w:t>供应商得分</w:t>
      </w:r>
      <w:r>
        <w:rPr>
          <w:rFonts w:cs="宋体" w:asciiTheme="majorEastAsia" w:hAnsiTheme="majorEastAsia" w:eastAsiaTheme="majorEastAsia"/>
          <w:color w:val="000000"/>
          <w:sz w:val="24"/>
        </w:rPr>
        <w:t>F=A+B+C</w:t>
      </w:r>
      <w:r>
        <w:rPr>
          <w:rFonts w:hint="eastAsia" w:cs="宋体" w:asciiTheme="majorEastAsia" w:hAnsiTheme="majorEastAsia" w:eastAsiaTheme="majorEastAsia"/>
          <w:color w:val="000000"/>
          <w:sz w:val="24"/>
        </w:rPr>
        <w:t>。</w:t>
      </w:r>
    </w:p>
    <w:p w14:paraId="6C421874">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3.2.4 </w:t>
      </w:r>
      <w:r>
        <w:rPr>
          <w:rFonts w:hint="eastAsia" w:cs="宋体" w:asciiTheme="majorEastAsia" w:hAnsiTheme="majorEastAsia" w:eastAsiaTheme="majorEastAsia"/>
          <w:color w:val="000000"/>
          <w:sz w:val="24"/>
        </w:rPr>
        <w:t>评标委员会发现供应商的报价明显低于其他投标报价，应当要求该供应商作出书面说明并提供相应的证明材料。供应商不能合理说明或者不能提供相应证明材料的，由评标委员会认定该供应商以低于成本报价竞标，其投标作废标处理。</w:t>
      </w:r>
    </w:p>
    <w:p w14:paraId="5B4E3AB9">
      <w:pPr>
        <w:pStyle w:val="87"/>
        <w:spacing w:line="276" w:lineRule="auto"/>
        <w:rPr>
          <w:rFonts w:asciiTheme="majorEastAsia" w:hAnsiTheme="majorEastAsia" w:eastAsiaTheme="majorEastAsia"/>
          <w:color w:val="000000"/>
          <w:szCs w:val="24"/>
        </w:rPr>
      </w:pPr>
      <w:bookmarkStart w:id="608" w:name="_Toc144974575"/>
      <w:bookmarkStart w:id="609" w:name="_Toc152045607"/>
      <w:bookmarkStart w:id="610" w:name="_Toc152042385"/>
      <w:bookmarkStart w:id="611" w:name="_Toc504654790"/>
      <w:bookmarkStart w:id="612" w:name="_Toc27255"/>
      <w:bookmarkStart w:id="613" w:name="_Toc504479305"/>
      <w:bookmarkStart w:id="614" w:name="_Toc504479757"/>
      <w:bookmarkStart w:id="615" w:name="_Toc179632625"/>
      <w:r>
        <w:rPr>
          <w:rFonts w:asciiTheme="majorEastAsia" w:hAnsiTheme="majorEastAsia" w:eastAsiaTheme="majorEastAsia"/>
          <w:color w:val="000000"/>
          <w:szCs w:val="24"/>
        </w:rPr>
        <w:t xml:space="preserve">3.3 </w:t>
      </w:r>
      <w:r>
        <w:rPr>
          <w:rFonts w:hint="eastAsia" w:asciiTheme="majorEastAsia" w:hAnsiTheme="majorEastAsia" w:eastAsiaTheme="majorEastAsia"/>
          <w:color w:val="000000"/>
          <w:szCs w:val="24"/>
        </w:rPr>
        <w:t>投标文件的澄清</w:t>
      </w:r>
      <w:bookmarkEnd w:id="608"/>
      <w:r>
        <w:rPr>
          <w:rFonts w:hint="eastAsia" w:asciiTheme="majorEastAsia" w:hAnsiTheme="majorEastAsia" w:eastAsiaTheme="majorEastAsia"/>
          <w:color w:val="000000"/>
          <w:szCs w:val="24"/>
        </w:rPr>
        <w:t>和补正</w:t>
      </w:r>
      <w:bookmarkEnd w:id="609"/>
      <w:bookmarkEnd w:id="610"/>
      <w:bookmarkEnd w:id="611"/>
      <w:bookmarkEnd w:id="612"/>
      <w:bookmarkEnd w:id="613"/>
      <w:bookmarkEnd w:id="614"/>
      <w:bookmarkEnd w:id="615"/>
    </w:p>
    <w:p w14:paraId="2E94CB1E">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3.3.1</w:t>
      </w:r>
      <w:r>
        <w:rPr>
          <w:rFonts w:hint="eastAsia" w:cs="宋体" w:asciiTheme="majorEastAsia" w:hAnsiTheme="majorEastAsia" w:eastAsiaTheme="majorEastAsia"/>
          <w:color w:val="000000"/>
          <w:sz w:val="24"/>
        </w:rPr>
        <w:t>在评标过程中，评标委员会可以书面形式要求供应商对所提交投标文件中不明确的内容进行书面澄清或说明，或者对细微偏差进行补正。评标委员会不接受供应商主动提出的澄清、说明或补正。</w:t>
      </w:r>
    </w:p>
    <w:p w14:paraId="62FCF80A">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3.3.2 </w:t>
      </w:r>
      <w:r>
        <w:rPr>
          <w:rFonts w:hint="eastAsia" w:cs="宋体" w:asciiTheme="majorEastAsia" w:hAnsiTheme="majorEastAsia" w:eastAsiaTheme="majorEastAsia"/>
          <w:color w:val="000000"/>
          <w:sz w:val="24"/>
        </w:rPr>
        <w:t>澄清、说明和补正不得改变投标文件的实质性内容（算术性错误修正的除外）。供应商的书面澄清、说明和补正属于投标文件的组成部分。</w:t>
      </w:r>
    </w:p>
    <w:p w14:paraId="336A5E83">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3.3.3 </w:t>
      </w:r>
      <w:r>
        <w:rPr>
          <w:rFonts w:hint="eastAsia" w:cs="宋体" w:asciiTheme="majorEastAsia" w:hAnsiTheme="majorEastAsia" w:eastAsiaTheme="majorEastAsia"/>
          <w:color w:val="000000"/>
          <w:sz w:val="24"/>
        </w:rPr>
        <w:t>评标委员会对供应商提交的澄清、说明或补正有疑问的，可以要求供应商进一步澄清、说明或补正，直至满足评标委员会的要求。</w:t>
      </w:r>
    </w:p>
    <w:p w14:paraId="24BF7F7F">
      <w:pPr>
        <w:pStyle w:val="87"/>
        <w:spacing w:line="276" w:lineRule="auto"/>
        <w:rPr>
          <w:rFonts w:asciiTheme="majorEastAsia" w:hAnsiTheme="majorEastAsia" w:eastAsiaTheme="majorEastAsia"/>
          <w:color w:val="000000"/>
          <w:szCs w:val="24"/>
        </w:rPr>
      </w:pPr>
      <w:bookmarkStart w:id="616" w:name="_Toc504654791"/>
      <w:bookmarkStart w:id="617" w:name="_Toc504479758"/>
      <w:bookmarkStart w:id="618" w:name="_Toc152042386"/>
      <w:bookmarkStart w:id="619" w:name="_Toc144974576"/>
      <w:bookmarkStart w:id="620" w:name="_Toc504479306"/>
      <w:bookmarkStart w:id="621" w:name="_Toc29573"/>
      <w:bookmarkStart w:id="622" w:name="_Toc179632626"/>
      <w:bookmarkStart w:id="623" w:name="_Toc152045608"/>
      <w:r>
        <w:rPr>
          <w:rFonts w:asciiTheme="majorEastAsia" w:hAnsiTheme="majorEastAsia" w:eastAsiaTheme="majorEastAsia"/>
          <w:color w:val="000000"/>
          <w:szCs w:val="24"/>
        </w:rPr>
        <w:t xml:space="preserve">3.4 </w:t>
      </w:r>
      <w:r>
        <w:rPr>
          <w:rFonts w:hint="eastAsia" w:asciiTheme="majorEastAsia" w:hAnsiTheme="majorEastAsia" w:eastAsiaTheme="majorEastAsia"/>
          <w:color w:val="000000"/>
          <w:szCs w:val="24"/>
        </w:rPr>
        <w:t>评标结果</w:t>
      </w:r>
      <w:bookmarkEnd w:id="616"/>
      <w:bookmarkEnd w:id="617"/>
      <w:bookmarkEnd w:id="618"/>
      <w:bookmarkEnd w:id="619"/>
      <w:bookmarkEnd w:id="620"/>
      <w:bookmarkEnd w:id="621"/>
      <w:bookmarkEnd w:id="622"/>
      <w:bookmarkEnd w:id="623"/>
    </w:p>
    <w:p w14:paraId="677C44D5">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3.4.1</w:t>
      </w:r>
      <w:r>
        <w:rPr>
          <w:rFonts w:hint="eastAsia" w:cs="宋体" w:asciiTheme="majorEastAsia" w:hAnsiTheme="majorEastAsia" w:eastAsiaTheme="majorEastAsia"/>
          <w:color w:val="000000"/>
          <w:sz w:val="24"/>
        </w:rPr>
        <w:t>投标单位最终得分</w:t>
      </w:r>
      <w:r>
        <w:rPr>
          <w:rFonts w:cs="宋体" w:asciiTheme="majorEastAsia" w:hAnsiTheme="majorEastAsia" w:eastAsiaTheme="majorEastAsia"/>
          <w:color w:val="000000"/>
          <w:sz w:val="24"/>
        </w:rPr>
        <w:t>=</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F1+F2+F3+F4+F5</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w:t>
      </w:r>
      <w:r>
        <w:rPr>
          <w:rFonts w:hint="eastAsia" w:cs="宋体" w:asciiTheme="majorEastAsia" w:hAnsiTheme="majorEastAsia" w:eastAsiaTheme="majorEastAsia"/>
          <w:color w:val="000000"/>
          <w:sz w:val="24"/>
        </w:rPr>
        <w:t>5</w:t>
      </w:r>
    </w:p>
    <w:p w14:paraId="1E6C7FC9">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3.4.2</w:t>
      </w:r>
      <w:r>
        <w:rPr>
          <w:rFonts w:hint="eastAsia" w:cs="宋体" w:asciiTheme="majorEastAsia" w:hAnsiTheme="majorEastAsia" w:eastAsiaTheme="majorEastAsia"/>
          <w:color w:val="000000"/>
          <w:sz w:val="24"/>
        </w:rPr>
        <w:t>除第二章“供应商须知”前附表授权直接确定中标人外，评标委员会按照得分由高到低的顺序推荐中标候选人。</w:t>
      </w:r>
    </w:p>
    <w:p w14:paraId="59A6A1CF">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3.4.3</w:t>
      </w:r>
      <w:r>
        <w:rPr>
          <w:rFonts w:hint="eastAsia" w:cs="宋体" w:asciiTheme="majorEastAsia" w:hAnsiTheme="majorEastAsia" w:eastAsiaTheme="majorEastAsia"/>
          <w:color w:val="000000"/>
          <w:sz w:val="24"/>
        </w:rPr>
        <w:t>评标委员会完成评标后，应当向采购人提交书面评标报告。</w:t>
      </w:r>
    </w:p>
    <w:p w14:paraId="0CE25860">
      <w:pPr>
        <w:widowControl/>
        <w:spacing w:line="276" w:lineRule="auto"/>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z w:val="24"/>
        </w:rPr>
        <w:t>附件</w:t>
      </w:r>
      <w:r>
        <w:rPr>
          <w:rFonts w:cs="宋体" w:asciiTheme="majorEastAsia" w:hAnsiTheme="majorEastAsia" w:eastAsiaTheme="majorEastAsia"/>
          <w:color w:val="000000"/>
          <w:sz w:val="24"/>
        </w:rPr>
        <w:t>A:</w:t>
      </w:r>
      <w:r>
        <w:rPr>
          <w:rFonts w:hint="eastAsia" w:cs="宋体" w:asciiTheme="majorEastAsia" w:hAnsiTheme="majorEastAsia" w:eastAsiaTheme="majorEastAsia"/>
          <w:color w:val="000000"/>
          <w:sz w:val="24"/>
        </w:rPr>
        <w:t>评标详细程序</w:t>
      </w:r>
    </w:p>
    <w:p w14:paraId="363647CB">
      <w:pPr>
        <w:widowControl/>
        <w:spacing w:line="276" w:lineRule="auto"/>
        <w:rPr>
          <w:rFonts w:cs="宋体" w:asciiTheme="majorEastAsia" w:hAnsiTheme="majorEastAsia" w:eastAsiaTheme="majorEastAsia"/>
          <w:color w:val="000000"/>
          <w:kern w:val="0"/>
          <w:sz w:val="28"/>
          <w:szCs w:val="28"/>
        </w:rPr>
      </w:pPr>
    </w:p>
    <w:p w14:paraId="34EE5125">
      <w:pPr>
        <w:widowControl/>
        <w:spacing w:line="276" w:lineRule="auto"/>
        <w:rPr>
          <w:rFonts w:cs="宋体" w:asciiTheme="majorEastAsia" w:hAnsiTheme="majorEastAsia" w:eastAsiaTheme="majorEastAsia"/>
          <w:color w:val="000000"/>
          <w:kern w:val="0"/>
          <w:sz w:val="28"/>
          <w:szCs w:val="28"/>
        </w:rPr>
      </w:pPr>
    </w:p>
    <w:p w14:paraId="45D309A8">
      <w:pPr>
        <w:widowControl/>
        <w:spacing w:line="276" w:lineRule="auto"/>
        <w:rPr>
          <w:rFonts w:cs="宋体" w:asciiTheme="majorEastAsia" w:hAnsiTheme="majorEastAsia" w:eastAsiaTheme="majorEastAsia"/>
          <w:color w:val="000000"/>
          <w:kern w:val="0"/>
          <w:sz w:val="28"/>
          <w:szCs w:val="28"/>
        </w:rPr>
      </w:pPr>
    </w:p>
    <w:p w14:paraId="1CF89BBE">
      <w:pPr>
        <w:widowControl/>
        <w:spacing w:line="276" w:lineRule="auto"/>
        <w:rPr>
          <w:rFonts w:cs="宋体" w:asciiTheme="majorEastAsia" w:hAnsiTheme="majorEastAsia" w:eastAsiaTheme="majorEastAsia"/>
          <w:color w:val="000000"/>
          <w:kern w:val="0"/>
          <w:sz w:val="28"/>
          <w:szCs w:val="28"/>
        </w:rPr>
      </w:pPr>
    </w:p>
    <w:p w14:paraId="36E43407">
      <w:pPr>
        <w:pStyle w:val="29"/>
        <w:rPr>
          <w:rFonts w:cs="宋体" w:asciiTheme="majorEastAsia" w:hAnsiTheme="majorEastAsia" w:eastAsiaTheme="majorEastAsia"/>
          <w:color w:val="000000"/>
          <w:kern w:val="0"/>
          <w:sz w:val="28"/>
          <w:szCs w:val="28"/>
        </w:rPr>
      </w:pPr>
    </w:p>
    <w:p w14:paraId="547F31FB">
      <w:pPr>
        <w:rPr>
          <w:rFonts w:cs="宋体" w:asciiTheme="majorEastAsia" w:hAnsiTheme="majorEastAsia" w:eastAsiaTheme="majorEastAsia"/>
          <w:color w:val="000000"/>
          <w:kern w:val="0"/>
          <w:sz w:val="28"/>
          <w:szCs w:val="28"/>
        </w:rPr>
      </w:pPr>
    </w:p>
    <w:p w14:paraId="6BC2DE86">
      <w:pPr>
        <w:pStyle w:val="29"/>
        <w:rPr>
          <w:rFonts w:cs="宋体" w:asciiTheme="majorEastAsia" w:hAnsiTheme="majorEastAsia" w:eastAsiaTheme="majorEastAsia"/>
          <w:color w:val="000000"/>
          <w:kern w:val="0"/>
          <w:sz w:val="28"/>
          <w:szCs w:val="28"/>
        </w:rPr>
      </w:pPr>
    </w:p>
    <w:p w14:paraId="143F2DB9">
      <w:pPr>
        <w:rPr>
          <w:rFonts w:cs="宋体" w:asciiTheme="majorEastAsia" w:hAnsiTheme="majorEastAsia" w:eastAsiaTheme="majorEastAsia"/>
          <w:color w:val="000000"/>
          <w:kern w:val="0"/>
          <w:sz w:val="28"/>
          <w:szCs w:val="28"/>
        </w:rPr>
      </w:pPr>
    </w:p>
    <w:p w14:paraId="20DB5981">
      <w:pPr>
        <w:pStyle w:val="29"/>
      </w:pPr>
    </w:p>
    <w:p w14:paraId="51AFD781"/>
    <w:p w14:paraId="65716BC9">
      <w:pPr>
        <w:pStyle w:val="29"/>
        <w:spacing w:line="276" w:lineRule="auto"/>
        <w:rPr>
          <w:rFonts w:hint="eastAsia" w:cs="宋体" w:asciiTheme="majorEastAsia" w:hAnsiTheme="majorEastAsia" w:eastAsiaTheme="majorEastAsia"/>
          <w:color w:val="000000"/>
        </w:rPr>
      </w:pPr>
      <w:bookmarkStart w:id="624" w:name="_Toc7277"/>
    </w:p>
    <w:p w14:paraId="049A6A50">
      <w:pPr>
        <w:pStyle w:val="29"/>
        <w:spacing w:line="276" w:lineRule="auto"/>
        <w:rPr>
          <w:rFonts w:hint="eastAsia" w:cs="宋体" w:asciiTheme="majorEastAsia" w:hAnsiTheme="majorEastAsia" w:eastAsiaTheme="majorEastAsia"/>
          <w:color w:val="000000"/>
        </w:rPr>
      </w:pPr>
    </w:p>
    <w:p w14:paraId="48526179">
      <w:pPr>
        <w:pStyle w:val="29"/>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第四章合同条款及格式</w:t>
      </w:r>
      <w:bookmarkEnd w:id="624"/>
    </w:p>
    <w:p w14:paraId="04601F33">
      <w:pPr>
        <w:widowControl/>
        <w:spacing w:line="276" w:lineRule="auto"/>
        <w:jc w:val="center"/>
        <w:rPr>
          <w:rFonts w:cs="宋体" w:asciiTheme="majorEastAsia" w:hAnsiTheme="majorEastAsia" w:eastAsiaTheme="majorEastAsia"/>
          <w:color w:val="000000"/>
          <w:kern w:val="0"/>
          <w:sz w:val="44"/>
          <w:szCs w:val="44"/>
        </w:rPr>
      </w:pPr>
    </w:p>
    <w:p w14:paraId="2A920178">
      <w:pPr>
        <w:widowControl/>
        <w:spacing w:line="276" w:lineRule="auto"/>
        <w:jc w:val="center"/>
        <w:rPr>
          <w:rFonts w:cs="宋体" w:asciiTheme="majorEastAsia" w:hAnsiTheme="majorEastAsia" w:eastAsiaTheme="majorEastAsia"/>
          <w:color w:val="000000"/>
          <w:kern w:val="0"/>
          <w:sz w:val="44"/>
          <w:szCs w:val="44"/>
        </w:rPr>
      </w:pPr>
    </w:p>
    <w:p w14:paraId="156CE8E8">
      <w:pPr>
        <w:widowControl/>
        <w:spacing w:line="276" w:lineRule="auto"/>
        <w:jc w:val="center"/>
        <w:rPr>
          <w:rFonts w:cs="宋体" w:asciiTheme="majorEastAsia" w:hAnsiTheme="majorEastAsia" w:eastAsiaTheme="majorEastAsia"/>
          <w:color w:val="000000"/>
          <w:kern w:val="0"/>
          <w:sz w:val="44"/>
          <w:szCs w:val="44"/>
        </w:rPr>
      </w:pPr>
    </w:p>
    <w:p w14:paraId="213249DE">
      <w:pPr>
        <w:widowControl/>
        <w:spacing w:line="276" w:lineRule="auto"/>
        <w:jc w:val="center"/>
        <w:rPr>
          <w:rFonts w:cs="宋体" w:asciiTheme="majorEastAsia" w:hAnsiTheme="majorEastAsia" w:eastAsiaTheme="majorEastAsia"/>
          <w:color w:val="000000"/>
          <w:kern w:val="0"/>
          <w:sz w:val="44"/>
          <w:szCs w:val="44"/>
        </w:rPr>
      </w:pPr>
    </w:p>
    <w:p w14:paraId="3B0E4C03">
      <w:pPr>
        <w:widowControl/>
        <w:spacing w:line="276" w:lineRule="auto"/>
        <w:jc w:val="center"/>
        <w:rPr>
          <w:rFonts w:cs="宋体" w:asciiTheme="majorEastAsia" w:hAnsiTheme="majorEastAsia" w:eastAsiaTheme="majorEastAsia"/>
          <w:color w:val="000000"/>
          <w:kern w:val="0"/>
          <w:sz w:val="28"/>
          <w:szCs w:val="28"/>
        </w:rPr>
      </w:pPr>
    </w:p>
    <w:p w14:paraId="2A03AF91">
      <w:pPr>
        <w:widowControl/>
        <w:spacing w:line="276" w:lineRule="auto"/>
        <w:jc w:val="center"/>
        <w:rPr>
          <w:rFonts w:cs="宋体" w:asciiTheme="majorEastAsia" w:hAnsiTheme="majorEastAsia" w:eastAsiaTheme="majorEastAsia"/>
          <w:color w:val="000000"/>
          <w:kern w:val="0"/>
          <w:sz w:val="28"/>
          <w:szCs w:val="28"/>
        </w:rPr>
      </w:pPr>
    </w:p>
    <w:p w14:paraId="3EC4CF0C">
      <w:pPr>
        <w:widowControl/>
        <w:spacing w:line="276" w:lineRule="auto"/>
        <w:rPr>
          <w:rFonts w:cs="宋体" w:asciiTheme="majorEastAsia" w:hAnsiTheme="majorEastAsia" w:eastAsiaTheme="majorEastAsia"/>
          <w:color w:val="000000"/>
          <w:kern w:val="0"/>
          <w:sz w:val="28"/>
          <w:szCs w:val="28"/>
        </w:rPr>
      </w:pPr>
    </w:p>
    <w:p w14:paraId="2BE1A077">
      <w:pPr>
        <w:rPr>
          <w:rFonts w:hint="eastAsia" w:cs="宋体" w:asciiTheme="majorEastAsia" w:hAnsiTheme="majorEastAsia" w:eastAsiaTheme="majorEastAsia"/>
          <w:b/>
          <w:bCs/>
          <w:color w:val="000000"/>
          <w:kern w:val="0"/>
          <w:sz w:val="40"/>
          <w:szCs w:val="40"/>
        </w:rPr>
      </w:pPr>
      <w:bookmarkStart w:id="625" w:name="_Toc508804043"/>
      <w:r>
        <w:rPr>
          <w:rFonts w:hint="eastAsia" w:cs="宋体" w:asciiTheme="majorEastAsia" w:hAnsiTheme="majorEastAsia" w:eastAsiaTheme="majorEastAsia"/>
          <w:b/>
          <w:bCs/>
          <w:color w:val="000000"/>
          <w:kern w:val="0"/>
          <w:sz w:val="40"/>
          <w:szCs w:val="40"/>
        </w:rPr>
        <w:br w:type="page"/>
      </w:r>
    </w:p>
    <w:p w14:paraId="12D0B6DF">
      <w:pPr>
        <w:widowControl/>
        <w:spacing w:line="276" w:lineRule="auto"/>
        <w:jc w:val="center"/>
        <w:rPr>
          <w:rFonts w:cs="宋体" w:asciiTheme="majorEastAsia" w:hAnsiTheme="majorEastAsia" w:eastAsiaTheme="majorEastAsia"/>
          <w:b/>
          <w:bCs/>
          <w:color w:val="000000"/>
          <w:kern w:val="0"/>
          <w:sz w:val="40"/>
          <w:szCs w:val="40"/>
        </w:rPr>
      </w:pPr>
      <w:r>
        <w:rPr>
          <w:rFonts w:hint="eastAsia" w:cs="宋体" w:asciiTheme="majorEastAsia" w:hAnsiTheme="majorEastAsia" w:eastAsiaTheme="majorEastAsia"/>
          <w:b/>
          <w:bCs/>
          <w:color w:val="000000"/>
          <w:kern w:val="0"/>
          <w:sz w:val="40"/>
          <w:szCs w:val="40"/>
        </w:rPr>
        <w:t>第一节通用合同条款</w:t>
      </w:r>
      <w:bookmarkEnd w:id="625"/>
    </w:p>
    <w:p w14:paraId="4FD1CDF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1.</w:t>
      </w:r>
      <w:r>
        <w:rPr>
          <w:rFonts w:hint="eastAsia" w:cs="宋体" w:asciiTheme="majorEastAsia" w:hAnsiTheme="majorEastAsia" w:eastAsiaTheme="majorEastAsia"/>
          <w:color w:val="000000"/>
        </w:rPr>
        <w:t>定义和解释</w:t>
      </w:r>
    </w:p>
    <w:p w14:paraId="02AAFE76">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本合同中的下列术语应解释为：</w:t>
      </w:r>
    </w:p>
    <w:p w14:paraId="01B8FFC5">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）“合同”系指买卖双方签署的、合同格式中载明的买卖双方所达成的协议，包括所有的附件、附录和构成合同的其它文件。</w:t>
      </w:r>
    </w:p>
    <w:p w14:paraId="36E74C0E">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）“合同价”系指根据合同规定，在卖方在完全履行合同义务后应付给卖方的价格。</w:t>
      </w:r>
    </w:p>
    <w:p w14:paraId="3BFA582E">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）“货物”系指卖方根据合同规定须向买方提供的一切设备及其配件、备用件、支持设备运行的软件、手册和其它技术资料及其它材料，</w:t>
      </w:r>
    </w:p>
    <w:p w14:paraId="434BB5FC">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4</w:t>
      </w:r>
      <w:r>
        <w:rPr>
          <w:rFonts w:hint="eastAsia" w:cs="宋体" w:asciiTheme="majorEastAsia" w:hAnsiTheme="majorEastAsia" w:eastAsiaTheme="majorEastAsia"/>
          <w:color w:val="000000"/>
        </w:rPr>
        <w:t>）“服务”系指根据合同规定卖方承担与供货有关的辅助服务，如运输、保险以及其它的服务，如安装、调试、提供技术协助、培训和其他类似的义务。</w:t>
      </w:r>
    </w:p>
    <w:p w14:paraId="08C92768">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5</w:t>
      </w:r>
      <w:r>
        <w:rPr>
          <w:rFonts w:hint="eastAsia" w:cs="宋体" w:asciiTheme="majorEastAsia" w:hAnsiTheme="majorEastAsia" w:eastAsiaTheme="majorEastAsia"/>
          <w:color w:val="000000"/>
        </w:rPr>
        <w:t>）“买方”系指购买货物的单位。</w:t>
      </w:r>
    </w:p>
    <w:p w14:paraId="0F4761C8">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6</w:t>
      </w:r>
      <w:r>
        <w:rPr>
          <w:rFonts w:hint="eastAsia" w:cs="宋体" w:asciiTheme="majorEastAsia" w:hAnsiTheme="majorEastAsia" w:eastAsiaTheme="majorEastAsia"/>
          <w:color w:val="000000"/>
        </w:rPr>
        <w:t>）“卖方”系指根据合同规定提供货物和服务的具有法人资格的公司或实体。</w:t>
      </w:r>
    </w:p>
    <w:p w14:paraId="7C7963E0">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7</w:t>
      </w:r>
      <w:r>
        <w:rPr>
          <w:rFonts w:hint="eastAsia" w:cs="宋体" w:asciiTheme="majorEastAsia" w:hAnsiTheme="majorEastAsia" w:eastAsiaTheme="majorEastAsia"/>
          <w:color w:val="000000"/>
        </w:rPr>
        <w:t>）“现场”系指合同项下货物将要进行安装和运行的地点。</w:t>
      </w:r>
    </w:p>
    <w:p w14:paraId="077D30F0">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8</w:t>
      </w:r>
      <w:r>
        <w:rPr>
          <w:rFonts w:hint="eastAsia" w:cs="宋体" w:asciiTheme="majorEastAsia" w:hAnsiTheme="majorEastAsia" w:eastAsiaTheme="majorEastAsia"/>
          <w:color w:val="000000"/>
        </w:rPr>
        <w:t>）“验收”系指合同双方依据规定的程序和条件确认合同项下的货物符合技术规范的要求。</w:t>
      </w:r>
    </w:p>
    <w:p w14:paraId="74A6E8A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2.</w:t>
      </w:r>
      <w:r>
        <w:rPr>
          <w:rFonts w:hint="eastAsia" w:cs="宋体" w:asciiTheme="majorEastAsia" w:hAnsiTheme="majorEastAsia" w:eastAsiaTheme="majorEastAsia"/>
          <w:color w:val="000000"/>
        </w:rPr>
        <w:t>技术规范</w:t>
      </w:r>
    </w:p>
    <w:p w14:paraId="3E0C9CF5">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提交货物的技术规范应与招标文件规定的技术规范和技术规范附件（如有）及其投标文件的规格偏差表</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如被买方接受</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相一致。</w:t>
      </w:r>
    </w:p>
    <w:p w14:paraId="185D4D66">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若技术规范中无相应说明，则以国家有关部门最新颁布的相应标准及规范为准。</w:t>
      </w:r>
    </w:p>
    <w:p w14:paraId="1985509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3.</w:t>
      </w:r>
      <w:r>
        <w:rPr>
          <w:rFonts w:hint="eastAsia" w:cs="宋体" w:asciiTheme="majorEastAsia" w:hAnsiTheme="majorEastAsia" w:eastAsiaTheme="majorEastAsia"/>
          <w:color w:val="000000"/>
        </w:rPr>
        <w:t>专利权</w:t>
      </w:r>
    </w:p>
    <w:p w14:paraId="649524AA">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卖方应保护买方在使用该货物或其任何一部分时不受第三方提出侵犯专利权、商标权或工业设计权的指控。如果任何第三方提出侵权指控，卖方须与第三方交涉并承担可能发生的一切法律责任和费用。</w:t>
      </w:r>
    </w:p>
    <w:p w14:paraId="1F083C2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4.</w:t>
      </w:r>
      <w:r>
        <w:rPr>
          <w:rFonts w:hint="eastAsia" w:cs="宋体" w:asciiTheme="majorEastAsia" w:hAnsiTheme="majorEastAsia" w:eastAsiaTheme="majorEastAsia"/>
          <w:color w:val="000000"/>
        </w:rPr>
        <w:t>包装要求</w:t>
      </w:r>
    </w:p>
    <w:p w14:paraId="2637490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4.1</w:t>
      </w:r>
      <w:r>
        <w:rPr>
          <w:rFonts w:hint="eastAsia" w:cs="宋体" w:asciiTheme="majorEastAsia" w:hAnsiTheme="majorEastAsia" w:eastAsiaTheme="majorEastAsia"/>
          <w:color w:val="000000"/>
        </w:rPr>
        <w:t>除合同另有规定外，卖方提供的全部货物，均应采用国家或专业标准保护措施进行包装，使包装应适应于远距离运输、防潮、防震、防锈和防粗暴装卸，确保货物安全无损运抵现场。由于包装不善所引起的货物锈蚀、损坏和损失均由卖方承担。</w:t>
      </w:r>
    </w:p>
    <w:p w14:paraId="17F8FAB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4.2</w:t>
      </w:r>
      <w:r>
        <w:rPr>
          <w:rFonts w:hint="eastAsia" w:cs="宋体" w:asciiTheme="majorEastAsia" w:hAnsiTheme="majorEastAsia" w:eastAsiaTheme="majorEastAsia"/>
          <w:color w:val="000000"/>
        </w:rPr>
        <w:t>每件包装箱内应附一份详细装箱单和质量合格证。</w:t>
      </w:r>
    </w:p>
    <w:p w14:paraId="2E6423E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5.</w:t>
      </w:r>
      <w:r>
        <w:rPr>
          <w:rFonts w:hint="eastAsia" w:cs="宋体" w:asciiTheme="majorEastAsia" w:hAnsiTheme="majorEastAsia" w:eastAsiaTheme="majorEastAsia"/>
          <w:color w:val="000000"/>
        </w:rPr>
        <w:t>装运标志</w:t>
      </w:r>
    </w:p>
    <w:p w14:paraId="1681C65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5.1</w:t>
      </w:r>
      <w:r>
        <w:rPr>
          <w:rFonts w:hint="eastAsia" w:cs="宋体" w:asciiTheme="majorEastAsia" w:hAnsiTheme="majorEastAsia" w:eastAsiaTheme="majorEastAsia"/>
          <w:color w:val="000000"/>
        </w:rPr>
        <w:t>卖方应在每一包装箱的四侧用不褪色的油漆以醒目的中文字样做出下列标记：</w:t>
      </w:r>
    </w:p>
    <w:p w14:paraId="6A9E0F4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收货人：</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5412400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合同号：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7D8ADE6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(3)</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装运标志：</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08CF054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(4)</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收货人代号：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6FEF8C2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(5)</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目的地：</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252DDC4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(6)</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货物名称、品目号和箱号：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74CEF77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(7)</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毛重</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净重（公斤）：</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7FBFE32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(8)</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尺寸（长×宽×高，以厘米计）：</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1030863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5.2</w:t>
      </w:r>
      <w:r>
        <w:rPr>
          <w:rFonts w:hint="eastAsia" w:cs="宋体" w:asciiTheme="majorEastAsia" w:hAnsiTheme="majorEastAsia" w:eastAsiaTheme="majorEastAsia"/>
          <w:color w:val="000000"/>
        </w:rPr>
        <w:t>如果货物单件重量在</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吨或</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吨以上，卖方应在每件包装箱的两侧用中文和适当的运输标记，标明“重心”和“吊装点”，以便装卸和搬运。</w:t>
      </w:r>
    </w:p>
    <w:p w14:paraId="62CEA803">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根据货物的特点和运输的不同要求，卖方应在包装箱上清楚地标有“小心轻放”、“防潮”、“勿倒置”等字样和其他适当的标志。</w:t>
      </w:r>
    </w:p>
    <w:p w14:paraId="544A000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6.</w:t>
      </w:r>
      <w:r>
        <w:rPr>
          <w:rFonts w:hint="eastAsia" w:cs="宋体" w:asciiTheme="majorEastAsia" w:hAnsiTheme="majorEastAsia" w:eastAsiaTheme="majorEastAsia"/>
          <w:color w:val="000000"/>
        </w:rPr>
        <w:t>交货方式</w:t>
      </w:r>
    </w:p>
    <w:p w14:paraId="7DED87A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6.1</w:t>
      </w:r>
      <w:r>
        <w:rPr>
          <w:rFonts w:hint="eastAsia" w:cs="宋体" w:asciiTheme="majorEastAsia" w:hAnsiTheme="majorEastAsia" w:eastAsiaTheme="majorEastAsia"/>
          <w:color w:val="000000"/>
        </w:rPr>
        <w:t>交货方式一般为下列其中一种，具体在合同特殊条款中规定。</w:t>
      </w:r>
    </w:p>
    <w:p w14:paraId="4A0E0CC3">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）现场交货</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卖方负责办理运输和保险，将货物运抵现场。有关运输和保险的一切费用由卖方承担。所有货物运抵现场的日期为交货日期。</w:t>
      </w:r>
    </w:p>
    <w:p w14:paraId="6D37B6BC">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）工厂交货：由卖方负责办理运输。运输费和保险费由买方承担。运输部门出具收据的日期为交货日期。</w:t>
      </w:r>
    </w:p>
    <w:p w14:paraId="532EFC08">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）买方自提货物：由买方在合同规定地点自行办理提货。提单日期为交货日期。</w:t>
      </w:r>
    </w:p>
    <w:p w14:paraId="262C985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6.2</w:t>
      </w:r>
      <w:r>
        <w:rPr>
          <w:rFonts w:hint="eastAsia" w:cs="宋体" w:asciiTheme="majorEastAsia" w:hAnsiTheme="majorEastAsia" w:eastAsiaTheme="majorEastAsia"/>
          <w:color w:val="000000"/>
        </w:rPr>
        <w:t>卖方应在合同规定的交货期前</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天以电报或电传形式将合同号、货物名称、数量、包装箱件数、总毛重、总体积</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立方米</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和备妥交货日期通知买方。同时卖方应用挂号信将详细交货清单一式六份包括合同号、货物名称、规格、数量、总毛重、总体积</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立方米</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、包装箱件数和每个包装箱的尺寸</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长×宽×高</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、单价、总价和备妥待交日期以及对货物在运输和仓储的特殊要求和注意事项通知买方。</w:t>
      </w:r>
    </w:p>
    <w:p w14:paraId="258738B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6.3</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在现场交货和工厂交货条件下，卖方装运的货物不应超过合同规定的数量或重量。否则，卖方应对超运部分的数量或重量而引起的一切后果负责。</w:t>
      </w:r>
    </w:p>
    <w:p w14:paraId="30AC25E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7.</w:t>
      </w:r>
      <w:r>
        <w:rPr>
          <w:rFonts w:hint="eastAsia" w:cs="宋体" w:asciiTheme="majorEastAsia" w:hAnsiTheme="majorEastAsia" w:eastAsiaTheme="majorEastAsia"/>
          <w:color w:val="000000"/>
        </w:rPr>
        <w:t>装运通知</w:t>
      </w:r>
    </w:p>
    <w:p w14:paraId="2A87558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7.1 </w:t>
      </w:r>
      <w:r>
        <w:rPr>
          <w:rFonts w:hint="eastAsia" w:cs="宋体" w:asciiTheme="majorEastAsia" w:hAnsiTheme="majorEastAsia" w:eastAsiaTheme="majorEastAsia"/>
          <w:color w:val="000000"/>
        </w:rPr>
        <w:t>在现场交货和工厂交货条件下的货物，在卖方已通知买方货物已备妥待运输后</w:t>
      </w:r>
      <w:r>
        <w:rPr>
          <w:rFonts w:cs="宋体" w:asciiTheme="majorEastAsia" w:hAnsiTheme="majorEastAsia" w:eastAsiaTheme="majorEastAsia"/>
          <w:color w:val="000000"/>
        </w:rPr>
        <w:t>24</w:t>
      </w:r>
      <w:r>
        <w:rPr>
          <w:rFonts w:hint="eastAsia" w:cs="宋体" w:asciiTheme="majorEastAsia" w:hAnsiTheme="majorEastAsia" w:eastAsiaTheme="majorEastAsia"/>
          <w:color w:val="000000"/>
        </w:rPr>
        <w:t>小时之内，卖方应将合同号、货名、数量、毛重、总体积</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立方米</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、发票金额、运输工具名称及启运日期，以电报或电传通知买方。如因卖方延误将上述内容用电报或电传通知买方，由此引起的一切损失应由卖方负担。</w:t>
      </w:r>
    </w:p>
    <w:p w14:paraId="552D96C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8.</w:t>
      </w:r>
      <w:r>
        <w:rPr>
          <w:rFonts w:hint="eastAsia" w:cs="宋体" w:asciiTheme="majorEastAsia" w:hAnsiTheme="majorEastAsia" w:eastAsiaTheme="majorEastAsia"/>
          <w:color w:val="000000"/>
        </w:rPr>
        <w:t>保险</w:t>
      </w:r>
    </w:p>
    <w:p w14:paraId="76C747B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8.1</w:t>
      </w:r>
      <w:r>
        <w:rPr>
          <w:rFonts w:hint="eastAsia" w:cs="宋体" w:asciiTheme="majorEastAsia" w:hAnsiTheme="majorEastAsia" w:eastAsiaTheme="majorEastAsia"/>
          <w:color w:val="000000"/>
        </w:rPr>
        <w:t>如果货物是按现场交货方式报价的，由卖方办理货物运抵现场这</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段的保险，保险以人民币按照发票金额的</w:t>
      </w:r>
      <w:r>
        <w:rPr>
          <w:rFonts w:cs="宋体" w:asciiTheme="majorEastAsia" w:hAnsiTheme="majorEastAsia" w:eastAsiaTheme="majorEastAsia"/>
          <w:color w:val="000000"/>
        </w:rPr>
        <w:t>110%</w:t>
      </w:r>
      <w:r>
        <w:rPr>
          <w:rFonts w:hint="eastAsia" w:cs="宋体" w:asciiTheme="majorEastAsia" w:hAnsiTheme="majorEastAsia" w:eastAsiaTheme="majorEastAsia"/>
          <w:color w:val="000000"/>
        </w:rPr>
        <w:t>办理“一切险”，保险范围包括卖方承诺装运的货物；如果货物是按工厂交货、或买方自提货物方式报价的，其保险由买方办理。</w:t>
      </w:r>
    </w:p>
    <w:p w14:paraId="3039655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9.</w:t>
      </w:r>
      <w:r>
        <w:rPr>
          <w:rFonts w:hint="eastAsia" w:cs="宋体" w:asciiTheme="majorEastAsia" w:hAnsiTheme="majorEastAsia" w:eastAsiaTheme="majorEastAsia"/>
          <w:color w:val="000000"/>
        </w:rPr>
        <w:t>付款方式（以双方最终签订合同为准）</w:t>
      </w:r>
    </w:p>
    <w:p w14:paraId="124D5E8A">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货物供应完成</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个月后</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无质量问题</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，一次性付款。</w:t>
      </w:r>
    </w:p>
    <w:p w14:paraId="6AE7E31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10.</w:t>
      </w:r>
      <w:r>
        <w:rPr>
          <w:rFonts w:hint="eastAsia" w:cs="宋体" w:asciiTheme="majorEastAsia" w:hAnsiTheme="majorEastAsia" w:eastAsiaTheme="majorEastAsia"/>
          <w:color w:val="000000"/>
        </w:rPr>
        <w:t>技术资料</w:t>
      </w:r>
    </w:p>
    <w:p w14:paraId="03C30DF9">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合同项下技术资料</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除合同特殊条款规定外</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将以下列方式交付：</w:t>
      </w:r>
    </w:p>
    <w:p w14:paraId="268A911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10.1 </w:t>
      </w:r>
      <w:r>
        <w:rPr>
          <w:rFonts w:hint="eastAsia" w:cs="宋体" w:asciiTheme="majorEastAsia" w:hAnsiTheme="majorEastAsia" w:eastAsiaTheme="majorEastAsia"/>
          <w:color w:val="000000"/>
        </w:rPr>
        <w:t>合同生效后</w:t>
      </w:r>
      <w:r>
        <w:rPr>
          <w:rFonts w:cs="宋体" w:asciiTheme="majorEastAsia" w:hAnsiTheme="majorEastAsia" w:eastAsiaTheme="majorEastAsia"/>
          <w:color w:val="000000"/>
        </w:rPr>
        <w:t>60</w:t>
      </w:r>
      <w:r>
        <w:rPr>
          <w:rFonts w:hint="eastAsia" w:cs="宋体" w:asciiTheme="majorEastAsia" w:hAnsiTheme="majorEastAsia" w:eastAsiaTheme="majorEastAsia"/>
          <w:color w:val="000000"/>
        </w:rPr>
        <w:t>天之内，卖方应将每台设备和仪器的中文技术资料一套，如目录索引、图纸、技术说明书、操作手册、使用指南、维修指南和</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或服务手册和示意图寄给买方。</w:t>
      </w:r>
    </w:p>
    <w:p w14:paraId="579EB5E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10.2 </w:t>
      </w:r>
      <w:r>
        <w:rPr>
          <w:rFonts w:hint="eastAsia" w:cs="宋体" w:asciiTheme="majorEastAsia" w:hAnsiTheme="majorEastAsia" w:eastAsiaTheme="majorEastAsia"/>
          <w:color w:val="000000"/>
        </w:rPr>
        <w:t>另外一套完整的上述资料应包装好随同每批货物一起发运。</w:t>
      </w:r>
    </w:p>
    <w:p w14:paraId="2B6AC7C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10.3 </w:t>
      </w:r>
      <w:r>
        <w:rPr>
          <w:rFonts w:hint="eastAsia" w:cs="宋体" w:asciiTheme="majorEastAsia" w:hAnsiTheme="majorEastAsia" w:eastAsiaTheme="majorEastAsia"/>
          <w:color w:val="000000"/>
        </w:rPr>
        <w:t>如果买方确认卖方提供的技术资料不完整或在运输过程中丢失，卖方将在收到买方通知后</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天内将这些资料免费寄给买方。</w:t>
      </w:r>
    </w:p>
    <w:p w14:paraId="764F190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质量保证</w:t>
      </w:r>
    </w:p>
    <w:p w14:paraId="7429672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11.1 </w:t>
      </w:r>
      <w:r>
        <w:rPr>
          <w:rFonts w:hint="eastAsia" w:cs="宋体" w:asciiTheme="majorEastAsia" w:hAnsiTheme="majorEastAsia" w:eastAsiaTheme="majorEastAsia"/>
          <w:color w:val="000000"/>
        </w:rPr>
        <w:t>卖方应保证货物是全新、未使用过的，是用一流的工艺和最佳材料制造而成的，并完全符合合同规定的质量、规格和性能的要求。卖方应保证所提供的货物经正确安装、正常运转和保养在其使用寿命期内应具有满意的性能。在货物质量保证期之内，卖方应对由于设计、工艺或材料的缺陷而发生的任何不足或故障负责。</w:t>
      </w:r>
    </w:p>
    <w:p w14:paraId="0D5AF22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11.2 </w:t>
      </w:r>
      <w:r>
        <w:rPr>
          <w:rFonts w:hint="eastAsia" w:cs="宋体" w:asciiTheme="majorEastAsia" w:hAnsiTheme="majorEastAsia" w:eastAsiaTheme="majorEastAsia"/>
          <w:color w:val="000000"/>
        </w:rPr>
        <w:t>根据买方按检验标准自己检验结果或当地质检部门检验结果，或者在质量保证期内，如果货物的数量、质量或规格与合同不符，或证实货物是有缺陷的，包括潜在的缺陷或使用不符合要求的材料等，买方应尽快以书面形式通知卖方，提出索赔。</w:t>
      </w:r>
    </w:p>
    <w:p w14:paraId="181E2925">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11.3 </w:t>
      </w:r>
      <w:r>
        <w:rPr>
          <w:rFonts w:hint="eastAsia" w:cs="宋体" w:asciiTheme="majorEastAsia" w:hAnsiTheme="majorEastAsia" w:eastAsiaTheme="majorEastAsia"/>
          <w:color w:val="000000"/>
        </w:rPr>
        <w:t>卖方在收到通知后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天内应免费维修或更换有缺陷的货物或部件。</w:t>
      </w:r>
    </w:p>
    <w:p w14:paraId="58AD71D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11.4 </w:t>
      </w:r>
      <w:r>
        <w:rPr>
          <w:rFonts w:hint="eastAsia" w:cs="宋体" w:asciiTheme="majorEastAsia" w:hAnsiTheme="majorEastAsia" w:eastAsiaTheme="majorEastAsia"/>
          <w:color w:val="000000"/>
        </w:rPr>
        <w:t>如果卖方在收到通知后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天内没有弥补缺陷，买方可采取必要的补救措施，但风险和费用将由卖方承担。</w:t>
      </w:r>
    </w:p>
    <w:p w14:paraId="1531797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11.5 </w:t>
      </w:r>
      <w:r>
        <w:rPr>
          <w:rFonts w:hint="eastAsia" w:cs="宋体" w:asciiTheme="majorEastAsia" w:hAnsiTheme="majorEastAsia" w:eastAsiaTheme="majorEastAsia"/>
          <w:color w:val="000000"/>
        </w:rPr>
        <w:t>除合同特殊条款规定外，合同项下货物的质量保证期为自货物通过最终验收起</w:t>
      </w:r>
      <w:r>
        <w:rPr>
          <w:rFonts w:cs="宋体" w:asciiTheme="majorEastAsia" w:hAnsiTheme="majorEastAsia" w:eastAsiaTheme="majorEastAsia"/>
          <w:color w:val="000000"/>
        </w:rPr>
        <w:t>12</w:t>
      </w:r>
      <w:r>
        <w:rPr>
          <w:rFonts w:hint="eastAsia" w:cs="宋体" w:asciiTheme="majorEastAsia" w:hAnsiTheme="majorEastAsia" w:eastAsiaTheme="majorEastAsia"/>
          <w:color w:val="000000"/>
        </w:rPr>
        <w:t>个月。</w:t>
      </w:r>
    </w:p>
    <w:p w14:paraId="1F95707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12.</w:t>
      </w:r>
      <w:r>
        <w:rPr>
          <w:rFonts w:hint="eastAsia" w:cs="宋体" w:asciiTheme="majorEastAsia" w:hAnsiTheme="majorEastAsia" w:eastAsiaTheme="majorEastAsia"/>
          <w:color w:val="000000"/>
        </w:rPr>
        <w:t>检验</w:t>
      </w:r>
    </w:p>
    <w:p w14:paraId="15FCC77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12.1</w:t>
      </w:r>
      <w:r>
        <w:rPr>
          <w:rFonts w:hint="eastAsia" w:cs="宋体" w:asciiTheme="majorEastAsia" w:hAnsiTheme="majorEastAsia" w:eastAsiaTheme="majorEastAsia"/>
          <w:color w:val="000000"/>
        </w:rPr>
        <w:t>在交货前，制造商应对货物的质量、规格、性能、数量和重量等进行详细而全面的检验，并出具一份证明货物符合合同规定的证书。该证书将作为申请付款单据的一部分，但有关质量、规格、性能、数量或重量的检验不应视为最终检验。制造商检验的结果和细节应在证书中加以说明。</w:t>
      </w:r>
    </w:p>
    <w:p w14:paraId="006B5A4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12.2 </w:t>
      </w:r>
      <w:r>
        <w:rPr>
          <w:rFonts w:hint="eastAsia" w:cs="宋体" w:asciiTheme="majorEastAsia" w:hAnsiTheme="majorEastAsia" w:eastAsiaTheme="majorEastAsia"/>
          <w:color w:val="000000"/>
        </w:rPr>
        <w:t>货物运抵现场后，买方将对货物的质量、规格、数量和重量进行检验并出具检验证书。如发现货物的规格或数量或两者都与合同不符，买方有权在货物运抵现场后</w:t>
      </w:r>
      <w:r>
        <w:rPr>
          <w:rFonts w:cs="宋体" w:asciiTheme="majorEastAsia" w:hAnsiTheme="majorEastAsia" w:eastAsiaTheme="majorEastAsia"/>
          <w:color w:val="000000"/>
        </w:rPr>
        <w:t>90</w:t>
      </w:r>
      <w:r>
        <w:rPr>
          <w:rFonts w:hint="eastAsia" w:cs="宋体" w:asciiTheme="majorEastAsia" w:hAnsiTheme="majorEastAsia" w:eastAsiaTheme="majorEastAsia"/>
          <w:color w:val="000000"/>
        </w:rPr>
        <w:t>天内，根据买方按检验标准自己检验结果或当地质检部门出具的检验证书向卖方提出索赔，责任由保险公司或运输部门承担的除外。</w:t>
      </w:r>
    </w:p>
    <w:p w14:paraId="71B10FA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12.3 </w:t>
      </w:r>
      <w:r>
        <w:rPr>
          <w:rFonts w:hint="eastAsia" w:cs="宋体" w:asciiTheme="majorEastAsia" w:hAnsiTheme="majorEastAsia" w:eastAsiaTheme="majorEastAsia"/>
          <w:color w:val="000000"/>
        </w:rPr>
        <w:t>如果货物的质量和规格与合同不符，或在第</w:t>
      </w: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条规定的质量保证期内证实货物是有缺陷的，包括潜在的缺陷或使用不符合要求的材料，买方将有权向卖方提出索赔。</w:t>
      </w:r>
    </w:p>
    <w:p w14:paraId="3F11922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12.4 </w:t>
      </w:r>
      <w:r>
        <w:rPr>
          <w:rFonts w:hint="eastAsia" w:cs="宋体" w:asciiTheme="majorEastAsia" w:hAnsiTheme="majorEastAsia" w:eastAsiaTheme="majorEastAsia"/>
          <w:color w:val="000000"/>
        </w:rPr>
        <w:t>买方有权提出在货物制造过程中派人到制造厂进行监造，卖方有义务为买方监造人员提供方便。</w:t>
      </w:r>
    </w:p>
    <w:p w14:paraId="21F742F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12.5 </w:t>
      </w:r>
      <w:r>
        <w:rPr>
          <w:rFonts w:hint="eastAsia" w:cs="宋体" w:asciiTheme="majorEastAsia" w:hAnsiTheme="majorEastAsia" w:eastAsiaTheme="majorEastAsia"/>
          <w:color w:val="000000"/>
        </w:rPr>
        <w:t>制造厂对所供货物进行机械运转试验和性能试验时，必须提前通知买方。</w:t>
      </w:r>
    </w:p>
    <w:p w14:paraId="7FAD016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13.</w:t>
      </w:r>
      <w:r>
        <w:rPr>
          <w:rFonts w:hint="eastAsia" w:cs="宋体" w:asciiTheme="majorEastAsia" w:hAnsiTheme="majorEastAsia" w:eastAsiaTheme="majorEastAsia"/>
          <w:color w:val="000000"/>
        </w:rPr>
        <w:t>索赔</w:t>
      </w:r>
    </w:p>
    <w:p w14:paraId="480A75B5">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13.1 </w:t>
      </w:r>
      <w:r>
        <w:rPr>
          <w:rFonts w:hint="eastAsia" w:cs="宋体" w:asciiTheme="majorEastAsia" w:hAnsiTheme="majorEastAsia" w:eastAsiaTheme="majorEastAsia"/>
          <w:color w:val="000000"/>
        </w:rPr>
        <w:t>除责任应由保险公司或运输部门承担的之外，买方有权根据买方按检验标准自己检验的结果或当地质检部门出具的质检证书向卖方提出索赔。</w:t>
      </w:r>
    </w:p>
    <w:p w14:paraId="41ABADE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13.2</w:t>
      </w:r>
      <w:r>
        <w:rPr>
          <w:rFonts w:hint="eastAsia" w:cs="宋体" w:asciiTheme="majorEastAsia" w:hAnsiTheme="majorEastAsia" w:eastAsiaTheme="majorEastAsia"/>
          <w:color w:val="000000"/>
        </w:rPr>
        <w:t>在根据合同第</w:t>
      </w: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条和第</w:t>
      </w:r>
      <w:r>
        <w:rPr>
          <w:rFonts w:cs="宋体" w:asciiTheme="majorEastAsia" w:hAnsiTheme="majorEastAsia" w:eastAsiaTheme="majorEastAsia"/>
          <w:color w:val="000000"/>
        </w:rPr>
        <w:t>12</w:t>
      </w:r>
      <w:r>
        <w:rPr>
          <w:rFonts w:hint="eastAsia" w:cs="宋体" w:asciiTheme="majorEastAsia" w:hAnsiTheme="majorEastAsia" w:eastAsiaTheme="majorEastAsia"/>
          <w:color w:val="000000"/>
        </w:rPr>
        <w:t>条规定的检验期和质量保证期内，如果卖方对买方提出的索赔和差异负有责任，卖方应按照买方同意的下列一种或多种方式解决索赔事宜：</w:t>
      </w:r>
    </w:p>
    <w:p w14:paraId="7C859037">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）卖方同意退货，并按合同规定的同种货币将货款退还给买方，并承担由此发生的一切损失和费用，包括利息、银行手续费、运费、保险费、检验费、仓储费、装卸费以及为保护退回货物所需的其它必要费用。</w:t>
      </w:r>
    </w:p>
    <w:p w14:paraId="127065D5">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）根据货物低劣程度、损坏程度以及买方所遭受损失的数额，经买卖双方商定降低货物的价格。</w:t>
      </w:r>
    </w:p>
    <w:p w14:paraId="443DF8D9">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）用符合规格、质量和性能要求的新零件、部件或货物来更换有缺陷的部分或</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和修补缺陷部分，卖方应承担一切费用和风险，并负担买方所发生的</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切直接费用。同时，卖方应按合同第</w:t>
      </w: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条规定，相应延长修补或更换件的质量保证期。</w:t>
      </w:r>
    </w:p>
    <w:p w14:paraId="3B8CB78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13.3 </w:t>
      </w:r>
      <w:r>
        <w:rPr>
          <w:rFonts w:hint="eastAsia" w:cs="宋体" w:asciiTheme="majorEastAsia" w:hAnsiTheme="majorEastAsia" w:eastAsiaTheme="majorEastAsia"/>
          <w:color w:val="000000"/>
        </w:rPr>
        <w:t>如果在买方发出索赔通知后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天内，卖方未作答复，上述索赔应视为已被卖方接受。如卖方未能在买方提出索赔通知后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天内或买方同意的更长时间内，按照本合同第</w:t>
      </w:r>
      <w:r>
        <w:rPr>
          <w:rFonts w:cs="宋体" w:asciiTheme="majorEastAsia" w:hAnsiTheme="majorEastAsia" w:eastAsiaTheme="majorEastAsia"/>
          <w:color w:val="000000"/>
        </w:rPr>
        <w:t>13.2</w:t>
      </w:r>
      <w:r>
        <w:rPr>
          <w:rFonts w:hint="eastAsia" w:cs="宋体" w:asciiTheme="majorEastAsia" w:hAnsiTheme="majorEastAsia" w:eastAsiaTheme="majorEastAsia"/>
          <w:color w:val="000000"/>
        </w:rPr>
        <w:t>条规定的任何一种方法解决索赔事宜，买方将从议付款或从卖方开具的履约保证金保函中扣回索赔金额。如果这些金额不足以补偿索赔金额，买方有仅向卖方提出不足部分的补偿。</w:t>
      </w:r>
    </w:p>
    <w:p w14:paraId="4EB6D4B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14.</w:t>
      </w:r>
      <w:r>
        <w:rPr>
          <w:rFonts w:hint="eastAsia" w:cs="宋体" w:asciiTheme="majorEastAsia" w:hAnsiTheme="majorEastAsia" w:eastAsiaTheme="majorEastAsia"/>
          <w:color w:val="000000"/>
        </w:rPr>
        <w:t>延期交货</w:t>
      </w:r>
    </w:p>
    <w:p w14:paraId="17D4BDE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14.1 </w:t>
      </w:r>
      <w:r>
        <w:rPr>
          <w:rFonts w:hint="eastAsia" w:cs="宋体" w:asciiTheme="majorEastAsia" w:hAnsiTheme="majorEastAsia" w:eastAsiaTheme="majorEastAsia"/>
          <w:color w:val="000000"/>
        </w:rPr>
        <w:t>卖方应按照“供货清单”中买方规定的时间表交货和提供服务。</w:t>
      </w:r>
    </w:p>
    <w:p w14:paraId="2A75D71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14.2 </w:t>
      </w:r>
      <w:r>
        <w:rPr>
          <w:rFonts w:hint="eastAsia" w:cs="宋体" w:asciiTheme="majorEastAsia" w:hAnsiTheme="majorEastAsia" w:eastAsiaTheme="majorEastAsia"/>
          <w:color w:val="000000"/>
        </w:rPr>
        <w:t>在履行合同过程中，如果卖方遇到不能按时交货和提供服务的情况，应及时以书面形式将不能按时交货的理由、延误时间通知买方。买方在收到卖方通知后，应进行分析，如果同意，可通过修改合同，酌情延长交货时间。</w:t>
      </w:r>
    </w:p>
    <w:p w14:paraId="1F982D5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14.3 </w:t>
      </w:r>
      <w:r>
        <w:rPr>
          <w:rFonts w:hint="eastAsia" w:cs="宋体" w:asciiTheme="majorEastAsia" w:hAnsiTheme="majorEastAsia" w:eastAsiaTheme="majorEastAsia"/>
          <w:color w:val="000000"/>
        </w:rPr>
        <w:t>如果卖方毫无理由地拖延交货，将受到以下制裁：没收履约保证金，加收违约损失赔偿和</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或终止合同。</w:t>
      </w:r>
    </w:p>
    <w:p w14:paraId="6CB83A6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15.</w:t>
      </w:r>
      <w:r>
        <w:rPr>
          <w:rFonts w:hint="eastAsia" w:cs="宋体" w:asciiTheme="majorEastAsia" w:hAnsiTheme="majorEastAsia" w:eastAsiaTheme="majorEastAsia"/>
          <w:color w:val="000000"/>
        </w:rPr>
        <w:t>违约赔偿</w:t>
      </w:r>
    </w:p>
    <w:p w14:paraId="46F09C0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15.1 </w:t>
      </w:r>
      <w:r>
        <w:rPr>
          <w:rFonts w:hint="eastAsia" w:cs="宋体" w:asciiTheme="majorEastAsia" w:hAnsiTheme="majorEastAsia" w:eastAsiaTheme="majorEastAsia"/>
          <w:color w:val="000000"/>
        </w:rPr>
        <w:t>除合同第</w:t>
      </w:r>
      <w:r>
        <w:rPr>
          <w:rFonts w:cs="宋体" w:asciiTheme="majorEastAsia" w:hAnsiTheme="majorEastAsia" w:eastAsiaTheme="majorEastAsia"/>
          <w:color w:val="000000"/>
        </w:rPr>
        <w:t>16</w:t>
      </w:r>
      <w:r>
        <w:rPr>
          <w:rFonts w:hint="eastAsia" w:cs="宋体" w:asciiTheme="majorEastAsia" w:hAnsiTheme="majorEastAsia" w:eastAsiaTheme="majorEastAsia"/>
          <w:color w:val="000000"/>
        </w:rPr>
        <w:t>条规定外，如果卖方没有按照合同规定的时间交货和提供服务，买方可从货款中扣除违约赔偿费，赔偿费应按每迟交一周，按迟交货物或未提供服务交货价的</w:t>
      </w:r>
      <w:r>
        <w:rPr>
          <w:rFonts w:cs="宋体" w:asciiTheme="majorEastAsia" w:hAnsiTheme="majorEastAsia" w:eastAsiaTheme="majorEastAsia"/>
          <w:color w:val="000000"/>
        </w:rPr>
        <w:t>0.5%</w:t>
      </w:r>
      <w:r>
        <w:rPr>
          <w:rFonts w:hint="eastAsia" w:cs="宋体" w:asciiTheme="majorEastAsia" w:hAnsiTheme="majorEastAsia" w:eastAsiaTheme="majorEastAsia"/>
          <w:color w:val="000000"/>
        </w:rPr>
        <w:t>计收。但违约赔偿费的最高限额为迟交货物或没有提供服务的合同价的</w:t>
      </w:r>
      <w:r>
        <w:rPr>
          <w:rFonts w:cs="宋体" w:asciiTheme="majorEastAsia" w:hAnsiTheme="majorEastAsia" w:eastAsiaTheme="majorEastAsia"/>
          <w:color w:val="000000"/>
        </w:rPr>
        <w:t>5%</w:t>
      </w:r>
      <w:r>
        <w:rPr>
          <w:rFonts w:hint="eastAsia" w:cs="宋体" w:asciiTheme="majorEastAsia" w:hAnsiTheme="majorEastAsia" w:eastAsiaTheme="majorEastAsia"/>
          <w:color w:val="000000"/>
        </w:rPr>
        <w:t>。一周按</w:t>
      </w:r>
      <w:r>
        <w:rPr>
          <w:rFonts w:cs="宋体" w:asciiTheme="majorEastAsia" w:hAnsiTheme="majorEastAsia" w:eastAsiaTheme="majorEastAsia"/>
          <w:color w:val="000000"/>
        </w:rPr>
        <w:t>7</w:t>
      </w:r>
      <w:r>
        <w:rPr>
          <w:rFonts w:hint="eastAsia" w:cs="宋体" w:asciiTheme="majorEastAsia" w:hAnsiTheme="majorEastAsia" w:eastAsiaTheme="majorEastAsia"/>
          <w:color w:val="000000"/>
        </w:rPr>
        <w:t>天计算，不足</w:t>
      </w:r>
      <w:r>
        <w:rPr>
          <w:rFonts w:cs="宋体" w:asciiTheme="majorEastAsia" w:hAnsiTheme="majorEastAsia" w:eastAsiaTheme="majorEastAsia"/>
          <w:color w:val="000000"/>
        </w:rPr>
        <w:t>7</w:t>
      </w:r>
      <w:r>
        <w:rPr>
          <w:rFonts w:hint="eastAsia" w:cs="宋体" w:asciiTheme="majorEastAsia" w:hAnsiTheme="majorEastAsia" w:eastAsiaTheme="majorEastAsia"/>
          <w:color w:val="000000"/>
        </w:rPr>
        <w:t>天按一周计算。如果卖方在达到最高限额后仍不能交货，买方可考虑终止合同。</w:t>
      </w:r>
    </w:p>
    <w:p w14:paraId="760D010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16.</w:t>
      </w:r>
      <w:r>
        <w:rPr>
          <w:rFonts w:hint="eastAsia" w:cs="宋体" w:asciiTheme="majorEastAsia" w:hAnsiTheme="majorEastAsia" w:eastAsiaTheme="majorEastAsia"/>
          <w:color w:val="000000"/>
        </w:rPr>
        <w:t>不可抗力</w:t>
      </w:r>
      <w:r>
        <w:rPr>
          <w:rFonts w:cs="宋体" w:asciiTheme="majorEastAsia" w:hAnsiTheme="majorEastAsia" w:eastAsiaTheme="majorEastAsia"/>
          <w:color w:val="000000"/>
        </w:rPr>
        <w:tab/>
      </w:r>
    </w:p>
    <w:p w14:paraId="1B10A11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16.1 </w:t>
      </w:r>
      <w:r>
        <w:rPr>
          <w:rFonts w:hint="eastAsia" w:cs="宋体" w:asciiTheme="majorEastAsia" w:hAnsiTheme="majorEastAsia" w:eastAsiaTheme="majorEastAsia"/>
          <w:color w:val="000000"/>
        </w:rPr>
        <w:t>如果双方中任何</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方由于战争、严重火灾、水灾、台风和地震以及其它经双方同意属于不可抗力的事故，致使合同履行受阻时，履行合同的期限应予延长，延长的期限应相当于事故所影响的时间。</w:t>
      </w:r>
    </w:p>
    <w:p w14:paraId="78A01D5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16.2 </w:t>
      </w:r>
      <w:r>
        <w:rPr>
          <w:rFonts w:hint="eastAsia" w:cs="宋体" w:asciiTheme="majorEastAsia" w:hAnsiTheme="majorEastAsia" w:eastAsiaTheme="majorEastAsia"/>
          <w:color w:val="000000"/>
        </w:rPr>
        <w:t>受事故影响的一方应在不可抗力的事故发生后尽快以电报或电传通知另一方，并在事故发生后</w:t>
      </w:r>
      <w:r>
        <w:rPr>
          <w:rFonts w:cs="宋体" w:asciiTheme="majorEastAsia" w:hAnsiTheme="majorEastAsia" w:eastAsiaTheme="majorEastAsia"/>
          <w:color w:val="000000"/>
        </w:rPr>
        <w:t>14</w:t>
      </w:r>
      <w:r>
        <w:rPr>
          <w:rFonts w:hint="eastAsia" w:cs="宋体" w:asciiTheme="majorEastAsia" w:hAnsiTheme="majorEastAsia" w:eastAsiaTheme="majorEastAsia"/>
          <w:color w:val="000000"/>
        </w:rPr>
        <w:t>天内，将有关部门出具的证明文件用挂号信航寄给或送给另一方。如果不可抗力影响时间延续</w:t>
      </w:r>
      <w:r>
        <w:rPr>
          <w:rFonts w:cs="宋体" w:asciiTheme="majorEastAsia" w:hAnsiTheme="majorEastAsia" w:eastAsiaTheme="majorEastAsia"/>
          <w:color w:val="000000"/>
        </w:rPr>
        <w:t>120</w:t>
      </w:r>
      <w:r>
        <w:rPr>
          <w:rFonts w:hint="eastAsia" w:cs="宋体" w:asciiTheme="majorEastAsia" w:hAnsiTheme="majorEastAsia" w:eastAsiaTheme="majorEastAsia"/>
          <w:color w:val="000000"/>
        </w:rPr>
        <w:t>天以上的，双方应通过友好协商在合理的时间内达成进一步履行合同的协议。</w:t>
      </w:r>
    </w:p>
    <w:p w14:paraId="62527AB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17.</w:t>
      </w:r>
      <w:r>
        <w:rPr>
          <w:rFonts w:hint="eastAsia" w:cs="宋体" w:asciiTheme="majorEastAsia" w:hAnsiTheme="majorEastAsia" w:eastAsiaTheme="majorEastAsia"/>
          <w:color w:val="000000"/>
        </w:rPr>
        <w:t>税费</w:t>
      </w:r>
    </w:p>
    <w:p w14:paraId="423EAC6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17.1</w:t>
      </w:r>
      <w:r>
        <w:rPr>
          <w:rFonts w:hint="eastAsia" w:cs="宋体" w:asciiTheme="majorEastAsia" w:hAnsiTheme="majorEastAsia" w:eastAsiaTheme="majorEastAsia"/>
          <w:color w:val="000000"/>
        </w:rPr>
        <w:t>根据国家现行税法对卖方征收的与本合同有关的一切税费均由卖方负担。</w:t>
      </w:r>
    </w:p>
    <w:p w14:paraId="145BC045">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17.2</w:t>
      </w:r>
      <w:r>
        <w:rPr>
          <w:rFonts w:hint="eastAsia" w:cs="宋体" w:asciiTheme="majorEastAsia" w:hAnsiTheme="majorEastAsia" w:eastAsiaTheme="majorEastAsia"/>
          <w:color w:val="000000"/>
        </w:rPr>
        <w:t>在中国境外发生的与本合同执行有关的</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切税费均由卖方负担。</w:t>
      </w:r>
    </w:p>
    <w:p w14:paraId="5D93476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w:t>
      </w:r>
      <w:r>
        <w:rPr>
          <w:rFonts w:hint="eastAsia" w:cs="宋体" w:asciiTheme="majorEastAsia" w:hAnsiTheme="majorEastAsia" w:eastAsiaTheme="majorEastAsia"/>
          <w:color w:val="000000"/>
        </w:rPr>
        <w:t>履约保证金保函</w:t>
      </w:r>
    </w:p>
    <w:p w14:paraId="6FE4E74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18.1</w:t>
      </w:r>
      <w:r>
        <w:rPr>
          <w:rFonts w:hint="eastAsia" w:cs="宋体" w:asciiTheme="majorEastAsia" w:hAnsiTheme="majorEastAsia" w:eastAsiaTheme="majorEastAsia"/>
          <w:color w:val="000000"/>
        </w:rPr>
        <w:t>卖方收到中标通知书后应在合同特殊条款规定的时间内，通过</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家银行，向买方提供相当于合同总价</w:t>
      </w:r>
      <w:r>
        <w:rPr>
          <w:rFonts w:cs="宋体" w:asciiTheme="majorEastAsia" w:hAnsiTheme="majorEastAsia" w:eastAsiaTheme="majorEastAsia"/>
          <w:color w:val="000000"/>
        </w:rPr>
        <w:t>5%</w:t>
      </w:r>
      <w:r>
        <w:rPr>
          <w:rFonts w:hint="eastAsia" w:cs="宋体" w:asciiTheme="majorEastAsia" w:hAnsiTheme="majorEastAsia" w:eastAsiaTheme="majorEastAsia"/>
          <w:color w:val="000000"/>
        </w:rPr>
        <w:t>的履约保证金保函。履约保证金保函的有效期到货物保证期满时止。</w:t>
      </w:r>
    </w:p>
    <w:p w14:paraId="01DD6BB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18.2</w:t>
      </w:r>
      <w:r>
        <w:rPr>
          <w:rFonts w:hint="eastAsia" w:cs="宋体" w:asciiTheme="majorEastAsia" w:hAnsiTheme="majorEastAsia" w:eastAsiaTheme="majorEastAsia"/>
          <w:color w:val="000000"/>
        </w:rPr>
        <w:t>卖方提供的履约保证金保函应按招标文件所附的格式提供，与此有关的费用由卖方负担。</w:t>
      </w:r>
    </w:p>
    <w:p w14:paraId="2E238AB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18.3</w:t>
      </w:r>
      <w:r>
        <w:rPr>
          <w:rFonts w:hint="eastAsia" w:cs="宋体" w:asciiTheme="majorEastAsia" w:hAnsiTheme="majorEastAsia" w:eastAsiaTheme="majorEastAsia"/>
          <w:color w:val="000000"/>
        </w:rPr>
        <w:t>如卖方未能履行合同规定的任何义务，买方有权从履约保证金中得到补偿。</w:t>
      </w:r>
    </w:p>
    <w:p w14:paraId="3242EE8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w:t>
      </w:r>
      <w:r>
        <w:rPr>
          <w:rFonts w:hint="eastAsia" w:cs="宋体" w:asciiTheme="majorEastAsia" w:hAnsiTheme="majorEastAsia" w:eastAsiaTheme="majorEastAsia"/>
          <w:color w:val="000000"/>
        </w:rPr>
        <w:t>仲裁</w:t>
      </w:r>
    </w:p>
    <w:p w14:paraId="38181F1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19.1</w:t>
      </w:r>
      <w:r>
        <w:rPr>
          <w:rFonts w:hint="eastAsia" w:cs="宋体" w:asciiTheme="majorEastAsia" w:hAnsiTheme="majorEastAsia" w:eastAsiaTheme="majorEastAsia"/>
          <w:color w:val="000000"/>
        </w:rPr>
        <w:t>买卖双方应通过友好协商，解决在执行本合同中所发生的或与本合同有关的一切争端，如果协商仍得不到解决，任何一方均可按《中华人民共和国合同法》规定提交调解和仲裁。</w:t>
      </w:r>
    </w:p>
    <w:p w14:paraId="5CF3580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19.2</w:t>
      </w:r>
      <w:r>
        <w:rPr>
          <w:rFonts w:hint="eastAsia" w:cs="宋体" w:asciiTheme="majorEastAsia" w:hAnsiTheme="majorEastAsia" w:eastAsiaTheme="majorEastAsia"/>
          <w:color w:val="000000"/>
        </w:rPr>
        <w:t>仲裁裁决应为终局裁决，对双方均具有约束力。</w:t>
      </w:r>
    </w:p>
    <w:p w14:paraId="48AA657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19.3</w:t>
      </w:r>
      <w:r>
        <w:rPr>
          <w:rFonts w:hint="eastAsia" w:cs="宋体" w:asciiTheme="majorEastAsia" w:hAnsiTheme="majorEastAsia" w:eastAsiaTheme="majorEastAsia"/>
          <w:color w:val="000000"/>
        </w:rPr>
        <w:t>仲裁费除仲裁机构另有裁决外应由败诉方负担。</w:t>
      </w:r>
    </w:p>
    <w:p w14:paraId="7E9FFF35">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19.4</w:t>
      </w:r>
      <w:r>
        <w:rPr>
          <w:rFonts w:hint="eastAsia" w:cs="宋体" w:asciiTheme="majorEastAsia" w:hAnsiTheme="majorEastAsia" w:eastAsiaTheme="majorEastAsia"/>
          <w:color w:val="000000"/>
        </w:rPr>
        <w:t>在仲裁期间，除正在进行仲裁的部分外，本合同其它部分应继续执行。</w:t>
      </w:r>
    </w:p>
    <w:p w14:paraId="1336294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20.</w:t>
      </w:r>
      <w:r>
        <w:rPr>
          <w:rFonts w:hint="eastAsia" w:cs="宋体" w:asciiTheme="majorEastAsia" w:hAnsiTheme="majorEastAsia" w:eastAsiaTheme="majorEastAsia"/>
          <w:color w:val="000000"/>
        </w:rPr>
        <w:t>违约终止合同</w:t>
      </w:r>
    </w:p>
    <w:p w14:paraId="6A1533C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20.1 </w:t>
      </w:r>
      <w:r>
        <w:rPr>
          <w:rFonts w:hint="eastAsia" w:cs="宋体" w:asciiTheme="majorEastAsia" w:hAnsiTheme="majorEastAsia" w:eastAsiaTheme="majorEastAsia"/>
          <w:color w:val="000000"/>
        </w:rPr>
        <w:t>买方在卖方违约的情况下，如果：</w:t>
      </w:r>
    </w:p>
    <w:p w14:paraId="27C0CCE7">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）卖方未能在合同规定的限期或买方同意延长的限期内提供全部或部分货物；</w:t>
      </w:r>
    </w:p>
    <w:p w14:paraId="7529D8CA">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）如果卖方未能履行合同规定的其它义务，卖方在收到买方发出的违约通知后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天内，或经买方书面认可延长的时间内未能纠正其过失。买方可向卖方发出书面通知，终止部分或全部合同。在这种情况下，并不影响买方向卖方提出的索赔。</w:t>
      </w:r>
    </w:p>
    <w:p w14:paraId="40289FC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20.2 </w:t>
      </w:r>
      <w:r>
        <w:rPr>
          <w:rFonts w:hint="eastAsia" w:cs="宋体" w:asciiTheme="majorEastAsia" w:hAnsiTheme="majorEastAsia" w:eastAsiaTheme="majorEastAsia"/>
          <w:color w:val="000000"/>
        </w:rPr>
        <w:t>在买方根据上述第</w:t>
      </w:r>
      <w:r>
        <w:rPr>
          <w:rFonts w:cs="宋体" w:asciiTheme="majorEastAsia" w:hAnsiTheme="majorEastAsia" w:eastAsiaTheme="majorEastAsia"/>
          <w:color w:val="000000"/>
        </w:rPr>
        <w:t>20.1</w:t>
      </w:r>
      <w:r>
        <w:rPr>
          <w:rFonts w:hint="eastAsia" w:cs="宋体" w:asciiTheme="majorEastAsia" w:hAnsiTheme="majorEastAsia" w:eastAsiaTheme="majorEastAsia"/>
          <w:color w:val="000000"/>
        </w:rPr>
        <w:t>款规定，终止了全部或部分合同，买方可以依其认为适当的条件和方法购买与未交货物类似的货物，卖方应对购买类似货物所超出的费用负责。而且卖方还应继续执行合同中未终止的部分。</w:t>
      </w:r>
    </w:p>
    <w:p w14:paraId="4746F0C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21.</w:t>
      </w:r>
      <w:r>
        <w:rPr>
          <w:rFonts w:hint="eastAsia" w:cs="宋体" w:asciiTheme="majorEastAsia" w:hAnsiTheme="majorEastAsia" w:eastAsiaTheme="majorEastAsia"/>
          <w:color w:val="000000"/>
        </w:rPr>
        <w:t>破产终止合同</w:t>
      </w:r>
    </w:p>
    <w:p w14:paraId="2D99D50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21.1 </w:t>
      </w:r>
      <w:r>
        <w:rPr>
          <w:rFonts w:hint="eastAsia" w:cs="宋体" w:asciiTheme="majorEastAsia" w:hAnsiTheme="majorEastAsia" w:eastAsiaTheme="majorEastAsia"/>
          <w:color w:val="000000"/>
        </w:rPr>
        <w:t>如果卖方破产或无清偿能力时，买方可在任何时候以书面通知卖方终止合同。该终止合同将不损害或影响买方已经采取或将要采取的补救措施的权利。</w:t>
      </w:r>
    </w:p>
    <w:p w14:paraId="16C0533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22.</w:t>
      </w:r>
      <w:r>
        <w:rPr>
          <w:rFonts w:hint="eastAsia" w:cs="宋体" w:asciiTheme="majorEastAsia" w:hAnsiTheme="majorEastAsia" w:eastAsiaTheme="majorEastAsia"/>
          <w:color w:val="000000"/>
        </w:rPr>
        <w:t>转让和分包</w:t>
      </w:r>
    </w:p>
    <w:p w14:paraId="4623220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22.1 </w:t>
      </w:r>
      <w:r>
        <w:rPr>
          <w:rFonts w:hint="eastAsia" w:cs="宋体" w:asciiTheme="majorEastAsia" w:hAnsiTheme="majorEastAsia" w:eastAsiaTheme="majorEastAsia"/>
          <w:color w:val="000000"/>
        </w:rPr>
        <w:t>未经买方事先书面同意，卖方不得部分转让或全部转让其应履行的合同义务。</w:t>
      </w:r>
    </w:p>
    <w:p w14:paraId="52D04F1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22.2 </w:t>
      </w:r>
      <w:r>
        <w:rPr>
          <w:rFonts w:hint="eastAsia" w:cs="宋体" w:asciiTheme="majorEastAsia" w:hAnsiTheme="majorEastAsia" w:eastAsiaTheme="majorEastAsia"/>
          <w:color w:val="000000"/>
        </w:rPr>
        <w:t>对投标中没有明确分包的合同，卖方应书面通知买方本合同中将分包的全部分包合同，在原投标文件中或后来发出的分包通知均不能解除卖方履行本合同的义务。</w:t>
      </w:r>
    </w:p>
    <w:p w14:paraId="6BAAEC6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23.</w:t>
      </w:r>
      <w:r>
        <w:rPr>
          <w:rFonts w:hint="eastAsia" w:cs="宋体" w:asciiTheme="majorEastAsia" w:hAnsiTheme="majorEastAsia" w:eastAsiaTheme="majorEastAsia"/>
          <w:color w:val="000000"/>
        </w:rPr>
        <w:t>合同修改</w:t>
      </w:r>
    </w:p>
    <w:p w14:paraId="231CE2E5">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23.1 </w:t>
      </w:r>
      <w:r>
        <w:rPr>
          <w:rFonts w:hint="eastAsia" w:cs="宋体" w:asciiTheme="majorEastAsia" w:hAnsiTheme="majorEastAsia" w:eastAsiaTheme="majorEastAsia"/>
          <w:color w:val="000000"/>
        </w:rPr>
        <w:t>欲对合同条款进行任何改动，均须由买卖双方签署书面的合同修改书。</w:t>
      </w:r>
    </w:p>
    <w:p w14:paraId="002DC3D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24.</w:t>
      </w:r>
      <w:r>
        <w:rPr>
          <w:rFonts w:hint="eastAsia" w:cs="宋体" w:asciiTheme="majorEastAsia" w:hAnsiTheme="majorEastAsia" w:eastAsiaTheme="majorEastAsia"/>
          <w:color w:val="000000"/>
        </w:rPr>
        <w:t>通知</w:t>
      </w:r>
    </w:p>
    <w:p w14:paraId="52D9BAE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24.1 </w:t>
      </w:r>
      <w:r>
        <w:rPr>
          <w:rFonts w:hint="eastAsia" w:cs="宋体" w:asciiTheme="majorEastAsia" w:hAnsiTheme="majorEastAsia" w:eastAsiaTheme="majorEastAsia"/>
          <w:color w:val="000000"/>
        </w:rPr>
        <w:t>本合同任何一方给另一方的通知，都应以书面或电传</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传真</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电报的形式发送，而另一方应以书面形式确认并发送到对方明确的地址。</w:t>
      </w:r>
    </w:p>
    <w:p w14:paraId="3D583AB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25.</w:t>
      </w:r>
      <w:r>
        <w:rPr>
          <w:rFonts w:hint="eastAsia" w:cs="宋体" w:asciiTheme="majorEastAsia" w:hAnsiTheme="majorEastAsia" w:eastAsiaTheme="majorEastAsia"/>
          <w:color w:val="000000"/>
        </w:rPr>
        <w:t>计量单位</w:t>
      </w:r>
    </w:p>
    <w:p w14:paraId="676963D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25.1 </w:t>
      </w:r>
      <w:r>
        <w:rPr>
          <w:rFonts w:hint="eastAsia" w:cs="宋体" w:asciiTheme="majorEastAsia" w:hAnsiTheme="majorEastAsia" w:eastAsiaTheme="majorEastAsia"/>
          <w:color w:val="000000"/>
        </w:rPr>
        <w:t>除技术规范中另有规定外，计量单位均使用国家法定计量单位。</w:t>
      </w:r>
    </w:p>
    <w:p w14:paraId="570EA2F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26.</w:t>
      </w:r>
      <w:r>
        <w:rPr>
          <w:rFonts w:hint="eastAsia" w:cs="宋体" w:asciiTheme="majorEastAsia" w:hAnsiTheme="majorEastAsia" w:eastAsiaTheme="majorEastAsia"/>
          <w:color w:val="000000"/>
        </w:rPr>
        <w:t>适用法律</w:t>
      </w:r>
    </w:p>
    <w:p w14:paraId="6D9E25A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26.1 </w:t>
      </w:r>
      <w:r>
        <w:rPr>
          <w:rFonts w:hint="eastAsia" w:cs="宋体" w:asciiTheme="majorEastAsia" w:hAnsiTheme="majorEastAsia" w:eastAsiaTheme="majorEastAsia"/>
          <w:color w:val="000000"/>
        </w:rPr>
        <w:t>本合同应按照中华人民共和国的法律进行解释。</w:t>
      </w:r>
    </w:p>
    <w:p w14:paraId="1D15EF9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27.</w:t>
      </w:r>
      <w:r>
        <w:rPr>
          <w:rFonts w:hint="eastAsia" w:cs="宋体" w:asciiTheme="majorEastAsia" w:hAnsiTheme="majorEastAsia" w:eastAsiaTheme="majorEastAsia"/>
          <w:color w:val="000000"/>
        </w:rPr>
        <w:t>合同生效及其它</w:t>
      </w:r>
    </w:p>
    <w:p w14:paraId="55855CC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27.1 </w:t>
      </w:r>
      <w:r>
        <w:rPr>
          <w:rFonts w:hint="eastAsia" w:cs="宋体" w:asciiTheme="majorEastAsia" w:hAnsiTheme="majorEastAsia" w:eastAsiaTheme="majorEastAsia"/>
          <w:color w:val="000000"/>
        </w:rPr>
        <w:t>合同应在双方签字盖章并在买方收到卖方提供的履约保证金保函后开始生效。</w:t>
      </w:r>
    </w:p>
    <w:p w14:paraId="1C410A7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27.2</w:t>
      </w:r>
      <w:r>
        <w:rPr>
          <w:rFonts w:hint="eastAsia" w:cs="宋体" w:asciiTheme="majorEastAsia" w:hAnsiTheme="majorEastAsia" w:eastAsiaTheme="majorEastAsia"/>
          <w:color w:val="000000"/>
        </w:rPr>
        <w:t>如需修改或补充合同内容，经协商，双方应签署书面修改或补充协议，该协议将作为本合同的一个组成部分。</w:t>
      </w:r>
    </w:p>
    <w:p w14:paraId="6FC2492E">
      <w:pPr>
        <w:pStyle w:val="29"/>
        <w:numPr>
          <w:ilvl w:val="0"/>
          <w:numId w:val="4"/>
        </w:numPr>
        <w:spacing w:line="276" w:lineRule="auto"/>
        <w:rPr>
          <w:rFonts w:cs="宋体" w:asciiTheme="majorEastAsia" w:hAnsiTheme="majorEastAsia" w:eastAsiaTheme="majorEastAsia"/>
          <w:color w:val="000000"/>
          <w:sz w:val="40"/>
          <w:szCs w:val="40"/>
        </w:rPr>
      </w:pPr>
      <w:bookmarkStart w:id="626" w:name="_Toc201719183"/>
      <w:r>
        <w:rPr>
          <w:rFonts w:cs="宋体" w:asciiTheme="majorEastAsia" w:hAnsiTheme="majorEastAsia" w:eastAsiaTheme="majorEastAsia"/>
          <w:b w:val="0"/>
          <w:bCs w:val="0"/>
          <w:color w:val="000000"/>
          <w:kern w:val="2"/>
          <w:sz w:val="21"/>
          <w:szCs w:val="24"/>
        </w:rPr>
        <w:br w:type="page"/>
      </w:r>
      <w:bookmarkStart w:id="627" w:name="_Toc508804081"/>
      <w:bookmarkStart w:id="628" w:name="_Toc15595"/>
      <w:r>
        <w:rPr>
          <w:rFonts w:hint="eastAsia" w:cs="宋体" w:asciiTheme="majorEastAsia" w:hAnsiTheme="majorEastAsia" w:eastAsiaTheme="majorEastAsia"/>
          <w:color w:val="000000"/>
          <w:sz w:val="40"/>
          <w:szCs w:val="40"/>
        </w:rPr>
        <w:t>专用合同条款</w:t>
      </w:r>
      <w:bookmarkEnd w:id="627"/>
      <w:bookmarkEnd w:id="628"/>
    </w:p>
    <w:p w14:paraId="0D4521B5">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特殊条款中的各条款是补充和修改一般条款中条款号相同的条款或当需要时增加新的条款，两者应对照阅读。不一致时以特殊条款为准，一般条款中未补充和修改的部分仍有效。</w:t>
      </w:r>
    </w:p>
    <w:p w14:paraId="745A0F94">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1.</w:t>
      </w:r>
      <w:r>
        <w:rPr>
          <w:rFonts w:hint="eastAsia" w:cs="宋体" w:asciiTheme="majorEastAsia" w:hAnsiTheme="majorEastAsia" w:eastAsiaTheme="majorEastAsia"/>
          <w:color w:val="000000"/>
          <w:kern w:val="0"/>
          <w:sz w:val="24"/>
        </w:rPr>
        <w:t>定义</w:t>
      </w:r>
    </w:p>
    <w:p w14:paraId="2A237845">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合同中的一些概念定义如下：</w:t>
      </w:r>
    </w:p>
    <w:p w14:paraId="492E536F">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1</w:t>
      </w:r>
      <w:r>
        <w:rPr>
          <w:rFonts w:hint="eastAsia" w:cs="宋体" w:asciiTheme="majorEastAsia" w:hAnsiTheme="majorEastAsia" w:eastAsiaTheme="majorEastAsia"/>
          <w:color w:val="000000"/>
          <w:kern w:val="0"/>
          <w:sz w:val="24"/>
        </w:rPr>
        <w:t>）买方是指采购人</w:t>
      </w:r>
      <w:r>
        <w:rPr>
          <w:rFonts w:hint="eastAsia" w:cs="宋体" w:asciiTheme="majorEastAsia" w:hAnsiTheme="majorEastAsia" w:eastAsiaTheme="majorEastAsia"/>
          <w:sz w:val="24"/>
          <w:lang w:eastAsia="zh-CN"/>
        </w:rPr>
        <w:t>长岭县商务局(本级)</w:t>
      </w:r>
      <w:r>
        <w:rPr>
          <w:rFonts w:hint="eastAsia" w:cs="宋体" w:asciiTheme="majorEastAsia" w:hAnsiTheme="majorEastAsia" w:eastAsiaTheme="majorEastAsia"/>
          <w:color w:val="000000"/>
          <w:kern w:val="0"/>
          <w:sz w:val="24"/>
        </w:rPr>
        <w:t>；</w:t>
      </w:r>
    </w:p>
    <w:p w14:paraId="637B2B3B">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2</w:t>
      </w:r>
      <w:r>
        <w:rPr>
          <w:rFonts w:hint="eastAsia" w:cs="宋体" w:asciiTheme="majorEastAsia" w:hAnsiTheme="majorEastAsia" w:eastAsiaTheme="majorEastAsia"/>
          <w:color w:val="000000"/>
          <w:kern w:val="0"/>
          <w:sz w:val="24"/>
        </w:rPr>
        <w:t>）卖方是指本标的中标人；</w:t>
      </w:r>
    </w:p>
    <w:p w14:paraId="1A23555E">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xml:space="preserve">2. </w:t>
      </w:r>
      <w:r>
        <w:rPr>
          <w:rFonts w:hint="eastAsia" w:cs="宋体" w:asciiTheme="majorEastAsia" w:hAnsiTheme="majorEastAsia" w:eastAsiaTheme="majorEastAsia"/>
          <w:sz w:val="24"/>
          <w:lang w:val="zh-CN"/>
        </w:rPr>
        <w:t>供货期</w:t>
      </w:r>
      <w:r>
        <w:rPr>
          <w:rFonts w:hint="eastAsia" w:cs="宋体" w:asciiTheme="majorEastAsia" w:hAnsiTheme="majorEastAsia" w:eastAsiaTheme="majorEastAsia"/>
          <w:color w:val="000000"/>
          <w:kern w:val="0"/>
          <w:sz w:val="24"/>
        </w:rPr>
        <w:t>及</w:t>
      </w:r>
      <w:r>
        <w:rPr>
          <w:rFonts w:hint="eastAsia" w:cs="宋体" w:asciiTheme="majorEastAsia" w:hAnsiTheme="majorEastAsia" w:eastAsiaTheme="majorEastAsia"/>
          <w:sz w:val="24"/>
          <w:lang w:val="zh-CN"/>
        </w:rPr>
        <w:t>供货地点</w:t>
      </w:r>
    </w:p>
    <w:p w14:paraId="3837D0E6">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2.1</w:t>
      </w:r>
      <w:r>
        <w:rPr>
          <w:rFonts w:hint="eastAsia" w:cs="宋体" w:asciiTheme="majorEastAsia" w:hAnsiTheme="majorEastAsia" w:eastAsiaTheme="majorEastAsia"/>
          <w:color w:val="000000"/>
          <w:kern w:val="0"/>
          <w:sz w:val="24"/>
        </w:rPr>
        <w:t>合同履行期限（供货期）：</w:t>
      </w:r>
      <w:r>
        <w:rPr>
          <w:rFonts w:hint="eastAsia" w:cs="宋体" w:asciiTheme="majorEastAsia" w:hAnsiTheme="majorEastAsia" w:eastAsiaTheme="majorEastAsia"/>
          <w:color w:val="000000"/>
          <w:kern w:val="0"/>
          <w:sz w:val="24"/>
          <w:lang w:eastAsia="zh-CN"/>
        </w:rPr>
        <w:t>按照采购人要求进行供货，具体供货内容以合同签订为准。</w:t>
      </w:r>
    </w:p>
    <w:p w14:paraId="7B72F22C">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xml:space="preserve">2.2 </w:t>
      </w:r>
      <w:r>
        <w:rPr>
          <w:rFonts w:hint="eastAsia" w:cs="宋体" w:asciiTheme="majorEastAsia" w:hAnsiTheme="majorEastAsia" w:eastAsiaTheme="majorEastAsia"/>
          <w:color w:val="000000"/>
          <w:kern w:val="0"/>
          <w:sz w:val="24"/>
        </w:rPr>
        <w:t>交货地点：</w:t>
      </w:r>
      <w:r>
        <w:rPr>
          <w:rFonts w:hint="eastAsia" w:cs="宋体" w:asciiTheme="majorEastAsia" w:hAnsiTheme="majorEastAsia" w:eastAsiaTheme="majorEastAsia"/>
          <w:color w:val="000000"/>
          <w:kern w:val="0"/>
          <w:sz w:val="24"/>
          <w:lang w:eastAsia="zh-CN"/>
        </w:rPr>
        <w:t>长岭县商务局(本级)</w:t>
      </w:r>
      <w:r>
        <w:rPr>
          <w:rFonts w:hint="eastAsia" w:cs="宋体" w:asciiTheme="majorEastAsia" w:hAnsiTheme="majorEastAsia" w:eastAsiaTheme="majorEastAsia"/>
          <w:color w:val="000000"/>
          <w:kern w:val="0"/>
          <w:sz w:val="24"/>
        </w:rPr>
        <w:t>，具体地点由甲方指定</w:t>
      </w:r>
      <w:r>
        <w:rPr>
          <w:rFonts w:hint="eastAsia" w:cs="宋体" w:asciiTheme="majorEastAsia" w:hAnsiTheme="majorEastAsia" w:eastAsiaTheme="majorEastAsia"/>
          <w:sz w:val="24"/>
          <w:lang w:val="zh-CN"/>
        </w:rPr>
        <w:t>。</w:t>
      </w:r>
    </w:p>
    <w:p w14:paraId="06213C43">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3.</w:t>
      </w:r>
      <w:r>
        <w:rPr>
          <w:rFonts w:hint="eastAsia" w:cs="宋体" w:asciiTheme="majorEastAsia" w:hAnsiTheme="majorEastAsia" w:eastAsiaTheme="majorEastAsia"/>
          <w:color w:val="000000"/>
          <w:kern w:val="0"/>
          <w:sz w:val="24"/>
        </w:rPr>
        <w:t>保险</w:t>
      </w:r>
    </w:p>
    <w:p w14:paraId="31B2DD7B">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保险费由卖方负责。</w:t>
      </w:r>
    </w:p>
    <w:p w14:paraId="51651E5F">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4.</w:t>
      </w:r>
      <w:r>
        <w:rPr>
          <w:rFonts w:hint="eastAsia" w:cs="宋体" w:asciiTheme="majorEastAsia" w:hAnsiTheme="majorEastAsia" w:eastAsiaTheme="majorEastAsia"/>
          <w:color w:val="000000"/>
          <w:kern w:val="0"/>
          <w:sz w:val="24"/>
        </w:rPr>
        <w:t>付款方式</w:t>
      </w:r>
    </w:p>
    <w:p w14:paraId="21F02757">
      <w:pPr>
        <w:widowControl/>
        <w:spacing w:line="276" w:lineRule="auto"/>
        <w:ind w:firstLine="480" w:firstLineChars="200"/>
        <w:rPr>
          <w:rFonts w:cs="宋体" w:asciiTheme="majorEastAsia" w:hAnsiTheme="majorEastAsia" w:eastAsiaTheme="majorEastAsia"/>
          <w:color w:val="000000"/>
          <w:kern w:val="0"/>
          <w:sz w:val="24"/>
        </w:rPr>
      </w:pPr>
      <w:r>
        <w:rPr>
          <w:rFonts w:hint="eastAsia" w:cs="宋体" w:asciiTheme="majorEastAsia" w:hAnsiTheme="majorEastAsia" w:eastAsiaTheme="majorEastAsia"/>
          <w:sz w:val="24"/>
        </w:rPr>
        <w:t>按双方合同约定付款</w:t>
      </w:r>
    </w:p>
    <w:p w14:paraId="45C83282">
      <w:pPr>
        <w:spacing w:line="276" w:lineRule="auto"/>
        <w:rPr>
          <w:rFonts w:cs="宋体" w:asciiTheme="majorEastAsia" w:hAnsiTheme="majorEastAsia" w:eastAsiaTheme="majorEastAsia"/>
          <w:color w:val="000000"/>
          <w:sz w:val="28"/>
          <w:szCs w:val="28"/>
        </w:rPr>
      </w:pPr>
    </w:p>
    <w:p w14:paraId="376E876D">
      <w:pPr>
        <w:spacing w:line="276" w:lineRule="auto"/>
        <w:rPr>
          <w:rFonts w:cs="宋体" w:asciiTheme="majorEastAsia" w:hAnsiTheme="majorEastAsia" w:eastAsiaTheme="majorEastAsia"/>
          <w:color w:val="000000"/>
          <w:sz w:val="28"/>
          <w:szCs w:val="28"/>
        </w:rPr>
      </w:pPr>
    </w:p>
    <w:p w14:paraId="5F6E26D6">
      <w:pPr>
        <w:spacing w:line="276" w:lineRule="auto"/>
        <w:rPr>
          <w:rFonts w:cs="宋体" w:asciiTheme="majorEastAsia" w:hAnsiTheme="majorEastAsia" w:eastAsiaTheme="majorEastAsia"/>
          <w:color w:val="000000"/>
          <w:sz w:val="28"/>
          <w:szCs w:val="28"/>
        </w:rPr>
      </w:pPr>
    </w:p>
    <w:p w14:paraId="3B0A4A25">
      <w:pPr>
        <w:spacing w:line="276" w:lineRule="auto"/>
        <w:rPr>
          <w:rFonts w:cs="宋体" w:asciiTheme="majorEastAsia" w:hAnsiTheme="majorEastAsia" w:eastAsiaTheme="majorEastAsia"/>
          <w:color w:val="000000"/>
          <w:sz w:val="28"/>
          <w:szCs w:val="28"/>
        </w:rPr>
      </w:pPr>
    </w:p>
    <w:p w14:paraId="577923B6">
      <w:pPr>
        <w:spacing w:line="276" w:lineRule="auto"/>
        <w:rPr>
          <w:rFonts w:cs="宋体" w:asciiTheme="majorEastAsia" w:hAnsiTheme="majorEastAsia" w:eastAsiaTheme="majorEastAsia"/>
          <w:color w:val="000000"/>
          <w:sz w:val="28"/>
          <w:szCs w:val="28"/>
        </w:rPr>
      </w:pPr>
    </w:p>
    <w:p w14:paraId="1AB48DA1">
      <w:pPr>
        <w:spacing w:line="276" w:lineRule="auto"/>
        <w:rPr>
          <w:rFonts w:cs="宋体" w:asciiTheme="majorEastAsia" w:hAnsiTheme="majorEastAsia" w:eastAsiaTheme="majorEastAsia"/>
          <w:color w:val="000000"/>
          <w:sz w:val="28"/>
          <w:szCs w:val="28"/>
        </w:rPr>
      </w:pPr>
    </w:p>
    <w:p w14:paraId="2A2D9104">
      <w:pPr>
        <w:spacing w:line="276" w:lineRule="auto"/>
        <w:rPr>
          <w:rFonts w:cs="宋体" w:asciiTheme="majorEastAsia" w:hAnsiTheme="majorEastAsia" w:eastAsiaTheme="majorEastAsia"/>
          <w:color w:val="000000"/>
          <w:sz w:val="28"/>
          <w:szCs w:val="28"/>
        </w:rPr>
      </w:pPr>
    </w:p>
    <w:p w14:paraId="6AE2FCBA">
      <w:pPr>
        <w:spacing w:line="276" w:lineRule="auto"/>
        <w:rPr>
          <w:rFonts w:cs="宋体" w:asciiTheme="majorEastAsia" w:hAnsiTheme="majorEastAsia" w:eastAsiaTheme="majorEastAsia"/>
          <w:color w:val="000000"/>
          <w:sz w:val="28"/>
          <w:szCs w:val="28"/>
        </w:rPr>
      </w:pPr>
    </w:p>
    <w:p w14:paraId="642A9A6F">
      <w:pPr>
        <w:spacing w:line="276" w:lineRule="auto"/>
        <w:rPr>
          <w:rFonts w:cs="宋体" w:asciiTheme="majorEastAsia" w:hAnsiTheme="majorEastAsia" w:eastAsiaTheme="majorEastAsia"/>
          <w:color w:val="000000"/>
          <w:sz w:val="28"/>
          <w:szCs w:val="28"/>
        </w:rPr>
      </w:pPr>
    </w:p>
    <w:p w14:paraId="79AD9684">
      <w:pPr>
        <w:spacing w:line="276" w:lineRule="auto"/>
        <w:rPr>
          <w:rFonts w:cs="宋体" w:asciiTheme="majorEastAsia" w:hAnsiTheme="majorEastAsia" w:eastAsiaTheme="majorEastAsia"/>
          <w:color w:val="000000"/>
          <w:sz w:val="28"/>
          <w:szCs w:val="28"/>
        </w:rPr>
      </w:pPr>
    </w:p>
    <w:p w14:paraId="15A47380">
      <w:pPr>
        <w:spacing w:line="276" w:lineRule="auto"/>
        <w:jc w:val="center"/>
        <w:rPr>
          <w:rFonts w:cs="宋体" w:asciiTheme="majorEastAsia" w:hAnsiTheme="majorEastAsia" w:eastAsiaTheme="majorEastAsia"/>
          <w:b/>
          <w:bCs/>
          <w:color w:val="000000"/>
          <w:kern w:val="0"/>
          <w:sz w:val="40"/>
          <w:szCs w:val="40"/>
        </w:rPr>
      </w:pPr>
    </w:p>
    <w:p w14:paraId="1FB31FEF">
      <w:pPr>
        <w:spacing w:line="276" w:lineRule="auto"/>
        <w:jc w:val="center"/>
        <w:rPr>
          <w:rFonts w:cs="宋体" w:asciiTheme="majorEastAsia" w:hAnsiTheme="majorEastAsia" w:eastAsiaTheme="majorEastAsia"/>
          <w:b/>
          <w:bCs/>
          <w:color w:val="000000"/>
          <w:kern w:val="0"/>
          <w:sz w:val="40"/>
          <w:szCs w:val="40"/>
        </w:rPr>
      </w:pPr>
    </w:p>
    <w:p w14:paraId="3DD30D58">
      <w:pPr>
        <w:spacing w:line="276" w:lineRule="auto"/>
        <w:jc w:val="center"/>
        <w:rPr>
          <w:rFonts w:cs="宋体" w:asciiTheme="majorEastAsia" w:hAnsiTheme="majorEastAsia" w:eastAsiaTheme="majorEastAsia"/>
          <w:b/>
          <w:bCs/>
          <w:color w:val="000000"/>
          <w:kern w:val="0"/>
          <w:sz w:val="40"/>
          <w:szCs w:val="40"/>
        </w:rPr>
      </w:pPr>
    </w:p>
    <w:p w14:paraId="0965EFFB">
      <w:pPr>
        <w:spacing w:line="276" w:lineRule="auto"/>
        <w:jc w:val="center"/>
        <w:rPr>
          <w:rFonts w:cs="宋体" w:asciiTheme="majorEastAsia" w:hAnsiTheme="majorEastAsia" w:eastAsiaTheme="majorEastAsia"/>
          <w:b/>
          <w:bCs/>
          <w:color w:val="000000"/>
          <w:kern w:val="0"/>
          <w:sz w:val="40"/>
          <w:szCs w:val="40"/>
        </w:rPr>
      </w:pPr>
    </w:p>
    <w:p w14:paraId="33557044">
      <w:pPr>
        <w:spacing w:line="276" w:lineRule="auto"/>
        <w:jc w:val="center"/>
        <w:rPr>
          <w:rFonts w:cs="宋体" w:asciiTheme="majorEastAsia" w:hAnsiTheme="majorEastAsia" w:eastAsiaTheme="majorEastAsia"/>
          <w:b/>
          <w:bCs/>
          <w:color w:val="000000"/>
          <w:kern w:val="0"/>
          <w:sz w:val="40"/>
          <w:szCs w:val="40"/>
        </w:rPr>
      </w:pPr>
    </w:p>
    <w:p w14:paraId="5575AC79">
      <w:pPr>
        <w:spacing w:line="276" w:lineRule="auto"/>
        <w:jc w:val="center"/>
        <w:rPr>
          <w:rFonts w:cs="宋体" w:asciiTheme="majorEastAsia" w:hAnsiTheme="majorEastAsia" w:eastAsiaTheme="majorEastAsia"/>
          <w:b/>
          <w:bCs/>
          <w:color w:val="000000"/>
          <w:kern w:val="0"/>
          <w:sz w:val="40"/>
          <w:szCs w:val="40"/>
        </w:rPr>
      </w:pPr>
    </w:p>
    <w:p w14:paraId="1D1BFCF1">
      <w:pPr>
        <w:spacing w:line="276" w:lineRule="auto"/>
        <w:jc w:val="center"/>
        <w:rPr>
          <w:rFonts w:cs="宋体" w:asciiTheme="majorEastAsia" w:hAnsiTheme="majorEastAsia" w:eastAsiaTheme="majorEastAsia"/>
          <w:b/>
          <w:bCs/>
          <w:color w:val="000000"/>
          <w:kern w:val="0"/>
          <w:sz w:val="40"/>
          <w:szCs w:val="40"/>
        </w:rPr>
      </w:pPr>
    </w:p>
    <w:p w14:paraId="66794004">
      <w:pPr>
        <w:spacing w:line="276" w:lineRule="auto"/>
        <w:jc w:val="center"/>
        <w:rPr>
          <w:rFonts w:cs="宋体" w:asciiTheme="majorEastAsia" w:hAnsiTheme="majorEastAsia" w:eastAsiaTheme="majorEastAsia"/>
          <w:b/>
          <w:bCs/>
          <w:color w:val="000000"/>
          <w:kern w:val="0"/>
          <w:sz w:val="40"/>
          <w:szCs w:val="40"/>
        </w:rPr>
      </w:pPr>
    </w:p>
    <w:p w14:paraId="42FAC708">
      <w:pPr>
        <w:spacing w:line="276" w:lineRule="auto"/>
        <w:jc w:val="center"/>
        <w:rPr>
          <w:rFonts w:cs="宋体" w:asciiTheme="majorEastAsia" w:hAnsiTheme="majorEastAsia" w:eastAsiaTheme="majorEastAsia"/>
          <w:b/>
          <w:bCs/>
          <w:color w:val="000000"/>
          <w:kern w:val="0"/>
          <w:sz w:val="40"/>
          <w:szCs w:val="40"/>
        </w:rPr>
      </w:pPr>
      <w:r>
        <w:rPr>
          <w:rFonts w:hint="eastAsia" w:cs="宋体" w:asciiTheme="majorEastAsia" w:hAnsiTheme="majorEastAsia" w:eastAsiaTheme="majorEastAsia"/>
          <w:b/>
          <w:bCs/>
          <w:color w:val="000000"/>
          <w:kern w:val="0"/>
          <w:sz w:val="40"/>
          <w:szCs w:val="40"/>
        </w:rPr>
        <w:t>第三节合同附件格式</w:t>
      </w:r>
    </w:p>
    <w:p w14:paraId="537E494B">
      <w:pPr>
        <w:widowControl/>
        <w:spacing w:line="276" w:lineRule="auto"/>
        <w:rPr>
          <w:rFonts w:cs="宋体" w:asciiTheme="majorEastAsia" w:hAnsiTheme="majorEastAsia" w:eastAsiaTheme="majorEastAsia"/>
          <w:color w:val="000000"/>
          <w:kern w:val="0"/>
          <w:sz w:val="24"/>
          <w:lang w:val="zh-CN"/>
        </w:rPr>
      </w:pPr>
      <w:r>
        <w:rPr>
          <w:rFonts w:hint="eastAsia" w:cs="宋体" w:asciiTheme="majorEastAsia" w:hAnsiTheme="majorEastAsia" w:eastAsiaTheme="majorEastAsia"/>
          <w:color w:val="000000"/>
          <w:kern w:val="0"/>
          <w:sz w:val="24"/>
        </w:rPr>
        <w:t>（采购人有权按照自行选择的方式签署合同，本招标文件提供的《合同协议书》只供参考）</w:t>
      </w:r>
    </w:p>
    <w:p w14:paraId="26BD6A53">
      <w:pPr>
        <w:spacing w:line="276" w:lineRule="auto"/>
        <w:jc w:val="center"/>
        <w:rPr>
          <w:rFonts w:cs="宋体" w:asciiTheme="majorEastAsia" w:hAnsiTheme="majorEastAsia" w:eastAsiaTheme="majorEastAsia"/>
          <w:b/>
          <w:color w:val="000000"/>
          <w:sz w:val="32"/>
          <w:szCs w:val="32"/>
        </w:rPr>
      </w:pPr>
    </w:p>
    <w:p w14:paraId="36240D6A">
      <w:pPr>
        <w:spacing w:line="276" w:lineRule="auto"/>
        <w:jc w:val="center"/>
        <w:rPr>
          <w:rFonts w:cs="宋体" w:asciiTheme="majorEastAsia" w:hAnsiTheme="majorEastAsia" w:eastAsiaTheme="majorEastAsia"/>
          <w:b/>
          <w:color w:val="000000"/>
          <w:sz w:val="32"/>
          <w:szCs w:val="32"/>
        </w:rPr>
      </w:pPr>
    </w:p>
    <w:p w14:paraId="5BECDA11">
      <w:pPr>
        <w:spacing w:line="276" w:lineRule="auto"/>
        <w:jc w:val="center"/>
        <w:rPr>
          <w:rFonts w:cs="宋体" w:asciiTheme="majorEastAsia" w:hAnsiTheme="majorEastAsia" w:eastAsiaTheme="majorEastAsia"/>
          <w:b/>
          <w:color w:val="000000"/>
          <w:sz w:val="32"/>
          <w:szCs w:val="32"/>
        </w:rPr>
      </w:pPr>
    </w:p>
    <w:p w14:paraId="5476879B">
      <w:pPr>
        <w:spacing w:line="276" w:lineRule="auto"/>
        <w:jc w:val="center"/>
        <w:rPr>
          <w:rFonts w:cs="宋体" w:asciiTheme="majorEastAsia" w:hAnsiTheme="majorEastAsia" w:eastAsiaTheme="majorEastAsia"/>
          <w:b/>
          <w:color w:val="000000"/>
          <w:sz w:val="32"/>
          <w:szCs w:val="32"/>
        </w:rPr>
      </w:pPr>
    </w:p>
    <w:p w14:paraId="16335D63">
      <w:pPr>
        <w:spacing w:line="276" w:lineRule="auto"/>
        <w:jc w:val="center"/>
        <w:rPr>
          <w:rFonts w:cs="宋体" w:asciiTheme="majorEastAsia" w:hAnsiTheme="majorEastAsia" w:eastAsiaTheme="majorEastAsia"/>
          <w:b/>
          <w:color w:val="000000"/>
          <w:sz w:val="32"/>
          <w:szCs w:val="32"/>
        </w:rPr>
      </w:pPr>
    </w:p>
    <w:p w14:paraId="3F452D27">
      <w:pPr>
        <w:spacing w:line="276" w:lineRule="auto"/>
        <w:jc w:val="center"/>
        <w:rPr>
          <w:rFonts w:cs="宋体" w:asciiTheme="majorEastAsia" w:hAnsiTheme="majorEastAsia" w:eastAsiaTheme="majorEastAsia"/>
          <w:b/>
          <w:color w:val="000000"/>
          <w:sz w:val="32"/>
          <w:szCs w:val="32"/>
        </w:rPr>
      </w:pPr>
    </w:p>
    <w:p w14:paraId="14ECC6D5">
      <w:pPr>
        <w:spacing w:line="276" w:lineRule="auto"/>
        <w:jc w:val="center"/>
        <w:rPr>
          <w:rFonts w:cs="宋体" w:asciiTheme="majorEastAsia" w:hAnsiTheme="majorEastAsia" w:eastAsiaTheme="majorEastAsia"/>
          <w:b/>
          <w:color w:val="000000"/>
          <w:sz w:val="32"/>
          <w:szCs w:val="32"/>
        </w:rPr>
      </w:pPr>
    </w:p>
    <w:p w14:paraId="66114567">
      <w:pPr>
        <w:spacing w:line="276" w:lineRule="auto"/>
        <w:jc w:val="center"/>
        <w:rPr>
          <w:rFonts w:cs="宋体" w:asciiTheme="majorEastAsia" w:hAnsiTheme="majorEastAsia" w:eastAsiaTheme="majorEastAsia"/>
          <w:b/>
          <w:color w:val="000000"/>
          <w:sz w:val="32"/>
          <w:szCs w:val="32"/>
        </w:rPr>
      </w:pPr>
    </w:p>
    <w:p w14:paraId="06E8CF15">
      <w:pPr>
        <w:spacing w:line="276" w:lineRule="auto"/>
        <w:jc w:val="center"/>
        <w:rPr>
          <w:rFonts w:cs="宋体" w:asciiTheme="majorEastAsia" w:hAnsiTheme="majorEastAsia" w:eastAsiaTheme="majorEastAsia"/>
          <w:b/>
          <w:color w:val="000000"/>
          <w:sz w:val="32"/>
          <w:szCs w:val="32"/>
        </w:rPr>
      </w:pPr>
    </w:p>
    <w:p w14:paraId="6DB34868">
      <w:pPr>
        <w:spacing w:line="276" w:lineRule="auto"/>
        <w:jc w:val="center"/>
        <w:rPr>
          <w:rFonts w:cs="宋体" w:asciiTheme="majorEastAsia" w:hAnsiTheme="majorEastAsia" w:eastAsiaTheme="majorEastAsia"/>
          <w:b/>
          <w:color w:val="000000"/>
          <w:sz w:val="32"/>
          <w:szCs w:val="32"/>
        </w:rPr>
      </w:pPr>
    </w:p>
    <w:p w14:paraId="1D304D1E">
      <w:pPr>
        <w:spacing w:line="276" w:lineRule="auto"/>
        <w:jc w:val="center"/>
        <w:rPr>
          <w:rFonts w:cs="宋体" w:asciiTheme="majorEastAsia" w:hAnsiTheme="majorEastAsia" w:eastAsiaTheme="majorEastAsia"/>
          <w:b/>
          <w:color w:val="000000"/>
          <w:sz w:val="32"/>
          <w:szCs w:val="32"/>
        </w:rPr>
      </w:pPr>
    </w:p>
    <w:p w14:paraId="7CD9861F">
      <w:pPr>
        <w:spacing w:line="276" w:lineRule="auto"/>
        <w:jc w:val="center"/>
        <w:rPr>
          <w:rFonts w:cs="宋体" w:asciiTheme="majorEastAsia" w:hAnsiTheme="majorEastAsia" w:eastAsiaTheme="majorEastAsia"/>
          <w:b/>
          <w:color w:val="000000"/>
          <w:sz w:val="32"/>
          <w:szCs w:val="32"/>
        </w:rPr>
      </w:pPr>
    </w:p>
    <w:p w14:paraId="65AD293E">
      <w:pPr>
        <w:spacing w:line="276" w:lineRule="auto"/>
        <w:jc w:val="center"/>
        <w:rPr>
          <w:rFonts w:cs="宋体" w:asciiTheme="majorEastAsia" w:hAnsiTheme="majorEastAsia" w:eastAsiaTheme="majorEastAsia"/>
          <w:b/>
          <w:color w:val="000000"/>
          <w:sz w:val="32"/>
          <w:szCs w:val="32"/>
        </w:rPr>
      </w:pPr>
    </w:p>
    <w:p w14:paraId="7FD41EF6">
      <w:pPr>
        <w:pStyle w:val="4"/>
      </w:pPr>
    </w:p>
    <w:p w14:paraId="2BD44D63">
      <w:pPr>
        <w:pStyle w:val="4"/>
      </w:pPr>
    </w:p>
    <w:p w14:paraId="23E9A4A1">
      <w:pPr>
        <w:pStyle w:val="4"/>
      </w:pPr>
    </w:p>
    <w:p w14:paraId="4D3291F2">
      <w:pPr>
        <w:pStyle w:val="4"/>
      </w:pPr>
    </w:p>
    <w:p w14:paraId="1A90476A">
      <w:pPr>
        <w:pStyle w:val="4"/>
      </w:pPr>
    </w:p>
    <w:p w14:paraId="2B009EFF">
      <w:pPr>
        <w:pStyle w:val="4"/>
      </w:pPr>
    </w:p>
    <w:p w14:paraId="3BED58F3">
      <w:pPr>
        <w:spacing w:line="276" w:lineRule="auto"/>
        <w:jc w:val="center"/>
        <w:rPr>
          <w:rFonts w:cs="宋体" w:asciiTheme="majorEastAsia" w:hAnsiTheme="majorEastAsia" w:eastAsiaTheme="majorEastAsia"/>
          <w:b/>
          <w:color w:val="000000"/>
          <w:sz w:val="32"/>
          <w:szCs w:val="32"/>
        </w:rPr>
      </w:pPr>
    </w:p>
    <w:p w14:paraId="2D13660E">
      <w:pPr>
        <w:pStyle w:val="4"/>
        <w:spacing w:line="276" w:lineRule="auto"/>
        <w:rPr>
          <w:rFonts w:asciiTheme="majorEastAsia" w:hAnsiTheme="majorEastAsia" w:eastAsiaTheme="majorEastAsia"/>
        </w:rPr>
      </w:pPr>
    </w:p>
    <w:p w14:paraId="5C603099">
      <w:pPr>
        <w:pStyle w:val="4"/>
        <w:spacing w:line="276" w:lineRule="auto"/>
        <w:rPr>
          <w:rFonts w:asciiTheme="majorEastAsia" w:hAnsiTheme="majorEastAsia" w:eastAsiaTheme="majorEastAsia"/>
        </w:rPr>
      </w:pPr>
    </w:p>
    <w:p w14:paraId="25532E10">
      <w:pPr>
        <w:pStyle w:val="4"/>
        <w:spacing w:line="276" w:lineRule="auto"/>
        <w:rPr>
          <w:rFonts w:asciiTheme="majorEastAsia" w:hAnsiTheme="majorEastAsia" w:eastAsiaTheme="majorEastAsia"/>
        </w:rPr>
      </w:pPr>
    </w:p>
    <w:p w14:paraId="41050E42">
      <w:pPr>
        <w:pStyle w:val="4"/>
        <w:spacing w:line="276" w:lineRule="auto"/>
        <w:rPr>
          <w:rFonts w:asciiTheme="majorEastAsia" w:hAnsiTheme="majorEastAsia" w:eastAsiaTheme="majorEastAsia"/>
        </w:rPr>
      </w:pPr>
    </w:p>
    <w:p w14:paraId="75B7CB9A">
      <w:pPr>
        <w:pStyle w:val="4"/>
        <w:spacing w:line="276" w:lineRule="auto"/>
        <w:rPr>
          <w:rFonts w:asciiTheme="majorEastAsia" w:hAnsiTheme="majorEastAsia" w:eastAsiaTheme="majorEastAsia"/>
        </w:rPr>
      </w:pPr>
    </w:p>
    <w:p w14:paraId="17986CFF">
      <w:pPr>
        <w:pStyle w:val="4"/>
        <w:spacing w:line="276" w:lineRule="auto"/>
        <w:rPr>
          <w:rFonts w:asciiTheme="majorEastAsia" w:hAnsiTheme="majorEastAsia" w:eastAsiaTheme="majorEastAsia"/>
        </w:rPr>
      </w:pPr>
    </w:p>
    <w:p w14:paraId="32EE3350">
      <w:pPr>
        <w:pStyle w:val="4"/>
        <w:spacing w:line="276" w:lineRule="auto"/>
        <w:rPr>
          <w:rFonts w:asciiTheme="majorEastAsia" w:hAnsiTheme="majorEastAsia" w:eastAsiaTheme="majorEastAsia"/>
        </w:rPr>
      </w:pPr>
    </w:p>
    <w:p w14:paraId="078026FB">
      <w:pPr>
        <w:pStyle w:val="4"/>
        <w:spacing w:line="276" w:lineRule="auto"/>
        <w:rPr>
          <w:rFonts w:asciiTheme="majorEastAsia" w:hAnsiTheme="majorEastAsia" w:eastAsiaTheme="majorEastAsia"/>
        </w:rPr>
      </w:pPr>
    </w:p>
    <w:p w14:paraId="2048823F">
      <w:pPr>
        <w:pStyle w:val="4"/>
        <w:spacing w:line="276" w:lineRule="auto"/>
        <w:rPr>
          <w:rFonts w:asciiTheme="majorEastAsia" w:hAnsiTheme="majorEastAsia" w:eastAsiaTheme="majorEastAsia"/>
        </w:rPr>
      </w:pPr>
    </w:p>
    <w:p w14:paraId="496C3DD5">
      <w:pPr>
        <w:pStyle w:val="4"/>
        <w:spacing w:line="276" w:lineRule="auto"/>
        <w:rPr>
          <w:rFonts w:asciiTheme="majorEastAsia" w:hAnsiTheme="majorEastAsia" w:eastAsiaTheme="majorEastAsia"/>
        </w:rPr>
      </w:pPr>
    </w:p>
    <w:p w14:paraId="14ABC725">
      <w:pPr>
        <w:spacing w:line="276" w:lineRule="auto"/>
        <w:jc w:val="center"/>
        <w:rPr>
          <w:rFonts w:cs="宋体" w:asciiTheme="majorEastAsia" w:hAnsiTheme="majorEastAsia" w:eastAsiaTheme="majorEastAsia"/>
          <w:b/>
          <w:color w:val="000000"/>
          <w:sz w:val="32"/>
          <w:szCs w:val="32"/>
        </w:rPr>
      </w:pPr>
    </w:p>
    <w:p w14:paraId="61949A20">
      <w:pPr>
        <w:spacing w:line="276" w:lineRule="auto"/>
        <w:jc w:val="center"/>
        <w:rPr>
          <w:rFonts w:cs="宋体" w:asciiTheme="majorEastAsia" w:hAnsiTheme="majorEastAsia" w:eastAsiaTheme="majorEastAsia"/>
          <w:color w:val="000000"/>
          <w:sz w:val="44"/>
          <w:szCs w:val="44"/>
        </w:rPr>
      </w:pPr>
      <w:r>
        <w:rPr>
          <w:rFonts w:hint="eastAsia" w:cs="宋体" w:asciiTheme="majorEastAsia" w:hAnsiTheme="majorEastAsia" w:eastAsiaTheme="majorEastAsia"/>
          <w:b/>
          <w:color w:val="000000"/>
          <w:sz w:val="32"/>
          <w:szCs w:val="32"/>
        </w:rPr>
        <w:t>合同协议书</w:t>
      </w:r>
    </w:p>
    <w:p w14:paraId="2DB5F9A0">
      <w:pPr>
        <w:spacing w:line="276" w:lineRule="auto"/>
        <w:ind w:firstLine="472" w:firstLineChars="225"/>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（买方）</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（项目名称）中所需</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（货物名称）经</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以</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号招标文件在国内公开</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邀请</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招标。经评标委员会评定</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卖方</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为中标单位。买、卖双方同意按照下面的条款和条件，签署本合同。</w:t>
      </w:r>
    </w:p>
    <w:p w14:paraId="351E7F98">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l</w:t>
      </w:r>
      <w:r>
        <w:rPr>
          <w:rFonts w:hint="eastAsia" w:cs="宋体" w:asciiTheme="majorEastAsia" w:hAnsiTheme="majorEastAsia" w:eastAsiaTheme="majorEastAsia"/>
          <w:color w:val="000000"/>
          <w:szCs w:val="21"/>
        </w:rPr>
        <w:t>、合同文件</w:t>
      </w:r>
    </w:p>
    <w:p w14:paraId="59D1790D">
      <w:pPr>
        <w:spacing w:line="276" w:lineRule="auto"/>
        <w:ind w:firstLine="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下列文件构成本合同的组成部分：</w:t>
      </w:r>
    </w:p>
    <w:p w14:paraId="10D3BFF5">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a) </w:t>
      </w:r>
      <w:r>
        <w:rPr>
          <w:rFonts w:hint="eastAsia" w:cs="宋体" w:asciiTheme="majorEastAsia" w:hAnsiTheme="majorEastAsia" w:eastAsiaTheme="majorEastAsia"/>
          <w:color w:val="000000"/>
          <w:szCs w:val="21"/>
        </w:rPr>
        <w:t>合同协议书</w:t>
      </w:r>
    </w:p>
    <w:p w14:paraId="011FAF57">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b) </w:t>
      </w:r>
      <w:r>
        <w:rPr>
          <w:rFonts w:hint="eastAsia" w:cs="宋体" w:asciiTheme="majorEastAsia" w:hAnsiTheme="majorEastAsia" w:eastAsiaTheme="majorEastAsia"/>
          <w:color w:val="000000"/>
          <w:szCs w:val="21"/>
        </w:rPr>
        <w:t>中标通知书</w:t>
      </w:r>
    </w:p>
    <w:p w14:paraId="67BF0582">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c) </w:t>
      </w:r>
      <w:r>
        <w:rPr>
          <w:rFonts w:hint="eastAsia" w:cs="宋体" w:asciiTheme="majorEastAsia" w:hAnsiTheme="majorEastAsia" w:eastAsiaTheme="majorEastAsia"/>
          <w:color w:val="000000"/>
          <w:szCs w:val="21"/>
        </w:rPr>
        <w:t>投标函</w:t>
      </w:r>
    </w:p>
    <w:p w14:paraId="58951A9A">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d) </w:t>
      </w:r>
      <w:r>
        <w:rPr>
          <w:rFonts w:hint="eastAsia" w:cs="宋体" w:asciiTheme="majorEastAsia" w:hAnsiTheme="majorEastAsia" w:eastAsiaTheme="majorEastAsia"/>
          <w:color w:val="000000"/>
          <w:szCs w:val="21"/>
        </w:rPr>
        <w:t>合同特殊条款</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p>
    <w:p w14:paraId="4288B8B4">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e) </w:t>
      </w:r>
      <w:r>
        <w:rPr>
          <w:rFonts w:hint="eastAsia" w:cs="宋体" w:asciiTheme="majorEastAsia" w:hAnsiTheme="majorEastAsia" w:eastAsiaTheme="majorEastAsia"/>
          <w:color w:val="000000"/>
          <w:szCs w:val="21"/>
        </w:rPr>
        <w:t>合同一般条款</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p>
    <w:p w14:paraId="2D4B4C62">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f) </w:t>
      </w:r>
      <w:r>
        <w:rPr>
          <w:rFonts w:hint="eastAsia" w:cs="宋体" w:asciiTheme="majorEastAsia" w:hAnsiTheme="majorEastAsia" w:eastAsiaTheme="majorEastAsia"/>
          <w:color w:val="000000"/>
          <w:szCs w:val="21"/>
        </w:rPr>
        <w:t>技术条款</w:t>
      </w:r>
      <w:r>
        <w:rPr>
          <w:rFonts w:cs="宋体" w:asciiTheme="majorEastAsia" w:hAnsiTheme="majorEastAsia" w:eastAsiaTheme="majorEastAsia"/>
          <w:color w:val="000000"/>
          <w:szCs w:val="21"/>
        </w:rPr>
        <w:tab/>
      </w:r>
    </w:p>
    <w:p w14:paraId="534EF111">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g) </w:t>
      </w:r>
      <w:r>
        <w:rPr>
          <w:rFonts w:hint="eastAsia" w:cs="宋体" w:asciiTheme="majorEastAsia" w:hAnsiTheme="majorEastAsia" w:eastAsiaTheme="majorEastAsia"/>
          <w:color w:val="000000"/>
          <w:szCs w:val="21"/>
        </w:rPr>
        <w:t>设计图纸</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p>
    <w:p w14:paraId="46A1A54F">
      <w:pPr>
        <w:spacing w:line="276" w:lineRule="auto"/>
        <w:ind w:left="735" w:leftChars="200" w:hanging="315" w:hangingChars="15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h) </w:t>
      </w:r>
      <w:r>
        <w:rPr>
          <w:rFonts w:hint="eastAsia" w:cs="宋体" w:asciiTheme="majorEastAsia" w:hAnsiTheme="majorEastAsia" w:eastAsiaTheme="majorEastAsia"/>
          <w:color w:val="000000"/>
          <w:szCs w:val="21"/>
        </w:rPr>
        <w:t>投标货物数量、价格表；已标价供货清单；</w:t>
      </w:r>
    </w:p>
    <w:p w14:paraId="37E0F31B">
      <w:pPr>
        <w:spacing w:line="276" w:lineRule="auto"/>
        <w:ind w:left="359" w:leftChars="171" w:firstLine="105" w:firstLineChars="5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i) </w:t>
      </w:r>
      <w:r>
        <w:rPr>
          <w:rFonts w:hint="eastAsia" w:cs="宋体" w:asciiTheme="majorEastAsia" w:hAnsiTheme="majorEastAsia" w:eastAsiaTheme="majorEastAsia"/>
          <w:color w:val="000000"/>
          <w:szCs w:val="21"/>
        </w:rPr>
        <w:t>合同补充条款或说明</w:t>
      </w:r>
    </w:p>
    <w:p w14:paraId="4B588340">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2</w:t>
      </w:r>
      <w:r>
        <w:rPr>
          <w:rFonts w:hint="eastAsia" w:cs="宋体" w:asciiTheme="majorEastAsia" w:hAnsiTheme="majorEastAsia" w:eastAsiaTheme="majorEastAsia"/>
          <w:color w:val="000000"/>
          <w:szCs w:val="21"/>
        </w:rPr>
        <w:t>、合同范围和条件</w:t>
      </w:r>
    </w:p>
    <w:p w14:paraId="24B5C83B">
      <w:pPr>
        <w:spacing w:line="276" w:lineRule="auto"/>
        <w:ind w:left="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本合同的范围和条件应与上述规定的合同文件内容一致。</w:t>
      </w:r>
    </w:p>
    <w:p w14:paraId="4FDAC3B2">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3</w:t>
      </w:r>
      <w:r>
        <w:rPr>
          <w:rFonts w:hint="eastAsia" w:cs="宋体" w:asciiTheme="majorEastAsia" w:hAnsiTheme="majorEastAsia" w:eastAsiaTheme="majorEastAsia"/>
          <w:color w:val="000000"/>
          <w:szCs w:val="21"/>
        </w:rPr>
        <w:t>、货物和数量</w:t>
      </w:r>
    </w:p>
    <w:p w14:paraId="7E1FB6FD">
      <w:pPr>
        <w:spacing w:line="276" w:lineRule="auto"/>
        <w:ind w:left="420" w:leftChars="20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本合同要求提供的货物和数量见投标货物数量、价格表；</w:t>
      </w:r>
    </w:p>
    <w:p w14:paraId="30937394">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4</w:t>
      </w:r>
      <w:r>
        <w:rPr>
          <w:rFonts w:hint="eastAsia" w:cs="宋体" w:asciiTheme="majorEastAsia" w:hAnsiTheme="majorEastAsia" w:eastAsiaTheme="majorEastAsia"/>
          <w:color w:val="000000"/>
          <w:szCs w:val="21"/>
        </w:rPr>
        <w:t>、合同总价</w:t>
      </w:r>
    </w:p>
    <w:p w14:paraId="247DE260">
      <w:pPr>
        <w:spacing w:line="276" w:lineRule="auto"/>
        <w:ind w:firstLine="420" w:firstLineChars="20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本合同总价为</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元人民币，分项价格见投标货物数量、价格表；</w:t>
      </w:r>
    </w:p>
    <w:p w14:paraId="5C24A152">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5</w:t>
      </w:r>
      <w:r>
        <w:rPr>
          <w:rFonts w:hint="eastAsia" w:cs="宋体" w:asciiTheme="majorEastAsia" w:hAnsiTheme="majorEastAsia" w:eastAsiaTheme="majorEastAsia"/>
          <w:color w:val="000000"/>
          <w:szCs w:val="21"/>
        </w:rPr>
        <w:t>、付款方式</w:t>
      </w:r>
    </w:p>
    <w:p w14:paraId="7CAAB721">
      <w:pPr>
        <w:spacing w:line="276" w:lineRule="auto"/>
        <w:ind w:firstLine="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本合同的付款方式在合同特殊条款中规定。</w:t>
      </w:r>
    </w:p>
    <w:p w14:paraId="2FA7E3F6">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6</w:t>
      </w:r>
      <w:r>
        <w:rPr>
          <w:rFonts w:hint="eastAsia" w:cs="宋体" w:asciiTheme="majorEastAsia" w:hAnsiTheme="majorEastAsia" w:eastAsiaTheme="majorEastAsia"/>
          <w:color w:val="000000"/>
          <w:szCs w:val="21"/>
        </w:rPr>
        <w:t>、交货时间及交货地点</w:t>
      </w:r>
    </w:p>
    <w:p w14:paraId="0785018C">
      <w:pPr>
        <w:spacing w:line="276" w:lineRule="auto"/>
        <w:ind w:firstLine="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本合同货物的交货时间和交货地点见投标货物数量、价格表。</w:t>
      </w:r>
    </w:p>
    <w:p w14:paraId="1E7AF4D2">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7</w:t>
      </w:r>
      <w:r>
        <w:rPr>
          <w:rFonts w:hint="eastAsia" w:cs="宋体" w:asciiTheme="majorEastAsia" w:hAnsiTheme="majorEastAsia" w:eastAsiaTheme="majorEastAsia"/>
          <w:color w:val="000000"/>
          <w:szCs w:val="21"/>
        </w:rPr>
        <w:t>、合同的生效</w:t>
      </w:r>
    </w:p>
    <w:p w14:paraId="6C4E008C">
      <w:pPr>
        <w:spacing w:line="276" w:lineRule="auto"/>
        <w:ind w:firstLine="420" w:firstLineChars="20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本合同经双方授权代表签署、买、卖双方加盖印章，且买方收到卖方提交的履约保证金保函之后生效。本合同正本一式份，买卖双方各持份。副本份，买卖双方各持份，其余副本由买方分送有关单位。</w:t>
      </w:r>
    </w:p>
    <w:p w14:paraId="6C4F155C">
      <w:pPr>
        <w:spacing w:line="276" w:lineRule="auto"/>
        <w:ind w:firstLine="420"/>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买方：</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卖方：</w:t>
      </w:r>
    </w:p>
    <w:p w14:paraId="289C5705">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名称：（印章）</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名称：（印章）</w:t>
      </w:r>
    </w:p>
    <w:p w14:paraId="0D11BF00">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法定代表人或全权代表（签字）：</w:t>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法定代表人或全权代表（签字）：</w:t>
      </w:r>
    </w:p>
    <w:p w14:paraId="146FF118">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地址：</w:t>
      </w:r>
    </w:p>
    <w:p w14:paraId="2ECC335B">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邮政编码：</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邮政编码：</w:t>
      </w:r>
    </w:p>
    <w:p w14:paraId="7AC9D56A">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电话：</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电话：</w:t>
      </w:r>
    </w:p>
    <w:p w14:paraId="26BE58B7">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开户银行：</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开户银行：</w:t>
      </w:r>
    </w:p>
    <w:p w14:paraId="2B3D0393">
      <w:pPr>
        <w:widowControl/>
        <w:spacing w:line="276" w:lineRule="auto"/>
        <w:ind w:firstLine="420" w:firstLineChars="200"/>
        <w:rPr>
          <w:rFonts w:cs="宋体" w:asciiTheme="majorEastAsia" w:hAnsiTheme="majorEastAsia" w:eastAsiaTheme="majorEastAsia"/>
          <w:color w:val="000000"/>
          <w:kern w:val="0"/>
          <w:sz w:val="24"/>
          <w:lang w:val="zh-CN"/>
        </w:rPr>
      </w:pPr>
      <w:r>
        <w:rPr>
          <w:rFonts w:hint="eastAsia" w:cs="宋体" w:asciiTheme="majorEastAsia" w:hAnsiTheme="majorEastAsia" w:eastAsiaTheme="majorEastAsia"/>
          <w:color w:val="000000"/>
        </w:rPr>
        <w:t>账号：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账号：</w:t>
      </w:r>
    </w:p>
    <w:p w14:paraId="6EC228B4">
      <w:pPr>
        <w:spacing w:line="276" w:lineRule="auto"/>
        <w:ind w:left="425"/>
        <w:rPr>
          <w:rFonts w:cs="宋体" w:asciiTheme="majorEastAsia" w:hAnsiTheme="majorEastAsia" w:eastAsiaTheme="majorEastAsia"/>
          <w:color w:val="000000"/>
        </w:rPr>
        <w:sectPr>
          <w:footerReference r:id="rId3" w:type="default"/>
          <w:pgSz w:w="11907" w:h="16840"/>
          <w:pgMar w:top="1247" w:right="1247" w:bottom="1247" w:left="1020" w:header="851" w:footer="992" w:gutter="397"/>
          <w:pgNumType w:start="1"/>
          <w:cols w:space="0" w:num="1"/>
          <w:docGrid w:linePitch="435" w:charSpace="0"/>
        </w:sectPr>
      </w:pPr>
    </w:p>
    <w:bookmarkEnd w:id="626"/>
    <w:p w14:paraId="2E7D46DF">
      <w:pPr>
        <w:pStyle w:val="29"/>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bookmarkStart w:id="629" w:name="_Toc4989"/>
      <w:r>
        <w:rPr>
          <w:rFonts w:hint="eastAsia" w:cs="宋体" w:asciiTheme="majorEastAsia" w:hAnsiTheme="majorEastAsia" w:eastAsiaTheme="majorEastAsia"/>
          <w:color w:val="000000"/>
        </w:rPr>
        <w:t>第五章</w:t>
      </w:r>
      <w:r>
        <w:rPr>
          <w:rFonts w:hint="eastAsia" w:cs="宋体" w:asciiTheme="majorEastAsia" w:hAnsiTheme="majorEastAsia" w:eastAsiaTheme="majorEastAsia"/>
          <w:color w:val="000000"/>
          <w:lang w:val="en-US" w:eastAsia="zh-CN"/>
        </w:rPr>
        <w:t xml:space="preserve"> </w:t>
      </w:r>
      <w:r>
        <w:rPr>
          <w:rFonts w:hint="eastAsia" w:cs="宋体" w:asciiTheme="majorEastAsia" w:hAnsiTheme="majorEastAsia" w:eastAsiaTheme="majorEastAsia"/>
          <w:color w:val="000000"/>
        </w:rPr>
        <w:t>技术标准和要求</w:t>
      </w:r>
      <w:bookmarkEnd w:id="629"/>
    </w:p>
    <w:p w14:paraId="72991313">
      <w:pPr>
        <w:rPr>
          <w:rFonts w:hint="eastAsia" w:cs="宋体" w:asciiTheme="majorEastAsia" w:hAnsiTheme="majorEastAsia" w:eastAsiaTheme="majorEastAsia"/>
          <w:color w:val="000000"/>
        </w:rPr>
        <w:sectPr>
          <w:headerReference r:id="rId4" w:type="default"/>
          <w:footerReference r:id="rId5" w:type="default"/>
          <w:pgSz w:w="11906" w:h="16838"/>
          <w:pgMar w:top="1418" w:right="1134" w:bottom="1418" w:left="1418" w:header="851" w:footer="992" w:gutter="0"/>
          <w:cols w:space="720" w:num="1"/>
          <w:docGrid w:type="linesAndChars" w:linePitch="312" w:charSpace="0"/>
        </w:sectPr>
      </w:pPr>
      <w:bookmarkStart w:id="630" w:name="_Toc3483"/>
    </w:p>
    <w:tbl>
      <w:tblPr>
        <w:tblStyle w:val="32"/>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99"/>
        <w:gridCol w:w="1887"/>
        <w:gridCol w:w="2971"/>
        <w:gridCol w:w="7965"/>
      </w:tblGrid>
      <w:tr w14:paraId="7DD9769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60" w:hRule="atLeast"/>
        </w:trPr>
        <w:tc>
          <w:tcPr>
            <w:tcW w:w="1253" w:type="dxa"/>
            <w:tcBorders>
              <w:top w:val="single" w:color="000000" w:sz="4" w:space="0"/>
              <w:left w:val="single" w:color="000000" w:sz="4" w:space="0"/>
              <w:bottom w:val="single" w:color="000000" w:sz="4" w:space="0"/>
              <w:right w:val="single" w:color="000000" w:sz="4" w:space="0"/>
            </w:tcBorders>
            <w:vAlign w:val="top"/>
          </w:tcPr>
          <w:p w14:paraId="63E50ABD">
            <w:pPr>
              <w:wordWrap w:val="0"/>
              <w:spacing w:before="0" w:after="0" w:line="240" w:lineRule="auto"/>
              <w:ind w:firstLine="0"/>
              <w:jc w:val="both"/>
              <w:rPr>
                <w:rFonts w:hint="eastAsia" w:ascii="宋体" w:hAnsi="宋体" w:eastAsia="宋体" w:cs="Times New Roman"/>
                <w:color w:val="000000"/>
                <w:kern w:val="0"/>
                <w:sz w:val="22"/>
                <w:szCs w:val="22"/>
              </w:rPr>
            </w:pPr>
            <w:bookmarkStart w:id="631" w:name="OLE_LINK44"/>
          </w:p>
          <w:p w14:paraId="2583DA39">
            <w:pPr>
              <w:wordWrap w:val="0"/>
              <w:spacing w:before="0" w:after="0" w:line="240" w:lineRule="auto"/>
              <w:ind w:firstLine="0"/>
              <w:jc w:val="both"/>
              <w:rPr>
                <w:rFonts w:hint="eastAsia" w:ascii="宋体" w:hAnsi="宋体" w:eastAsia="宋体" w:cs="Times New Roman"/>
                <w:color w:val="000000"/>
                <w:kern w:val="0"/>
                <w:sz w:val="22"/>
                <w:szCs w:val="22"/>
              </w:rPr>
            </w:pPr>
          </w:p>
          <w:p w14:paraId="4F6A9817">
            <w:pPr>
              <w:spacing w:before="0" w:after="0" w:line="215" w:lineRule="auto"/>
              <w:jc w:val="center"/>
              <w:rPr>
                <w:rFonts w:ascii="Calibri" w:hAnsi="Calibri" w:eastAsia="宋体" w:cs="Times New Roman"/>
                <w:kern w:val="0"/>
                <w:sz w:val="22"/>
                <w:szCs w:val="22"/>
              </w:rPr>
            </w:pPr>
            <w:r>
              <w:rPr>
                <w:rFonts w:hint="eastAsia" w:ascii="宋体" w:hAnsi="宋体" w:eastAsia="宋体" w:cs="Times New Roman"/>
                <w:color w:val="000000"/>
                <w:kern w:val="0"/>
                <w:sz w:val="22"/>
                <w:szCs w:val="22"/>
              </w:rPr>
              <w:t>序号</w:t>
            </w:r>
          </w:p>
        </w:tc>
        <w:tc>
          <w:tcPr>
            <w:tcW w:w="1980" w:type="dxa"/>
            <w:tcBorders>
              <w:top w:val="single" w:color="000000" w:sz="4" w:space="0"/>
              <w:left w:val="single" w:color="000000" w:sz="4" w:space="0"/>
              <w:bottom w:val="single" w:color="000000" w:sz="4" w:space="0"/>
              <w:right w:val="single" w:color="000000" w:sz="4" w:space="0"/>
            </w:tcBorders>
            <w:vAlign w:val="top"/>
          </w:tcPr>
          <w:p w14:paraId="0A02E66D">
            <w:pPr>
              <w:wordWrap w:val="0"/>
              <w:spacing w:before="0" w:after="0" w:line="240" w:lineRule="auto"/>
              <w:ind w:firstLine="0"/>
              <w:jc w:val="both"/>
              <w:rPr>
                <w:rFonts w:hint="eastAsia" w:ascii="宋体" w:hAnsi="宋体" w:eastAsia="宋体" w:cs="Times New Roman"/>
                <w:color w:val="000000"/>
                <w:kern w:val="0"/>
                <w:sz w:val="22"/>
                <w:szCs w:val="22"/>
              </w:rPr>
            </w:pPr>
          </w:p>
          <w:p w14:paraId="2EE01C8B">
            <w:pPr>
              <w:wordWrap w:val="0"/>
              <w:spacing w:before="0" w:after="0" w:line="240" w:lineRule="auto"/>
              <w:ind w:firstLine="0"/>
              <w:jc w:val="both"/>
              <w:rPr>
                <w:rFonts w:hint="eastAsia" w:ascii="宋体" w:hAnsi="宋体" w:eastAsia="宋体" w:cs="Times New Roman"/>
                <w:color w:val="000000"/>
                <w:kern w:val="0"/>
                <w:sz w:val="22"/>
                <w:szCs w:val="22"/>
              </w:rPr>
            </w:pPr>
          </w:p>
          <w:p w14:paraId="63D7CA69">
            <w:pPr>
              <w:spacing w:before="0" w:after="0" w:line="215" w:lineRule="auto"/>
              <w:jc w:val="center"/>
              <w:rPr>
                <w:rFonts w:ascii="Calibri" w:hAnsi="Calibri" w:eastAsia="宋体" w:cs="Times New Roman"/>
                <w:kern w:val="0"/>
                <w:sz w:val="22"/>
                <w:szCs w:val="22"/>
              </w:rPr>
            </w:pPr>
            <w:r>
              <w:rPr>
                <w:rFonts w:hint="eastAsia" w:ascii="宋体" w:hAnsi="宋体" w:eastAsia="宋体" w:cs="Times New Roman"/>
                <w:color w:val="000000"/>
                <w:kern w:val="0"/>
                <w:sz w:val="22"/>
                <w:szCs w:val="22"/>
              </w:rPr>
              <w:t>物资名称</w:t>
            </w:r>
          </w:p>
        </w:tc>
        <w:tc>
          <w:tcPr>
            <w:tcW w:w="3105" w:type="dxa"/>
            <w:tcBorders>
              <w:top w:val="single" w:color="000000" w:sz="4" w:space="0"/>
              <w:left w:val="single" w:color="000000" w:sz="4" w:space="0"/>
              <w:bottom w:val="single" w:color="000000" w:sz="4" w:space="0"/>
              <w:right w:val="single" w:color="000000" w:sz="4" w:space="0"/>
            </w:tcBorders>
            <w:vAlign w:val="top"/>
          </w:tcPr>
          <w:p w14:paraId="732634A1">
            <w:pPr>
              <w:wordWrap w:val="0"/>
              <w:spacing w:before="0" w:after="0" w:line="240" w:lineRule="auto"/>
              <w:ind w:firstLine="0"/>
              <w:jc w:val="both"/>
              <w:rPr>
                <w:rFonts w:hint="eastAsia" w:ascii="宋体" w:hAnsi="宋体" w:eastAsia="宋体" w:cs="Times New Roman"/>
                <w:color w:val="000000"/>
                <w:kern w:val="0"/>
                <w:sz w:val="22"/>
                <w:szCs w:val="22"/>
              </w:rPr>
            </w:pPr>
          </w:p>
          <w:p w14:paraId="46416940">
            <w:pPr>
              <w:wordWrap w:val="0"/>
              <w:spacing w:before="0" w:after="0" w:line="240" w:lineRule="auto"/>
              <w:ind w:firstLine="0"/>
              <w:jc w:val="both"/>
              <w:rPr>
                <w:rFonts w:hint="eastAsia" w:ascii="宋体" w:hAnsi="宋体" w:eastAsia="宋体" w:cs="Times New Roman"/>
                <w:color w:val="000000"/>
                <w:kern w:val="0"/>
                <w:sz w:val="22"/>
                <w:szCs w:val="22"/>
              </w:rPr>
            </w:pPr>
          </w:p>
          <w:p w14:paraId="6DD82D95">
            <w:pPr>
              <w:spacing w:before="0" w:after="0" w:line="215" w:lineRule="auto"/>
              <w:jc w:val="center"/>
              <w:rPr>
                <w:rFonts w:ascii="Calibri" w:hAnsi="Calibri" w:eastAsia="宋体" w:cs="Times New Roman"/>
                <w:kern w:val="0"/>
                <w:sz w:val="22"/>
                <w:szCs w:val="22"/>
              </w:rPr>
            </w:pPr>
            <w:r>
              <w:rPr>
                <w:rFonts w:hint="eastAsia" w:ascii="宋体" w:hAnsi="宋体" w:eastAsia="宋体" w:cs="Times New Roman"/>
                <w:color w:val="000000"/>
                <w:kern w:val="0"/>
                <w:sz w:val="22"/>
                <w:szCs w:val="22"/>
              </w:rPr>
              <w:t>数量</w:t>
            </w:r>
          </w:p>
        </w:tc>
        <w:tc>
          <w:tcPr>
            <w:tcW w:w="8340" w:type="dxa"/>
            <w:tcBorders>
              <w:top w:val="single" w:color="000000" w:sz="4" w:space="0"/>
              <w:left w:val="single" w:color="000000" w:sz="4" w:space="0"/>
              <w:bottom w:val="single" w:color="000000" w:sz="4" w:space="0"/>
              <w:right w:val="single" w:color="000000" w:sz="4" w:space="0"/>
            </w:tcBorders>
            <w:vAlign w:val="top"/>
          </w:tcPr>
          <w:p w14:paraId="55C8C58D">
            <w:pPr>
              <w:wordWrap w:val="0"/>
              <w:spacing w:before="0" w:after="0" w:line="240" w:lineRule="auto"/>
              <w:ind w:firstLine="0"/>
              <w:jc w:val="both"/>
              <w:rPr>
                <w:rFonts w:hint="eastAsia" w:ascii="宋体" w:hAnsi="宋体" w:eastAsia="宋体" w:cs="Times New Roman"/>
                <w:color w:val="000000"/>
                <w:kern w:val="0"/>
                <w:sz w:val="22"/>
                <w:szCs w:val="22"/>
              </w:rPr>
            </w:pPr>
          </w:p>
          <w:p w14:paraId="6F28DAAD">
            <w:pPr>
              <w:wordWrap w:val="0"/>
              <w:spacing w:before="0" w:after="0" w:line="240" w:lineRule="auto"/>
              <w:ind w:firstLine="0"/>
              <w:jc w:val="both"/>
              <w:rPr>
                <w:rFonts w:hint="eastAsia" w:ascii="宋体" w:hAnsi="宋体" w:eastAsia="宋体" w:cs="Times New Roman"/>
                <w:color w:val="000000"/>
                <w:kern w:val="0"/>
                <w:sz w:val="22"/>
                <w:szCs w:val="22"/>
              </w:rPr>
            </w:pPr>
          </w:p>
          <w:p w14:paraId="57DF60E5">
            <w:pPr>
              <w:spacing w:before="0" w:after="0" w:line="235" w:lineRule="auto"/>
              <w:jc w:val="center"/>
              <w:rPr>
                <w:rFonts w:ascii="Calibri" w:hAnsi="Calibri" w:eastAsia="宋体" w:cs="Times New Roman"/>
                <w:kern w:val="0"/>
                <w:sz w:val="22"/>
                <w:szCs w:val="22"/>
              </w:rPr>
            </w:pPr>
            <w:r>
              <w:rPr>
                <w:rFonts w:hint="eastAsia" w:ascii="宋体" w:hAnsi="宋体" w:eastAsia="宋体" w:cs="Times New Roman"/>
                <w:color w:val="000000"/>
                <w:kern w:val="0"/>
                <w:sz w:val="22"/>
                <w:szCs w:val="22"/>
              </w:rPr>
              <w:t>规格</w:t>
            </w:r>
          </w:p>
        </w:tc>
      </w:tr>
      <w:tr w14:paraId="4089F2E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1253" w:type="dxa"/>
            <w:tcBorders>
              <w:top w:val="single" w:color="000000" w:sz="4" w:space="0"/>
              <w:left w:val="single" w:color="000000" w:sz="4" w:space="0"/>
              <w:bottom w:val="single" w:color="000000" w:sz="4" w:space="0"/>
              <w:right w:val="single" w:color="000000" w:sz="4" w:space="0"/>
            </w:tcBorders>
            <w:vAlign w:val="top"/>
          </w:tcPr>
          <w:p w14:paraId="6973693B">
            <w:pPr>
              <w:wordWrap w:val="0"/>
              <w:spacing w:before="0" w:after="0" w:line="240" w:lineRule="auto"/>
              <w:ind w:firstLine="0"/>
              <w:jc w:val="both"/>
              <w:rPr>
                <w:rFonts w:hint="eastAsia" w:ascii="宋体" w:hAnsi="宋体" w:eastAsia="宋体" w:cs="Times New Roman"/>
                <w:color w:val="000000"/>
                <w:kern w:val="0"/>
                <w:sz w:val="22"/>
                <w:szCs w:val="22"/>
              </w:rPr>
            </w:pPr>
          </w:p>
          <w:p w14:paraId="0A8E59A2">
            <w:pPr>
              <w:spacing w:before="164" w:after="0" w:line="240" w:lineRule="auto"/>
              <w:jc w:val="center"/>
              <w:rPr>
                <w:rFonts w:ascii="Calibri" w:hAnsi="Calibri" w:eastAsia="宋体" w:cs="Times New Roman"/>
                <w:kern w:val="0"/>
                <w:sz w:val="22"/>
                <w:szCs w:val="22"/>
              </w:rPr>
            </w:pPr>
            <w:r>
              <w:rPr>
                <w:rFonts w:hint="eastAsia" w:ascii="Calibri" w:hAnsi="Calibri" w:eastAsia="Calibri" w:cs="Times New Roman"/>
                <w:color w:val="000000"/>
                <w:kern w:val="0"/>
                <w:sz w:val="22"/>
                <w:szCs w:val="22"/>
              </w:rPr>
              <w:t>1</w:t>
            </w:r>
          </w:p>
        </w:tc>
        <w:tc>
          <w:tcPr>
            <w:tcW w:w="1980" w:type="dxa"/>
            <w:tcBorders>
              <w:top w:val="single" w:color="000000" w:sz="4" w:space="0"/>
              <w:left w:val="single" w:color="000000" w:sz="4" w:space="0"/>
              <w:bottom w:val="single" w:color="000000" w:sz="4" w:space="0"/>
              <w:right w:val="single" w:color="000000" w:sz="4" w:space="0"/>
            </w:tcBorders>
            <w:vAlign w:val="top"/>
          </w:tcPr>
          <w:p w14:paraId="38B03DB5">
            <w:pPr>
              <w:wordWrap w:val="0"/>
              <w:spacing w:before="0" w:after="0" w:line="240" w:lineRule="auto"/>
              <w:ind w:firstLine="0"/>
              <w:jc w:val="both"/>
              <w:rPr>
                <w:rFonts w:hint="eastAsia" w:ascii="宋体" w:hAnsi="宋体" w:eastAsia="宋体" w:cs="Times New Roman"/>
                <w:color w:val="000000"/>
                <w:kern w:val="0"/>
                <w:sz w:val="22"/>
                <w:szCs w:val="22"/>
              </w:rPr>
            </w:pPr>
          </w:p>
          <w:p w14:paraId="3451C1FE">
            <w:pPr>
              <w:spacing w:before="168" w:after="0" w:line="240" w:lineRule="auto"/>
              <w:jc w:val="center"/>
              <w:rPr>
                <w:rFonts w:ascii="Calibri" w:hAnsi="Calibri" w:eastAsia="宋体" w:cs="Times New Roman"/>
                <w:kern w:val="0"/>
                <w:sz w:val="22"/>
                <w:szCs w:val="22"/>
              </w:rPr>
            </w:pPr>
            <w:r>
              <w:rPr>
                <w:rFonts w:hint="eastAsia" w:ascii="宋体" w:hAnsi="宋体" w:eastAsia="宋体" w:cs="Times New Roman"/>
                <w:color w:val="000000"/>
                <w:kern w:val="0"/>
                <w:sz w:val="22"/>
                <w:szCs w:val="22"/>
              </w:rPr>
              <w:t>吊装吨袋</w:t>
            </w:r>
          </w:p>
        </w:tc>
        <w:tc>
          <w:tcPr>
            <w:tcW w:w="3105" w:type="dxa"/>
            <w:tcBorders>
              <w:top w:val="single" w:color="000000" w:sz="4" w:space="0"/>
              <w:left w:val="single" w:color="000000" w:sz="4" w:space="0"/>
              <w:bottom w:val="single" w:color="000000" w:sz="4" w:space="0"/>
              <w:right w:val="single" w:color="000000" w:sz="4" w:space="0"/>
            </w:tcBorders>
            <w:vAlign w:val="top"/>
          </w:tcPr>
          <w:p w14:paraId="488A41A9">
            <w:pPr>
              <w:wordWrap w:val="0"/>
              <w:spacing w:before="0" w:after="0" w:line="240" w:lineRule="auto"/>
              <w:ind w:firstLine="0"/>
              <w:jc w:val="both"/>
              <w:rPr>
                <w:rFonts w:hint="eastAsia" w:ascii="宋体" w:hAnsi="宋体" w:eastAsia="宋体" w:cs="Times New Roman"/>
                <w:color w:val="000000"/>
                <w:kern w:val="0"/>
                <w:sz w:val="22"/>
                <w:szCs w:val="22"/>
              </w:rPr>
            </w:pPr>
          </w:p>
          <w:p w14:paraId="2BA5F37E">
            <w:pPr>
              <w:spacing w:before="168" w:after="0" w:line="240" w:lineRule="auto"/>
              <w:jc w:val="center"/>
              <w:rPr>
                <w:rFonts w:ascii="Calibri" w:hAnsi="Calibri" w:eastAsia="宋体" w:cs="Times New Roman"/>
                <w:kern w:val="0"/>
                <w:sz w:val="22"/>
                <w:szCs w:val="22"/>
              </w:rPr>
            </w:pPr>
            <w:r>
              <w:rPr>
                <w:rFonts w:hint="eastAsia" w:ascii="Calibri" w:hAnsi="Calibri" w:eastAsia="Calibri" w:cs="Times New Roman"/>
                <w:color w:val="000000"/>
                <w:kern w:val="0"/>
                <w:sz w:val="22"/>
                <w:szCs w:val="22"/>
              </w:rPr>
              <w:t>20000</w:t>
            </w:r>
            <w:r>
              <w:rPr>
                <w:rFonts w:hint="eastAsia" w:ascii="宋体" w:hAnsi="宋体" w:eastAsia="宋体" w:cs="Times New Roman"/>
                <w:color w:val="000000"/>
                <w:kern w:val="0"/>
                <w:sz w:val="22"/>
                <w:szCs w:val="22"/>
              </w:rPr>
              <w:t>条</w:t>
            </w:r>
          </w:p>
        </w:tc>
        <w:tc>
          <w:tcPr>
            <w:tcW w:w="8340" w:type="dxa"/>
            <w:tcBorders>
              <w:top w:val="single" w:color="000000" w:sz="4" w:space="0"/>
              <w:left w:val="single" w:color="000000" w:sz="4" w:space="0"/>
              <w:bottom w:val="single" w:color="000000" w:sz="4" w:space="0"/>
              <w:right w:val="single" w:color="000000" w:sz="4" w:space="0"/>
            </w:tcBorders>
            <w:vAlign w:val="center"/>
          </w:tcPr>
          <w:p w14:paraId="2EE2F0E7">
            <w:pPr>
              <w:spacing w:before="42" w:after="0" w:line="240" w:lineRule="auto"/>
              <w:jc w:val="both"/>
              <w:rPr>
                <w:rFonts w:ascii="Calibri" w:hAnsi="Calibri" w:eastAsia="宋体" w:cs="Times New Roman"/>
                <w:kern w:val="0"/>
                <w:sz w:val="22"/>
                <w:szCs w:val="22"/>
              </w:rPr>
            </w:pPr>
            <w:r>
              <w:rPr>
                <w:rFonts w:hint="eastAsia" w:ascii="宋体" w:hAnsi="宋体" w:eastAsia="宋体" w:cs="Times New Roman"/>
                <w:color w:val="000000"/>
                <w:kern w:val="0"/>
                <w:sz w:val="22"/>
                <w:szCs w:val="22"/>
              </w:rPr>
              <w:t>承重：≥</w:t>
            </w:r>
            <w:r>
              <w:rPr>
                <w:rFonts w:hint="eastAsia" w:ascii="Calibri" w:hAnsi="Calibri" w:eastAsia="Calibri" w:cs="Times New Roman"/>
                <w:color w:val="000000"/>
                <w:kern w:val="0"/>
                <w:sz w:val="22"/>
                <w:szCs w:val="22"/>
              </w:rPr>
              <w:t>1</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2t</w:t>
            </w:r>
            <w:r>
              <w:rPr>
                <w:rFonts w:hint="eastAsia" w:ascii="宋体" w:hAnsi="宋体" w:eastAsia="宋体" w:cs="Times New Roman"/>
                <w:color w:val="000000"/>
                <w:kern w:val="0"/>
                <w:sz w:val="22"/>
                <w:szCs w:val="22"/>
              </w:rPr>
              <w:t>尺寸：</w:t>
            </w:r>
            <w:r>
              <w:rPr>
                <w:rFonts w:hint="eastAsia" w:ascii="Calibri" w:hAnsi="Calibri" w:eastAsia="Calibri" w:cs="Times New Roman"/>
                <w:color w:val="000000"/>
                <w:kern w:val="0"/>
                <w:sz w:val="22"/>
                <w:szCs w:val="22"/>
              </w:rPr>
              <w:t>90</w:t>
            </w:r>
            <w:r>
              <w:rPr>
                <w:rFonts w:hint="eastAsia" w:ascii="宋体" w:hAnsi="宋体" w:eastAsia="宋体" w:cs="Times New Roman"/>
                <w:color w:val="000000"/>
                <w:kern w:val="0"/>
                <w:sz w:val="22"/>
                <w:szCs w:val="22"/>
                <w:lang w:val="en-US" w:eastAsia="zh-CN"/>
              </w:rPr>
              <w:t>*</w:t>
            </w:r>
            <w:r>
              <w:rPr>
                <w:rFonts w:hint="eastAsia" w:ascii="Calibri" w:hAnsi="Calibri" w:eastAsia="Calibri" w:cs="Times New Roman"/>
                <w:color w:val="000000"/>
                <w:kern w:val="0"/>
                <w:sz w:val="22"/>
                <w:szCs w:val="22"/>
              </w:rPr>
              <w:t>90</w:t>
            </w:r>
            <w:r>
              <w:rPr>
                <w:rFonts w:hint="eastAsia" w:ascii="宋体" w:hAnsi="宋体" w:eastAsia="宋体" w:cs="Times New Roman"/>
                <w:color w:val="000000"/>
                <w:kern w:val="0"/>
                <w:sz w:val="22"/>
                <w:szCs w:val="22"/>
                <w:lang w:val="en-US" w:eastAsia="zh-CN"/>
              </w:rPr>
              <w:t>*</w:t>
            </w:r>
            <w:r>
              <w:rPr>
                <w:rFonts w:hint="eastAsia" w:ascii="Calibri" w:hAnsi="Calibri" w:eastAsia="Calibri" w:cs="Times New Roman"/>
                <w:color w:val="000000"/>
                <w:kern w:val="0"/>
                <w:sz w:val="22"/>
                <w:szCs w:val="22"/>
              </w:rPr>
              <w:t>110cm</w:t>
            </w:r>
            <w:r>
              <w:rPr>
                <w:rFonts w:hint="eastAsia" w:ascii="宋体" w:hAnsi="宋体" w:eastAsia="宋体" w:cs="Times New Roman"/>
                <w:color w:val="000000"/>
                <w:kern w:val="0"/>
                <w:sz w:val="22"/>
                <w:szCs w:val="22"/>
              </w:rPr>
              <w:t>材质：四吊十字托底新料聚丙烯</w:t>
            </w:r>
            <w:r>
              <w:rPr>
                <w:rFonts w:hint="eastAsia" w:ascii="Calibri" w:hAnsi="Calibri" w:eastAsia="Calibri" w:cs="Times New Roman"/>
                <w:color w:val="000000"/>
                <w:kern w:val="0"/>
                <w:sz w:val="22"/>
                <w:szCs w:val="22"/>
              </w:rPr>
              <w:t>160</w:t>
            </w:r>
            <w:r>
              <w:rPr>
                <w:rFonts w:hint="eastAsia" w:ascii="宋体" w:hAnsi="宋体" w:eastAsia="宋体" w:cs="Times New Roman"/>
                <w:color w:val="000000"/>
                <w:kern w:val="0"/>
                <w:sz w:val="22"/>
                <w:szCs w:val="22"/>
              </w:rPr>
              <w:t>克双经布，底布</w:t>
            </w:r>
            <w:r>
              <w:rPr>
                <w:rFonts w:hint="eastAsia" w:ascii="Calibri" w:hAnsi="Calibri" w:eastAsia="Calibri" w:cs="Times New Roman"/>
                <w:color w:val="000000"/>
                <w:kern w:val="0"/>
                <w:sz w:val="22"/>
                <w:szCs w:val="22"/>
              </w:rPr>
              <w:t>150</w:t>
            </w:r>
            <w:r>
              <w:rPr>
                <w:rFonts w:hint="eastAsia" w:ascii="宋体" w:hAnsi="宋体" w:eastAsia="宋体" w:cs="Times New Roman"/>
                <w:color w:val="000000"/>
                <w:kern w:val="0"/>
                <w:sz w:val="22"/>
                <w:szCs w:val="22"/>
              </w:rPr>
              <w:t>克，吊带</w:t>
            </w:r>
            <w:r>
              <w:rPr>
                <w:rFonts w:hint="eastAsia" w:ascii="Calibri" w:hAnsi="Calibri" w:eastAsia="Calibri" w:cs="Times New Roman"/>
                <w:color w:val="000000"/>
                <w:kern w:val="0"/>
                <w:sz w:val="22"/>
                <w:szCs w:val="22"/>
              </w:rPr>
              <w:t>45</w:t>
            </w:r>
            <w:r>
              <w:rPr>
                <w:rFonts w:hint="eastAsia" w:ascii="宋体" w:hAnsi="宋体" w:eastAsia="宋体" w:cs="Times New Roman"/>
                <w:color w:val="000000"/>
                <w:kern w:val="0"/>
                <w:sz w:val="22"/>
                <w:szCs w:val="22"/>
              </w:rPr>
              <w:t>克，</w:t>
            </w:r>
          </w:p>
          <w:p w14:paraId="6DD31424">
            <w:pPr>
              <w:spacing w:before="0" w:after="0" w:line="211" w:lineRule="auto"/>
              <w:jc w:val="both"/>
              <w:rPr>
                <w:rFonts w:ascii="Calibri" w:hAnsi="Calibri" w:eastAsia="宋体" w:cs="Times New Roman"/>
                <w:kern w:val="0"/>
                <w:sz w:val="21"/>
                <w:szCs w:val="22"/>
              </w:rPr>
            </w:pPr>
            <w:r>
              <w:rPr>
                <w:rFonts w:hint="eastAsia" w:ascii="宋体" w:hAnsi="宋体" w:eastAsia="宋体" w:cs="Times New Roman"/>
                <w:color w:val="000000"/>
                <w:kern w:val="0"/>
                <w:sz w:val="21"/>
                <w:szCs w:val="22"/>
              </w:rPr>
              <w:t>容积：</w:t>
            </w:r>
            <w:r>
              <w:rPr>
                <w:rFonts w:hint="eastAsia" w:ascii="Calibri" w:hAnsi="Calibri" w:eastAsia="Calibri" w:cs="Times New Roman"/>
                <w:color w:val="000000"/>
                <w:kern w:val="0"/>
                <w:sz w:val="21"/>
                <w:szCs w:val="22"/>
              </w:rPr>
              <w:t>0</w:t>
            </w:r>
            <w:r>
              <w:rPr>
                <w:rFonts w:hint="eastAsia" w:ascii="宋体" w:hAnsi="宋体" w:eastAsia="宋体" w:cs="Times New Roman"/>
                <w:color w:val="000000"/>
                <w:kern w:val="0"/>
                <w:sz w:val="21"/>
                <w:szCs w:val="22"/>
              </w:rPr>
              <w:t>.</w:t>
            </w:r>
            <w:r>
              <w:rPr>
                <w:rFonts w:hint="eastAsia" w:ascii="Calibri" w:hAnsi="Calibri" w:eastAsia="Calibri" w:cs="Times New Roman"/>
                <w:color w:val="000000"/>
                <w:kern w:val="0"/>
                <w:sz w:val="21"/>
                <w:szCs w:val="22"/>
              </w:rPr>
              <w:t>89</w:t>
            </w:r>
            <w:r>
              <w:rPr>
                <w:rFonts w:hint="eastAsia" w:ascii="宋体" w:hAnsi="宋体" w:eastAsia="宋体" w:cs="Times New Roman"/>
                <w:color w:val="000000"/>
                <w:kern w:val="0"/>
                <w:sz w:val="21"/>
                <w:szCs w:val="22"/>
              </w:rPr>
              <w:t>方基布抗拉强度，纵向：</w:t>
            </w:r>
            <w:r>
              <w:rPr>
                <w:rFonts w:hint="eastAsia" w:ascii="Calibri" w:hAnsi="Calibri" w:eastAsia="Calibri" w:cs="Times New Roman"/>
                <w:color w:val="000000"/>
                <w:kern w:val="0"/>
                <w:sz w:val="21"/>
                <w:szCs w:val="22"/>
              </w:rPr>
              <w:t>1600N</w:t>
            </w:r>
            <w:r>
              <w:rPr>
                <w:rFonts w:hint="eastAsia" w:ascii="宋体" w:hAnsi="宋体" w:eastAsia="宋体" w:cs="Times New Roman"/>
                <w:color w:val="000000"/>
                <w:kern w:val="0"/>
                <w:sz w:val="21"/>
                <w:szCs w:val="22"/>
              </w:rPr>
              <w:t>／</w:t>
            </w:r>
            <w:r>
              <w:rPr>
                <w:rFonts w:hint="eastAsia" w:ascii="Calibri" w:hAnsi="Calibri" w:eastAsia="Calibri" w:cs="Times New Roman"/>
                <w:color w:val="000000"/>
                <w:kern w:val="0"/>
                <w:sz w:val="21"/>
                <w:szCs w:val="22"/>
              </w:rPr>
              <w:t>50mm</w:t>
            </w:r>
            <w:r>
              <w:rPr>
                <w:rFonts w:hint="eastAsia" w:ascii="宋体" w:hAnsi="宋体" w:eastAsia="宋体" w:cs="Times New Roman"/>
                <w:color w:val="000000"/>
                <w:kern w:val="0"/>
                <w:sz w:val="21"/>
                <w:szCs w:val="22"/>
              </w:rPr>
              <w:t>基</w:t>
            </w:r>
          </w:p>
        </w:tc>
      </w:tr>
      <w:tr w14:paraId="655DBEC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253" w:type="dxa"/>
            <w:tcBorders>
              <w:top w:val="single" w:color="000000" w:sz="4" w:space="0"/>
              <w:left w:val="single" w:color="000000" w:sz="4" w:space="0"/>
              <w:bottom w:val="single" w:color="000000" w:sz="4" w:space="0"/>
              <w:right w:val="single" w:color="000000" w:sz="4" w:space="0"/>
            </w:tcBorders>
            <w:vAlign w:val="top"/>
          </w:tcPr>
          <w:p w14:paraId="50B946C6">
            <w:pPr>
              <w:spacing w:before="134" w:after="0" w:line="240" w:lineRule="auto"/>
              <w:jc w:val="center"/>
              <w:rPr>
                <w:rFonts w:ascii="Calibri" w:hAnsi="Calibri" w:eastAsia="宋体" w:cs="Times New Roman"/>
                <w:kern w:val="0"/>
                <w:sz w:val="22"/>
                <w:szCs w:val="22"/>
              </w:rPr>
            </w:pPr>
            <w:r>
              <w:rPr>
                <w:rFonts w:hint="eastAsia" w:ascii="Calibri" w:hAnsi="Calibri" w:eastAsia="Calibri" w:cs="Times New Roman"/>
                <w:color w:val="000000"/>
                <w:kern w:val="0"/>
                <w:sz w:val="22"/>
                <w:szCs w:val="22"/>
              </w:rPr>
              <w:t>2</w:t>
            </w:r>
          </w:p>
        </w:tc>
        <w:tc>
          <w:tcPr>
            <w:tcW w:w="1980" w:type="dxa"/>
            <w:tcBorders>
              <w:top w:val="single" w:color="000000" w:sz="4" w:space="0"/>
              <w:left w:val="single" w:color="000000" w:sz="4" w:space="0"/>
              <w:bottom w:val="single" w:color="000000" w:sz="4" w:space="0"/>
              <w:right w:val="single" w:color="000000" w:sz="4" w:space="0"/>
            </w:tcBorders>
            <w:vAlign w:val="top"/>
          </w:tcPr>
          <w:p w14:paraId="540DEBC3">
            <w:pPr>
              <w:spacing w:before="139" w:after="0" w:line="240" w:lineRule="auto"/>
              <w:jc w:val="center"/>
              <w:rPr>
                <w:rFonts w:ascii="Calibri" w:hAnsi="Calibri" w:eastAsia="宋体" w:cs="Times New Roman"/>
                <w:kern w:val="0"/>
                <w:sz w:val="22"/>
                <w:szCs w:val="22"/>
              </w:rPr>
            </w:pPr>
            <w:r>
              <w:rPr>
                <w:rFonts w:hint="eastAsia" w:ascii="宋体" w:hAnsi="宋体" w:eastAsia="宋体" w:cs="Times New Roman"/>
                <w:color w:val="000000"/>
                <w:kern w:val="0"/>
                <w:sz w:val="22"/>
                <w:szCs w:val="22"/>
              </w:rPr>
              <w:t>铁线</w:t>
            </w:r>
          </w:p>
        </w:tc>
        <w:tc>
          <w:tcPr>
            <w:tcW w:w="3105" w:type="dxa"/>
            <w:tcBorders>
              <w:top w:val="single" w:color="000000" w:sz="4" w:space="0"/>
              <w:left w:val="single" w:color="000000" w:sz="4" w:space="0"/>
              <w:bottom w:val="single" w:color="000000" w:sz="4" w:space="0"/>
              <w:right w:val="single" w:color="000000" w:sz="4" w:space="0"/>
            </w:tcBorders>
            <w:vAlign w:val="top"/>
          </w:tcPr>
          <w:p w14:paraId="4B724A17">
            <w:pPr>
              <w:spacing w:before="119" w:after="0" w:line="240" w:lineRule="auto"/>
              <w:jc w:val="center"/>
              <w:rPr>
                <w:rFonts w:ascii="Calibri" w:hAnsi="Calibri" w:eastAsia="宋体" w:cs="Times New Roman"/>
                <w:kern w:val="0"/>
                <w:sz w:val="22"/>
                <w:szCs w:val="22"/>
              </w:rPr>
            </w:pPr>
            <w:r>
              <w:rPr>
                <w:rFonts w:hint="eastAsia" w:ascii="Calibri" w:hAnsi="Calibri" w:eastAsia="Calibri" w:cs="Times New Roman"/>
                <w:color w:val="000000"/>
                <w:kern w:val="0"/>
                <w:sz w:val="22"/>
                <w:szCs w:val="22"/>
              </w:rPr>
              <w:t>5</w:t>
            </w:r>
            <w:r>
              <w:rPr>
                <w:rFonts w:hint="eastAsia" w:ascii="宋体" w:hAnsi="宋体" w:eastAsia="宋体" w:cs="Times New Roman"/>
                <w:color w:val="000000"/>
                <w:kern w:val="0"/>
                <w:sz w:val="22"/>
                <w:szCs w:val="22"/>
              </w:rPr>
              <w:t>吨</w:t>
            </w:r>
          </w:p>
        </w:tc>
        <w:tc>
          <w:tcPr>
            <w:tcW w:w="8340" w:type="dxa"/>
            <w:tcBorders>
              <w:top w:val="single" w:color="000000" w:sz="4" w:space="0"/>
              <w:left w:val="single" w:color="000000" w:sz="4" w:space="0"/>
              <w:bottom w:val="single" w:color="000000" w:sz="4" w:space="0"/>
              <w:right w:val="single" w:color="000000" w:sz="4" w:space="0"/>
            </w:tcBorders>
            <w:vAlign w:val="center"/>
          </w:tcPr>
          <w:p w14:paraId="4ACFD302">
            <w:pPr>
              <w:spacing w:before="0" w:after="0" w:line="211" w:lineRule="auto"/>
              <w:jc w:val="both"/>
              <w:rPr>
                <w:rFonts w:ascii="Calibri" w:hAnsi="Calibri" w:eastAsia="宋体" w:cs="Times New Roman"/>
                <w:kern w:val="0"/>
                <w:sz w:val="22"/>
                <w:szCs w:val="22"/>
              </w:rPr>
            </w:pPr>
            <w:r>
              <w:rPr>
                <w:rFonts w:hint="eastAsia" w:ascii="宋体" w:hAnsi="宋体" w:eastAsia="宋体" w:cs="Times New Roman"/>
                <w:color w:val="000000"/>
                <w:kern w:val="0"/>
                <w:sz w:val="22"/>
                <w:szCs w:val="22"/>
              </w:rPr>
              <w:t>规格：</w:t>
            </w:r>
            <w:r>
              <w:rPr>
                <w:rFonts w:hint="eastAsia" w:ascii="Calibri" w:hAnsi="Calibri" w:eastAsia="Calibri" w:cs="Times New Roman"/>
                <w:color w:val="000000"/>
                <w:kern w:val="0"/>
                <w:sz w:val="22"/>
                <w:szCs w:val="22"/>
              </w:rPr>
              <w:t>10</w:t>
            </w:r>
            <w:r>
              <w:rPr>
                <w:rFonts w:hint="eastAsia" w:ascii="宋体" w:hAnsi="宋体" w:eastAsia="宋体" w:cs="Times New Roman"/>
                <w:color w:val="000000"/>
                <w:kern w:val="0"/>
                <w:sz w:val="22"/>
                <w:szCs w:val="22"/>
              </w:rPr>
              <w:t>号 材质：</w:t>
            </w:r>
            <w:r>
              <w:rPr>
                <w:rFonts w:hint="eastAsia" w:ascii="Calibri" w:hAnsi="Calibri" w:eastAsia="Calibri" w:cs="Times New Roman"/>
                <w:color w:val="000000"/>
                <w:kern w:val="0"/>
                <w:sz w:val="22"/>
                <w:szCs w:val="22"/>
              </w:rPr>
              <w:t>45</w:t>
            </w:r>
            <w:r>
              <w:rPr>
                <w:rFonts w:hint="eastAsia" w:ascii="宋体" w:hAnsi="宋体" w:eastAsia="宋体" w:cs="Times New Roman"/>
                <w:color w:val="000000"/>
                <w:kern w:val="0"/>
                <w:sz w:val="22"/>
                <w:szCs w:val="22"/>
              </w:rPr>
              <w:t>号钢／</w:t>
            </w:r>
            <w:r>
              <w:rPr>
                <w:rFonts w:hint="eastAsia" w:ascii="Calibri" w:hAnsi="Calibri" w:eastAsia="Calibri" w:cs="Times New Roman"/>
                <w:color w:val="000000"/>
                <w:kern w:val="0"/>
                <w:sz w:val="22"/>
                <w:szCs w:val="22"/>
              </w:rPr>
              <w:t>55</w:t>
            </w:r>
            <w:r>
              <w:rPr>
                <w:rFonts w:hint="eastAsia" w:ascii="宋体" w:hAnsi="宋体" w:eastAsia="宋体" w:cs="Times New Roman"/>
                <w:color w:val="000000"/>
                <w:kern w:val="0"/>
                <w:sz w:val="22"/>
                <w:szCs w:val="22"/>
              </w:rPr>
              <w:t>号钢：处理工艺：电镀锌、热镀锌</w:t>
            </w:r>
          </w:p>
        </w:tc>
      </w:tr>
      <w:tr w14:paraId="66A14B6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1253" w:type="dxa"/>
            <w:tcBorders>
              <w:top w:val="single" w:color="000000" w:sz="4" w:space="0"/>
              <w:left w:val="single" w:color="000000" w:sz="4" w:space="0"/>
              <w:bottom w:val="single" w:color="000000" w:sz="4" w:space="0"/>
              <w:right w:val="single" w:color="000000" w:sz="4" w:space="0"/>
            </w:tcBorders>
            <w:vAlign w:val="top"/>
          </w:tcPr>
          <w:p w14:paraId="78D52BD7">
            <w:pPr>
              <w:wordWrap w:val="0"/>
              <w:spacing w:before="0" w:after="0" w:line="240" w:lineRule="auto"/>
              <w:ind w:firstLine="0"/>
              <w:jc w:val="both"/>
              <w:rPr>
                <w:rFonts w:hint="eastAsia" w:ascii="宋体" w:hAnsi="宋体" w:eastAsia="宋体" w:cs="Times New Roman"/>
                <w:color w:val="000000"/>
                <w:kern w:val="0"/>
                <w:sz w:val="22"/>
                <w:szCs w:val="22"/>
              </w:rPr>
            </w:pPr>
          </w:p>
          <w:p w14:paraId="64178DB9">
            <w:pPr>
              <w:spacing w:before="152" w:after="0" w:line="240" w:lineRule="auto"/>
              <w:jc w:val="center"/>
              <w:rPr>
                <w:rFonts w:ascii="Calibri" w:hAnsi="Calibri" w:eastAsia="宋体" w:cs="Times New Roman"/>
                <w:kern w:val="0"/>
                <w:sz w:val="22"/>
                <w:szCs w:val="22"/>
              </w:rPr>
            </w:pPr>
            <w:r>
              <w:rPr>
                <w:rFonts w:hint="eastAsia" w:ascii="Calibri" w:hAnsi="Calibri" w:eastAsia="Calibri" w:cs="Times New Roman"/>
                <w:color w:val="000000"/>
                <w:kern w:val="0"/>
                <w:sz w:val="22"/>
                <w:szCs w:val="22"/>
              </w:rPr>
              <w:t>3</w:t>
            </w:r>
          </w:p>
        </w:tc>
        <w:tc>
          <w:tcPr>
            <w:tcW w:w="1980" w:type="dxa"/>
            <w:tcBorders>
              <w:top w:val="single" w:color="000000" w:sz="4" w:space="0"/>
              <w:left w:val="single" w:color="000000" w:sz="4" w:space="0"/>
              <w:bottom w:val="single" w:color="000000" w:sz="4" w:space="0"/>
              <w:right w:val="single" w:color="000000" w:sz="4" w:space="0"/>
            </w:tcBorders>
            <w:vAlign w:val="top"/>
          </w:tcPr>
          <w:p w14:paraId="7924612B">
            <w:pPr>
              <w:wordWrap w:val="0"/>
              <w:spacing w:before="0" w:after="0" w:line="240" w:lineRule="auto"/>
              <w:ind w:firstLine="0"/>
              <w:jc w:val="both"/>
              <w:rPr>
                <w:rFonts w:hint="eastAsia" w:ascii="宋体" w:hAnsi="宋体" w:eastAsia="宋体" w:cs="Times New Roman"/>
                <w:color w:val="000000"/>
                <w:kern w:val="0"/>
                <w:sz w:val="22"/>
                <w:szCs w:val="22"/>
              </w:rPr>
            </w:pPr>
          </w:p>
          <w:p w14:paraId="50009F6E">
            <w:pPr>
              <w:spacing w:before="176" w:after="0" w:line="240" w:lineRule="auto"/>
              <w:jc w:val="center"/>
              <w:rPr>
                <w:rFonts w:ascii="Calibri" w:hAnsi="Calibri" w:eastAsia="宋体" w:cs="Times New Roman"/>
                <w:kern w:val="0"/>
                <w:sz w:val="22"/>
                <w:szCs w:val="22"/>
              </w:rPr>
            </w:pPr>
            <w:r>
              <w:rPr>
                <w:rFonts w:hint="eastAsia" w:ascii="宋体" w:hAnsi="宋体" w:eastAsia="宋体" w:cs="Times New Roman"/>
                <w:color w:val="000000"/>
                <w:kern w:val="0"/>
                <w:sz w:val="22"/>
                <w:szCs w:val="22"/>
              </w:rPr>
              <w:t>长丝无纺布</w:t>
            </w:r>
          </w:p>
        </w:tc>
        <w:tc>
          <w:tcPr>
            <w:tcW w:w="3105" w:type="dxa"/>
            <w:tcBorders>
              <w:top w:val="single" w:color="000000" w:sz="4" w:space="0"/>
              <w:left w:val="single" w:color="000000" w:sz="4" w:space="0"/>
              <w:bottom w:val="single" w:color="000000" w:sz="4" w:space="0"/>
              <w:right w:val="single" w:color="000000" w:sz="4" w:space="0"/>
            </w:tcBorders>
            <w:vAlign w:val="top"/>
          </w:tcPr>
          <w:p w14:paraId="74D20733">
            <w:pPr>
              <w:wordWrap w:val="0"/>
              <w:spacing w:before="0" w:after="0" w:line="240" w:lineRule="auto"/>
              <w:ind w:firstLine="0"/>
              <w:jc w:val="both"/>
              <w:rPr>
                <w:rFonts w:hint="eastAsia" w:ascii="宋体" w:hAnsi="宋体" w:eastAsia="宋体" w:cs="Times New Roman"/>
                <w:color w:val="000000"/>
                <w:kern w:val="0"/>
                <w:sz w:val="22"/>
                <w:szCs w:val="22"/>
              </w:rPr>
            </w:pPr>
          </w:p>
          <w:p w14:paraId="3CCFD15F">
            <w:pPr>
              <w:spacing w:before="10" w:after="0" w:line="240" w:lineRule="auto"/>
              <w:jc w:val="center"/>
              <w:rPr>
                <w:rFonts w:ascii="Calibri" w:hAnsi="Calibri" w:eastAsia="宋体" w:cs="Times New Roman"/>
                <w:kern w:val="0"/>
                <w:sz w:val="22"/>
                <w:szCs w:val="22"/>
              </w:rPr>
            </w:pPr>
            <w:r>
              <w:rPr>
                <w:rFonts w:hint="eastAsia" w:ascii="Calibri" w:hAnsi="Calibri" w:eastAsia="Calibri" w:cs="Times New Roman"/>
                <w:color w:val="000000"/>
                <w:kern w:val="0"/>
                <w:sz w:val="22"/>
                <w:szCs w:val="22"/>
              </w:rPr>
              <w:t>70000</w:t>
            </w:r>
            <w:r>
              <w:rPr>
                <w:rFonts w:hint="eastAsia" w:ascii="宋体" w:hAnsi="宋体" w:eastAsia="宋体" w:cs="Times New Roman"/>
                <w:color w:val="000000"/>
                <w:kern w:val="0"/>
                <w:sz w:val="22"/>
                <w:szCs w:val="22"/>
              </w:rPr>
              <w:t>平方米</w:t>
            </w:r>
          </w:p>
        </w:tc>
        <w:tc>
          <w:tcPr>
            <w:tcW w:w="8340" w:type="dxa"/>
            <w:tcBorders>
              <w:top w:val="single" w:color="000000" w:sz="4" w:space="0"/>
              <w:left w:val="single" w:color="000000" w:sz="4" w:space="0"/>
              <w:bottom w:val="single" w:color="000000" w:sz="4" w:space="0"/>
              <w:right w:val="single" w:color="000000" w:sz="4" w:space="0"/>
            </w:tcBorders>
            <w:vAlign w:val="center"/>
          </w:tcPr>
          <w:p w14:paraId="45ABA815">
            <w:pPr>
              <w:spacing w:before="0" w:after="0" w:line="235" w:lineRule="auto"/>
              <w:jc w:val="both"/>
              <w:rPr>
                <w:rFonts w:ascii="Calibri" w:hAnsi="Calibri" w:eastAsia="宋体" w:cs="Times New Roman"/>
                <w:kern w:val="0"/>
                <w:sz w:val="22"/>
                <w:szCs w:val="22"/>
              </w:rPr>
            </w:pPr>
            <w:r>
              <w:rPr>
                <w:rFonts w:hint="eastAsia" w:ascii="宋体" w:hAnsi="宋体" w:eastAsia="宋体" w:cs="Times New Roman"/>
                <w:color w:val="000000"/>
                <w:kern w:val="0"/>
                <w:sz w:val="22"/>
                <w:szCs w:val="22"/>
              </w:rPr>
              <w:t>材料：聚酯（</w:t>
            </w:r>
            <w:r>
              <w:rPr>
                <w:rFonts w:hint="eastAsia" w:ascii="Calibri" w:hAnsi="Calibri" w:eastAsia="Calibri" w:cs="Times New Roman"/>
                <w:color w:val="000000"/>
                <w:kern w:val="0"/>
                <w:sz w:val="22"/>
                <w:szCs w:val="22"/>
              </w:rPr>
              <w:t>PET</w:t>
            </w:r>
            <w:r>
              <w:rPr>
                <w:rFonts w:hint="eastAsia" w:ascii="宋体" w:hAnsi="宋体" w:eastAsia="宋体" w:cs="Times New Roman"/>
                <w:color w:val="000000"/>
                <w:kern w:val="0"/>
                <w:sz w:val="22"/>
                <w:szCs w:val="22"/>
              </w:rPr>
              <w:t>）；规格：</w:t>
            </w:r>
            <w:r>
              <w:rPr>
                <w:rFonts w:hint="eastAsia" w:ascii="Calibri" w:hAnsi="Calibri" w:eastAsia="Calibri" w:cs="Times New Roman"/>
                <w:color w:val="000000"/>
                <w:kern w:val="0"/>
                <w:sz w:val="22"/>
                <w:szCs w:val="22"/>
              </w:rPr>
              <w:t>300g</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m</w:t>
            </w:r>
            <w:r>
              <w:rPr>
                <w:rFonts w:hint="eastAsia" w:ascii="宋体" w:hAnsi="宋体" w:eastAsia="宋体" w:cs="Times New Roman"/>
                <w:color w:val="000000"/>
                <w:kern w:val="0"/>
                <w:sz w:val="22"/>
                <w:szCs w:val="22"/>
              </w:rPr>
              <w:t>；尺寸：</w:t>
            </w:r>
            <w:r>
              <w:rPr>
                <w:rFonts w:hint="eastAsia" w:ascii="Calibri" w:hAnsi="Calibri" w:eastAsia="Calibri" w:cs="Times New Roman"/>
                <w:color w:val="000000"/>
                <w:kern w:val="0"/>
                <w:sz w:val="22"/>
                <w:szCs w:val="22"/>
              </w:rPr>
              <w:t>4m</w:t>
            </w:r>
            <w:r>
              <w:rPr>
                <w:rFonts w:hint="eastAsia" w:ascii="宋体" w:hAnsi="宋体" w:eastAsia="宋体" w:cs="Times New Roman"/>
                <w:color w:val="000000"/>
                <w:kern w:val="0"/>
                <w:sz w:val="22"/>
                <w:szCs w:val="22"/>
                <w:lang w:val="en-US" w:eastAsia="zh-CN"/>
              </w:rPr>
              <w:t>*</w:t>
            </w:r>
            <w:r>
              <w:rPr>
                <w:rFonts w:hint="eastAsia" w:ascii="Calibri" w:hAnsi="Calibri" w:eastAsia="Calibri" w:cs="Times New Roman"/>
                <w:color w:val="000000"/>
                <w:kern w:val="0"/>
                <w:sz w:val="22"/>
                <w:szCs w:val="22"/>
              </w:rPr>
              <w:t>50m</w:t>
            </w:r>
            <w:r>
              <w:rPr>
                <w:rFonts w:hint="eastAsia" w:ascii="宋体" w:hAnsi="宋体" w:eastAsia="宋体" w:cs="Times New Roman"/>
                <w:color w:val="000000"/>
                <w:kern w:val="0"/>
                <w:sz w:val="22"/>
                <w:szCs w:val="22"/>
              </w:rPr>
              <w:t>；其他技术指标：断裂强度≥</w:t>
            </w:r>
            <w:r>
              <w:rPr>
                <w:rFonts w:hint="eastAsia" w:ascii="Calibri" w:hAnsi="Calibri" w:eastAsia="Calibri" w:cs="Times New Roman"/>
                <w:color w:val="000000"/>
                <w:kern w:val="0"/>
                <w:sz w:val="22"/>
                <w:szCs w:val="22"/>
              </w:rPr>
              <w:t>15Kn</w:t>
            </w:r>
            <w:r>
              <w:rPr>
                <w:rFonts w:hint="eastAsia" w:ascii="宋体" w:hAnsi="宋体" w:eastAsia="宋体" w:cs="Times New Roman"/>
                <w:color w:val="000000"/>
                <w:kern w:val="0"/>
                <w:sz w:val="22"/>
                <w:szCs w:val="22"/>
              </w:rPr>
              <w:t>，伸长率：</w:t>
            </w:r>
            <w:r>
              <w:rPr>
                <w:rFonts w:hint="eastAsia" w:ascii="Calibri" w:hAnsi="Calibri" w:eastAsia="Calibri" w:cs="Times New Roman"/>
                <w:color w:val="000000"/>
                <w:kern w:val="0"/>
                <w:sz w:val="22"/>
                <w:szCs w:val="22"/>
              </w:rPr>
              <w:t>40</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80</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CBR</w:t>
            </w:r>
            <w:r>
              <w:rPr>
                <w:rFonts w:hint="eastAsia" w:ascii="宋体" w:hAnsi="宋体" w:eastAsia="宋体" w:cs="Times New Roman"/>
                <w:color w:val="000000"/>
                <w:kern w:val="0"/>
                <w:sz w:val="22"/>
                <w:szCs w:val="22"/>
              </w:rPr>
              <w:t>顶破强力≥</w:t>
            </w:r>
            <w:r>
              <w:rPr>
                <w:rFonts w:hint="eastAsia" w:ascii="Calibri" w:hAnsi="Calibri" w:eastAsia="Calibri" w:cs="Times New Roman"/>
                <w:color w:val="000000"/>
                <w:kern w:val="0"/>
                <w:sz w:val="22"/>
                <w:szCs w:val="22"/>
              </w:rPr>
              <w:t>2.6Kn／m，</w:t>
            </w:r>
            <w:r>
              <w:rPr>
                <w:rFonts w:hint="eastAsia" w:ascii="宋体" w:hAnsi="宋体" w:eastAsia="宋体" w:cs="Times New Roman"/>
                <w:color w:val="000000"/>
                <w:kern w:val="0"/>
                <w:sz w:val="22"/>
                <w:szCs w:val="22"/>
              </w:rPr>
              <w:t>撕破强力</w:t>
            </w:r>
            <w:r>
              <w:rPr>
                <w:rFonts w:hint="eastAsia" w:ascii="Calibri" w:hAnsi="Calibri" w:eastAsia="Calibri" w:cs="Times New Roman"/>
                <w:color w:val="000000"/>
                <w:kern w:val="0"/>
                <w:sz w:val="22"/>
                <w:szCs w:val="22"/>
              </w:rPr>
              <w:t>≥0.42Kn／m：</w:t>
            </w:r>
            <w:r>
              <w:rPr>
                <w:rFonts w:hint="eastAsia" w:ascii="宋体" w:hAnsi="宋体" w:eastAsia="宋体" w:cs="Times New Roman"/>
                <w:color w:val="000000"/>
                <w:kern w:val="0"/>
                <w:sz w:val="22"/>
                <w:szCs w:val="22"/>
              </w:rPr>
              <w:t>等效孔径</w:t>
            </w:r>
            <w:r>
              <w:rPr>
                <w:rFonts w:hint="eastAsia" w:ascii="Calibri" w:hAnsi="Calibri" w:eastAsia="Calibri" w:cs="Times New Roman"/>
                <w:color w:val="000000"/>
                <w:kern w:val="0"/>
                <w:sz w:val="22"/>
                <w:szCs w:val="22"/>
              </w:rPr>
              <w:t>0.05-0.2mm</w:t>
            </w:r>
          </w:p>
        </w:tc>
      </w:tr>
      <w:tr w14:paraId="761B321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0" w:hRule="atLeast"/>
        </w:trPr>
        <w:tc>
          <w:tcPr>
            <w:tcW w:w="1253" w:type="dxa"/>
            <w:tcBorders>
              <w:top w:val="single" w:color="000000" w:sz="4" w:space="0"/>
              <w:left w:val="single" w:color="000000" w:sz="4" w:space="0"/>
              <w:bottom w:val="single" w:color="000000" w:sz="4" w:space="0"/>
              <w:right w:val="single" w:color="000000" w:sz="4" w:space="0"/>
            </w:tcBorders>
            <w:vAlign w:val="top"/>
          </w:tcPr>
          <w:p w14:paraId="2D7CD390">
            <w:pPr>
              <w:wordWrap w:val="0"/>
              <w:spacing w:before="0" w:after="0" w:line="240" w:lineRule="auto"/>
              <w:ind w:firstLine="0"/>
              <w:jc w:val="both"/>
              <w:rPr>
                <w:rFonts w:hint="eastAsia" w:ascii="宋体" w:hAnsi="宋体" w:eastAsia="宋体" w:cs="Times New Roman"/>
                <w:color w:val="000000"/>
                <w:kern w:val="0"/>
                <w:sz w:val="22"/>
                <w:szCs w:val="22"/>
              </w:rPr>
            </w:pPr>
          </w:p>
          <w:p w14:paraId="178437CE">
            <w:pPr>
              <w:wordWrap w:val="0"/>
              <w:spacing w:before="0" w:after="0" w:line="240" w:lineRule="auto"/>
              <w:ind w:firstLine="0"/>
              <w:jc w:val="both"/>
              <w:rPr>
                <w:rFonts w:hint="eastAsia" w:ascii="宋体" w:hAnsi="宋体" w:eastAsia="宋体" w:cs="Times New Roman"/>
                <w:color w:val="000000"/>
                <w:kern w:val="0"/>
                <w:sz w:val="22"/>
                <w:szCs w:val="22"/>
              </w:rPr>
            </w:pPr>
          </w:p>
          <w:p w14:paraId="79AB6DE4">
            <w:pPr>
              <w:wordWrap w:val="0"/>
              <w:spacing w:before="0" w:after="0" w:line="240" w:lineRule="auto"/>
              <w:ind w:firstLine="0"/>
              <w:jc w:val="both"/>
              <w:rPr>
                <w:rFonts w:hint="eastAsia" w:ascii="宋体" w:hAnsi="宋体" w:eastAsia="宋体" w:cs="Times New Roman"/>
                <w:color w:val="000000"/>
                <w:kern w:val="0"/>
                <w:sz w:val="22"/>
                <w:szCs w:val="22"/>
              </w:rPr>
            </w:pPr>
          </w:p>
          <w:p w14:paraId="457562E2">
            <w:pPr>
              <w:wordWrap w:val="0"/>
              <w:spacing w:before="0" w:after="0" w:line="240" w:lineRule="auto"/>
              <w:ind w:firstLine="0"/>
              <w:jc w:val="both"/>
              <w:rPr>
                <w:rFonts w:hint="eastAsia" w:ascii="宋体" w:hAnsi="宋体" w:eastAsia="宋体" w:cs="Times New Roman"/>
                <w:color w:val="000000"/>
                <w:kern w:val="0"/>
                <w:sz w:val="22"/>
                <w:szCs w:val="22"/>
              </w:rPr>
            </w:pPr>
          </w:p>
          <w:p w14:paraId="0E155009">
            <w:pPr>
              <w:wordWrap w:val="0"/>
              <w:spacing w:before="0" w:after="0" w:line="240" w:lineRule="auto"/>
              <w:ind w:firstLine="0"/>
              <w:jc w:val="both"/>
              <w:rPr>
                <w:rFonts w:hint="eastAsia" w:ascii="宋体" w:hAnsi="宋体" w:eastAsia="宋体" w:cs="Times New Roman"/>
                <w:color w:val="000000"/>
                <w:kern w:val="0"/>
                <w:sz w:val="22"/>
                <w:szCs w:val="22"/>
              </w:rPr>
            </w:pPr>
          </w:p>
          <w:p w14:paraId="3C49257B">
            <w:pPr>
              <w:spacing w:before="136" w:after="0" w:line="240" w:lineRule="auto"/>
              <w:jc w:val="center"/>
              <w:rPr>
                <w:rFonts w:ascii="Calibri" w:hAnsi="Calibri" w:eastAsia="宋体" w:cs="Times New Roman"/>
                <w:kern w:val="0"/>
                <w:sz w:val="22"/>
                <w:szCs w:val="22"/>
              </w:rPr>
            </w:pPr>
            <w:r>
              <w:rPr>
                <w:rFonts w:hint="eastAsia" w:ascii="Calibri" w:hAnsi="Calibri" w:eastAsia="Calibri" w:cs="Times New Roman"/>
                <w:color w:val="000000"/>
                <w:kern w:val="0"/>
                <w:sz w:val="22"/>
                <w:szCs w:val="22"/>
              </w:rPr>
              <w:t>4</w:t>
            </w:r>
          </w:p>
        </w:tc>
        <w:tc>
          <w:tcPr>
            <w:tcW w:w="1980" w:type="dxa"/>
            <w:tcBorders>
              <w:top w:val="single" w:color="000000" w:sz="4" w:space="0"/>
              <w:left w:val="single" w:color="000000" w:sz="4" w:space="0"/>
              <w:bottom w:val="single" w:color="000000" w:sz="4" w:space="0"/>
              <w:right w:val="single" w:color="000000" w:sz="4" w:space="0"/>
            </w:tcBorders>
            <w:vAlign w:val="top"/>
          </w:tcPr>
          <w:p w14:paraId="2F17FE1F">
            <w:pPr>
              <w:wordWrap w:val="0"/>
              <w:spacing w:before="0" w:after="0" w:line="240" w:lineRule="auto"/>
              <w:ind w:firstLine="0"/>
              <w:jc w:val="both"/>
              <w:rPr>
                <w:rFonts w:hint="eastAsia" w:ascii="宋体" w:hAnsi="宋体" w:eastAsia="宋体" w:cs="Times New Roman"/>
                <w:color w:val="000000"/>
                <w:kern w:val="0"/>
                <w:sz w:val="22"/>
                <w:szCs w:val="22"/>
              </w:rPr>
            </w:pPr>
          </w:p>
          <w:p w14:paraId="6338A793">
            <w:pPr>
              <w:wordWrap w:val="0"/>
              <w:spacing w:before="0" w:after="0" w:line="240" w:lineRule="auto"/>
              <w:ind w:firstLine="0"/>
              <w:jc w:val="both"/>
              <w:rPr>
                <w:rFonts w:hint="eastAsia" w:ascii="宋体" w:hAnsi="宋体" w:eastAsia="宋体" w:cs="Times New Roman"/>
                <w:color w:val="000000"/>
                <w:kern w:val="0"/>
                <w:sz w:val="22"/>
                <w:szCs w:val="22"/>
              </w:rPr>
            </w:pPr>
          </w:p>
          <w:p w14:paraId="7442E247">
            <w:pPr>
              <w:wordWrap w:val="0"/>
              <w:spacing w:before="0" w:after="0" w:line="240" w:lineRule="auto"/>
              <w:ind w:firstLine="0"/>
              <w:jc w:val="both"/>
              <w:rPr>
                <w:rFonts w:hint="eastAsia" w:ascii="宋体" w:hAnsi="宋体" w:eastAsia="宋体" w:cs="Times New Roman"/>
                <w:color w:val="000000"/>
                <w:kern w:val="0"/>
                <w:sz w:val="22"/>
                <w:szCs w:val="22"/>
              </w:rPr>
            </w:pPr>
          </w:p>
          <w:p w14:paraId="56260A2B">
            <w:pPr>
              <w:wordWrap w:val="0"/>
              <w:spacing w:before="0" w:after="0" w:line="240" w:lineRule="auto"/>
              <w:ind w:firstLine="0"/>
              <w:jc w:val="both"/>
              <w:rPr>
                <w:rFonts w:hint="eastAsia" w:ascii="宋体" w:hAnsi="宋体" w:eastAsia="宋体" w:cs="Times New Roman"/>
                <w:color w:val="000000"/>
                <w:kern w:val="0"/>
                <w:sz w:val="22"/>
                <w:szCs w:val="22"/>
              </w:rPr>
            </w:pPr>
          </w:p>
          <w:p w14:paraId="40E566FC">
            <w:pPr>
              <w:wordWrap w:val="0"/>
              <w:spacing w:before="0" w:after="0" w:line="240" w:lineRule="auto"/>
              <w:ind w:firstLine="0"/>
              <w:jc w:val="both"/>
              <w:rPr>
                <w:rFonts w:hint="eastAsia" w:ascii="宋体" w:hAnsi="宋体" w:eastAsia="宋体" w:cs="Times New Roman"/>
                <w:color w:val="000000"/>
                <w:kern w:val="0"/>
                <w:sz w:val="22"/>
                <w:szCs w:val="22"/>
              </w:rPr>
            </w:pPr>
          </w:p>
          <w:p w14:paraId="5436D0B7">
            <w:pPr>
              <w:spacing w:before="160" w:after="0" w:line="240" w:lineRule="auto"/>
              <w:jc w:val="center"/>
              <w:rPr>
                <w:rFonts w:ascii="Calibri" w:hAnsi="Calibri" w:eastAsia="宋体" w:cs="Times New Roman"/>
                <w:kern w:val="0"/>
                <w:sz w:val="22"/>
                <w:szCs w:val="22"/>
              </w:rPr>
            </w:pPr>
            <w:r>
              <w:rPr>
                <w:rFonts w:hint="eastAsia" w:ascii="宋体" w:hAnsi="宋体" w:eastAsia="宋体" w:cs="Times New Roman"/>
                <w:color w:val="000000"/>
                <w:kern w:val="0"/>
                <w:sz w:val="22"/>
                <w:szCs w:val="22"/>
              </w:rPr>
              <w:t>松木杆</w:t>
            </w:r>
          </w:p>
        </w:tc>
        <w:tc>
          <w:tcPr>
            <w:tcW w:w="3105" w:type="dxa"/>
            <w:tcBorders>
              <w:top w:val="single" w:color="000000" w:sz="4" w:space="0"/>
              <w:left w:val="single" w:color="000000" w:sz="4" w:space="0"/>
              <w:bottom w:val="single" w:color="000000" w:sz="4" w:space="0"/>
              <w:right w:val="single" w:color="000000" w:sz="4" w:space="0"/>
            </w:tcBorders>
            <w:vAlign w:val="top"/>
          </w:tcPr>
          <w:p w14:paraId="7FC12D35">
            <w:pPr>
              <w:wordWrap w:val="0"/>
              <w:spacing w:before="0" w:after="0" w:line="240" w:lineRule="auto"/>
              <w:ind w:firstLine="0"/>
              <w:jc w:val="both"/>
              <w:rPr>
                <w:rFonts w:hint="eastAsia" w:ascii="宋体" w:hAnsi="宋体" w:eastAsia="宋体" w:cs="Times New Roman"/>
                <w:color w:val="000000"/>
                <w:kern w:val="0"/>
                <w:sz w:val="22"/>
                <w:szCs w:val="22"/>
              </w:rPr>
            </w:pPr>
          </w:p>
          <w:p w14:paraId="30AFF449">
            <w:pPr>
              <w:wordWrap w:val="0"/>
              <w:spacing w:before="0" w:after="0" w:line="240" w:lineRule="auto"/>
              <w:ind w:firstLine="0"/>
              <w:jc w:val="both"/>
              <w:rPr>
                <w:rFonts w:hint="eastAsia" w:ascii="宋体" w:hAnsi="宋体" w:eastAsia="宋体" w:cs="Times New Roman"/>
                <w:color w:val="000000"/>
                <w:kern w:val="0"/>
                <w:sz w:val="22"/>
                <w:szCs w:val="22"/>
              </w:rPr>
            </w:pPr>
          </w:p>
          <w:p w14:paraId="2BF5F7B0">
            <w:pPr>
              <w:wordWrap w:val="0"/>
              <w:spacing w:before="0" w:after="0" w:line="240" w:lineRule="auto"/>
              <w:ind w:firstLine="0"/>
              <w:jc w:val="both"/>
              <w:rPr>
                <w:rFonts w:hint="eastAsia" w:ascii="宋体" w:hAnsi="宋体" w:eastAsia="宋体" w:cs="Times New Roman"/>
                <w:color w:val="000000"/>
                <w:kern w:val="0"/>
                <w:sz w:val="22"/>
                <w:szCs w:val="22"/>
              </w:rPr>
            </w:pPr>
          </w:p>
          <w:p w14:paraId="5ADAFF17">
            <w:pPr>
              <w:wordWrap w:val="0"/>
              <w:spacing w:before="0" w:after="0" w:line="240" w:lineRule="auto"/>
              <w:ind w:firstLine="0"/>
              <w:jc w:val="both"/>
              <w:rPr>
                <w:rFonts w:hint="eastAsia" w:ascii="宋体" w:hAnsi="宋体" w:eastAsia="宋体" w:cs="Times New Roman"/>
                <w:color w:val="000000"/>
                <w:kern w:val="0"/>
                <w:sz w:val="22"/>
                <w:szCs w:val="22"/>
              </w:rPr>
            </w:pPr>
          </w:p>
          <w:p w14:paraId="5A7293D5">
            <w:pPr>
              <w:wordWrap w:val="0"/>
              <w:spacing w:before="0" w:after="0" w:line="240" w:lineRule="auto"/>
              <w:ind w:firstLine="0"/>
              <w:jc w:val="both"/>
              <w:rPr>
                <w:rFonts w:hint="eastAsia" w:ascii="宋体" w:hAnsi="宋体" w:eastAsia="宋体" w:cs="Times New Roman"/>
                <w:color w:val="000000"/>
                <w:kern w:val="0"/>
                <w:sz w:val="22"/>
                <w:szCs w:val="22"/>
              </w:rPr>
            </w:pPr>
          </w:p>
          <w:p w14:paraId="53362200">
            <w:pPr>
              <w:spacing w:before="140" w:after="0" w:line="240" w:lineRule="auto"/>
              <w:jc w:val="center"/>
              <w:rPr>
                <w:rFonts w:ascii="Calibri" w:hAnsi="Calibri" w:eastAsia="宋体" w:cs="Times New Roman"/>
                <w:kern w:val="0"/>
                <w:sz w:val="22"/>
                <w:szCs w:val="22"/>
              </w:rPr>
            </w:pPr>
            <w:r>
              <w:rPr>
                <w:rFonts w:hint="eastAsia" w:ascii="Calibri" w:hAnsi="Calibri" w:eastAsia="Calibri" w:cs="Times New Roman"/>
                <w:color w:val="000000"/>
                <w:kern w:val="0"/>
                <w:sz w:val="22"/>
                <w:szCs w:val="22"/>
              </w:rPr>
              <w:t>2000</w:t>
            </w:r>
            <w:r>
              <w:rPr>
                <w:rFonts w:hint="eastAsia" w:ascii="宋体" w:hAnsi="宋体" w:eastAsia="宋体" w:cs="Times New Roman"/>
                <w:color w:val="000000"/>
                <w:kern w:val="0"/>
                <w:sz w:val="22"/>
                <w:szCs w:val="22"/>
              </w:rPr>
              <w:t>根</w:t>
            </w:r>
          </w:p>
        </w:tc>
        <w:tc>
          <w:tcPr>
            <w:tcW w:w="8340" w:type="dxa"/>
            <w:tcBorders>
              <w:top w:val="single" w:color="000000" w:sz="4" w:space="0"/>
              <w:left w:val="single" w:color="000000" w:sz="4" w:space="0"/>
              <w:bottom w:val="single" w:color="000000" w:sz="4" w:space="0"/>
              <w:right w:val="single" w:color="000000" w:sz="4" w:space="0"/>
            </w:tcBorders>
            <w:vAlign w:val="center"/>
          </w:tcPr>
          <w:p w14:paraId="16E3D537">
            <w:pPr>
              <w:spacing w:before="0" w:after="0" w:line="235" w:lineRule="auto"/>
              <w:jc w:val="both"/>
              <w:rPr>
                <w:rFonts w:ascii="Calibri" w:hAnsi="Calibri" w:eastAsia="宋体" w:cs="Times New Roman"/>
                <w:kern w:val="0"/>
                <w:sz w:val="22"/>
                <w:szCs w:val="22"/>
              </w:rPr>
            </w:pPr>
            <w:r>
              <w:rPr>
                <w:rFonts w:hint="eastAsia" w:ascii="宋体" w:hAnsi="宋体" w:eastAsia="宋体" w:cs="Times New Roman"/>
                <w:color w:val="000000"/>
                <w:kern w:val="0"/>
                <w:sz w:val="22"/>
                <w:szCs w:val="22"/>
              </w:rPr>
              <w:t>一、材质与树种标准：</w:t>
            </w:r>
            <w:r>
              <w:rPr>
                <w:rFonts w:hint="eastAsia" w:ascii="Calibri" w:hAnsi="Calibri" w:eastAsia="Calibri" w:cs="Times New Roman"/>
                <w:color w:val="000000"/>
                <w:kern w:val="0"/>
                <w:sz w:val="22"/>
                <w:szCs w:val="22"/>
              </w:rPr>
              <w:t>1</w:t>
            </w:r>
            <w:r>
              <w:rPr>
                <w:rFonts w:hint="eastAsia" w:ascii="宋体" w:hAnsi="宋体" w:eastAsia="宋体" w:cs="Times New Roman"/>
                <w:color w:val="000000"/>
                <w:kern w:val="0"/>
                <w:sz w:val="22"/>
                <w:szCs w:val="22"/>
              </w:rPr>
              <w:t>．木材种类：东北落叶松、樟子松、红松。</w:t>
            </w:r>
            <w:r>
              <w:rPr>
                <w:rFonts w:hint="eastAsia" w:ascii="Calibri" w:hAnsi="Calibri" w:eastAsia="Calibri" w:cs="Times New Roman"/>
                <w:color w:val="000000"/>
                <w:kern w:val="0"/>
                <w:sz w:val="22"/>
                <w:szCs w:val="22"/>
              </w:rPr>
              <w:t>2</w:t>
            </w:r>
            <w:r>
              <w:rPr>
                <w:rFonts w:hint="eastAsia" w:ascii="宋体" w:hAnsi="宋体" w:eastAsia="宋体" w:cs="Times New Roman"/>
                <w:color w:val="000000"/>
                <w:kern w:val="0"/>
                <w:sz w:val="22"/>
                <w:szCs w:val="22"/>
              </w:rPr>
              <w:t>．质量规范：木质需坚韧、纹理直、强度高，杆身挺直无开裂；杆梢和根部禁止腐烂、漏节或虫蛀（表面虫眼可接受）；杆身无硬伤劈裂，残留节疤高度≤</w:t>
            </w:r>
            <w:r>
              <w:rPr>
                <w:rFonts w:hint="eastAsia" w:ascii="Calibri" w:hAnsi="Calibri" w:eastAsia="Calibri" w:cs="Times New Roman"/>
                <w:color w:val="000000"/>
                <w:kern w:val="0"/>
                <w:sz w:val="22"/>
                <w:szCs w:val="22"/>
              </w:rPr>
              <w:t>2cm</w:t>
            </w:r>
            <w:r>
              <w:rPr>
                <w:rFonts w:hint="eastAsia" w:ascii="宋体" w:hAnsi="宋体" w:eastAsia="宋体" w:cs="Times New Roman"/>
                <w:color w:val="000000"/>
                <w:kern w:val="0"/>
                <w:sz w:val="22"/>
                <w:szCs w:val="22"/>
              </w:rPr>
              <w:t>。二、尺寸烷格：</w:t>
            </w:r>
            <w:r>
              <w:rPr>
                <w:rFonts w:hint="eastAsia" w:ascii="Calibri" w:hAnsi="Calibri" w:eastAsia="Calibri" w:cs="Times New Roman"/>
                <w:color w:val="000000"/>
                <w:kern w:val="0"/>
                <w:sz w:val="22"/>
                <w:szCs w:val="22"/>
              </w:rPr>
              <w:t>1</w:t>
            </w:r>
            <w:r>
              <w:rPr>
                <w:rFonts w:hint="eastAsia" w:ascii="宋体" w:hAnsi="宋体" w:eastAsia="宋体" w:cs="Times New Roman"/>
                <w:color w:val="000000"/>
                <w:kern w:val="0"/>
                <w:sz w:val="22"/>
                <w:szCs w:val="22"/>
              </w:rPr>
              <w:t>．长度：</w:t>
            </w:r>
            <w:r>
              <w:rPr>
                <w:rFonts w:hint="eastAsia" w:ascii="Calibri" w:hAnsi="Calibri" w:eastAsia="Calibri" w:cs="Times New Roman"/>
                <w:color w:val="000000"/>
                <w:kern w:val="0"/>
                <w:sz w:val="22"/>
                <w:szCs w:val="22"/>
              </w:rPr>
              <w:t>4m</w:t>
            </w:r>
            <w:r>
              <w:rPr>
                <w:rFonts w:hint="eastAsia" w:ascii="宋体" w:hAnsi="宋体" w:eastAsia="宋体" w:cs="Times New Roman"/>
                <w:color w:val="000000"/>
                <w:kern w:val="0"/>
                <w:sz w:val="22"/>
                <w:szCs w:val="22"/>
              </w:rPr>
              <w:t>，允许偏差±</w:t>
            </w:r>
            <w:r>
              <w:rPr>
                <w:rFonts w:hint="eastAsia" w:ascii="Calibri" w:hAnsi="Calibri" w:eastAsia="Calibri" w:cs="Times New Roman"/>
                <w:color w:val="000000"/>
                <w:kern w:val="0"/>
                <w:sz w:val="22"/>
                <w:szCs w:val="22"/>
              </w:rPr>
              <w:t>50mm</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2</w:t>
            </w:r>
            <w:r>
              <w:rPr>
                <w:rFonts w:hint="eastAsia" w:ascii="宋体" w:hAnsi="宋体" w:eastAsia="宋体" w:cs="Times New Roman"/>
                <w:color w:val="000000"/>
                <w:kern w:val="0"/>
                <w:sz w:val="22"/>
                <w:szCs w:val="22"/>
              </w:rPr>
              <w:t>．直径（小头端测量）：</w:t>
            </w:r>
            <w:r>
              <w:rPr>
                <w:rFonts w:hint="eastAsia" w:ascii="Calibri" w:hAnsi="Calibri" w:eastAsia="Calibri" w:cs="Times New Roman"/>
                <w:color w:val="000000"/>
                <w:kern w:val="0"/>
                <w:sz w:val="22"/>
                <w:szCs w:val="22"/>
              </w:rPr>
              <w:t>8</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10cm</w:t>
            </w:r>
            <w:r>
              <w:rPr>
                <w:rFonts w:hint="eastAsia" w:ascii="宋体" w:hAnsi="宋体" w:eastAsia="宋体" w:cs="Times New Roman"/>
                <w:color w:val="000000"/>
                <w:kern w:val="0"/>
                <w:sz w:val="22"/>
                <w:szCs w:val="22"/>
              </w:rPr>
              <w:t>。三、外观与物理性能</w:t>
            </w:r>
            <w:r>
              <w:rPr>
                <w:rFonts w:hint="eastAsia" w:ascii="Calibri" w:hAnsi="Calibri" w:eastAsia="Calibri" w:cs="Times New Roman"/>
                <w:color w:val="000000"/>
                <w:kern w:val="0"/>
                <w:sz w:val="22"/>
                <w:szCs w:val="22"/>
              </w:rPr>
              <w:t>1</w:t>
            </w:r>
            <w:r>
              <w:rPr>
                <w:rFonts w:hint="eastAsia" w:ascii="宋体" w:hAnsi="宋体" w:eastAsia="宋体" w:cs="Times New Roman"/>
                <w:color w:val="000000"/>
                <w:kern w:val="0"/>
                <w:sz w:val="22"/>
                <w:szCs w:val="22"/>
              </w:rPr>
              <w:t>、外观：表面平整无凹凸，桩体需笔直，颜色均匀，弯曲度≤</w:t>
            </w:r>
            <w:r>
              <w:rPr>
                <w:rFonts w:hint="eastAsia" w:ascii="Calibri" w:hAnsi="Calibri" w:eastAsia="Calibri" w:cs="Times New Roman"/>
                <w:color w:val="000000"/>
                <w:kern w:val="0"/>
                <w:sz w:val="22"/>
                <w:szCs w:val="22"/>
              </w:rPr>
              <w:t>2</w:t>
            </w:r>
            <w:r>
              <w:rPr>
                <w:rFonts w:hint="eastAsia" w:ascii="宋体" w:hAnsi="宋体" w:eastAsia="宋体" w:cs="Times New Roman"/>
                <w:color w:val="000000"/>
                <w:kern w:val="0"/>
                <w:sz w:val="22"/>
                <w:szCs w:val="22"/>
              </w:rPr>
              <w:t>％（一等材）或≤</w:t>
            </w:r>
            <w:r>
              <w:rPr>
                <w:rFonts w:hint="eastAsia" w:ascii="Calibri" w:hAnsi="Calibri" w:eastAsia="Calibri" w:cs="Times New Roman"/>
                <w:color w:val="000000"/>
                <w:kern w:val="0"/>
                <w:sz w:val="22"/>
                <w:szCs w:val="22"/>
              </w:rPr>
              <w:t>4</w:t>
            </w:r>
            <w:r>
              <w:rPr>
                <w:rFonts w:hint="eastAsia" w:ascii="宋体" w:hAnsi="宋体" w:eastAsia="宋体" w:cs="Times New Roman"/>
                <w:color w:val="000000"/>
                <w:kern w:val="0"/>
                <w:sz w:val="22"/>
                <w:szCs w:val="22"/>
              </w:rPr>
              <w:t>％（二等材）。</w:t>
            </w:r>
            <w:r>
              <w:rPr>
                <w:rFonts w:hint="eastAsia" w:ascii="Calibri" w:hAnsi="Calibri" w:eastAsia="Calibri" w:cs="Times New Roman"/>
                <w:color w:val="000000"/>
                <w:kern w:val="0"/>
                <w:sz w:val="22"/>
                <w:szCs w:val="22"/>
              </w:rPr>
              <w:t>2</w:t>
            </w:r>
            <w:r>
              <w:rPr>
                <w:rFonts w:hint="eastAsia" w:ascii="宋体" w:hAnsi="宋体" w:eastAsia="宋体" w:cs="Times New Roman"/>
                <w:color w:val="000000"/>
                <w:kern w:val="0"/>
                <w:sz w:val="22"/>
                <w:szCs w:val="22"/>
              </w:rPr>
              <w:t>．物理性能：密度：</w:t>
            </w:r>
            <w:r>
              <w:rPr>
                <w:rFonts w:hint="eastAsia" w:ascii="Calibri" w:hAnsi="Calibri" w:eastAsia="Calibri" w:cs="Times New Roman"/>
                <w:color w:val="000000"/>
                <w:kern w:val="0"/>
                <w:sz w:val="22"/>
                <w:szCs w:val="22"/>
              </w:rPr>
              <w:t>0</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4</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0</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5g</w:t>
            </w:r>
            <w:r>
              <w:rPr>
                <w:rFonts w:hint="eastAsia" w:ascii="宋体" w:hAnsi="宋体" w:eastAsia="宋体" w:cs="Times New Roman"/>
                <w:color w:val="000000"/>
                <w:kern w:val="0"/>
                <w:sz w:val="22"/>
                <w:szCs w:val="22"/>
              </w:rPr>
              <w:t>／</w:t>
            </w:r>
            <w:r>
              <w:rPr>
                <w:rFonts w:hint="eastAsia" w:ascii="Calibri" w:hAnsi="Calibri" w:eastAsia="Calibri" w:cs="Times New Roman"/>
                <w:color w:val="000000"/>
                <w:kern w:val="0"/>
                <w:sz w:val="22"/>
                <w:szCs w:val="22"/>
              </w:rPr>
              <w:t>cm3</w:t>
            </w:r>
            <w:r>
              <w:rPr>
                <w:rFonts w:hint="eastAsia" w:ascii="宋体" w:hAnsi="宋体" w:eastAsia="宋体" w:cs="Times New Roman"/>
                <w:color w:val="000000"/>
                <w:kern w:val="0"/>
                <w:sz w:val="22"/>
                <w:szCs w:val="22"/>
              </w:rPr>
              <w:t>（保障承载力）；</w:t>
            </w:r>
            <w:r>
              <w:rPr>
                <w:rFonts w:hint="eastAsia" w:ascii="Calibri" w:hAnsi="Calibri" w:eastAsia="Calibri" w:cs="Times New Roman"/>
                <w:color w:val="000000"/>
                <w:kern w:val="0"/>
                <w:sz w:val="22"/>
                <w:szCs w:val="22"/>
              </w:rPr>
              <w:t>3</w:t>
            </w:r>
            <w:r>
              <w:rPr>
                <w:rFonts w:hint="eastAsia" w:ascii="宋体" w:hAnsi="宋体" w:eastAsia="宋体" w:cs="Times New Roman"/>
                <w:color w:val="000000"/>
                <w:kern w:val="0"/>
                <w:sz w:val="22"/>
                <w:szCs w:val="22"/>
              </w:rPr>
              <w:t>．力学性能：抗弯强度≥</w:t>
            </w:r>
            <w:r>
              <w:rPr>
                <w:rFonts w:hint="eastAsia" w:ascii="Calibri" w:hAnsi="Calibri" w:eastAsia="Calibri" w:cs="Times New Roman"/>
                <w:color w:val="000000"/>
                <w:kern w:val="0"/>
                <w:sz w:val="22"/>
                <w:szCs w:val="22"/>
              </w:rPr>
              <w:t>30</w:t>
            </w:r>
            <w:r>
              <w:rPr>
                <w:rFonts w:hint="eastAsia" w:ascii="宋体" w:hAnsi="宋体" w:eastAsia="宋体" w:cs="Times New Roman"/>
                <w:color w:val="000000"/>
                <w:kern w:val="0"/>
                <w:sz w:val="22"/>
                <w:szCs w:val="22"/>
              </w:rPr>
              <w:t xml:space="preserve"> </w:t>
            </w:r>
            <w:r>
              <w:rPr>
                <w:rFonts w:hint="eastAsia" w:ascii="Calibri" w:hAnsi="Calibri" w:eastAsia="Calibri" w:cs="Times New Roman"/>
                <w:color w:val="000000"/>
                <w:kern w:val="0"/>
                <w:sz w:val="22"/>
                <w:szCs w:val="22"/>
              </w:rPr>
              <w:t>MPa</w:t>
            </w:r>
            <w:r>
              <w:rPr>
                <w:rFonts w:hint="eastAsia" w:ascii="宋体" w:hAnsi="宋体" w:eastAsia="宋体" w:cs="Times New Roman"/>
                <w:color w:val="000000"/>
                <w:kern w:val="0"/>
                <w:sz w:val="22"/>
                <w:szCs w:val="22"/>
              </w:rPr>
              <w:t>，抗压强度≥</w:t>
            </w:r>
            <w:r>
              <w:rPr>
                <w:rFonts w:hint="eastAsia" w:ascii="Calibri" w:hAnsi="Calibri" w:eastAsia="Calibri" w:cs="Times New Roman"/>
                <w:color w:val="000000"/>
                <w:kern w:val="0"/>
                <w:sz w:val="22"/>
                <w:szCs w:val="22"/>
              </w:rPr>
              <w:t>25</w:t>
            </w:r>
            <w:r>
              <w:rPr>
                <w:rFonts w:hint="eastAsia" w:ascii="宋体" w:hAnsi="宋体" w:eastAsia="宋体" w:cs="Times New Roman"/>
                <w:color w:val="000000"/>
                <w:kern w:val="0"/>
                <w:sz w:val="22"/>
                <w:szCs w:val="22"/>
              </w:rPr>
              <w:t xml:space="preserve"> </w:t>
            </w:r>
            <w:r>
              <w:rPr>
                <w:rFonts w:hint="eastAsia" w:ascii="Calibri" w:hAnsi="Calibri" w:eastAsia="Calibri" w:cs="Times New Roman"/>
                <w:color w:val="000000"/>
                <w:kern w:val="0"/>
                <w:sz w:val="22"/>
                <w:szCs w:val="22"/>
              </w:rPr>
              <w:t>MPa</w:t>
            </w:r>
            <w:r>
              <w:rPr>
                <w:rFonts w:hint="eastAsia" w:ascii="宋体" w:hAnsi="宋体" w:eastAsia="宋体" w:cs="Times New Roman"/>
                <w:color w:val="000000"/>
                <w:kern w:val="0"/>
                <w:sz w:val="22"/>
                <w:szCs w:val="22"/>
              </w:rPr>
              <w:t>（确保打桩后承重不裂）</w:t>
            </w:r>
          </w:p>
        </w:tc>
      </w:tr>
    </w:tbl>
    <w:p w14:paraId="69E0EF5F">
      <w:pPr>
        <w:jc w:val="both"/>
        <w:rPr>
          <w:rFonts w:hint="default"/>
          <w:sz w:val="44"/>
          <w:szCs w:val="44"/>
          <w:lang w:val="en-US" w:eastAsia="zh-CN"/>
        </w:rPr>
        <w:sectPr>
          <w:pgSz w:w="16838" w:h="11906" w:orient="landscape"/>
          <w:pgMar w:top="1418" w:right="1418" w:bottom="1134" w:left="1418" w:header="851" w:footer="992" w:gutter="0"/>
          <w:cols w:space="720" w:num="1"/>
          <w:docGrid w:type="linesAndChars" w:linePitch="312" w:charSpace="0"/>
        </w:sectPr>
      </w:pPr>
    </w:p>
    <w:bookmarkEnd w:id="631"/>
    <w:p w14:paraId="4748406B">
      <w:pPr>
        <w:rPr>
          <w:rFonts w:hint="eastAsia" w:cs="宋体" w:asciiTheme="majorEastAsia" w:hAnsiTheme="majorEastAsia" w:eastAsiaTheme="majorEastAsia"/>
          <w:color w:val="000000"/>
        </w:rPr>
      </w:pPr>
    </w:p>
    <w:p w14:paraId="1F31C1BA">
      <w:pPr>
        <w:rPr>
          <w:rFonts w:hint="eastAsia"/>
        </w:rPr>
      </w:pPr>
    </w:p>
    <w:p w14:paraId="0B7D2F40">
      <w:pPr>
        <w:pStyle w:val="29"/>
        <w:spacing w:line="276" w:lineRule="auto"/>
        <w:rPr>
          <w:rFonts w:hint="eastAsia" w:cs="宋体" w:asciiTheme="majorEastAsia" w:hAnsiTheme="majorEastAsia" w:eastAsiaTheme="majorEastAsia"/>
          <w:color w:val="000000"/>
        </w:rPr>
      </w:pPr>
    </w:p>
    <w:p w14:paraId="3664C900">
      <w:pPr>
        <w:pStyle w:val="29"/>
        <w:spacing w:line="276" w:lineRule="auto"/>
        <w:rPr>
          <w:rFonts w:hint="eastAsia" w:cs="宋体" w:asciiTheme="majorEastAsia" w:hAnsiTheme="majorEastAsia" w:eastAsiaTheme="majorEastAsia"/>
          <w:color w:val="000000"/>
        </w:rPr>
      </w:pPr>
    </w:p>
    <w:p w14:paraId="74200F69">
      <w:pPr>
        <w:pStyle w:val="29"/>
        <w:spacing w:line="276" w:lineRule="auto"/>
        <w:rPr>
          <w:rFonts w:hint="eastAsia" w:cs="宋体" w:asciiTheme="majorEastAsia" w:hAnsiTheme="majorEastAsia" w:eastAsiaTheme="majorEastAsia"/>
          <w:color w:val="000000"/>
        </w:rPr>
      </w:pPr>
    </w:p>
    <w:p w14:paraId="63290889">
      <w:pPr>
        <w:pStyle w:val="29"/>
        <w:spacing w:line="276" w:lineRule="auto"/>
        <w:rPr>
          <w:rFonts w:hint="eastAsia" w:cs="宋体" w:asciiTheme="majorEastAsia" w:hAnsiTheme="majorEastAsia" w:eastAsiaTheme="majorEastAsia"/>
          <w:color w:val="000000"/>
        </w:rPr>
      </w:pPr>
    </w:p>
    <w:p w14:paraId="0C826377">
      <w:pPr>
        <w:pStyle w:val="29"/>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第六章</w:t>
      </w:r>
      <w:r>
        <w:rPr>
          <w:rFonts w:hint="eastAsia" w:cs="宋体" w:asciiTheme="majorEastAsia" w:hAnsiTheme="majorEastAsia" w:eastAsiaTheme="majorEastAsia"/>
          <w:color w:val="000000"/>
          <w:lang w:val="en-US" w:eastAsia="zh-CN"/>
        </w:rPr>
        <w:t xml:space="preserve"> </w:t>
      </w:r>
      <w:r>
        <w:rPr>
          <w:rFonts w:hint="eastAsia" w:cs="宋体" w:asciiTheme="majorEastAsia" w:hAnsiTheme="majorEastAsia" w:eastAsiaTheme="majorEastAsia"/>
          <w:color w:val="000000"/>
        </w:rPr>
        <w:t>投标文件格式</w:t>
      </w:r>
      <w:bookmarkEnd w:id="630"/>
    </w:p>
    <w:p w14:paraId="17D25B6C">
      <w:pPr>
        <w:widowControl/>
        <w:spacing w:line="276" w:lineRule="auto"/>
        <w:ind w:firstLine="2520"/>
        <w:rPr>
          <w:rFonts w:cs="宋体" w:asciiTheme="majorEastAsia" w:hAnsiTheme="majorEastAsia" w:eastAsiaTheme="majorEastAsia"/>
          <w:b/>
          <w:bCs/>
          <w:color w:val="000000"/>
          <w:kern w:val="0"/>
          <w:sz w:val="28"/>
          <w:szCs w:val="28"/>
        </w:rPr>
      </w:pPr>
    </w:p>
    <w:p w14:paraId="0CE4DC6C">
      <w:pPr>
        <w:widowControl/>
        <w:spacing w:line="276" w:lineRule="auto"/>
        <w:ind w:firstLine="2520"/>
        <w:rPr>
          <w:rFonts w:cs="宋体" w:asciiTheme="majorEastAsia" w:hAnsiTheme="majorEastAsia" w:eastAsiaTheme="majorEastAsia"/>
          <w:b/>
          <w:bCs/>
          <w:color w:val="000000"/>
          <w:kern w:val="0"/>
          <w:sz w:val="28"/>
          <w:szCs w:val="28"/>
        </w:rPr>
      </w:pPr>
    </w:p>
    <w:p w14:paraId="1101F0CF">
      <w:pPr>
        <w:widowControl/>
        <w:spacing w:line="276" w:lineRule="auto"/>
        <w:ind w:firstLine="2520"/>
        <w:rPr>
          <w:rFonts w:cs="宋体" w:asciiTheme="majorEastAsia" w:hAnsiTheme="majorEastAsia" w:eastAsiaTheme="majorEastAsia"/>
          <w:b/>
          <w:bCs/>
          <w:color w:val="000000"/>
          <w:kern w:val="0"/>
          <w:sz w:val="28"/>
          <w:szCs w:val="28"/>
        </w:rPr>
      </w:pPr>
    </w:p>
    <w:p w14:paraId="79912B63">
      <w:pPr>
        <w:widowControl/>
        <w:spacing w:line="276" w:lineRule="auto"/>
        <w:rPr>
          <w:rFonts w:cs="宋体" w:asciiTheme="majorEastAsia" w:hAnsiTheme="majorEastAsia" w:eastAsiaTheme="majorEastAsia"/>
          <w:b/>
          <w:bCs/>
          <w:color w:val="000000"/>
          <w:kern w:val="0"/>
          <w:sz w:val="44"/>
          <w:szCs w:val="44"/>
        </w:rPr>
      </w:pPr>
    </w:p>
    <w:p w14:paraId="7B9359C9">
      <w:pPr>
        <w:widowControl/>
        <w:spacing w:line="276" w:lineRule="auto"/>
        <w:rPr>
          <w:rFonts w:cs="宋体" w:asciiTheme="majorEastAsia" w:hAnsiTheme="majorEastAsia" w:eastAsiaTheme="majorEastAsia"/>
          <w:b/>
          <w:bCs/>
          <w:color w:val="000000"/>
          <w:kern w:val="0"/>
          <w:sz w:val="44"/>
          <w:szCs w:val="44"/>
        </w:rPr>
      </w:pPr>
    </w:p>
    <w:p w14:paraId="7764B9C6">
      <w:pPr>
        <w:widowControl/>
        <w:spacing w:line="276" w:lineRule="auto"/>
        <w:rPr>
          <w:rFonts w:cs="宋体" w:asciiTheme="majorEastAsia" w:hAnsiTheme="majorEastAsia" w:eastAsiaTheme="majorEastAsia"/>
          <w:b/>
          <w:bCs/>
          <w:color w:val="000000"/>
          <w:kern w:val="0"/>
          <w:sz w:val="44"/>
          <w:szCs w:val="44"/>
        </w:rPr>
      </w:pPr>
    </w:p>
    <w:p w14:paraId="6570A471">
      <w:pPr>
        <w:widowControl/>
        <w:spacing w:line="276" w:lineRule="auto"/>
        <w:rPr>
          <w:rFonts w:cs="宋体" w:asciiTheme="majorEastAsia" w:hAnsiTheme="majorEastAsia" w:eastAsiaTheme="majorEastAsia"/>
          <w:b/>
          <w:bCs/>
          <w:color w:val="000000"/>
          <w:kern w:val="0"/>
          <w:sz w:val="44"/>
          <w:szCs w:val="44"/>
        </w:rPr>
      </w:pPr>
    </w:p>
    <w:p w14:paraId="41C5435D">
      <w:pPr>
        <w:widowControl/>
        <w:spacing w:line="276" w:lineRule="auto"/>
        <w:rPr>
          <w:rFonts w:cs="宋体" w:asciiTheme="majorEastAsia" w:hAnsiTheme="majorEastAsia" w:eastAsiaTheme="majorEastAsia"/>
          <w:b/>
          <w:bCs/>
          <w:color w:val="000000"/>
          <w:kern w:val="0"/>
          <w:sz w:val="44"/>
          <w:szCs w:val="44"/>
        </w:rPr>
      </w:pPr>
    </w:p>
    <w:p w14:paraId="36DE3FA4">
      <w:pPr>
        <w:widowControl/>
        <w:spacing w:line="276" w:lineRule="auto"/>
        <w:rPr>
          <w:rFonts w:cs="宋体" w:asciiTheme="majorEastAsia" w:hAnsiTheme="majorEastAsia" w:eastAsiaTheme="majorEastAsia"/>
          <w:b/>
          <w:bCs/>
          <w:color w:val="000000"/>
          <w:kern w:val="0"/>
          <w:sz w:val="44"/>
          <w:szCs w:val="44"/>
        </w:rPr>
      </w:pPr>
    </w:p>
    <w:p w14:paraId="6BBBF256">
      <w:pPr>
        <w:widowControl/>
        <w:spacing w:line="276" w:lineRule="auto"/>
        <w:rPr>
          <w:rFonts w:cs="宋体" w:asciiTheme="majorEastAsia" w:hAnsiTheme="majorEastAsia" w:eastAsiaTheme="majorEastAsia"/>
          <w:b/>
          <w:bCs/>
          <w:color w:val="000000"/>
          <w:kern w:val="0"/>
          <w:sz w:val="44"/>
          <w:szCs w:val="44"/>
        </w:rPr>
      </w:pPr>
    </w:p>
    <w:p w14:paraId="74F40434">
      <w:pPr>
        <w:widowControl/>
        <w:spacing w:line="276" w:lineRule="auto"/>
        <w:jc w:val="both"/>
        <w:rPr>
          <w:rFonts w:hint="eastAsia" w:cs="宋体" w:asciiTheme="majorEastAsia" w:hAnsiTheme="majorEastAsia" w:eastAsiaTheme="majorEastAsia"/>
          <w:color w:val="000000"/>
          <w:sz w:val="36"/>
        </w:rPr>
      </w:pPr>
    </w:p>
    <w:p w14:paraId="17BB4473">
      <w:pPr>
        <w:widowControl/>
        <w:spacing w:line="276" w:lineRule="auto"/>
        <w:jc w:val="center"/>
        <w:rPr>
          <w:rFonts w:hint="eastAsia" w:cs="宋体" w:asciiTheme="majorEastAsia" w:hAnsiTheme="majorEastAsia" w:eastAsiaTheme="majorEastAsia"/>
          <w:color w:val="000000"/>
          <w:sz w:val="36"/>
        </w:rPr>
      </w:pPr>
    </w:p>
    <w:p w14:paraId="3FFB9DDE">
      <w:pPr>
        <w:widowControl/>
        <w:spacing w:line="276" w:lineRule="auto"/>
        <w:jc w:val="center"/>
        <w:rPr>
          <w:rFonts w:hint="eastAsia" w:cs="宋体" w:asciiTheme="majorEastAsia" w:hAnsiTheme="majorEastAsia" w:eastAsiaTheme="majorEastAsia"/>
          <w:color w:val="000000"/>
          <w:sz w:val="36"/>
        </w:rPr>
      </w:pPr>
    </w:p>
    <w:p w14:paraId="2B9B93A4">
      <w:pPr>
        <w:rPr>
          <w:rFonts w:hint="eastAsia" w:cs="宋体" w:asciiTheme="majorEastAsia" w:hAnsiTheme="majorEastAsia" w:eastAsiaTheme="majorEastAsia"/>
          <w:color w:val="000000"/>
          <w:sz w:val="36"/>
        </w:rPr>
      </w:pPr>
      <w:r>
        <w:rPr>
          <w:rFonts w:hint="eastAsia" w:cs="宋体" w:asciiTheme="majorEastAsia" w:hAnsiTheme="majorEastAsia" w:eastAsiaTheme="majorEastAsia"/>
          <w:color w:val="000000"/>
          <w:sz w:val="36"/>
        </w:rPr>
        <w:br w:type="page"/>
      </w:r>
    </w:p>
    <w:p w14:paraId="430DB011">
      <w:pPr>
        <w:widowControl/>
        <w:spacing w:line="276" w:lineRule="auto"/>
        <w:jc w:val="center"/>
        <w:rPr>
          <w:rFonts w:cs="宋体" w:asciiTheme="majorEastAsia" w:hAnsiTheme="majorEastAsia" w:eastAsiaTheme="majorEastAsia"/>
          <w:b/>
          <w:bCs/>
          <w:color w:val="000000"/>
          <w:kern w:val="0"/>
          <w:sz w:val="44"/>
          <w:szCs w:val="44"/>
        </w:rPr>
      </w:pPr>
      <w:r>
        <w:rPr>
          <w:rFonts w:hint="eastAsia" w:cs="宋体" w:asciiTheme="majorEastAsia" w:hAnsiTheme="majorEastAsia" w:eastAsiaTheme="majorEastAsia"/>
          <w:color w:val="000000"/>
          <w:sz w:val="36"/>
        </w:rPr>
        <w:t>（项目名称）</w:t>
      </w:r>
    </w:p>
    <w:p w14:paraId="3F44D8DE">
      <w:pPr>
        <w:spacing w:line="276" w:lineRule="auto"/>
        <w:ind w:firstLine="1080" w:firstLineChars="300"/>
        <w:rPr>
          <w:rFonts w:cs="宋体" w:asciiTheme="majorEastAsia" w:hAnsiTheme="majorEastAsia" w:eastAsiaTheme="majorEastAsia"/>
          <w:b/>
          <w:color w:val="000000"/>
          <w:sz w:val="36"/>
        </w:rPr>
      </w:pPr>
    </w:p>
    <w:p w14:paraId="79EFA4AC">
      <w:pPr>
        <w:spacing w:line="276" w:lineRule="auto"/>
        <w:ind w:firstLine="1080" w:firstLineChars="300"/>
        <w:rPr>
          <w:rFonts w:cs="宋体" w:asciiTheme="majorEastAsia" w:hAnsiTheme="majorEastAsia" w:eastAsiaTheme="majorEastAsia"/>
          <w:b/>
          <w:color w:val="000000"/>
          <w:sz w:val="36"/>
        </w:rPr>
      </w:pPr>
    </w:p>
    <w:p w14:paraId="2E217FB8">
      <w:pPr>
        <w:spacing w:line="276" w:lineRule="auto"/>
        <w:ind w:firstLine="1080" w:firstLineChars="300"/>
        <w:rPr>
          <w:rFonts w:cs="宋体" w:asciiTheme="majorEastAsia" w:hAnsiTheme="majorEastAsia" w:eastAsiaTheme="majorEastAsia"/>
          <w:b/>
          <w:color w:val="000000"/>
          <w:sz w:val="36"/>
        </w:rPr>
      </w:pPr>
    </w:p>
    <w:p w14:paraId="75828E99">
      <w:pPr>
        <w:autoSpaceDE w:val="0"/>
        <w:autoSpaceDN w:val="0"/>
        <w:adjustRightInd w:val="0"/>
        <w:spacing w:line="276" w:lineRule="auto"/>
        <w:rPr>
          <w:rFonts w:cs="宋体" w:asciiTheme="majorEastAsia" w:hAnsiTheme="majorEastAsia" w:eastAsiaTheme="majorEastAsia"/>
          <w:color w:val="000000"/>
          <w:szCs w:val="18"/>
          <w:lang w:val="zh-CN"/>
        </w:rPr>
      </w:pPr>
    </w:p>
    <w:p w14:paraId="2CF051D0">
      <w:pPr>
        <w:spacing w:line="276" w:lineRule="auto"/>
        <w:jc w:val="center"/>
        <w:rPr>
          <w:rFonts w:cs="宋体" w:asciiTheme="majorEastAsia" w:hAnsiTheme="majorEastAsia" w:eastAsiaTheme="majorEastAsia"/>
          <w:b/>
          <w:color w:val="000000"/>
          <w:sz w:val="72"/>
        </w:rPr>
      </w:pPr>
    </w:p>
    <w:p w14:paraId="02BF751C">
      <w:pPr>
        <w:spacing w:line="276" w:lineRule="auto"/>
        <w:jc w:val="center"/>
        <w:rPr>
          <w:rFonts w:cs="宋体" w:asciiTheme="majorEastAsia" w:hAnsiTheme="majorEastAsia" w:eastAsiaTheme="majorEastAsia"/>
          <w:b/>
          <w:color w:val="000000"/>
          <w:sz w:val="72"/>
        </w:rPr>
      </w:pPr>
      <w:r>
        <w:rPr>
          <w:rFonts w:hint="eastAsia" w:cs="宋体" w:asciiTheme="majorEastAsia" w:hAnsiTheme="majorEastAsia" w:eastAsiaTheme="majorEastAsia"/>
          <w:b/>
          <w:color w:val="000000"/>
          <w:sz w:val="72"/>
        </w:rPr>
        <w:t>投标文件</w:t>
      </w:r>
    </w:p>
    <w:p w14:paraId="45319D0D">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74817304">
      <w:pPr>
        <w:spacing w:line="276" w:lineRule="auto"/>
        <w:jc w:val="center"/>
        <w:rPr>
          <w:rFonts w:cs="宋体" w:asciiTheme="majorEastAsia" w:hAnsiTheme="majorEastAsia" w:eastAsiaTheme="majorEastAsia"/>
          <w:b/>
          <w:color w:val="000000"/>
          <w:sz w:val="28"/>
        </w:rPr>
      </w:pPr>
      <w:r>
        <w:rPr>
          <w:rFonts w:hint="eastAsia" w:cs="宋体" w:asciiTheme="majorEastAsia" w:hAnsiTheme="majorEastAsia" w:eastAsiaTheme="majorEastAsia"/>
          <w:b/>
          <w:color w:val="000000"/>
          <w:sz w:val="28"/>
        </w:rPr>
        <w:t>招标编号：</w:t>
      </w:r>
    </w:p>
    <w:p w14:paraId="5A8D9986">
      <w:pPr>
        <w:autoSpaceDE w:val="0"/>
        <w:autoSpaceDN w:val="0"/>
        <w:adjustRightInd w:val="0"/>
        <w:spacing w:line="276" w:lineRule="auto"/>
        <w:jc w:val="center"/>
        <w:rPr>
          <w:rFonts w:cs="宋体" w:asciiTheme="majorEastAsia" w:hAnsiTheme="majorEastAsia" w:eastAsiaTheme="majorEastAsia"/>
          <w:color w:val="000000"/>
          <w:szCs w:val="18"/>
          <w:lang w:val="zh-CN"/>
        </w:rPr>
      </w:pPr>
    </w:p>
    <w:p w14:paraId="3537B3EA">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6D00899C">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49056C27">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6A9554F4">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339190EC">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2E48C80A">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7F6DAADA">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6767AFAC">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4F3245D5">
      <w:pPr>
        <w:spacing w:line="276" w:lineRule="auto"/>
        <w:rPr>
          <w:rFonts w:hint="eastAsia" w:cs="宋体" w:asciiTheme="majorEastAsia" w:hAnsiTheme="majorEastAsia" w:eastAsiaTheme="majorEastAsia"/>
          <w:b/>
          <w:color w:val="000000"/>
          <w:sz w:val="30"/>
          <w:u w:val="single"/>
          <w:lang w:val="en-US" w:eastAsia="zh-CN"/>
        </w:rPr>
      </w:pPr>
      <w:r>
        <w:rPr>
          <w:rFonts w:hint="eastAsia" w:cs="宋体" w:asciiTheme="majorEastAsia" w:hAnsiTheme="majorEastAsia" w:eastAsiaTheme="majorEastAsia"/>
          <w:b/>
          <w:color w:val="000000"/>
          <w:sz w:val="30"/>
          <w:szCs w:val="30"/>
          <w:lang w:eastAsia="zh-CN"/>
        </w:rPr>
        <w:t>投标单位</w:t>
      </w:r>
      <w:r>
        <w:rPr>
          <w:rFonts w:hint="eastAsia" w:cs="宋体" w:asciiTheme="majorEastAsia" w:hAnsiTheme="majorEastAsia" w:eastAsiaTheme="majorEastAsia"/>
          <w:b/>
          <w:color w:val="000000"/>
          <w:sz w:val="30"/>
          <w:szCs w:val="30"/>
        </w:rPr>
        <w:t>：</w:t>
      </w:r>
      <w:r>
        <w:rPr>
          <w:rFonts w:cs="宋体" w:asciiTheme="majorEastAsia" w:hAnsiTheme="majorEastAsia" w:eastAsiaTheme="majorEastAsia"/>
          <w:b/>
          <w:color w:val="000000"/>
          <w:sz w:val="30"/>
          <w:u w:val="single"/>
        </w:rPr>
        <w:tab/>
      </w:r>
      <w:r>
        <w:rPr>
          <w:rFonts w:cs="宋体" w:asciiTheme="majorEastAsia" w:hAnsiTheme="majorEastAsia" w:eastAsiaTheme="majorEastAsia"/>
          <w:b/>
          <w:color w:val="000000"/>
          <w:sz w:val="30"/>
          <w:u w:val="single"/>
        </w:rPr>
        <w:tab/>
      </w:r>
      <w:r>
        <w:rPr>
          <w:rFonts w:hint="eastAsia" w:cs="宋体" w:asciiTheme="majorEastAsia" w:hAnsiTheme="majorEastAsia" w:eastAsiaTheme="majorEastAsia"/>
          <w:b/>
          <w:color w:val="000000"/>
          <w:sz w:val="30"/>
          <w:u w:val="single"/>
        </w:rPr>
        <w:t>（盖章）</w:t>
      </w:r>
      <w:r>
        <w:rPr>
          <w:rFonts w:hint="eastAsia" w:cs="宋体" w:asciiTheme="majorEastAsia" w:hAnsiTheme="majorEastAsia" w:eastAsiaTheme="majorEastAsia"/>
          <w:b/>
          <w:color w:val="000000"/>
          <w:sz w:val="30"/>
          <w:u w:val="single"/>
          <w:lang w:val="en-US" w:eastAsia="zh-CN"/>
        </w:rPr>
        <w:t xml:space="preserve">   </w:t>
      </w:r>
    </w:p>
    <w:p w14:paraId="453F8591">
      <w:pPr>
        <w:spacing w:line="276" w:lineRule="auto"/>
        <w:rPr>
          <w:rFonts w:cs="宋体" w:asciiTheme="majorEastAsia" w:hAnsiTheme="majorEastAsia" w:eastAsiaTheme="majorEastAsia"/>
          <w:b/>
          <w:color w:val="000000"/>
          <w:sz w:val="30"/>
        </w:rPr>
      </w:pPr>
    </w:p>
    <w:p w14:paraId="7EF32AB0">
      <w:pPr>
        <w:spacing w:line="276" w:lineRule="auto"/>
        <w:rPr>
          <w:rFonts w:cs="宋体" w:asciiTheme="majorEastAsia" w:hAnsiTheme="majorEastAsia" w:eastAsiaTheme="majorEastAsia"/>
          <w:b/>
          <w:color w:val="000000"/>
          <w:sz w:val="30"/>
        </w:rPr>
      </w:pPr>
      <w:r>
        <w:rPr>
          <w:rFonts w:hint="eastAsia" w:cs="宋体" w:asciiTheme="majorEastAsia" w:hAnsiTheme="majorEastAsia" w:eastAsiaTheme="majorEastAsia"/>
          <w:b/>
          <w:color w:val="000000"/>
          <w:sz w:val="30"/>
        </w:rPr>
        <w:t>法定代表人或授权委托人：</w:t>
      </w:r>
      <w:r>
        <w:rPr>
          <w:rFonts w:hint="eastAsia" w:cs="宋体" w:asciiTheme="majorEastAsia" w:hAnsiTheme="majorEastAsia" w:eastAsiaTheme="majorEastAsia"/>
          <w:b/>
          <w:color w:val="000000"/>
          <w:sz w:val="30"/>
          <w:u w:val="single"/>
        </w:rPr>
        <w:t>（签字或盖章）</w:t>
      </w:r>
    </w:p>
    <w:p w14:paraId="034CCFE8">
      <w:pPr>
        <w:autoSpaceDE w:val="0"/>
        <w:autoSpaceDN w:val="0"/>
        <w:adjustRightInd w:val="0"/>
        <w:spacing w:line="276" w:lineRule="auto"/>
        <w:ind w:firstLine="280" w:firstLineChars="100"/>
        <w:jc w:val="center"/>
        <w:rPr>
          <w:rFonts w:cs="宋体" w:asciiTheme="majorEastAsia" w:hAnsiTheme="majorEastAsia" w:eastAsiaTheme="majorEastAsia"/>
          <w:color w:val="000000"/>
          <w:sz w:val="28"/>
          <w:szCs w:val="18"/>
          <w:lang w:val="zh-CN"/>
        </w:rPr>
      </w:pPr>
    </w:p>
    <w:p w14:paraId="4C34ACE4">
      <w:pPr>
        <w:snapToGrid w:val="0"/>
        <w:spacing w:before="480" w:line="276" w:lineRule="auto"/>
        <w:ind w:left="0" w:leftChars="0" w:firstLine="0" w:firstLineChars="0"/>
        <w:jc w:val="center"/>
        <w:rPr>
          <w:rFonts w:cs="宋体" w:asciiTheme="majorEastAsia" w:hAnsiTheme="majorEastAsia" w:eastAsiaTheme="majorEastAsia"/>
          <w:b/>
          <w:color w:val="000000"/>
          <w:sz w:val="30"/>
        </w:rPr>
      </w:pPr>
      <w:r>
        <w:rPr>
          <w:rFonts w:hint="eastAsia" w:cs="宋体" w:asciiTheme="majorEastAsia" w:hAnsiTheme="majorEastAsia" w:eastAsiaTheme="majorEastAsia"/>
          <w:b/>
          <w:color w:val="000000"/>
          <w:sz w:val="30"/>
        </w:rPr>
        <w:t>日期：年月日</w:t>
      </w:r>
      <w:bookmarkStart w:id="632" w:name="_Toc504654798"/>
    </w:p>
    <w:p w14:paraId="37183F3A">
      <w:pPr>
        <w:rPr>
          <w:rFonts w:hint="eastAsia" w:cs="宋体" w:asciiTheme="majorEastAsia" w:hAnsiTheme="majorEastAsia" w:eastAsiaTheme="majorEastAsia"/>
          <w:bCs/>
          <w:color w:val="000000"/>
          <w:sz w:val="44"/>
          <w:szCs w:val="44"/>
          <w:lang w:val="zh-CN"/>
        </w:rPr>
      </w:pPr>
      <w:r>
        <w:rPr>
          <w:rFonts w:hint="eastAsia" w:cs="宋体" w:asciiTheme="majorEastAsia" w:hAnsiTheme="majorEastAsia" w:eastAsiaTheme="majorEastAsia"/>
          <w:bCs/>
          <w:color w:val="000000"/>
          <w:sz w:val="44"/>
          <w:szCs w:val="44"/>
          <w:lang w:val="zh-CN"/>
        </w:rPr>
        <w:br w:type="page"/>
      </w:r>
    </w:p>
    <w:p w14:paraId="016405F3">
      <w:pPr>
        <w:snapToGrid w:val="0"/>
        <w:spacing w:before="480" w:line="276" w:lineRule="auto"/>
        <w:jc w:val="center"/>
        <w:rPr>
          <w:rFonts w:cs="宋体" w:asciiTheme="majorEastAsia" w:hAnsiTheme="majorEastAsia" w:eastAsiaTheme="majorEastAsia"/>
          <w:b/>
          <w:color w:val="000000"/>
          <w:sz w:val="30"/>
        </w:rPr>
      </w:pPr>
      <w:r>
        <w:rPr>
          <w:rFonts w:hint="eastAsia" w:cs="宋体" w:asciiTheme="majorEastAsia" w:hAnsiTheme="majorEastAsia" w:eastAsiaTheme="majorEastAsia"/>
          <w:bCs/>
          <w:color w:val="000000"/>
          <w:sz w:val="44"/>
          <w:szCs w:val="44"/>
          <w:lang w:val="zh-CN"/>
        </w:rPr>
        <w:t>目录</w:t>
      </w:r>
      <w:bookmarkEnd w:id="632"/>
    </w:p>
    <w:p w14:paraId="5C101CF6">
      <w:pPr>
        <w:spacing w:before="120" w:line="276" w:lineRule="auto"/>
        <w:rPr>
          <w:rFonts w:cs="宋体" w:asciiTheme="majorEastAsia" w:hAnsiTheme="majorEastAsia" w:eastAsiaTheme="majorEastAsia"/>
          <w:color w:val="000000"/>
          <w:sz w:val="24"/>
        </w:rPr>
      </w:pPr>
      <w:bookmarkStart w:id="633" w:name="_Toc201719186"/>
      <w:r>
        <w:rPr>
          <w:rFonts w:hint="eastAsia" w:cs="宋体" w:asciiTheme="majorEastAsia" w:hAnsiTheme="majorEastAsia" w:eastAsiaTheme="majorEastAsia"/>
          <w:color w:val="000000"/>
          <w:sz w:val="24"/>
        </w:rPr>
        <w:t>一、价格部分</w:t>
      </w:r>
    </w:p>
    <w:p w14:paraId="414E6B36">
      <w:pPr>
        <w:spacing w:line="276" w:lineRule="auto"/>
        <w:ind w:firstLine="426"/>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）开标一览表（格式</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w:t>
      </w:r>
    </w:p>
    <w:p w14:paraId="3EF43AA3">
      <w:pPr>
        <w:spacing w:line="276" w:lineRule="auto"/>
        <w:ind w:left="426"/>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）投标报价表（格式</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w:t>
      </w:r>
    </w:p>
    <w:p w14:paraId="1ECC376A">
      <w:pPr>
        <w:tabs>
          <w:tab w:val="left" w:pos="770"/>
        </w:tabs>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二、</w:t>
      </w:r>
      <w:r>
        <w:rPr>
          <w:rFonts w:hint="eastAsia" w:cs="宋体" w:asciiTheme="majorEastAsia" w:hAnsiTheme="majorEastAsia" w:eastAsiaTheme="majorEastAsia"/>
          <w:color w:val="000000"/>
          <w:sz w:val="24"/>
          <w:lang w:eastAsia="zh-CN"/>
        </w:rPr>
        <w:t>商务及资格审查部分</w:t>
      </w:r>
    </w:p>
    <w:p w14:paraId="32C9FA71">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）投标函（格式</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w:t>
      </w:r>
    </w:p>
    <w:p w14:paraId="0245C00F">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）法定代表人身份证明书（格式</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w:t>
      </w:r>
    </w:p>
    <w:p w14:paraId="38626F7C">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）被授权人身份证明书（格式</w:t>
      </w:r>
      <w:r>
        <w:rPr>
          <w:rFonts w:hint="eastAsia" w:cs="宋体" w:asciiTheme="majorEastAsia" w:hAnsiTheme="majorEastAsia" w:eastAsiaTheme="majorEastAsia"/>
          <w:color w:val="000000"/>
          <w:sz w:val="24"/>
          <w:lang w:val="en-US" w:eastAsia="zh-CN"/>
        </w:rPr>
        <w:t>5</w:t>
      </w:r>
      <w:r>
        <w:rPr>
          <w:rFonts w:hint="eastAsia" w:cs="宋体" w:asciiTheme="majorEastAsia" w:hAnsiTheme="majorEastAsia" w:eastAsiaTheme="majorEastAsia"/>
          <w:color w:val="000000"/>
          <w:sz w:val="24"/>
        </w:rPr>
        <w:t>）</w:t>
      </w:r>
    </w:p>
    <w:p w14:paraId="3FDC9A97">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）供应商基本情况表（格式</w:t>
      </w:r>
      <w:r>
        <w:rPr>
          <w:rFonts w:hint="eastAsia" w:cs="宋体" w:asciiTheme="majorEastAsia" w:hAnsiTheme="majorEastAsia" w:eastAsiaTheme="majorEastAsia"/>
          <w:color w:val="000000"/>
          <w:sz w:val="24"/>
          <w:lang w:val="en-US" w:eastAsia="zh-CN"/>
        </w:rPr>
        <w:t>6</w:t>
      </w:r>
      <w:r>
        <w:rPr>
          <w:rFonts w:hint="eastAsia" w:cs="宋体" w:asciiTheme="majorEastAsia" w:hAnsiTheme="majorEastAsia" w:eastAsiaTheme="majorEastAsia"/>
          <w:color w:val="000000"/>
          <w:sz w:val="24"/>
        </w:rPr>
        <w:t>）</w:t>
      </w:r>
    </w:p>
    <w:p w14:paraId="476B6239">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5</w:t>
      </w:r>
      <w:r>
        <w:rPr>
          <w:rFonts w:hint="eastAsia" w:cs="宋体" w:asciiTheme="majorEastAsia" w:hAnsiTheme="majorEastAsia" w:eastAsiaTheme="majorEastAsia"/>
          <w:color w:val="000000"/>
          <w:sz w:val="24"/>
        </w:rPr>
        <w:t>）三年内在经营活动中没有重大违法记录的声明（格式</w:t>
      </w:r>
      <w:r>
        <w:rPr>
          <w:rFonts w:hint="eastAsia" w:cs="宋体" w:asciiTheme="majorEastAsia" w:hAnsiTheme="majorEastAsia" w:eastAsiaTheme="majorEastAsia"/>
          <w:color w:val="000000"/>
          <w:sz w:val="24"/>
          <w:lang w:val="en-US" w:eastAsia="zh-CN"/>
        </w:rPr>
        <w:t>7</w:t>
      </w:r>
      <w:r>
        <w:rPr>
          <w:rFonts w:hint="eastAsia" w:cs="宋体" w:asciiTheme="majorEastAsia" w:hAnsiTheme="majorEastAsia" w:eastAsiaTheme="majorEastAsia"/>
          <w:color w:val="000000"/>
          <w:sz w:val="24"/>
        </w:rPr>
        <w:t>）</w:t>
      </w:r>
    </w:p>
    <w:p w14:paraId="2B697055">
      <w:pPr>
        <w:tabs>
          <w:tab w:val="left" w:pos="770"/>
        </w:tabs>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三、技术部分</w:t>
      </w:r>
    </w:p>
    <w:p w14:paraId="443D7016">
      <w:pPr>
        <w:tabs>
          <w:tab w:val="left" w:pos="770"/>
        </w:tabs>
        <w:spacing w:line="276" w:lineRule="auto"/>
        <w:ind w:firstLine="480" w:firstLineChars="200"/>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lang w:val="en-US" w:eastAsia="zh-CN"/>
        </w:rPr>
        <w:t>1</w:t>
      </w:r>
      <w:r>
        <w:rPr>
          <w:rFonts w:hint="eastAsia" w:cs="宋体" w:asciiTheme="majorEastAsia" w:hAnsiTheme="majorEastAsia" w:eastAsiaTheme="majorEastAsia"/>
          <w:color w:val="000000"/>
          <w:sz w:val="24"/>
          <w:lang w:eastAsia="zh-CN"/>
        </w:rPr>
        <w:t>）技术部分偏离表</w:t>
      </w:r>
      <w:r>
        <w:rPr>
          <w:rFonts w:hint="eastAsia" w:cs="宋体" w:asciiTheme="majorEastAsia" w:hAnsiTheme="majorEastAsia" w:eastAsiaTheme="majorEastAsia"/>
          <w:color w:val="000000"/>
          <w:sz w:val="24"/>
        </w:rPr>
        <w:t>（格式</w:t>
      </w:r>
      <w:r>
        <w:rPr>
          <w:rFonts w:hint="eastAsia" w:cs="宋体" w:asciiTheme="majorEastAsia" w:hAnsiTheme="majorEastAsia" w:eastAsiaTheme="majorEastAsia"/>
          <w:color w:val="000000"/>
          <w:sz w:val="24"/>
          <w:lang w:val="en-US" w:eastAsia="zh-CN"/>
        </w:rPr>
        <w:t>8</w:t>
      </w:r>
      <w:r>
        <w:rPr>
          <w:rFonts w:hint="eastAsia" w:cs="宋体" w:asciiTheme="majorEastAsia" w:hAnsiTheme="majorEastAsia" w:eastAsiaTheme="majorEastAsia"/>
          <w:color w:val="000000"/>
          <w:sz w:val="24"/>
        </w:rPr>
        <w:t>）</w:t>
      </w:r>
    </w:p>
    <w:p w14:paraId="4BBCC045">
      <w:pPr>
        <w:tabs>
          <w:tab w:val="left" w:pos="770"/>
        </w:tabs>
        <w:spacing w:line="276" w:lineRule="auto"/>
        <w:ind w:firstLine="640" w:firstLineChars="200"/>
        <w:rPr>
          <w:rFonts w:cs="宋体" w:asciiTheme="majorEastAsia" w:hAnsiTheme="majorEastAsia" w:eastAsiaTheme="majorEastAsia"/>
          <w:b/>
          <w:bCs/>
          <w:color w:val="000000"/>
          <w:sz w:val="32"/>
        </w:rPr>
      </w:pPr>
      <w:r>
        <w:rPr>
          <w:rFonts w:hint="eastAsia" w:cs="宋体" w:asciiTheme="majorEastAsia" w:hAnsiTheme="majorEastAsia" w:eastAsiaTheme="majorEastAsia"/>
          <w:b/>
          <w:bCs/>
          <w:color w:val="000000"/>
          <w:sz w:val="32"/>
        </w:rPr>
        <w:t>...</w:t>
      </w:r>
    </w:p>
    <w:p w14:paraId="351F46E5">
      <w:pPr>
        <w:pStyle w:val="4"/>
        <w:ind w:firstLine="640" w:firstLineChars="200"/>
      </w:pPr>
      <w:r>
        <w:rPr>
          <w:rFonts w:hint="eastAsia" w:cs="宋体" w:asciiTheme="majorEastAsia" w:hAnsiTheme="majorEastAsia" w:eastAsiaTheme="majorEastAsia"/>
          <w:b/>
          <w:bCs/>
          <w:color w:val="000000"/>
          <w:sz w:val="32"/>
        </w:rPr>
        <w:t>...</w:t>
      </w:r>
    </w:p>
    <w:p w14:paraId="641E0598">
      <w:pPr>
        <w:spacing w:line="276" w:lineRule="auto"/>
        <w:rPr>
          <w:rFonts w:cs="宋体" w:asciiTheme="majorEastAsia" w:hAnsiTheme="majorEastAsia" w:eastAsiaTheme="majorEastAsia"/>
          <w:color w:val="000000"/>
          <w:sz w:val="24"/>
        </w:rPr>
      </w:pPr>
    </w:p>
    <w:p w14:paraId="0519AF65">
      <w:pPr>
        <w:spacing w:line="276" w:lineRule="auto"/>
        <w:rPr>
          <w:rFonts w:cs="宋体" w:asciiTheme="majorEastAsia" w:hAnsiTheme="majorEastAsia" w:eastAsiaTheme="majorEastAsia"/>
          <w:color w:val="000000"/>
          <w:sz w:val="24"/>
        </w:rPr>
      </w:pPr>
    </w:p>
    <w:p w14:paraId="15710B80">
      <w:pPr>
        <w:spacing w:line="276" w:lineRule="auto"/>
        <w:rPr>
          <w:rFonts w:cs="宋体" w:asciiTheme="majorEastAsia" w:hAnsiTheme="majorEastAsia" w:eastAsiaTheme="majorEastAsia"/>
          <w:color w:val="000000"/>
          <w:sz w:val="24"/>
        </w:rPr>
      </w:pPr>
    </w:p>
    <w:p w14:paraId="3DD59AA0">
      <w:pPr>
        <w:spacing w:line="276" w:lineRule="auto"/>
        <w:rPr>
          <w:rFonts w:cs="宋体" w:asciiTheme="majorEastAsia" w:hAnsiTheme="majorEastAsia" w:eastAsiaTheme="majorEastAsia"/>
          <w:color w:val="000000"/>
          <w:sz w:val="24"/>
        </w:rPr>
      </w:pPr>
    </w:p>
    <w:p w14:paraId="171B4F54">
      <w:pPr>
        <w:spacing w:line="276" w:lineRule="auto"/>
        <w:rPr>
          <w:rFonts w:cs="宋体" w:asciiTheme="majorEastAsia" w:hAnsiTheme="majorEastAsia" w:eastAsiaTheme="majorEastAsia"/>
          <w:color w:val="000000"/>
          <w:sz w:val="24"/>
        </w:rPr>
      </w:pPr>
    </w:p>
    <w:p w14:paraId="09F55F6D">
      <w:pPr>
        <w:spacing w:line="276" w:lineRule="auto"/>
        <w:rPr>
          <w:rFonts w:cs="宋体" w:asciiTheme="majorEastAsia" w:hAnsiTheme="majorEastAsia" w:eastAsiaTheme="majorEastAsia"/>
          <w:color w:val="000000"/>
          <w:sz w:val="24"/>
        </w:rPr>
      </w:pPr>
    </w:p>
    <w:p w14:paraId="6CC88C1D">
      <w:pPr>
        <w:spacing w:line="276" w:lineRule="auto"/>
        <w:rPr>
          <w:rFonts w:cs="宋体" w:asciiTheme="majorEastAsia" w:hAnsiTheme="majorEastAsia" w:eastAsiaTheme="majorEastAsia"/>
          <w:b/>
          <w:bCs/>
          <w:color w:val="000000"/>
          <w:sz w:val="32"/>
          <w:lang w:val="zh-CN"/>
        </w:rPr>
      </w:pPr>
    </w:p>
    <w:p w14:paraId="2EAC8D03">
      <w:pPr>
        <w:pStyle w:val="4"/>
        <w:rPr>
          <w:lang w:val="zh-CN"/>
        </w:rPr>
      </w:pPr>
    </w:p>
    <w:p w14:paraId="33A4854D">
      <w:pPr>
        <w:pStyle w:val="4"/>
        <w:rPr>
          <w:lang w:val="zh-CN"/>
        </w:rPr>
      </w:pPr>
    </w:p>
    <w:p w14:paraId="5DF7A4AD">
      <w:pPr>
        <w:pStyle w:val="4"/>
        <w:rPr>
          <w:lang w:val="zh-CN"/>
        </w:rPr>
      </w:pPr>
    </w:p>
    <w:p w14:paraId="5D646AF9">
      <w:pPr>
        <w:pStyle w:val="4"/>
        <w:rPr>
          <w:lang w:val="zh-CN"/>
        </w:rPr>
      </w:pPr>
    </w:p>
    <w:p w14:paraId="7E4E689D">
      <w:pPr>
        <w:pStyle w:val="4"/>
        <w:rPr>
          <w:lang w:val="zh-CN"/>
        </w:rPr>
      </w:pPr>
    </w:p>
    <w:p w14:paraId="76FD03B9">
      <w:pPr>
        <w:pStyle w:val="4"/>
        <w:rPr>
          <w:lang w:val="zh-CN"/>
        </w:rPr>
      </w:pPr>
    </w:p>
    <w:p w14:paraId="56DB7E2B">
      <w:pPr>
        <w:pStyle w:val="4"/>
        <w:jc w:val="center"/>
        <w:rPr>
          <w:rFonts w:hint="eastAsia"/>
          <w:b/>
          <w:bCs/>
          <w:sz w:val="48"/>
          <w:szCs w:val="48"/>
          <w:lang w:val="zh-CN"/>
        </w:rPr>
      </w:pPr>
    </w:p>
    <w:p w14:paraId="67D32BD8">
      <w:pPr>
        <w:pStyle w:val="4"/>
        <w:jc w:val="center"/>
        <w:rPr>
          <w:rFonts w:hint="eastAsia"/>
          <w:b/>
          <w:bCs/>
          <w:sz w:val="48"/>
          <w:szCs w:val="48"/>
          <w:lang w:val="zh-CN"/>
        </w:rPr>
      </w:pPr>
    </w:p>
    <w:p w14:paraId="7B2406C9">
      <w:pPr>
        <w:pStyle w:val="4"/>
        <w:jc w:val="center"/>
        <w:rPr>
          <w:rFonts w:hint="eastAsia"/>
          <w:b/>
          <w:bCs/>
          <w:sz w:val="48"/>
          <w:szCs w:val="48"/>
          <w:lang w:val="zh-CN"/>
        </w:rPr>
      </w:pPr>
    </w:p>
    <w:p w14:paraId="6EDC948D">
      <w:pPr>
        <w:pStyle w:val="4"/>
        <w:ind w:left="1" w:leftChars="-95" w:hanging="200" w:firstLineChars="0"/>
        <w:jc w:val="center"/>
        <w:rPr>
          <w:rFonts w:hint="eastAsia"/>
          <w:b/>
          <w:bCs/>
          <w:sz w:val="48"/>
          <w:szCs w:val="48"/>
          <w:lang w:val="zh-CN"/>
        </w:rPr>
      </w:pPr>
    </w:p>
    <w:p w14:paraId="68253D31">
      <w:pPr>
        <w:pStyle w:val="4"/>
        <w:ind w:left="1" w:leftChars="-95" w:hanging="200" w:firstLineChars="0"/>
        <w:jc w:val="center"/>
        <w:rPr>
          <w:rFonts w:hint="eastAsia"/>
          <w:b/>
          <w:bCs/>
          <w:sz w:val="48"/>
          <w:szCs w:val="48"/>
          <w:lang w:val="zh-CN"/>
        </w:rPr>
      </w:pPr>
    </w:p>
    <w:p w14:paraId="36B47E18">
      <w:pPr>
        <w:pStyle w:val="4"/>
        <w:ind w:left="1" w:leftChars="-95" w:hanging="200" w:firstLineChars="0"/>
        <w:jc w:val="center"/>
        <w:rPr>
          <w:rFonts w:hint="eastAsia"/>
          <w:b/>
          <w:bCs/>
          <w:sz w:val="48"/>
          <w:szCs w:val="48"/>
          <w:lang w:val="zh-CN"/>
        </w:rPr>
      </w:pPr>
    </w:p>
    <w:p w14:paraId="66EA94E6">
      <w:pPr>
        <w:pStyle w:val="4"/>
        <w:ind w:left="1" w:leftChars="-95" w:hanging="200" w:firstLineChars="0"/>
        <w:jc w:val="center"/>
        <w:rPr>
          <w:lang w:val="zh-CN"/>
        </w:rPr>
      </w:pPr>
      <w:r>
        <w:rPr>
          <w:rFonts w:hint="eastAsia"/>
          <w:b/>
          <w:bCs/>
          <w:sz w:val="48"/>
          <w:szCs w:val="48"/>
          <w:lang w:val="zh-CN"/>
        </w:rPr>
        <w:t>价格部分</w:t>
      </w:r>
    </w:p>
    <w:p w14:paraId="7C7E52FA">
      <w:pPr>
        <w:pStyle w:val="4"/>
        <w:rPr>
          <w:lang w:val="zh-CN"/>
        </w:rPr>
      </w:pPr>
    </w:p>
    <w:p w14:paraId="05C84EE4">
      <w:pPr>
        <w:pStyle w:val="4"/>
        <w:rPr>
          <w:lang w:val="zh-CN"/>
        </w:rPr>
      </w:pPr>
    </w:p>
    <w:p w14:paraId="103179CD">
      <w:pPr>
        <w:pStyle w:val="4"/>
        <w:rPr>
          <w:lang w:val="zh-CN"/>
        </w:rPr>
      </w:pPr>
    </w:p>
    <w:p w14:paraId="7AF4936B">
      <w:pPr>
        <w:pStyle w:val="4"/>
        <w:rPr>
          <w:lang w:val="zh-CN"/>
        </w:rPr>
      </w:pPr>
    </w:p>
    <w:p w14:paraId="61BDF854">
      <w:pPr>
        <w:pStyle w:val="4"/>
        <w:rPr>
          <w:lang w:val="zh-CN"/>
        </w:rPr>
      </w:pPr>
    </w:p>
    <w:p w14:paraId="505C113E">
      <w:pPr>
        <w:pStyle w:val="4"/>
        <w:rPr>
          <w:lang w:val="zh-CN"/>
        </w:rPr>
      </w:pPr>
    </w:p>
    <w:p w14:paraId="4BD109B2">
      <w:pPr>
        <w:pStyle w:val="4"/>
        <w:rPr>
          <w:lang w:val="zh-CN"/>
        </w:rPr>
      </w:pPr>
    </w:p>
    <w:p w14:paraId="4DE416E9">
      <w:pPr>
        <w:pStyle w:val="4"/>
        <w:rPr>
          <w:lang w:val="zh-CN"/>
        </w:rPr>
      </w:pPr>
    </w:p>
    <w:p w14:paraId="4CE47381">
      <w:pPr>
        <w:pStyle w:val="4"/>
        <w:rPr>
          <w:lang w:val="zh-CN"/>
        </w:rPr>
      </w:pPr>
    </w:p>
    <w:p w14:paraId="69D7328F">
      <w:pPr>
        <w:pStyle w:val="4"/>
        <w:rPr>
          <w:lang w:val="zh-CN"/>
        </w:rPr>
      </w:pPr>
    </w:p>
    <w:p w14:paraId="6BA6C912">
      <w:pPr>
        <w:pStyle w:val="4"/>
        <w:rPr>
          <w:lang w:val="zh-CN"/>
        </w:rPr>
      </w:pPr>
    </w:p>
    <w:p w14:paraId="5A7C94CD">
      <w:pPr>
        <w:pStyle w:val="4"/>
        <w:rPr>
          <w:lang w:val="zh-CN"/>
        </w:rPr>
      </w:pPr>
    </w:p>
    <w:p w14:paraId="2A57A5B2">
      <w:pPr>
        <w:pStyle w:val="4"/>
        <w:rPr>
          <w:lang w:val="zh-CN"/>
        </w:rPr>
      </w:pPr>
    </w:p>
    <w:p w14:paraId="0EB62F02">
      <w:pPr>
        <w:pStyle w:val="4"/>
        <w:rPr>
          <w:lang w:val="zh-CN"/>
        </w:rPr>
      </w:pPr>
    </w:p>
    <w:p w14:paraId="0733D1FA">
      <w:pPr>
        <w:pStyle w:val="4"/>
        <w:rPr>
          <w:lang w:val="zh-CN"/>
        </w:rPr>
      </w:pPr>
    </w:p>
    <w:p w14:paraId="22CF2F06">
      <w:pPr>
        <w:pStyle w:val="4"/>
        <w:rPr>
          <w:lang w:val="zh-CN"/>
        </w:rPr>
      </w:pPr>
    </w:p>
    <w:p w14:paraId="4EA8B634">
      <w:pPr>
        <w:pStyle w:val="4"/>
        <w:rPr>
          <w:lang w:val="zh-CN"/>
        </w:rPr>
      </w:pPr>
    </w:p>
    <w:p w14:paraId="055A35D7">
      <w:pPr>
        <w:pStyle w:val="4"/>
        <w:rPr>
          <w:lang w:val="zh-CN"/>
        </w:rPr>
      </w:pPr>
    </w:p>
    <w:p w14:paraId="3B4EBCE4">
      <w:pPr>
        <w:pStyle w:val="4"/>
        <w:rPr>
          <w:lang w:val="zh-CN"/>
        </w:rPr>
      </w:pPr>
    </w:p>
    <w:p w14:paraId="697F409A">
      <w:pPr>
        <w:pStyle w:val="4"/>
        <w:rPr>
          <w:lang w:val="zh-CN"/>
        </w:rPr>
      </w:pPr>
    </w:p>
    <w:p w14:paraId="5597C7B1">
      <w:pPr>
        <w:pStyle w:val="4"/>
        <w:rPr>
          <w:lang w:val="zh-CN"/>
        </w:rPr>
      </w:pPr>
    </w:p>
    <w:p w14:paraId="7161E4A6">
      <w:pPr>
        <w:pStyle w:val="4"/>
        <w:rPr>
          <w:lang w:val="zh-CN"/>
        </w:rPr>
      </w:pPr>
    </w:p>
    <w:p w14:paraId="3151B211">
      <w:pPr>
        <w:pStyle w:val="4"/>
        <w:rPr>
          <w:lang w:val="zh-CN"/>
        </w:rPr>
      </w:pPr>
    </w:p>
    <w:p w14:paraId="365B3731">
      <w:pPr>
        <w:pStyle w:val="4"/>
        <w:rPr>
          <w:lang w:val="zh-CN"/>
        </w:rPr>
      </w:pPr>
    </w:p>
    <w:p w14:paraId="06377F67">
      <w:pPr>
        <w:pStyle w:val="4"/>
        <w:rPr>
          <w:lang w:val="zh-CN"/>
        </w:rPr>
      </w:pPr>
    </w:p>
    <w:p w14:paraId="74352678">
      <w:pPr>
        <w:pStyle w:val="4"/>
        <w:rPr>
          <w:lang w:val="zh-CN"/>
        </w:rPr>
      </w:pPr>
    </w:p>
    <w:p w14:paraId="764A50DA">
      <w:pPr>
        <w:pStyle w:val="4"/>
        <w:rPr>
          <w:lang w:val="zh-CN"/>
        </w:rPr>
      </w:pPr>
    </w:p>
    <w:p w14:paraId="27DC313E">
      <w:pPr>
        <w:pStyle w:val="4"/>
        <w:rPr>
          <w:lang w:val="zh-CN"/>
        </w:rPr>
      </w:pPr>
    </w:p>
    <w:p w14:paraId="1E00A8DE">
      <w:pPr>
        <w:pStyle w:val="4"/>
        <w:rPr>
          <w:lang w:val="zh-CN"/>
        </w:rPr>
      </w:pPr>
    </w:p>
    <w:p w14:paraId="19611C0E">
      <w:pPr>
        <w:pStyle w:val="4"/>
        <w:rPr>
          <w:lang w:val="zh-CN"/>
        </w:rPr>
      </w:pPr>
    </w:p>
    <w:p w14:paraId="540F2CD4">
      <w:pPr>
        <w:pStyle w:val="4"/>
        <w:rPr>
          <w:lang w:val="zh-CN"/>
        </w:rPr>
      </w:pPr>
    </w:p>
    <w:p w14:paraId="01790C13">
      <w:pPr>
        <w:pStyle w:val="4"/>
        <w:rPr>
          <w:lang w:val="zh-CN"/>
        </w:rPr>
      </w:pPr>
    </w:p>
    <w:p w14:paraId="52E013FF">
      <w:pPr>
        <w:pStyle w:val="4"/>
        <w:rPr>
          <w:lang w:val="zh-CN"/>
        </w:rPr>
      </w:pPr>
    </w:p>
    <w:p w14:paraId="28E12288">
      <w:pPr>
        <w:pStyle w:val="4"/>
        <w:rPr>
          <w:lang w:val="zh-CN"/>
        </w:rPr>
      </w:pPr>
    </w:p>
    <w:p w14:paraId="75FFC711">
      <w:pPr>
        <w:pStyle w:val="4"/>
        <w:rPr>
          <w:lang w:val="zh-CN"/>
        </w:rPr>
      </w:pPr>
    </w:p>
    <w:p w14:paraId="101CACEC">
      <w:pPr>
        <w:pStyle w:val="4"/>
        <w:rPr>
          <w:lang w:val="zh-CN"/>
        </w:rPr>
      </w:pPr>
    </w:p>
    <w:p w14:paraId="71B9157D">
      <w:pPr>
        <w:pStyle w:val="4"/>
        <w:rPr>
          <w:lang w:val="zh-CN"/>
        </w:rPr>
      </w:pPr>
    </w:p>
    <w:p w14:paraId="54008328">
      <w:pPr>
        <w:pStyle w:val="4"/>
        <w:rPr>
          <w:lang w:val="zh-CN"/>
        </w:rPr>
      </w:pPr>
    </w:p>
    <w:p w14:paraId="74953434">
      <w:pPr>
        <w:pStyle w:val="4"/>
        <w:rPr>
          <w:lang w:val="zh-CN"/>
        </w:rPr>
      </w:pPr>
    </w:p>
    <w:bookmarkEnd w:id="633"/>
    <w:p w14:paraId="4AB19222">
      <w:pPr>
        <w:spacing w:before="200" w:line="276" w:lineRule="auto"/>
        <w:rPr>
          <w:rFonts w:cs="宋体" w:asciiTheme="majorEastAsia" w:hAnsiTheme="majorEastAsia" w:eastAsiaTheme="majorEastAsia"/>
          <w:b/>
          <w:color w:val="000000"/>
          <w:sz w:val="28"/>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 xml:space="preserve">1 </w:t>
      </w:r>
    </w:p>
    <w:p w14:paraId="16E5F08C">
      <w:pPr>
        <w:spacing w:before="200"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开标一览表</w:t>
      </w:r>
    </w:p>
    <w:p w14:paraId="055EDBD3">
      <w:pPr>
        <w:snapToGrid w:val="0"/>
        <w:spacing w:line="276" w:lineRule="auto"/>
        <w:jc w:val="left"/>
        <w:rPr>
          <w:rFonts w:cs="宋体" w:asciiTheme="majorEastAsia" w:hAnsiTheme="majorEastAsia" w:eastAsiaTheme="majorEastAsia"/>
          <w:color w:val="000000"/>
          <w:sz w:val="24"/>
        </w:rPr>
      </w:pPr>
      <w:bookmarkStart w:id="634" w:name="_Toc98580424"/>
      <w:r>
        <w:rPr>
          <w:rFonts w:hint="eastAsia" w:cs="宋体" w:asciiTheme="majorEastAsia" w:hAnsiTheme="majorEastAsia" w:eastAsiaTheme="majorEastAsia"/>
          <w:color w:val="000000"/>
          <w:sz w:val="24"/>
        </w:rPr>
        <w:t>项目名称：</w:t>
      </w:r>
    </w:p>
    <w:p w14:paraId="65E89E74">
      <w:pPr>
        <w:snapToGrid w:val="0"/>
        <w:spacing w:line="276" w:lineRule="auto"/>
        <w:ind w:left="4680" w:hanging="4680" w:hangingChars="1950"/>
        <w:jc w:val="left"/>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招标编号：</w:t>
      </w:r>
    </w:p>
    <w:tbl>
      <w:tblPr>
        <w:tblStyle w:val="32"/>
        <w:tblW w:w="8667"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427"/>
        <w:gridCol w:w="1443"/>
        <w:gridCol w:w="1957"/>
        <w:gridCol w:w="1167"/>
        <w:gridCol w:w="1095"/>
      </w:tblGrid>
      <w:tr w14:paraId="2340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78" w:type="dxa"/>
            <w:vAlign w:val="center"/>
          </w:tcPr>
          <w:p w14:paraId="0682BA56">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序号</w:t>
            </w:r>
          </w:p>
        </w:tc>
        <w:tc>
          <w:tcPr>
            <w:tcW w:w="2427" w:type="dxa"/>
            <w:vAlign w:val="center"/>
          </w:tcPr>
          <w:p w14:paraId="71707908">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名称</w:t>
            </w:r>
          </w:p>
        </w:tc>
        <w:tc>
          <w:tcPr>
            <w:tcW w:w="1443" w:type="dxa"/>
            <w:vAlign w:val="center"/>
          </w:tcPr>
          <w:p w14:paraId="1F4BE293">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投标报价（元）</w:t>
            </w:r>
          </w:p>
        </w:tc>
        <w:tc>
          <w:tcPr>
            <w:tcW w:w="1957" w:type="dxa"/>
            <w:vAlign w:val="center"/>
          </w:tcPr>
          <w:p w14:paraId="3CE54FFA">
            <w:pPr>
              <w:spacing w:line="276" w:lineRule="auto"/>
              <w:jc w:val="center"/>
              <w:rPr>
                <w:rFonts w:cs="宋体" w:asciiTheme="majorEastAsia" w:hAnsiTheme="majorEastAsia" w:eastAsiaTheme="majorEastAsia"/>
                <w:color w:val="000000"/>
                <w:sz w:val="24"/>
              </w:rPr>
            </w:pPr>
            <w:bookmarkStart w:id="635" w:name="OLE_LINK32"/>
            <w:r>
              <w:rPr>
                <w:rFonts w:hint="eastAsia" w:cs="宋体" w:asciiTheme="majorEastAsia" w:hAnsiTheme="majorEastAsia" w:eastAsiaTheme="majorEastAsia"/>
                <w:color w:val="000000"/>
                <w:sz w:val="24"/>
              </w:rPr>
              <w:t>合同履行期限（供货期）</w:t>
            </w:r>
            <w:bookmarkEnd w:id="635"/>
          </w:p>
        </w:tc>
        <w:tc>
          <w:tcPr>
            <w:tcW w:w="1167" w:type="dxa"/>
            <w:vAlign w:val="center"/>
          </w:tcPr>
          <w:p w14:paraId="2BF99F95">
            <w:pPr>
              <w:spacing w:line="276" w:lineRule="auto"/>
              <w:jc w:val="center"/>
              <w:rPr>
                <w:rFonts w:cs="宋体" w:asciiTheme="majorEastAsia" w:hAnsiTheme="majorEastAsia" w:eastAsiaTheme="majorEastAsia"/>
                <w:color w:val="000000"/>
                <w:sz w:val="24"/>
              </w:rPr>
            </w:pPr>
            <w:bookmarkStart w:id="636" w:name="OLE_LINK33"/>
            <w:r>
              <w:rPr>
                <w:rFonts w:hint="eastAsia" w:cs="宋体" w:asciiTheme="majorEastAsia" w:hAnsiTheme="majorEastAsia" w:eastAsiaTheme="majorEastAsia"/>
                <w:color w:val="000000"/>
                <w:sz w:val="24"/>
              </w:rPr>
              <w:t>质量要求</w:t>
            </w:r>
            <w:bookmarkEnd w:id="636"/>
          </w:p>
        </w:tc>
        <w:tc>
          <w:tcPr>
            <w:tcW w:w="1095" w:type="dxa"/>
            <w:vAlign w:val="center"/>
          </w:tcPr>
          <w:p w14:paraId="51BEBAB6">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备注</w:t>
            </w:r>
          </w:p>
        </w:tc>
      </w:tr>
      <w:tr w14:paraId="2673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578" w:type="dxa"/>
            <w:vAlign w:val="center"/>
          </w:tcPr>
          <w:p w14:paraId="73F323B1">
            <w:pPr>
              <w:spacing w:line="276" w:lineRule="auto"/>
              <w:jc w:val="center"/>
              <w:rPr>
                <w:rFonts w:cs="宋体" w:asciiTheme="majorEastAsia" w:hAnsiTheme="majorEastAsia" w:eastAsiaTheme="majorEastAsia"/>
                <w:color w:val="000000"/>
                <w:sz w:val="24"/>
              </w:rPr>
            </w:pPr>
          </w:p>
        </w:tc>
        <w:tc>
          <w:tcPr>
            <w:tcW w:w="2427" w:type="dxa"/>
            <w:vAlign w:val="center"/>
          </w:tcPr>
          <w:p w14:paraId="417CE6EB">
            <w:pPr>
              <w:spacing w:line="276" w:lineRule="auto"/>
              <w:jc w:val="center"/>
              <w:rPr>
                <w:rFonts w:cs="宋体" w:asciiTheme="majorEastAsia" w:hAnsiTheme="majorEastAsia" w:eastAsiaTheme="majorEastAsia"/>
                <w:color w:val="000000"/>
                <w:sz w:val="24"/>
              </w:rPr>
            </w:pPr>
          </w:p>
        </w:tc>
        <w:tc>
          <w:tcPr>
            <w:tcW w:w="1443" w:type="dxa"/>
            <w:vAlign w:val="center"/>
          </w:tcPr>
          <w:p w14:paraId="277411AE">
            <w:pPr>
              <w:spacing w:line="276" w:lineRule="auto"/>
              <w:jc w:val="center"/>
              <w:rPr>
                <w:rFonts w:cs="宋体" w:asciiTheme="majorEastAsia" w:hAnsiTheme="majorEastAsia" w:eastAsiaTheme="majorEastAsia"/>
                <w:color w:val="000000"/>
                <w:sz w:val="24"/>
              </w:rPr>
            </w:pPr>
          </w:p>
        </w:tc>
        <w:tc>
          <w:tcPr>
            <w:tcW w:w="1957" w:type="dxa"/>
            <w:vAlign w:val="center"/>
          </w:tcPr>
          <w:p w14:paraId="7BEF4EA7">
            <w:pPr>
              <w:spacing w:line="276" w:lineRule="auto"/>
              <w:jc w:val="center"/>
              <w:rPr>
                <w:rFonts w:cs="宋体" w:asciiTheme="majorEastAsia" w:hAnsiTheme="majorEastAsia" w:eastAsiaTheme="majorEastAsia"/>
                <w:color w:val="000000"/>
                <w:sz w:val="24"/>
              </w:rPr>
            </w:pPr>
          </w:p>
        </w:tc>
        <w:tc>
          <w:tcPr>
            <w:tcW w:w="1167" w:type="dxa"/>
            <w:vAlign w:val="center"/>
          </w:tcPr>
          <w:p w14:paraId="076B5E9E">
            <w:pPr>
              <w:spacing w:line="276" w:lineRule="auto"/>
              <w:jc w:val="center"/>
              <w:rPr>
                <w:rFonts w:cs="宋体" w:asciiTheme="majorEastAsia" w:hAnsiTheme="majorEastAsia" w:eastAsiaTheme="majorEastAsia"/>
                <w:color w:val="000000"/>
                <w:sz w:val="24"/>
              </w:rPr>
            </w:pPr>
          </w:p>
        </w:tc>
        <w:tc>
          <w:tcPr>
            <w:tcW w:w="1095" w:type="dxa"/>
          </w:tcPr>
          <w:p w14:paraId="6EB9FBFB">
            <w:pPr>
              <w:spacing w:line="276" w:lineRule="auto"/>
              <w:jc w:val="center"/>
              <w:rPr>
                <w:rFonts w:cs="宋体" w:asciiTheme="majorEastAsia" w:hAnsiTheme="majorEastAsia" w:eastAsiaTheme="majorEastAsia"/>
                <w:color w:val="000000"/>
                <w:sz w:val="24"/>
              </w:rPr>
            </w:pPr>
          </w:p>
        </w:tc>
      </w:tr>
      <w:tr w14:paraId="1C61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005" w:type="dxa"/>
            <w:gridSpan w:val="2"/>
            <w:vAlign w:val="center"/>
          </w:tcPr>
          <w:p w14:paraId="1FD7E589">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总价（小写）</w:t>
            </w:r>
          </w:p>
        </w:tc>
        <w:tc>
          <w:tcPr>
            <w:tcW w:w="5662" w:type="dxa"/>
            <w:gridSpan w:val="4"/>
          </w:tcPr>
          <w:p w14:paraId="2AF2D23B">
            <w:pPr>
              <w:spacing w:line="276" w:lineRule="auto"/>
              <w:jc w:val="center"/>
              <w:rPr>
                <w:rFonts w:cs="宋体" w:asciiTheme="majorEastAsia" w:hAnsiTheme="majorEastAsia" w:eastAsiaTheme="majorEastAsia"/>
                <w:color w:val="000000"/>
                <w:sz w:val="24"/>
              </w:rPr>
            </w:pPr>
          </w:p>
        </w:tc>
      </w:tr>
    </w:tbl>
    <w:p w14:paraId="700B39DA">
      <w:pPr>
        <w:pStyle w:val="88"/>
        <w:spacing w:line="276" w:lineRule="auto"/>
        <w:jc w:val="left"/>
        <w:rPr>
          <w:rFonts w:cs="宋体" w:asciiTheme="majorEastAsia" w:hAnsiTheme="majorEastAsia" w:eastAsiaTheme="majorEastAsia"/>
          <w:color w:val="000000"/>
          <w:sz w:val="24"/>
          <w:szCs w:val="24"/>
        </w:rPr>
      </w:pPr>
    </w:p>
    <w:p w14:paraId="34E42A55">
      <w:pPr>
        <w:pStyle w:val="88"/>
        <w:spacing w:line="276" w:lineRule="auto"/>
        <w:jc w:val="left"/>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1</w:t>
      </w:r>
      <w:r>
        <w:rPr>
          <w:rFonts w:hint="eastAsia" w:cs="宋体" w:asciiTheme="majorEastAsia" w:hAnsiTheme="majorEastAsia" w:eastAsiaTheme="majorEastAsia"/>
          <w:color w:val="000000"/>
          <w:sz w:val="24"/>
          <w:szCs w:val="24"/>
        </w:rPr>
        <w:t>、本表为开标唱标用，应单独用小信封密封，与投标文件一并送达；</w:t>
      </w:r>
    </w:p>
    <w:p w14:paraId="26270FBE">
      <w:pPr>
        <w:pStyle w:val="88"/>
        <w:spacing w:line="276" w:lineRule="auto"/>
        <w:jc w:val="left"/>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2</w:t>
      </w:r>
      <w:r>
        <w:rPr>
          <w:rFonts w:hint="eastAsia" w:cs="宋体" w:asciiTheme="majorEastAsia" w:hAnsiTheme="majorEastAsia" w:eastAsiaTheme="majorEastAsia"/>
          <w:color w:val="000000"/>
          <w:sz w:val="24"/>
          <w:szCs w:val="24"/>
        </w:rPr>
        <w:t>、填报的内容必须和投标函中的内容一致；如不一致，以报标函中相关内容为准；</w:t>
      </w:r>
    </w:p>
    <w:p w14:paraId="6CD4BA48">
      <w:pPr>
        <w:pStyle w:val="88"/>
        <w:spacing w:line="276" w:lineRule="auto"/>
        <w:jc w:val="left"/>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3</w:t>
      </w:r>
      <w:r>
        <w:rPr>
          <w:rFonts w:hint="eastAsia" w:cs="宋体" w:asciiTheme="majorEastAsia" w:hAnsiTheme="majorEastAsia" w:eastAsiaTheme="majorEastAsia"/>
          <w:color w:val="000000"/>
          <w:sz w:val="24"/>
          <w:szCs w:val="24"/>
        </w:rPr>
        <w:t>、投标函、开标一览表中的大、小写金额报价不一致时，以投标函中的大写金额报价为准。</w:t>
      </w:r>
    </w:p>
    <w:p w14:paraId="2E86148F">
      <w:pPr>
        <w:autoSpaceDE w:val="0"/>
        <w:autoSpaceDN w:val="0"/>
        <w:adjustRightInd w:val="0"/>
        <w:spacing w:line="276" w:lineRule="auto"/>
        <w:jc w:val="left"/>
        <w:rPr>
          <w:rFonts w:cs="宋体" w:asciiTheme="majorEastAsia" w:hAnsiTheme="majorEastAsia" w:eastAsiaTheme="majorEastAsia"/>
          <w:bCs/>
          <w:color w:val="000000"/>
          <w:sz w:val="24"/>
          <w:lang w:val="zh-CN"/>
        </w:rPr>
      </w:pPr>
    </w:p>
    <w:p w14:paraId="7B06858D">
      <w:pPr>
        <w:autoSpaceDE w:val="0"/>
        <w:autoSpaceDN w:val="0"/>
        <w:adjustRightInd w:val="0"/>
        <w:spacing w:line="276" w:lineRule="auto"/>
        <w:jc w:val="left"/>
        <w:rPr>
          <w:rFonts w:cs="宋体" w:asciiTheme="majorEastAsia" w:hAnsiTheme="majorEastAsia" w:eastAsiaTheme="majorEastAsia"/>
          <w:bCs/>
          <w:color w:val="000000"/>
          <w:sz w:val="24"/>
          <w:lang w:val="zh-CN"/>
        </w:rPr>
      </w:pPr>
    </w:p>
    <w:p w14:paraId="5C2743B4">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1FAC1A91">
      <w:pPr>
        <w:snapToGrid w:val="0"/>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法定代表人或授权委托人（签字或盖章）：</w:t>
      </w:r>
    </w:p>
    <w:p w14:paraId="5C38CA97">
      <w:pPr>
        <w:snapToGrid w:val="0"/>
        <w:spacing w:line="276" w:lineRule="auto"/>
        <w:jc w:val="center"/>
        <w:rPr>
          <w:rFonts w:cs="宋体" w:asciiTheme="majorEastAsia" w:hAnsiTheme="majorEastAsia" w:eastAsiaTheme="majorEastAsia"/>
          <w:bCs/>
          <w:color w:val="000000"/>
          <w:sz w:val="24"/>
          <w:lang w:val="zh-CN"/>
        </w:rPr>
      </w:pPr>
    </w:p>
    <w:p w14:paraId="40B34FD0">
      <w:pPr>
        <w:snapToGrid w:val="0"/>
        <w:spacing w:line="276" w:lineRule="auto"/>
        <w:jc w:val="right"/>
        <w:rPr>
          <w:rFonts w:cs="宋体" w:asciiTheme="majorEastAsia" w:hAnsiTheme="majorEastAsia" w:eastAsiaTheme="majorEastAsia"/>
          <w:bCs/>
          <w:color w:val="000000"/>
          <w:sz w:val="24"/>
          <w:lang w:val="zh-CN"/>
        </w:rPr>
      </w:pPr>
    </w:p>
    <w:p w14:paraId="37F73AB9">
      <w:pPr>
        <w:snapToGrid w:val="0"/>
        <w:spacing w:line="276" w:lineRule="auto"/>
        <w:jc w:val="right"/>
        <w:rPr>
          <w:rFonts w:cs="宋体" w:asciiTheme="majorEastAsia" w:hAnsiTheme="majorEastAsia" w:eastAsiaTheme="majorEastAsia"/>
          <w:bCs/>
          <w:color w:val="000000"/>
          <w:sz w:val="24"/>
          <w:lang w:val="zh-CN"/>
        </w:rPr>
      </w:pPr>
    </w:p>
    <w:p w14:paraId="3C7035D4">
      <w:pPr>
        <w:snapToGrid w:val="0"/>
        <w:spacing w:line="276" w:lineRule="auto"/>
        <w:jc w:val="right"/>
        <w:rPr>
          <w:rFonts w:cs="宋体" w:asciiTheme="majorEastAsia" w:hAnsiTheme="majorEastAsia" w:eastAsiaTheme="majorEastAsia"/>
          <w:color w:val="000000"/>
          <w:sz w:val="32"/>
          <w:lang w:val="zh-CN"/>
        </w:rPr>
      </w:pPr>
      <w:r>
        <w:rPr>
          <w:rFonts w:hint="eastAsia" w:cs="宋体" w:asciiTheme="majorEastAsia" w:hAnsiTheme="majorEastAsia" w:eastAsiaTheme="majorEastAsia"/>
          <w:bCs/>
          <w:color w:val="000000"/>
          <w:sz w:val="24"/>
          <w:lang w:val="zh-CN"/>
        </w:rPr>
        <w:t>日期：年月日</w:t>
      </w:r>
    </w:p>
    <w:bookmarkEnd w:id="634"/>
    <w:p w14:paraId="059CDDCB">
      <w:pPr>
        <w:spacing w:line="276" w:lineRule="auto"/>
        <w:rPr>
          <w:rFonts w:cs="宋体" w:asciiTheme="majorEastAsia" w:hAnsiTheme="majorEastAsia" w:eastAsiaTheme="majorEastAsia"/>
          <w:color w:val="000000"/>
          <w:sz w:val="24"/>
        </w:rPr>
      </w:pPr>
    </w:p>
    <w:p w14:paraId="2DADBC03">
      <w:pPr>
        <w:spacing w:line="276" w:lineRule="auto"/>
        <w:rPr>
          <w:rFonts w:cs="宋体" w:asciiTheme="majorEastAsia" w:hAnsiTheme="majorEastAsia" w:eastAsiaTheme="majorEastAsia"/>
          <w:b/>
          <w:color w:val="000000"/>
          <w:sz w:val="24"/>
        </w:rPr>
      </w:pPr>
      <w:bookmarkStart w:id="637" w:name="_Toc48199907"/>
      <w:bookmarkStart w:id="638" w:name="_Toc98580425"/>
    </w:p>
    <w:p w14:paraId="56AD4923">
      <w:pPr>
        <w:pStyle w:val="4"/>
      </w:pPr>
    </w:p>
    <w:p w14:paraId="2447C3B8">
      <w:pPr>
        <w:pStyle w:val="4"/>
      </w:pPr>
    </w:p>
    <w:p w14:paraId="6DBDCCFF">
      <w:pPr>
        <w:pStyle w:val="4"/>
      </w:pPr>
    </w:p>
    <w:p w14:paraId="17A36658">
      <w:pPr>
        <w:pStyle w:val="4"/>
      </w:pPr>
    </w:p>
    <w:p w14:paraId="63ABA4F0">
      <w:pPr>
        <w:pStyle w:val="4"/>
      </w:pPr>
    </w:p>
    <w:p w14:paraId="2347B0D1">
      <w:pPr>
        <w:pStyle w:val="4"/>
      </w:pPr>
    </w:p>
    <w:p w14:paraId="0C1D6E5A">
      <w:pPr>
        <w:pStyle w:val="4"/>
      </w:pPr>
    </w:p>
    <w:p w14:paraId="6A6AF685">
      <w:pPr>
        <w:pStyle w:val="4"/>
      </w:pPr>
    </w:p>
    <w:p w14:paraId="26A4F104">
      <w:pPr>
        <w:pStyle w:val="4"/>
      </w:pPr>
    </w:p>
    <w:p w14:paraId="74F11020">
      <w:pPr>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 xml:space="preserve">2   </w:t>
      </w:r>
    </w:p>
    <w:bookmarkEnd w:id="637"/>
    <w:bookmarkEnd w:id="638"/>
    <w:p w14:paraId="20E2BE77">
      <w:pPr>
        <w:pStyle w:val="90"/>
        <w:spacing w:line="276" w:lineRule="auto"/>
        <w:jc w:val="center"/>
        <w:rPr>
          <w:rFonts w:cs="宋体" w:asciiTheme="majorEastAsia" w:hAnsiTheme="majorEastAsia" w:eastAsiaTheme="majorEastAsia"/>
          <w:b/>
          <w:color w:val="000000"/>
          <w:kern w:val="2"/>
          <w:sz w:val="36"/>
          <w:szCs w:val="30"/>
        </w:rPr>
      </w:pPr>
      <w:r>
        <w:rPr>
          <w:rFonts w:hint="eastAsia" w:cs="宋体" w:asciiTheme="majorEastAsia" w:hAnsiTheme="majorEastAsia" w:eastAsiaTheme="majorEastAsia"/>
          <w:b/>
          <w:color w:val="000000"/>
          <w:kern w:val="2"/>
          <w:sz w:val="36"/>
          <w:szCs w:val="30"/>
        </w:rPr>
        <w:t>投标报价表</w:t>
      </w:r>
    </w:p>
    <w:p w14:paraId="5A818270">
      <w:pPr>
        <w:pStyle w:val="90"/>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项目编号：</w:t>
      </w:r>
    </w:p>
    <w:tbl>
      <w:tblPr>
        <w:tblStyle w:val="32"/>
        <w:tblW w:w="9330" w:type="dxa"/>
        <w:tblInd w:w="-34" w:type="dxa"/>
        <w:tblLayout w:type="fixed"/>
        <w:tblCellMar>
          <w:top w:w="0" w:type="dxa"/>
          <w:left w:w="108" w:type="dxa"/>
          <w:bottom w:w="0" w:type="dxa"/>
          <w:right w:w="108" w:type="dxa"/>
        </w:tblCellMar>
      </w:tblPr>
      <w:tblGrid>
        <w:gridCol w:w="774"/>
        <w:gridCol w:w="1463"/>
        <w:gridCol w:w="1210"/>
        <w:gridCol w:w="1740"/>
        <w:gridCol w:w="1381"/>
        <w:gridCol w:w="1381"/>
        <w:gridCol w:w="1381"/>
      </w:tblGrid>
      <w:tr w14:paraId="188CD405">
        <w:tblPrEx>
          <w:tblCellMar>
            <w:top w:w="0" w:type="dxa"/>
            <w:left w:w="108" w:type="dxa"/>
            <w:bottom w:w="0" w:type="dxa"/>
            <w:right w:w="108" w:type="dxa"/>
          </w:tblCellMar>
        </w:tblPrEx>
        <w:trPr>
          <w:trHeight w:val="986" w:hRule="atLeast"/>
        </w:trPr>
        <w:tc>
          <w:tcPr>
            <w:tcW w:w="77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3C60505">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序号</w:t>
            </w:r>
          </w:p>
        </w:tc>
        <w:tc>
          <w:tcPr>
            <w:tcW w:w="146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BC8DA73">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设备</w:t>
            </w:r>
          </w:p>
        </w:tc>
        <w:tc>
          <w:tcPr>
            <w:tcW w:w="1210" w:type="dxa"/>
            <w:tcBorders>
              <w:top w:val="single" w:color="000000" w:sz="8" w:space="0"/>
              <w:left w:val="single" w:color="000000" w:sz="4" w:space="0"/>
              <w:bottom w:val="single" w:color="000000" w:sz="4" w:space="0"/>
              <w:right w:val="single" w:color="auto" w:sz="4" w:space="0"/>
            </w:tcBorders>
            <w:shd w:val="clear" w:color="FFFFFF" w:fill="FFFFFF"/>
            <w:vAlign w:val="center"/>
          </w:tcPr>
          <w:p w14:paraId="640FC1BA">
            <w:pPr>
              <w:widowControl/>
              <w:spacing w:line="276" w:lineRule="auto"/>
              <w:jc w:val="center"/>
              <w:rPr>
                <w:rFonts w:hint="default" w:cs="宋体" w:asciiTheme="majorEastAsia" w:hAnsiTheme="majorEastAsia" w:eastAsiaTheme="majorEastAsia"/>
                <w:color w:val="000000"/>
                <w:kern w:val="0"/>
                <w:sz w:val="24"/>
                <w:lang w:val="en-US" w:eastAsia="zh-CN"/>
              </w:rPr>
            </w:pPr>
            <w:r>
              <w:rPr>
                <w:rFonts w:hint="eastAsia" w:cs="宋体" w:asciiTheme="majorEastAsia" w:hAnsiTheme="majorEastAsia" w:eastAsiaTheme="majorEastAsia"/>
                <w:color w:val="000000"/>
                <w:kern w:val="0"/>
                <w:sz w:val="24"/>
              </w:rPr>
              <w:t>规格</w:t>
            </w:r>
            <w:r>
              <w:rPr>
                <w:rFonts w:hint="eastAsia" w:cs="宋体" w:asciiTheme="majorEastAsia" w:hAnsiTheme="majorEastAsia" w:eastAsiaTheme="majorEastAsia"/>
                <w:color w:val="000000"/>
                <w:kern w:val="0"/>
                <w:sz w:val="24"/>
                <w:lang w:val="en-US" w:eastAsia="zh-CN"/>
              </w:rPr>
              <w:t>/型号/技术标准</w:t>
            </w: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40A1E1E8">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计量单位</w:t>
            </w:r>
          </w:p>
        </w:tc>
        <w:tc>
          <w:tcPr>
            <w:tcW w:w="1381" w:type="dxa"/>
            <w:tcBorders>
              <w:top w:val="single" w:color="000000" w:sz="8" w:space="0"/>
              <w:left w:val="single" w:color="auto" w:sz="4" w:space="0"/>
              <w:bottom w:val="single" w:color="000000" w:sz="4" w:space="0"/>
              <w:right w:val="single" w:color="000000" w:sz="4" w:space="0"/>
            </w:tcBorders>
            <w:shd w:val="clear" w:color="FFFFFF" w:fill="FFFFFF"/>
            <w:vAlign w:val="center"/>
          </w:tcPr>
          <w:p w14:paraId="48E87FD3">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数量</w:t>
            </w:r>
          </w:p>
        </w:tc>
        <w:tc>
          <w:tcPr>
            <w:tcW w:w="1381" w:type="dxa"/>
            <w:tcBorders>
              <w:top w:val="single" w:color="000000" w:sz="8" w:space="0"/>
              <w:left w:val="single" w:color="000000" w:sz="4" w:space="0"/>
              <w:right w:val="single" w:color="000000" w:sz="4" w:space="0"/>
            </w:tcBorders>
            <w:shd w:val="clear" w:color="FFFFFF" w:fill="FFFFFF"/>
            <w:vAlign w:val="center"/>
          </w:tcPr>
          <w:p w14:paraId="6CE426AE">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单价</w:t>
            </w:r>
          </w:p>
          <w:p w14:paraId="2B74E583">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（元）</w:t>
            </w:r>
          </w:p>
        </w:tc>
        <w:tc>
          <w:tcPr>
            <w:tcW w:w="1381" w:type="dxa"/>
            <w:tcBorders>
              <w:top w:val="single" w:color="000000" w:sz="8" w:space="0"/>
              <w:left w:val="single" w:color="000000" w:sz="4" w:space="0"/>
              <w:right w:val="single" w:color="000000" w:sz="4" w:space="0"/>
            </w:tcBorders>
            <w:shd w:val="clear" w:color="FFFFFF" w:fill="FFFFFF"/>
            <w:vAlign w:val="center"/>
          </w:tcPr>
          <w:p w14:paraId="0949FD97">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val="en-US" w:eastAsia="zh-CN"/>
              </w:rPr>
              <w:t>合价</w:t>
            </w:r>
            <w:r>
              <w:rPr>
                <w:rFonts w:hint="eastAsia" w:cs="宋体" w:asciiTheme="majorEastAsia" w:hAnsiTheme="majorEastAsia" w:eastAsiaTheme="majorEastAsia"/>
                <w:color w:val="000000"/>
                <w:kern w:val="0"/>
                <w:sz w:val="24"/>
              </w:rPr>
              <w:t>（元）</w:t>
            </w:r>
          </w:p>
        </w:tc>
      </w:tr>
      <w:tr w14:paraId="43E95AC0">
        <w:tblPrEx>
          <w:tblCellMar>
            <w:top w:w="0" w:type="dxa"/>
            <w:left w:w="108" w:type="dxa"/>
            <w:bottom w:w="0" w:type="dxa"/>
            <w:right w:w="108" w:type="dxa"/>
          </w:tblCellMar>
        </w:tblPrEx>
        <w:trPr>
          <w:trHeight w:val="624"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74D14070">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5AD42980">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6019117C">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45C902D7">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132ACB5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0498AF8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31B38C3">
            <w:pPr>
              <w:widowControl/>
              <w:spacing w:line="276" w:lineRule="auto"/>
              <w:jc w:val="center"/>
              <w:rPr>
                <w:rFonts w:cs="宋体" w:asciiTheme="majorEastAsia" w:hAnsiTheme="majorEastAsia" w:eastAsiaTheme="majorEastAsia"/>
                <w:color w:val="000000"/>
                <w:kern w:val="0"/>
                <w:sz w:val="18"/>
                <w:szCs w:val="18"/>
              </w:rPr>
            </w:pPr>
          </w:p>
        </w:tc>
      </w:tr>
      <w:tr w14:paraId="5CB0C8C8">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A085978">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02802246">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7CA06152">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D689C68">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5258CF87">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73E12451">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A7614DB">
            <w:pPr>
              <w:widowControl/>
              <w:spacing w:line="276" w:lineRule="auto"/>
              <w:jc w:val="center"/>
              <w:rPr>
                <w:rFonts w:cs="宋体" w:asciiTheme="majorEastAsia" w:hAnsiTheme="majorEastAsia" w:eastAsiaTheme="majorEastAsia"/>
                <w:color w:val="000000"/>
                <w:kern w:val="0"/>
                <w:sz w:val="18"/>
                <w:szCs w:val="18"/>
              </w:rPr>
            </w:pPr>
          </w:p>
        </w:tc>
      </w:tr>
      <w:tr w14:paraId="2FFC58D7">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617C7FDF">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3D57F6E9">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126E4C82">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30E3BE2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76E458B1">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C10C8D6">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0383CF6D">
            <w:pPr>
              <w:widowControl/>
              <w:spacing w:line="276" w:lineRule="auto"/>
              <w:jc w:val="center"/>
              <w:rPr>
                <w:rFonts w:cs="宋体" w:asciiTheme="majorEastAsia" w:hAnsiTheme="majorEastAsia" w:eastAsiaTheme="majorEastAsia"/>
                <w:color w:val="000000"/>
                <w:kern w:val="0"/>
                <w:sz w:val="18"/>
                <w:szCs w:val="18"/>
              </w:rPr>
            </w:pPr>
          </w:p>
        </w:tc>
      </w:tr>
      <w:tr w14:paraId="36716F3D">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AEDB24B">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31EEA6B7">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6D8A7EFF">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5A64648A">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3CA17D7A">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2FC5D5F7">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060D8D2A">
            <w:pPr>
              <w:widowControl/>
              <w:spacing w:line="276" w:lineRule="auto"/>
              <w:jc w:val="center"/>
              <w:rPr>
                <w:rFonts w:cs="宋体" w:asciiTheme="majorEastAsia" w:hAnsiTheme="majorEastAsia" w:eastAsiaTheme="majorEastAsia"/>
                <w:color w:val="000000"/>
                <w:kern w:val="0"/>
                <w:sz w:val="18"/>
                <w:szCs w:val="18"/>
              </w:rPr>
            </w:pPr>
          </w:p>
        </w:tc>
      </w:tr>
      <w:tr w14:paraId="703F1EDC">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7BC063E0">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51049789">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2968146D">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51B441CF">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4F427EE6">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460CF0E7">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4E99E810">
            <w:pPr>
              <w:widowControl/>
              <w:spacing w:line="276" w:lineRule="auto"/>
              <w:jc w:val="center"/>
              <w:rPr>
                <w:rFonts w:cs="宋体" w:asciiTheme="majorEastAsia" w:hAnsiTheme="majorEastAsia" w:eastAsiaTheme="majorEastAsia"/>
                <w:color w:val="000000"/>
                <w:kern w:val="0"/>
                <w:sz w:val="18"/>
                <w:szCs w:val="18"/>
              </w:rPr>
            </w:pPr>
          </w:p>
        </w:tc>
      </w:tr>
      <w:tr w14:paraId="3DA873D5">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8EA9D64">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4E95F273">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12F2235E">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2A79307E">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422BAA55">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0D1D4FAF">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7064644">
            <w:pPr>
              <w:widowControl/>
              <w:spacing w:line="276" w:lineRule="auto"/>
              <w:jc w:val="center"/>
              <w:rPr>
                <w:rFonts w:cs="宋体" w:asciiTheme="majorEastAsia" w:hAnsiTheme="majorEastAsia" w:eastAsiaTheme="majorEastAsia"/>
                <w:color w:val="000000"/>
                <w:kern w:val="0"/>
                <w:sz w:val="18"/>
                <w:szCs w:val="18"/>
              </w:rPr>
            </w:pPr>
          </w:p>
        </w:tc>
      </w:tr>
      <w:tr w14:paraId="6F075D5C">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1603B0C">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1E1C1064">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164D6233">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E28BA0E">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538F4498">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B39A35E">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5F232D6">
            <w:pPr>
              <w:widowControl/>
              <w:spacing w:line="276" w:lineRule="auto"/>
              <w:jc w:val="center"/>
              <w:rPr>
                <w:rFonts w:cs="宋体" w:asciiTheme="majorEastAsia" w:hAnsiTheme="majorEastAsia" w:eastAsiaTheme="majorEastAsia"/>
                <w:color w:val="000000"/>
                <w:kern w:val="0"/>
                <w:sz w:val="18"/>
                <w:szCs w:val="18"/>
              </w:rPr>
            </w:pPr>
          </w:p>
        </w:tc>
      </w:tr>
      <w:tr w14:paraId="0759ABEE">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2670CF5C">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26DF6894">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6D90E995">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3D50BCF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18F201A6">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C6F0AC5">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0E9697A">
            <w:pPr>
              <w:widowControl/>
              <w:spacing w:line="276" w:lineRule="auto"/>
              <w:jc w:val="center"/>
              <w:rPr>
                <w:rFonts w:cs="宋体" w:asciiTheme="majorEastAsia" w:hAnsiTheme="majorEastAsia" w:eastAsiaTheme="majorEastAsia"/>
                <w:color w:val="000000"/>
                <w:kern w:val="0"/>
                <w:sz w:val="18"/>
                <w:szCs w:val="18"/>
              </w:rPr>
            </w:pPr>
          </w:p>
        </w:tc>
      </w:tr>
      <w:tr w14:paraId="1A06EB17">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9605A46">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080F449B">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43D6DD27">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8C0AD98">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218FD10E">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A40DC57">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C3CF3DA">
            <w:pPr>
              <w:widowControl/>
              <w:spacing w:line="276" w:lineRule="auto"/>
              <w:jc w:val="center"/>
              <w:rPr>
                <w:rFonts w:cs="宋体" w:asciiTheme="majorEastAsia" w:hAnsiTheme="majorEastAsia" w:eastAsiaTheme="majorEastAsia"/>
                <w:color w:val="000000"/>
                <w:kern w:val="0"/>
                <w:sz w:val="18"/>
                <w:szCs w:val="18"/>
              </w:rPr>
            </w:pPr>
          </w:p>
        </w:tc>
      </w:tr>
      <w:tr w14:paraId="6BE31831">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6BB77B6A">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40D1B260">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523217CB">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925190F">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570877C4">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42DA3B4">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870EC35">
            <w:pPr>
              <w:widowControl/>
              <w:spacing w:line="276" w:lineRule="auto"/>
              <w:jc w:val="center"/>
              <w:rPr>
                <w:rFonts w:cs="宋体" w:asciiTheme="majorEastAsia" w:hAnsiTheme="majorEastAsia" w:eastAsiaTheme="majorEastAsia"/>
                <w:color w:val="000000"/>
                <w:kern w:val="0"/>
                <w:sz w:val="18"/>
                <w:szCs w:val="18"/>
              </w:rPr>
            </w:pPr>
          </w:p>
        </w:tc>
      </w:tr>
      <w:tr w14:paraId="06807281">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B336E6D">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13D71F94">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02B47821">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64AA82F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4610EE7E">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793543DA">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205C0F0B">
            <w:pPr>
              <w:widowControl/>
              <w:spacing w:line="276" w:lineRule="auto"/>
              <w:jc w:val="center"/>
              <w:rPr>
                <w:rFonts w:cs="宋体" w:asciiTheme="majorEastAsia" w:hAnsiTheme="majorEastAsia" w:eastAsiaTheme="majorEastAsia"/>
                <w:color w:val="000000"/>
                <w:kern w:val="0"/>
                <w:sz w:val="18"/>
                <w:szCs w:val="18"/>
              </w:rPr>
            </w:pPr>
          </w:p>
        </w:tc>
      </w:tr>
      <w:tr w14:paraId="448FE3CD">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0E2E60ED">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3F930F74">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6CB5061E">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2129751F">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2CE3541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50E133F">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2938471B">
            <w:pPr>
              <w:widowControl/>
              <w:spacing w:line="276" w:lineRule="auto"/>
              <w:jc w:val="center"/>
              <w:rPr>
                <w:rFonts w:cs="宋体" w:asciiTheme="majorEastAsia" w:hAnsiTheme="majorEastAsia" w:eastAsiaTheme="majorEastAsia"/>
                <w:color w:val="000000"/>
                <w:kern w:val="0"/>
                <w:sz w:val="18"/>
                <w:szCs w:val="18"/>
              </w:rPr>
            </w:pPr>
          </w:p>
        </w:tc>
      </w:tr>
      <w:tr w14:paraId="7CDD75A7">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490765DC">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37176301">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5C466A3F">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52F55881">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70B15B8F">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2C998E16">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50DC2B5">
            <w:pPr>
              <w:widowControl/>
              <w:spacing w:line="276" w:lineRule="auto"/>
              <w:jc w:val="center"/>
              <w:rPr>
                <w:rFonts w:cs="宋体" w:asciiTheme="majorEastAsia" w:hAnsiTheme="majorEastAsia" w:eastAsiaTheme="majorEastAsia"/>
                <w:color w:val="000000"/>
                <w:kern w:val="0"/>
                <w:sz w:val="18"/>
                <w:szCs w:val="18"/>
              </w:rPr>
            </w:pPr>
          </w:p>
        </w:tc>
      </w:tr>
      <w:tr w14:paraId="59500BD6">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0CC2B3DA">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182A52A8">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3DFA71C1">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8127674">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61B8520C">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1B7A9889">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C957445">
            <w:pPr>
              <w:widowControl/>
              <w:spacing w:line="276" w:lineRule="auto"/>
              <w:jc w:val="center"/>
              <w:rPr>
                <w:rFonts w:cs="宋体" w:asciiTheme="majorEastAsia" w:hAnsiTheme="majorEastAsia" w:eastAsiaTheme="majorEastAsia"/>
                <w:color w:val="000000"/>
                <w:kern w:val="0"/>
                <w:sz w:val="18"/>
                <w:szCs w:val="18"/>
              </w:rPr>
            </w:pPr>
          </w:p>
        </w:tc>
      </w:tr>
    </w:tbl>
    <w:p w14:paraId="1F83E9EA">
      <w:pPr>
        <w:spacing w:line="276" w:lineRule="auto"/>
        <w:rPr>
          <w:rFonts w:cs="宋体" w:asciiTheme="majorEastAsia" w:hAnsiTheme="majorEastAsia" w:eastAsiaTheme="majorEastAsia"/>
          <w:sz w:val="36"/>
        </w:rPr>
      </w:pPr>
    </w:p>
    <w:p w14:paraId="1ACFCEDB">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514B35CB">
      <w:pPr>
        <w:spacing w:line="276" w:lineRule="auto"/>
        <w:rPr>
          <w:rFonts w:cs="宋体" w:asciiTheme="majorEastAsia" w:hAnsiTheme="majorEastAsia" w:eastAsiaTheme="majorEastAsia"/>
          <w:color w:val="000000"/>
          <w:sz w:val="24"/>
        </w:rPr>
      </w:pPr>
    </w:p>
    <w:p w14:paraId="239F2451">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w:t>
      </w:r>
      <w:r>
        <w:rPr>
          <w:rFonts w:hint="eastAsia" w:cs="宋体" w:asciiTheme="majorEastAsia" w:hAnsiTheme="majorEastAsia" w:eastAsiaTheme="majorEastAsia"/>
          <w:color w:val="000000"/>
          <w:sz w:val="24"/>
          <w:lang w:val="en-US" w:eastAsia="zh-CN"/>
        </w:rPr>
        <w:t>或盖章</w:t>
      </w:r>
      <w:r>
        <w:rPr>
          <w:rFonts w:hint="eastAsia" w:cs="宋体" w:asciiTheme="majorEastAsia" w:hAnsiTheme="majorEastAsia" w:eastAsiaTheme="majorEastAsia"/>
          <w:color w:val="000000"/>
          <w:sz w:val="24"/>
        </w:rPr>
        <w:t>）：</w:t>
      </w:r>
    </w:p>
    <w:p w14:paraId="64CE0EDE">
      <w:pPr>
        <w:spacing w:line="276" w:lineRule="auto"/>
        <w:rPr>
          <w:rFonts w:cs="宋体" w:asciiTheme="majorEastAsia" w:hAnsiTheme="majorEastAsia" w:eastAsiaTheme="majorEastAsia"/>
          <w:color w:val="000000"/>
          <w:sz w:val="24"/>
        </w:rPr>
      </w:pPr>
    </w:p>
    <w:p w14:paraId="2FFC6308">
      <w:pPr>
        <w:spacing w:line="276" w:lineRule="auto"/>
        <w:rPr>
          <w:rFonts w:hint="eastAsia" w:cs="宋体" w:asciiTheme="majorEastAsia" w:hAnsiTheme="majorEastAsia" w:eastAsiaTheme="majorEastAsia"/>
          <w:b/>
          <w:color w:val="000000"/>
          <w:sz w:val="24"/>
        </w:rPr>
      </w:pPr>
    </w:p>
    <w:p w14:paraId="761FF8FA">
      <w:pPr>
        <w:spacing w:line="276" w:lineRule="auto"/>
        <w:rPr>
          <w:rFonts w:hint="eastAsia" w:cs="宋体" w:asciiTheme="majorEastAsia" w:hAnsiTheme="majorEastAsia" w:eastAsiaTheme="majorEastAsia"/>
          <w:b/>
          <w:color w:val="000000"/>
          <w:sz w:val="24"/>
        </w:rPr>
      </w:pPr>
    </w:p>
    <w:p w14:paraId="6EE5D045">
      <w:pPr>
        <w:spacing w:line="276" w:lineRule="auto"/>
        <w:rPr>
          <w:rFonts w:hint="eastAsia" w:cs="宋体" w:asciiTheme="majorEastAsia" w:hAnsiTheme="majorEastAsia" w:eastAsiaTheme="majorEastAsia"/>
          <w:b/>
          <w:color w:val="000000"/>
          <w:sz w:val="24"/>
        </w:rPr>
      </w:pPr>
    </w:p>
    <w:p w14:paraId="4A5701AC">
      <w:pPr>
        <w:spacing w:line="276" w:lineRule="auto"/>
        <w:jc w:val="center"/>
        <w:rPr>
          <w:rFonts w:hint="eastAsia" w:cs="宋体" w:asciiTheme="majorEastAsia" w:hAnsiTheme="majorEastAsia" w:eastAsiaTheme="majorEastAsia"/>
          <w:b/>
          <w:color w:val="000000"/>
          <w:sz w:val="44"/>
          <w:szCs w:val="44"/>
          <w:lang w:eastAsia="zh-CN"/>
        </w:rPr>
      </w:pPr>
    </w:p>
    <w:p w14:paraId="65E86C55">
      <w:pPr>
        <w:spacing w:line="276" w:lineRule="auto"/>
        <w:jc w:val="center"/>
        <w:rPr>
          <w:rFonts w:hint="eastAsia" w:cs="宋体" w:asciiTheme="majorEastAsia" w:hAnsiTheme="majorEastAsia" w:eastAsiaTheme="majorEastAsia"/>
          <w:b/>
          <w:color w:val="000000"/>
          <w:sz w:val="44"/>
          <w:szCs w:val="44"/>
          <w:lang w:eastAsia="zh-CN"/>
        </w:rPr>
      </w:pPr>
    </w:p>
    <w:p w14:paraId="4B7793FC">
      <w:pPr>
        <w:spacing w:line="276" w:lineRule="auto"/>
        <w:jc w:val="center"/>
        <w:rPr>
          <w:rFonts w:hint="eastAsia" w:cs="宋体" w:asciiTheme="majorEastAsia" w:hAnsiTheme="majorEastAsia" w:eastAsiaTheme="majorEastAsia"/>
          <w:b/>
          <w:color w:val="000000"/>
          <w:sz w:val="44"/>
          <w:szCs w:val="44"/>
          <w:lang w:eastAsia="zh-CN"/>
        </w:rPr>
      </w:pPr>
    </w:p>
    <w:p w14:paraId="641B1518">
      <w:pPr>
        <w:spacing w:line="276" w:lineRule="auto"/>
        <w:jc w:val="center"/>
        <w:rPr>
          <w:rFonts w:hint="eastAsia" w:cs="宋体" w:asciiTheme="majorEastAsia" w:hAnsiTheme="majorEastAsia" w:eastAsiaTheme="majorEastAsia"/>
          <w:b/>
          <w:color w:val="000000"/>
          <w:sz w:val="44"/>
          <w:szCs w:val="44"/>
          <w:lang w:eastAsia="zh-CN"/>
        </w:rPr>
      </w:pPr>
    </w:p>
    <w:p w14:paraId="33F6CFC5">
      <w:pPr>
        <w:spacing w:line="276" w:lineRule="auto"/>
        <w:jc w:val="center"/>
        <w:rPr>
          <w:rFonts w:hint="eastAsia" w:cs="宋体" w:asciiTheme="majorEastAsia" w:hAnsiTheme="majorEastAsia" w:eastAsiaTheme="majorEastAsia"/>
          <w:b/>
          <w:color w:val="000000"/>
          <w:sz w:val="44"/>
          <w:szCs w:val="44"/>
          <w:lang w:eastAsia="zh-CN"/>
        </w:rPr>
      </w:pPr>
    </w:p>
    <w:p w14:paraId="17B1E5A2">
      <w:pPr>
        <w:spacing w:line="276" w:lineRule="auto"/>
        <w:jc w:val="center"/>
        <w:rPr>
          <w:rFonts w:hint="eastAsia" w:cs="宋体" w:asciiTheme="majorEastAsia" w:hAnsiTheme="majorEastAsia" w:eastAsiaTheme="majorEastAsia"/>
          <w:b/>
          <w:color w:val="000000"/>
          <w:sz w:val="44"/>
          <w:szCs w:val="44"/>
          <w:lang w:eastAsia="zh-CN"/>
        </w:rPr>
      </w:pPr>
      <w:r>
        <w:rPr>
          <w:rFonts w:hint="eastAsia" w:cs="宋体" w:asciiTheme="majorEastAsia" w:hAnsiTheme="majorEastAsia" w:eastAsiaTheme="majorEastAsia"/>
          <w:b/>
          <w:color w:val="000000"/>
          <w:sz w:val="44"/>
          <w:szCs w:val="44"/>
          <w:lang w:eastAsia="zh-CN"/>
        </w:rPr>
        <w:t>商务及资格审查部分</w:t>
      </w:r>
    </w:p>
    <w:p w14:paraId="6C2A1146">
      <w:pPr>
        <w:spacing w:line="276" w:lineRule="auto"/>
        <w:rPr>
          <w:rFonts w:hint="eastAsia" w:cs="宋体" w:asciiTheme="majorEastAsia" w:hAnsiTheme="majorEastAsia" w:eastAsiaTheme="majorEastAsia"/>
          <w:b/>
          <w:color w:val="000000"/>
          <w:sz w:val="24"/>
        </w:rPr>
      </w:pPr>
    </w:p>
    <w:p w14:paraId="7096AD1D">
      <w:pPr>
        <w:spacing w:line="276" w:lineRule="auto"/>
        <w:rPr>
          <w:rFonts w:hint="eastAsia" w:cs="宋体" w:asciiTheme="majorEastAsia" w:hAnsiTheme="majorEastAsia" w:eastAsiaTheme="majorEastAsia"/>
          <w:b/>
          <w:color w:val="000000"/>
          <w:sz w:val="24"/>
        </w:rPr>
      </w:pPr>
    </w:p>
    <w:p w14:paraId="695F2149">
      <w:pPr>
        <w:spacing w:line="276" w:lineRule="auto"/>
        <w:rPr>
          <w:rFonts w:hint="eastAsia" w:cs="宋体" w:asciiTheme="majorEastAsia" w:hAnsiTheme="majorEastAsia" w:eastAsiaTheme="majorEastAsia"/>
          <w:b/>
          <w:color w:val="000000"/>
          <w:sz w:val="24"/>
        </w:rPr>
      </w:pPr>
    </w:p>
    <w:p w14:paraId="39775E2D">
      <w:pPr>
        <w:spacing w:line="276" w:lineRule="auto"/>
        <w:rPr>
          <w:rFonts w:hint="eastAsia" w:cs="宋体" w:asciiTheme="majorEastAsia" w:hAnsiTheme="majorEastAsia" w:eastAsiaTheme="majorEastAsia"/>
          <w:b/>
          <w:color w:val="000000"/>
          <w:sz w:val="24"/>
        </w:rPr>
      </w:pPr>
    </w:p>
    <w:p w14:paraId="5E7F7022">
      <w:pPr>
        <w:pStyle w:val="29"/>
        <w:rPr>
          <w:rFonts w:hint="eastAsia" w:cs="宋体" w:asciiTheme="majorEastAsia" w:hAnsiTheme="majorEastAsia" w:eastAsiaTheme="majorEastAsia"/>
          <w:b/>
          <w:color w:val="000000"/>
          <w:sz w:val="24"/>
        </w:rPr>
      </w:pPr>
    </w:p>
    <w:p w14:paraId="4E2CF462">
      <w:pPr>
        <w:rPr>
          <w:rFonts w:hint="eastAsia" w:cs="宋体" w:asciiTheme="majorEastAsia" w:hAnsiTheme="majorEastAsia" w:eastAsiaTheme="majorEastAsia"/>
          <w:b/>
          <w:color w:val="000000"/>
          <w:sz w:val="24"/>
        </w:rPr>
      </w:pPr>
    </w:p>
    <w:p w14:paraId="19B14072">
      <w:pPr>
        <w:pStyle w:val="29"/>
        <w:rPr>
          <w:rFonts w:hint="eastAsia" w:cs="宋体" w:asciiTheme="majorEastAsia" w:hAnsiTheme="majorEastAsia" w:eastAsiaTheme="majorEastAsia"/>
          <w:b/>
          <w:color w:val="000000"/>
          <w:sz w:val="24"/>
        </w:rPr>
      </w:pPr>
    </w:p>
    <w:p w14:paraId="2107A39E">
      <w:pPr>
        <w:rPr>
          <w:rFonts w:hint="eastAsia" w:cs="宋体" w:asciiTheme="majorEastAsia" w:hAnsiTheme="majorEastAsia" w:eastAsiaTheme="majorEastAsia"/>
          <w:b/>
          <w:color w:val="000000"/>
          <w:sz w:val="24"/>
        </w:rPr>
      </w:pPr>
    </w:p>
    <w:p w14:paraId="15EF6C40">
      <w:pPr>
        <w:pStyle w:val="29"/>
        <w:rPr>
          <w:rFonts w:hint="eastAsia" w:cs="宋体" w:asciiTheme="majorEastAsia" w:hAnsiTheme="majorEastAsia" w:eastAsiaTheme="majorEastAsia"/>
          <w:b/>
          <w:color w:val="000000"/>
          <w:sz w:val="24"/>
        </w:rPr>
      </w:pPr>
    </w:p>
    <w:p w14:paraId="0516E049">
      <w:pPr>
        <w:rPr>
          <w:rFonts w:hint="eastAsia" w:cs="宋体" w:asciiTheme="majorEastAsia" w:hAnsiTheme="majorEastAsia" w:eastAsiaTheme="majorEastAsia"/>
          <w:b/>
          <w:color w:val="000000"/>
          <w:sz w:val="24"/>
        </w:rPr>
      </w:pPr>
    </w:p>
    <w:p w14:paraId="5FF7F79E">
      <w:pPr>
        <w:pStyle w:val="29"/>
        <w:rPr>
          <w:rFonts w:hint="eastAsia" w:cs="宋体" w:asciiTheme="majorEastAsia" w:hAnsiTheme="majorEastAsia" w:eastAsiaTheme="majorEastAsia"/>
          <w:b/>
          <w:color w:val="000000"/>
          <w:sz w:val="24"/>
        </w:rPr>
      </w:pPr>
    </w:p>
    <w:p w14:paraId="71C2596C">
      <w:pPr>
        <w:rPr>
          <w:rFonts w:hint="eastAsia" w:cs="宋体" w:asciiTheme="majorEastAsia" w:hAnsiTheme="majorEastAsia" w:eastAsiaTheme="majorEastAsia"/>
          <w:b/>
          <w:color w:val="000000"/>
          <w:sz w:val="24"/>
        </w:rPr>
      </w:pPr>
    </w:p>
    <w:p w14:paraId="71193A47">
      <w:pPr>
        <w:pStyle w:val="29"/>
        <w:rPr>
          <w:rFonts w:hint="eastAsia" w:cs="宋体" w:asciiTheme="majorEastAsia" w:hAnsiTheme="majorEastAsia" w:eastAsiaTheme="majorEastAsia"/>
          <w:b/>
          <w:color w:val="000000"/>
          <w:sz w:val="24"/>
        </w:rPr>
      </w:pPr>
    </w:p>
    <w:p w14:paraId="1663BFB7">
      <w:pPr>
        <w:rPr>
          <w:rFonts w:hint="eastAsia" w:cs="宋体" w:asciiTheme="majorEastAsia" w:hAnsiTheme="majorEastAsia" w:eastAsiaTheme="majorEastAsia"/>
          <w:b/>
          <w:color w:val="000000"/>
          <w:sz w:val="24"/>
        </w:rPr>
      </w:pPr>
    </w:p>
    <w:p w14:paraId="02E4ACF2">
      <w:pPr>
        <w:pStyle w:val="29"/>
        <w:rPr>
          <w:rFonts w:hint="eastAsia" w:cs="宋体" w:asciiTheme="majorEastAsia" w:hAnsiTheme="majorEastAsia" w:eastAsiaTheme="majorEastAsia"/>
          <w:b/>
          <w:color w:val="000000"/>
          <w:sz w:val="24"/>
        </w:rPr>
      </w:pPr>
    </w:p>
    <w:p w14:paraId="66F2DDFC">
      <w:pPr>
        <w:rPr>
          <w:rFonts w:hint="eastAsia" w:cs="宋体" w:asciiTheme="majorEastAsia" w:hAnsiTheme="majorEastAsia" w:eastAsiaTheme="majorEastAsia"/>
          <w:b/>
          <w:color w:val="000000"/>
          <w:sz w:val="24"/>
        </w:rPr>
      </w:pPr>
    </w:p>
    <w:p w14:paraId="24D6B48F">
      <w:pPr>
        <w:pStyle w:val="29"/>
        <w:rPr>
          <w:rFonts w:hint="eastAsia" w:cs="宋体" w:asciiTheme="majorEastAsia" w:hAnsiTheme="majorEastAsia" w:eastAsiaTheme="majorEastAsia"/>
          <w:b/>
          <w:color w:val="000000"/>
          <w:sz w:val="24"/>
        </w:rPr>
      </w:pPr>
    </w:p>
    <w:p w14:paraId="0F3355AB">
      <w:pPr>
        <w:rPr>
          <w:rFonts w:hint="eastAsia" w:cs="宋体" w:asciiTheme="majorEastAsia" w:hAnsiTheme="majorEastAsia" w:eastAsiaTheme="majorEastAsia"/>
          <w:b/>
          <w:color w:val="000000"/>
          <w:sz w:val="24"/>
        </w:rPr>
      </w:pPr>
    </w:p>
    <w:p w14:paraId="54E9C6DA">
      <w:pPr>
        <w:pStyle w:val="29"/>
        <w:rPr>
          <w:rFonts w:hint="eastAsia" w:cs="宋体" w:asciiTheme="majorEastAsia" w:hAnsiTheme="majorEastAsia" w:eastAsiaTheme="majorEastAsia"/>
          <w:b/>
          <w:color w:val="000000"/>
          <w:sz w:val="24"/>
        </w:rPr>
      </w:pPr>
    </w:p>
    <w:p w14:paraId="207B5FC5">
      <w:pPr>
        <w:rPr>
          <w:rFonts w:hint="eastAsia" w:cs="宋体" w:asciiTheme="majorEastAsia" w:hAnsiTheme="majorEastAsia" w:eastAsiaTheme="majorEastAsia"/>
          <w:b/>
          <w:color w:val="000000"/>
          <w:sz w:val="24"/>
        </w:rPr>
      </w:pPr>
    </w:p>
    <w:p w14:paraId="4A95EA62">
      <w:pPr>
        <w:pStyle w:val="29"/>
        <w:rPr>
          <w:rFonts w:hint="eastAsia"/>
        </w:rPr>
      </w:pPr>
    </w:p>
    <w:p w14:paraId="540CA4D1">
      <w:pPr>
        <w:spacing w:line="276" w:lineRule="auto"/>
        <w:rPr>
          <w:rFonts w:hint="eastAsia" w:cs="宋体" w:asciiTheme="majorEastAsia" w:hAnsiTheme="majorEastAsia" w:eastAsiaTheme="majorEastAsia"/>
          <w:b/>
          <w:color w:val="000000"/>
          <w:sz w:val="24"/>
        </w:rPr>
      </w:pPr>
    </w:p>
    <w:p w14:paraId="17C0B5BF">
      <w:pPr>
        <w:spacing w:line="276" w:lineRule="auto"/>
        <w:rPr>
          <w:rFonts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 xml:space="preserve">3     </w:t>
      </w:r>
    </w:p>
    <w:p w14:paraId="59F147B3">
      <w:pPr>
        <w:spacing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投标函</w:t>
      </w:r>
    </w:p>
    <w:p w14:paraId="44FE15E3">
      <w:pPr>
        <w:spacing w:line="276" w:lineRule="auto"/>
        <w:jc w:val="left"/>
        <w:rPr>
          <w:rFonts w:hint="eastAsia" w:cs="宋体" w:asciiTheme="majorEastAsia" w:hAnsiTheme="majorEastAsia" w:eastAsiaTheme="majorEastAsia"/>
          <w:b/>
          <w:color w:val="000000"/>
          <w:sz w:val="28"/>
          <w:u w:val="single"/>
          <w:lang w:eastAsia="zh-CN"/>
        </w:rPr>
      </w:pPr>
      <w:r>
        <w:rPr>
          <w:rFonts w:hint="eastAsia" w:cs="宋体" w:asciiTheme="majorEastAsia" w:hAnsiTheme="majorEastAsia" w:eastAsiaTheme="majorEastAsia"/>
          <w:b/>
          <w:bCs/>
          <w:color w:val="000000"/>
          <w:sz w:val="28"/>
        </w:rPr>
        <w:t>致</w:t>
      </w:r>
      <w:r>
        <w:rPr>
          <w:rFonts w:hint="eastAsia" w:cs="宋体" w:asciiTheme="majorEastAsia" w:hAnsiTheme="majorEastAsia" w:eastAsiaTheme="majorEastAsia"/>
          <w:b/>
          <w:color w:val="000000"/>
          <w:sz w:val="28"/>
        </w:rPr>
        <w:t>：</w:t>
      </w:r>
      <w:r>
        <w:rPr>
          <w:rFonts w:hint="eastAsia" w:cs="宋体" w:asciiTheme="majorEastAsia" w:hAnsiTheme="majorEastAsia" w:eastAsiaTheme="majorEastAsia"/>
          <w:b/>
          <w:color w:val="000000"/>
          <w:sz w:val="28"/>
          <w:u w:val="single"/>
          <w:lang w:eastAsia="zh-CN"/>
        </w:rPr>
        <w:t>吉林省金标工程管理有限公司</w:t>
      </w:r>
    </w:p>
    <w:p w14:paraId="46E26827">
      <w:pPr>
        <w:spacing w:line="276" w:lineRule="auto"/>
        <w:ind w:firstLine="480" w:firstLineChars="200"/>
        <w:rPr>
          <w:rFonts w:cs="宋体" w:asciiTheme="majorEastAsia" w:hAnsiTheme="majorEastAsia" w:eastAsiaTheme="majorEastAsia"/>
          <w:color w:val="000000"/>
          <w:sz w:val="24"/>
          <w:szCs w:val="28"/>
          <w:lang w:val="zh-CN"/>
        </w:rPr>
      </w:pPr>
      <w:r>
        <w:rPr>
          <w:rFonts w:hint="eastAsia" w:cs="宋体" w:asciiTheme="majorEastAsia" w:hAnsiTheme="majorEastAsia" w:eastAsiaTheme="majorEastAsia"/>
          <w:color w:val="000000"/>
          <w:sz w:val="24"/>
          <w:szCs w:val="28"/>
        </w:rPr>
        <w:t>根据已收到招标编号为的</w:t>
      </w:r>
      <w:r>
        <w:rPr>
          <w:rFonts w:hint="eastAsia" w:cs="宋体" w:asciiTheme="majorEastAsia" w:hAnsiTheme="majorEastAsia" w:eastAsiaTheme="majorEastAsia"/>
          <w:bCs/>
          <w:color w:val="000000"/>
          <w:sz w:val="24"/>
          <w:szCs w:val="28"/>
          <w:u w:val="single"/>
        </w:rPr>
        <w:t>（项目名称）</w:t>
      </w:r>
      <w:r>
        <w:rPr>
          <w:rFonts w:hint="eastAsia" w:cs="宋体" w:asciiTheme="majorEastAsia" w:hAnsiTheme="majorEastAsia" w:eastAsiaTheme="majorEastAsia"/>
          <w:bCs/>
          <w:color w:val="000000"/>
          <w:sz w:val="24"/>
          <w:szCs w:val="28"/>
          <w:u w:val="single"/>
          <w:lang w:val="en-US" w:eastAsia="zh-CN"/>
        </w:rPr>
        <w:t xml:space="preserve">         </w:t>
      </w:r>
      <w:r>
        <w:rPr>
          <w:rFonts w:hint="eastAsia" w:cs="宋体" w:asciiTheme="majorEastAsia" w:hAnsiTheme="majorEastAsia" w:eastAsiaTheme="majorEastAsia"/>
          <w:color w:val="000000"/>
          <w:sz w:val="24"/>
          <w:szCs w:val="28"/>
        </w:rPr>
        <w:t>招标文件，遵照《中华人民共和国招标投标法》等有关法律法规的规定，我方经过研究招标文件的投标须知、合同条件、技术规范和其他有关文件后，决定投标。在此文件中，供应商全权代表郑重声明以下诸点，并负法律责任：</w:t>
      </w:r>
    </w:p>
    <w:p w14:paraId="20DD491A">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我方愿意以上述合同条件、技术规范和我方在投标文件中所作的投标报价、供货日期、质保期、售后服务等承诺。</w:t>
      </w:r>
    </w:p>
    <w:p w14:paraId="20DF097F">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b/>
          <w:color w:val="000000"/>
          <w:sz w:val="24"/>
          <w:szCs w:val="28"/>
        </w:rPr>
      </w:pPr>
      <w:r>
        <w:rPr>
          <w:rFonts w:hint="eastAsia" w:cs="宋体" w:asciiTheme="majorEastAsia" w:hAnsiTheme="majorEastAsia" w:eastAsiaTheme="majorEastAsia"/>
          <w:b/>
          <w:color w:val="000000"/>
          <w:sz w:val="24"/>
          <w:szCs w:val="28"/>
        </w:rPr>
        <w:t>投标报价：人民币（大写</w:t>
      </w:r>
      <w:r>
        <w:rPr>
          <w:rFonts w:hint="eastAsia" w:cs="宋体" w:asciiTheme="majorEastAsia" w:hAnsiTheme="majorEastAsia" w:eastAsiaTheme="majorEastAsia"/>
          <w:b/>
          <w:color w:val="000000"/>
          <w:sz w:val="24"/>
          <w:szCs w:val="28"/>
          <w:u w:val="single"/>
        </w:rPr>
        <w:t>）</w:t>
      </w:r>
      <w:r>
        <w:rPr>
          <w:rFonts w:hint="eastAsia" w:cs="宋体" w:asciiTheme="majorEastAsia" w:hAnsiTheme="majorEastAsia" w:eastAsiaTheme="majorEastAsia"/>
          <w:b/>
          <w:color w:val="000000"/>
          <w:sz w:val="24"/>
          <w:szCs w:val="28"/>
          <w:u w:val="single"/>
          <w:lang w:val="en-US" w:eastAsia="zh-CN"/>
        </w:rPr>
        <w:t xml:space="preserve">        </w:t>
      </w:r>
      <w:r>
        <w:rPr>
          <w:rFonts w:hint="eastAsia" w:cs="宋体" w:asciiTheme="majorEastAsia" w:hAnsiTheme="majorEastAsia" w:eastAsiaTheme="majorEastAsia"/>
          <w:b/>
          <w:color w:val="000000"/>
          <w:sz w:val="24"/>
          <w:szCs w:val="28"/>
          <w:u w:val="single"/>
        </w:rPr>
        <w:t>元</w:t>
      </w:r>
      <w:r>
        <w:rPr>
          <w:rFonts w:hint="eastAsia" w:cs="宋体" w:asciiTheme="majorEastAsia" w:hAnsiTheme="majorEastAsia" w:eastAsiaTheme="majorEastAsia"/>
          <w:b/>
          <w:color w:val="000000"/>
          <w:sz w:val="24"/>
          <w:szCs w:val="28"/>
        </w:rPr>
        <w:t>。</w:t>
      </w:r>
    </w:p>
    <w:p w14:paraId="66975AA4">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我方有责任和义务完成合同与招标文件中的条款。</w:t>
      </w:r>
    </w:p>
    <w:p w14:paraId="3B5853DB">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我方已详细检查所有投标文件、附件以及所提供的参考文件，由模糊和误解产生的一切后果，由我方自负。</w:t>
      </w:r>
    </w:p>
    <w:p w14:paraId="22F2E37C">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投标文件在开标后</w:t>
      </w:r>
      <w:r>
        <w:rPr>
          <w:rFonts w:cs="宋体" w:asciiTheme="majorEastAsia" w:hAnsiTheme="majorEastAsia" w:eastAsiaTheme="majorEastAsia"/>
          <w:color w:val="000000"/>
          <w:sz w:val="24"/>
          <w:szCs w:val="28"/>
        </w:rPr>
        <w:t>90</w:t>
      </w:r>
      <w:r>
        <w:rPr>
          <w:rFonts w:hint="eastAsia" w:cs="宋体" w:asciiTheme="majorEastAsia" w:hAnsiTheme="majorEastAsia" w:eastAsiaTheme="majorEastAsia"/>
          <w:color w:val="000000"/>
          <w:sz w:val="24"/>
          <w:szCs w:val="28"/>
        </w:rPr>
        <w:t>日历天内有效。如果我方在规定开标后的有效期内撤回投标，采购人可以按招标书的要求没收我方投标保证金。</w:t>
      </w:r>
    </w:p>
    <w:p w14:paraId="5668558F">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投标保证金有效期在开标后</w:t>
      </w:r>
      <w:r>
        <w:rPr>
          <w:rFonts w:cs="宋体" w:asciiTheme="majorEastAsia" w:hAnsiTheme="majorEastAsia" w:eastAsiaTheme="majorEastAsia"/>
          <w:color w:val="000000"/>
          <w:sz w:val="24"/>
          <w:szCs w:val="28"/>
        </w:rPr>
        <w:t>90</w:t>
      </w:r>
      <w:r>
        <w:rPr>
          <w:rFonts w:hint="eastAsia" w:cs="宋体" w:asciiTheme="majorEastAsia" w:hAnsiTheme="majorEastAsia" w:eastAsiaTheme="majorEastAsia"/>
          <w:color w:val="000000"/>
          <w:sz w:val="24"/>
          <w:szCs w:val="28"/>
        </w:rPr>
        <w:t>日历天有效。</w:t>
      </w:r>
    </w:p>
    <w:p w14:paraId="48EB6297">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我方同意应采购人的要求，提供与投标有关的数据和资料。</w:t>
      </w:r>
    </w:p>
    <w:p w14:paraId="17F6A4F2">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我们理解，最低报价不是中标的唯一条件，你们有选择中标人的权力。</w:t>
      </w:r>
    </w:p>
    <w:p w14:paraId="78F3CCC6">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我方愿按《中华人民共和国合同法》履行自己的全部责任。</w:t>
      </w:r>
    </w:p>
    <w:p w14:paraId="73831274">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除非另外达成协议并生效，你方的中标通知书和本投标文件将成为约束双方的合同文件的组成部分。</w:t>
      </w:r>
    </w:p>
    <w:p w14:paraId="72A0CAB2">
      <w:pPr>
        <w:pStyle w:val="16"/>
        <w:numPr>
          <w:ilvl w:val="2"/>
          <w:numId w:val="5"/>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联系：有关本投标事宜可按下述地址与我单位书面联系。</w:t>
      </w:r>
    </w:p>
    <w:p w14:paraId="380E097F">
      <w:pPr>
        <w:spacing w:line="276" w:lineRule="auto"/>
        <w:jc w:val="left"/>
        <w:rPr>
          <w:rFonts w:cs="宋体" w:asciiTheme="majorEastAsia" w:hAnsiTheme="majorEastAsia" w:eastAsiaTheme="majorEastAsia"/>
          <w:color w:val="000000"/>
          <w:sz w:val="24"/>
          <w:szCs w:val="28"/>
        </w:rPr>
      </w:pPr>
    </w:p>
    <w:p w14:paraId="3BA75860">
      <w:pPr>
        <w:spacing w:line="276" w:lineRule="auto"/>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投标单位：（盖单位章）</w:t>
      </w:r>
    </w:p>
    <w:p w14:paraId="34D756A7">
      <w:pPr>
        <w:spacing w:line="276" w:lineRule="auto"/>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法人代表人</w:t>
      </w:r>
      <w:r>
        <w:rPr>
          <w:rFonts w:hint="eastAsia" w:cs="宋体" w:asciiTheme="majorEastAsia" w:hAnsiTheme="majorEastAsia" w:eastAsiaTheme="majorEastAsia"/>
          <w:color w:val="000000"/>
          <w:sz w:val="24"/>
        </w:rPr>
        <w:t>或授权委托人</w:t>
      </w:r>
      <w:r>
        <w:rPr>
          <w:rFonts w:hint="eastAsia" w:cs="宋体" w:asciiTheme="majorEastAsia" w:hAnsiTheme="majorEastAsia" w:eastAsiaTheme="majorEastAsia"/>
          <w:color w:val="000000"/>
          <w:sz w:val="24"/>
          <w:szCs w:val="28"/>
        </w:rPr>
        <w:t>：（签字或盖章）</w:t>
      </w:r>
    </w:p>
    <w:p w14:paraId="6209471B">
      <w:pPr>
        <w:spacing w:line="276" w:lineRule="auto"/>
        <w:ind w:firstLine="5280" w:firstLineChars="2200"/>
        <w:jc w:val="left"/>
        <w:rPr>
          <w:rFonts w:cs="宋体" w:asciiTheme="majorEastAsia" w:hAnsiTheme="majorEastAsia" w:eastAsiaTheme="majorEastAsia"/>
          <w:color w:val="000000"/>
          <w:sz w:val="24"/>
          <w:szCs w:val="28"/>
        </w:rPr>
      </w:pPr>
    </w:p>
    <w:p w14:paraId="7CB7298B">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地址：</w:t>
      </w:r>
    </w:p>
    <w:p w14:paraId="6485B4D3">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电话：</w:t>
      </w:r>
    </w:p>
    <w:p w14:paraId="225C642F">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传真：</w:t>
      </w:r>
    </w:p>
    <w:p w14:paraId="270B3AC7">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邮政编码：</w:t>
      </w:r>
    </w:p>
    <w:p w14:paraId="449DF325">
      <w:pPr>
        <w:tabs>
          <w:tab w:val="left" w:pos="-525"/>
          <w:tab w:val="left" w:pos="420"/>
        </w:tabs>
        <w:spacing w:line="276" w:lineRule="auto"/>
        <w:ind w:left="-525" w:hanging="45"/>
        <w:jc w:val="right"/>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szCs w:val="28"/>
        </w:rPr>
        <w:t>年月日</w:t>
      </w:r>
    </w:p>
    <w:p w14:paraId="2BE8D818">
      <w:pPr>
        <w:spacing w:line="276" w:lineRule="auto"/>
        <w:rPr>
          <w:rFonts w:cs="宋体" w:asciiTheme="majorEastAsia" w:hAnsiTheme="majorEastAsia" w:eastAsiaTheme="majorEastAsia"/>
          <w:b/>
          <w:color w:val="000000"/>
          <w:sz w:val="24"/>
        </w:rPr>
      </w:pPr>
    </w:p>
    <w:p w14:paraId="3E9B939B">
      <w:pPr>
        <w:pStyle w:val="4"/>
      </w:pPr>
    </w:p>
    <w:p w14:paraId="3F64228C">
      <w:pPr>
        <w:pStyle w:val="4"/>
      </w:pPr>
    </w:p>
    <w:p w14:paraId="73D3B97C">
      <w:pPr>
        <w:spacing w:line="276" w:lineRule="auto"/>
        <w:rPr>
          <w:rFonts w:cs="宋体" w:asciiTheme="majorEastAsia" w:hAnsiTheme="majorEastAsia" w:eastAsiaTheme="majorEastAsia"/>
          <w:b/>
          <w:color w:val="000000"/>
          <w:sz w:val="24"/>
        </w:rPr>
      </w:pPr>
    </w:p>
    <w:p w14:paraId="3333146D">
      <w:pPr>
        <w:rPr>
          <w:rFonts w:hint="eastAsia"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br w:type="page"/>
      </w:r>
    </w:p>
    <w:p w14:paraId="638F45A5">
      <w:pPr>
        <w:spacing w:line="276" w:lineRule="auto"/>
        <w:rPr>
          <w:rFonts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4</w:t>
      </w:r>
    </w:p>
    <w:p w14:paraId="1751F59C">
      <w:pPr>
        <w:spacing w:line="276" w:lineRule="auto"/>
        <w:jc w:val="center"/>
        <w:rPr>
          <w:rFonts w:hint="eastAsia" w:cs="宋体" w:asciiTheme="majorEastAsia" w:hAnsiTheme="majorEastAsia" w:eastAsiaTheme="majorEastAsia"/>
          <w:b/>
          <w:color w:val="000000"/>
          <w:sz w:val="36"/>
          <w:szCs w:val="30"/>
        </w:rPr>
      </w:pPr>
    </w:p>
    <w:p w14:paraId="64C7DFE4">
      <w:pPr>
        <w:spacing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法定代表人身份证明书</w:t>
      </w:r>
    </w:p>
    <w:p w14:paraId="280E5BD6">
      <w:pPr>
        <w:spacing w:line="276" w:lineRule="auto"/>
        <w:ind w:firstLine="612"/>
        <w:rPr>
          <w:rFonts w:cs="宋体" w:asciiTheme="majorEastAsia" w:hAnsiTheme="majorEastAsia" w:eastAsiaTheme="majorEastAsia"/>
          <w:color w:val="000000"/>
          <w:sz w:val="24"/>
        </w:rPr>
      </w:pPr>
      <w:bookmarkStart w:id="639" w:name="_Toc201719188"/>
      <w:r>
        <w:rPr>
          <w:rFonts w:hint="eastAsia" w:cs="宋体" w:asciiTheme="majorEastAsia" w:hAnsiTheme="majorEastAsia" w:eastAsiaTheme="majorEastAsia"/>
          <w:color w:val="000000"/>
          <w:sz w:val="24"/>
        </w:rPr>
        <w:t>单位名称：</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7DAF884E">
      <w:pPr>
        <w:spacing w:line="276" w:lineRule="auto"/>
        <w:ind w:firstLine="610"/>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单位性质：</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695AF877">
      <w:pPr>
        <w:spacing w:line="276" w:lineRule="auto"/>
        <w:ind w:firstLine="610"/>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地址：</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7D532B94">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成立时间：年月日</w:t>
      </w:r>
    </w:p>
    <w:p w14:paraId="553D2955">
      <w:pPr>
        <w:spacing w:line="276" w:lineRule="auto"/>
        <w:ind w:firstLine="610"/>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经营期限：</w:t>
      </w:r>
      <w:r>
        <w:rPr>
          <w:rFonts w:cs="宋体" w:asciiTheme="majorEastAsia" w:hAnsiTheme="majorEastAsia" w:eastAsiaTheme="majorEastAsia"/>
          <w:color w:val="000000"/>
          <w:sz w:val="24"/>
          <w:u w:val="single"/>
        </w:rPr>
        <w:tab/>
      </w:r>
    </w:p>
    <w:p w14:paraId="42E01A5C">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姓名：性别：年龄：职务：</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23B3FAC4">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系的法定代表人。</w:t>
      </w:r>
    </w:p>
    <w:p w14:paraId="5B5A11F9">
      <w:pPr>
        <w:spacing w:line="276" w:lineRule="auto"/>
        <w:ind w:firstLine="610"/>
        <w:rPr>
          <w:rFonts w:cs="宋体" w:asciiTheme="majorEastAsia" w:hAnsiTheme="majorEastAsia" w:eastAsiaTheme="majorEastAsia"/>
          <w:color w:val="000000"/>
          <w:sz w:val="24"/>
        </w:rPr>
      </w:pPr>
    </w:p>
    <w:p w14:paraId="16ABB1B5">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特此证明</w:t>
      </w:r>
    </w:p>
    <w:p w14:paraId="52AE3969">
      <w:pPr>
        <w:tabs>
          <w:tab w:val="left" w:pos="720"/>
          <w:tab w:val="left" w:pos="900"/>
        </w:tabs>
        <w:spacing w:line="276" w:lineRule="auto"/>
        <w:rPr>
          <w:rFonts w:cs="宋体" w:asciiTheme="majorEastAsia" w:hAnsiTheme="majorEastAsia" w:eastAsiaTheme="majorEastAsia"/>
          <w:color w:val="000000"/>
          <w:sz w:val="24"/>
        </w:rPr>
      </w:pPr>
    </w:p>
    <w:p w14:paraId="6B6F2F12">
      <w:pPr>
        <w:tabs>
          <w:tab w:val="left" w:pos="720"/>
          <w:tab w:val="left" w:pos="900"/>
        </w:tabs>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（附法人身份证正、反面）</w:t>
      </w:r>
    </w:p>
    <w:p w14:paraId="35331515">
      <w:pPr>
        <w:tabs>
          <w:tab w:val="left" w:pos="720"/>
          <w:tab w:val="left" w:pos="900"/>
        </w:tabs>
        <w:spacing w:line="276" w:lineRule="auto"/>
        <w:ind w:firstLine="4320" w:firstLineChars="1800"/>
        <w:rPr>
          <w:rFonts w:cs="宋体" w:asciiTheme="majorEastAsia" w:hAnsiTheme="majorEastAsia" w:eastAsiaTheme="majorEastAsia"/>
          <w:color w:val="000000"/>
          <w:sz w:val="24"/>
        </w:rPr>
      </w:pPr>
    </w:p>
    <w:p w14:paraId="4B835C4C">
      <w:pPr>
        <w:tabs>
          <w:tab w:val="left" w:pos="720"/>
          <w:tab w:val="left" w:pos="900"/>
        </w:tabs>
        <w:spacing w:line="276" w:lineRule="auto"/>
        <w:ind w:firstLine="5520" w:firstLineChars="23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供应商：（盖单位章）</w:t>
      </w:r>
    </w:p>
    <w:p w14:paraId="3B4E74B2">
      <w:pPr>
        <w:spacing w:line="276" w:lineRule="auto"/>
        <w:ind w:firstLine="6120" w:firstLineChars="255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年月日</w:t>
      </w:r>
    </w:p>
    <w:p w14:paraId="7FDAD955">
      <w:pPr>
        <w:spacing w:line="276" w:lineRule="auto"/>
        <w:jc w:val="center"/>
        <w:rPr>
          <w:rFonts w:cs="宋体" w:asciiTheme="majorEastAsia" w:hAnsiTheme="majorEastAsia" w:eastAsiaTheme="majorEastAsia"/>
          <w:b/>
          <w:color w:val="000000"/>
          <w:sz w:val="32"/>
          <w:lang w:val="zh-CN"/>
        </w:rPr>
      </w:pPr>
      <w:r>
        <w:rPr>
          <w:rFonts w:cs="宋体" w:asciiTheme="majorEastAsia" w:hAnsiTheme="majorEastAsia" w:eastAsiaTheme="majorEastAsia"/>
          <w:b/>
          <w:color w:val="000000"/>
          <w:sz w:val="32"/>
          <w:lang w:val="zh-CN"/>
        </w:rPr>
        <w:br w:type="page"/>
      </w:r>
    </w:p>
    <w:bookmarkEnd w:id="639"/>
    <w:p w14:paraId="4374A01D">
      <w:pPr>
        <w:spacing w:line="276" w:lineRule="auto"/>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5</w:t>
      </w:r>
    </w:p>
    <w:p w14:paraId="465A8EE4">
      <w:pPr>
        <w:pStyle w:val="5"/>
        <w:spacing w:line="276" w:lineRule="auto"/>
        <w:jc w:val="center"/>
        <w:rPr>
          <w:rFonts w:cs="宋体" w:asciiTheme="majorEastAsia" w:hAnsiTheme="majorEastAsia" w:eastAsiaTheme="majorEastAsia"/>
          <w:color w:val="000000"/>
          <w:sz w:val="36"/>
          <w:szCs w:val="30"/>
        </w:rPr>
      </w:pPr>
      <w:bookmarkStart w:id="640" w:name="_Toc1950"/>
      <w:r>
        <w:rPr>
          <w:rFonts w:hint="eastAsia" w:cs="宋体" w:asciiTheme="majorEastAsia" w:hAnsiTheme="majorEastAsia" w:eastAsiaTheme="majorEastAsia"/>
          <w:color w:val="000000"/>
          <w:sz w:val="36"/>
          <w:szCs w:val="30"/>
        </w:rPr>
        <w:t>被授权人身份证明书</w:t>
      </w:r>
      <w:bookmarkEnd w:id="640"/>
    </w:p>
    <w:p w14:paraId="668BF7C8">
      <w:pPr>
        <w:spacing w:line="276" w:lineRule="auto"/>
        <w:ind w:firstLine="420" w:firstLineChars="200"/>
        <w:rPr>
          <w:rFonts w:cs="宋体" w:asciiTheme="majorEastAsia" w:hAnsiTheme="majorEastAsia" w:eastAsiaTheme="majorEastAsia"/>
          <w:szCs w:val="21"/>
        </w:rPr>
      </w:pPr>
    </w:p>
    <w:p w14:paraId="72FD56D8">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本人（姓名）系（</w:t>
      </w:r>
      <w:r>
        <w:rPr>
          <w:rFonts w:hint="eastAsia" w:cs="宋体" w:asciiTheme="majorEastAsia" w:hAnsiTheme="majorEastAsia" w:eastAsiaTheme="majorEastAsia"/>
          <w:sz w:val="24"/>
          <w:lang w:eastAsia="zh-CN"/>
        </w:rPr>
        <w:t>投标人</w:t>
      </w:r>
      <w:r>
        <w:rPr>
          <w:rFonts w:hint="eastAsia" w:cs="宋体" w:asciiTheme="majorEastAsia" w:hAnsiTheme="majorEastAsia" w:eastAsiaTheme="majorEastAsia"/>
          <w:sz w:val="24"/>
        </w:rPr>
        <w:t>名称）的法定代表人，现委托（姓名）为我方代理人。代理人根据授权，以我方名义签署、澄清、说明、补正、递交、撤回、修改</w:t>
      </w:r>
      <w:r>
        <w:rPr>
          <w:rFonts w:hint="eastAsia" w:cs="宋体" w:asciiTheme="majorEastAsia" w:hAnsiTheme="majorEastAsia" w:eastAsiaTheme="majorEastAsia"/>
          <w:sz w:val="24"/>
          <w:u w:val="single"/>
        </w:rPr>
        <w:t>（项目名称）</w:t>
      </w:r>
      <w:r>
        <w:rPr>
          <w:rFonts w:hint="eastAsia" w:cs="宋体" w:asciiTheme="majorEastAsia" w:hAnsiTheme="majorEastAsia" w:eastAsiaTheme="majorEastAsia"/>
          <w:sz w:val="24"/>
          <w:u w:val="single"/>
          <w:lang w:val="en-US" w:eastAsia="zh-CN"/>
        </w:rPr>
        <w:t xml:space="preserve">     </w:t>
      </w:r>
      <w:r>
        <w:rPr>
          <w:rFonts w:hint="eastAsia" w:cs="宋体" w:asciiTheme="majorEastAsia" w:hAnsiTheme="majorEastAsia" w:eastAsiaTheme="majorEastAsia"/>
          <w:sz w:val="24"/>
          <w:u w:val="single"/>
        </w:rPr>
        <w:t>投</w:t>
      </w:r>
      <w:r>
        <w:rPr>
          <w:rFonts w:hint="eastAsia" w:cs="宋体" w:asciiTheme="majorEastAsia" w:hAnsiTheme="majorEastAsia" w:eastAsiaTheme="majorEastAsia"/>
          <w:sz w:val="24"/>
        </w:rPr>
        <w:t>标文件、签订合同和处理有关事宜，其法律后果由我方承担。</w:t>
      </w:r>
    </w:p>
    <w:p w14:paraId="594D1642">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委托期限：</w:t>
      </w:r>
    </w:p>
    <w:p w14:paraId="76A96CA4">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代理人无转委托权。</w:t>
      </w:r>
    </w:p>
    <w:p w14:paraId="3AE60517">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附：法定代表人身份证及被授权人身份证</w:t>
      </w:r>
    </w:p>
    <w:p w14:paraId="5F28F4AB">
      <w:pPr>
        <w:spacing w:line="276" w:lineRule="auto"/>
        <w:ind w:firstLine="480" w:firstLineChars="200"/>
        <w:rPr>
          <w:rFonts w:cs="宋体" w:asciiTheme="majorEastAsia" w:hAnsiTheme="majorEastAsia" w:eastAsiaTheme="majorEastAsia"/>
          <w:sz w:val="24"/>
        </w:rPr>
      </w:pPr>
    </w:p>
    <w:p w14:paraId="0C6483FE">
      <w:pPr>
        <w:spacing w:line="276" w:lineRule="auto"/>
        <w:ind w:firstLine="480" w:firstLineChars="200"/>
        <w:rPr>
          <w:rFonts w:cs="宋体" w:asciiTheme="majorEastAsia" w:hAnsiTheme="majorEastAsia" w:eastAsiaTheme="majorEastAsia"/>
          <w:sz w:val="24"/>
        </w:rPr>
      </w:pPr>
    </w:p>
    <w:p w14:paraId="4F84261C">
      <w:pPr>
        <w:spacing w:line="276" w:lineRule="auto"/>
        <w:ind w:firstLine="480" w:firstLineChars="200"/>
        <w:rPr>
          <w:rFonts w:cs="宋体" w:asciiTheme="majorEastAsia" w:hAnsiTheme="majorEastAsia" w:eastAsiaTheme="majorEastAsia"/>
          <w:sz w:val="24"/>
        </w:rPr>
      </w:pPr>
    </w:p>
    <w:p w14:paraId="642B3C10">
      <w:pPr>
        <w:spacing w:line="276" w:lineRule="auto"/>
        <w:ind w:firstLine="480" w:firstLineChars="200"/>
        <w:rPr>
          <w:rFonts w:cs="宋体" w:asciiTheme="majorEastAsia" w:hAnsiTheme="majorEastAsia" w:eastAsiaTheme="majorEastAsia"/>
          <w:sz w:val="24"/>
        </w:rPr>
      </w:pPr>
    </w:p>
    <w:p w14:paraId="28523410">
      <w:pPr>
        <w:spacing w:line="276" w:lineRule="auto"/>
        <w:ind w:firstLine="480" w:firstLineChars="200"/>
        <w:rPr>
          <w:rFonts w:cs="宋体" w:asciiTheme="majorEastAsia" w:hAnsiTheme="majorEastAsia" w:eastAsiaTheme="majorEastAsia"/>
          <w:sz w:val="24"/>
        </w:rPr>
      </w:pPr>
    </w:p>
    <w:p w14:paraId="0543F9A2">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lang w:eastAsia="zh-CN"/>
        </w:rPr>
        <w:t>投标人</w:t>
      </w:r>
      <w:r>
        <w:rPr>
          <w:rFonts w:hint="eastAsia" w:cs="宋体" w:asciiTheme="majorEastAsia" w:hAnsiTheme="majorEastAsia" w:eastAsiaTheme="majorEastAsia"/>
          <w:sz w:val="24"/>
        </w:rPr>
        <w:t>：（盖单位章）</w:t>
      </w:r>
    </w:p>
    <w:p w14:paraId="7FAE3784">
      <w:pPr>
        <w:spacing w:line="276" w:lineRule="auto"/>
        <w:ind w:firstLine="480" w:firstLineChars="200"/>
        <w:rPr>
          <w:rFonts w:cs="宋体" w:asciiTheme="majorEastAsia" w:hAnsiTheme="majorEastAsia" w:eastAsiaTheme="majorEastAsia"/>
          <w:sz w:val="24"/>
        </w:rPr>
      </w:pPr>
    </w:p>
    <w:p w14:paraId="36C8CB81">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法定代表人：（签字或盖章）</w:t>
      </w:r>
    </w:p>
    <w:p w14:paraId="7491361C">
      <w:pPr>
        <w:spacing w:line="276" w:lineRule="auto"/>
        <w:ind w:firstLine="480" w:firstLineChars="200"/>
        <w:rPr>
          <w:rFonts w:cs="宋体" w:asciiTheme="majorEastAsia" w:hAnsiTheme="majorEastAsia" w:eastAsiaTheme="majorEastAsia"/>
          <w:sz w:val="24"/>
        </w:rPr>
      </w:pPr>
    </w:p>
    <w:p w14:paraId="4764E1A3">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身份证号码：</w:t>
      </w:r>
    </w:p>
    <w:p w14:paraId="7B41A99F">
      <w:pPr>
        <w:spacing w:line="276" w:lineRule="auto"/>
        <w:ind w:firstLine="480" w:firstLineChars="200"/>
        <w:rPr>
          <w:rFonts w:cs="宋体" w:asciiTheme="majorEastAsia" w:hAnsiTheme="majorEastAsia" w:eastAsiaTheme="majorEastAsia"/>
          <w:sz w:val="24"/>
        </w:rPr>
      </w:pPr>
    </w:p>
    <w:p w14:paraId="3BF3796B">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委托代理人：（签字或盖章）</w:t>
      </w:r>
    </w:p>
    <w:p w14:paraId="63EEBCE2">
      <w:pPr>
        <w:spacing w:line="276" w:lineRule="auto"/>
        <w:ind w:firstLine="480" w:firstLineChars="200"/>
        <w:rPr>
          <w:rFonts w:cs="宋体" w:asciiTheme="majorEastAsia" w:hAnsiTheme="majorEastAsia" w:eastAsiaTheme="majorEastAsia"/>
          <w:sz w:val="24"/>
        </w:rPr>
      </w:pPr>
    </w:p>
    <w:p w14:paraId="3E5E2F09">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身份证号码：</w:t>
      </w:r>
    </w:p>
    <w:p w14:paraId="51519EB3">
      <w:pPr>
        <w:spacing w:line="276" w:lineRule="auto"/>
        <w:ind w:firstLine="6120" w:firstLineChars="2550"/>
        <w:rPr>
          <w:rFonts w:cs="宋体" w:asciiTheme="majorEastAsia" w:hAnsiTheme="majorEastAsia" w:eastAsiaTheme="majorEastAsia"/>
          <w:sz w:val="24"/>
        </w:rPr>
      </w:pPr>
    </w:p>
    <w:p w14:paraId="11BFBF55">
      <w:pPr>
        <w:spacing w:line="276" w:lineRule="auto"/>
        <w:ind w:firstLine="5760" w:firstLineChars="2400"/>
        <w:rPr>
          <w:rFonts w:cs="宋体" w:asciiTheme="majorEastAsia" w:hAnsiTheme="majorEastAsia" w:eastAsiaTheme="majorEastAsia"/>
          <w:sz w:val="24"/>
          <w:u w:val="single"/>
        </w:rPr>
      </w:pPr>
    </w:p>
    <w:p w14:paraId="787D41A7">
      <w:pPr>
        <w:spacing w:line="276" w:lineRule="auto"/>
        <w:jc w:val="right"/>
        <w:rPr>
          <w:rFonts w:cs="宋体" w:asciiTheme="majorEastAsia" w:hAnsiTheme="majorEastAsia" w:eastAsiaTheme="majorEastAsia"/>
          <w:sz w:val="24"/>
        </w:rPr>
        <w:sectPr>
          <w:pgSz w:w="11906" w:h="16838"/>
          <w:pgMar w:top="1418" w:right="1134" w:bottom="1418" w:left="1418" w:header="851" w:footer="992" w:gutter="0"/>
          <w:cols w:space="720" w:num="1"/>
          <w:docGrid w:type="linesAndChars" w:linePitch="312" w:charSpace="0"/>
        </w:sectPr>
      </w:pPr>
      <w:r>
        <w:rPr>
          <w:rFonts w:hint="eastAsia" w:cs="宋体" w:asciiTheme="majorEastAsia" w:hAnsiTheme="majorEastAsia" w:eastAsiaTheme="majorEastAsia"/>
          <w:sz w:val="24"/>
        </w:rPr>
        <w:t>年月</w:t>
      </w:r>
      <w:r>
        <w:rPr>
          <w:rFonts w:hint="eastAsia" w:cs="宋体" w:asciiTheme="majorEastAsia" w:hAnsiTheme="majorEastAsia" w:eastAsiaTheme="majorEastAsia"/>
          <w:sz w:val="24"/>
          <w:u w:val="single"/>
        </w:rPr>
        <w:t>日</w:t>
      </w:r>
    </w:p>
    <w:p w14:paraId="4FA707DB">
      <w:pPr>
        <w:spacing w:line="276" w:lineRule="auto"/>
        <w:rPr>
          <w:rFonts w:hint="eastAsia" w:cs="宋体" w:asciiTheme="majorEastAsia" w:hAnsiTheme="majorEastAsia" w:eastAsiaTheme="majorEastAsia"/>
          <w:b/>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6</w:t>
      </w:r>
    </w:p>
    <w:p w14:paraId="20CC206C">
      <w:pPr>
        <w:spacing w:line="360" w:lineRule="auto"/>
        <w:jc w:val="center"/>
        <w:rPr>
          <w:color w:val="auto"/>
        </w:rPr>
      </w:pPr>
      <w:r>
        <w:rPr>
          <w:rFonts w:hint="eastAsia" w:ascii="黑体" w:eastAsia="黑体" w:cs="黑体"/>
          <w:bCs/>
          <w:color w:val="auto"/>
          <w:sz w:val="24"/>
          <w:lang w:val="zh-CN"/>
        </w:rPr>
        <w:t>（一）供应商基本情况</w:t>
      </w:r>
    </w:p>
    <w:tbl>
      <w:tblPr>
        <w:tblStyle w:val="32"/>
        <w:tblW w:w="898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1047"/>
        <w:gridCol w:w="1356"/>
        <w:gridCol w:w="1365"/>
        <w:gridCol w:w="1444"/>
        <w:gridCol w:w="2112"/>
      </w:tblGrid>
      <w:tr w14:paraId="19E602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665" w:type="dxa"/>
            <w:tcBorders>
              <w:top w:val="single" w:color="auto" w:sz="18" w:space="0"/>
              <w:left w:val="single" w:color="auto" w:sz="18" w:space="0"/>
              <w:bottom w:val="single" w:color="auto" w:sz="6" w:space="0"/>
              <w:right w:val="single" w:color="auto" w:sz="6" w:space="0"/>
            </w:tcBorders>
            <w:noWrap w:val="0"/>
            <w:vAlign w:val="center"/>
          </w:tcPr>
          <w:p w14:paraId="680840DE">
            <w:pPr>
              <w:spacing w:line="500" w:lineRule="exact"/>
              <w:jc w:val="center"/>
              <w:rPr>
                <w:rFonts w:hint="eastAsia" w:ascii="宋体" w:hAnsi="宋体"/>
                <w:color w:val="auto"/>
                <w:szCs w:val="21"/>
              </w:rPr>
            </w:pPr>
            <w:r>
              <w:rPr>
                <w:rFonts w:hint="eastAsia" w:ascii="宋体" w:hAnsi="宋体"/>
                <w:color w:val="auto"/>
                <w:szCs w:val="21"/>
              </w:rPr>
              <w:t>投标人名称</w:t>
            </w:r>
          </w:p>
        </w:tc>
        <w:tc>
          <w:tcPr>
            <w:tcW w:w="7324" w:type="dxa"/>
            <w:gridSpan w:val="5"/>
            <w:tcBorders>
              <w:top w:val="single" w:color="auto" w:sz="18" w:space="0"/>
              <w:left w:val="single" w:color="auto" w:sz="6" w:space="0"/>
              <w:bottom w:val="single" w:color="auto" w:sz="6" w:space="0"/>
              <w:right w:val="single" w:color="auto" w:sz="18" w:space="0"/>
            </w:tcBorders>
            <w:noWrap w:val="0"/>
            <w:vAlign w:val="center"/>
          </w:tcPr>
          <w:p w14:paraId="255CB239">
            <w:pPr>
              <w:spacing w:line="500" w:lineRule="exact"/>
              <w:rPr>
                <w:rFonts w:hint="eastAsia" w:ascii="宋体" w:hAnsi="宋体"/>
                <w:color w:val="auto"/>
                <w:szCs w:val="21"/>
              </w:rPr>
            </w:pPr>
          </w:p>
        </w:tc>
      </w:tr>
      <w:tr w14:paraId="53E552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1FDCC728">
            <w:pPr>
              <w:spacing w:line="500" w:lineRule="exact"/>
              <w:jc w:val="center"/>
              <w:rPr>
                <w:rFonts w:hint="eastAsia" w:ascii="宋体" w:hAnsi="宋体"/>
                <w:color w:val="auto"/>
                <w:szCs w:val="21"/>
              </w:rPr>
            </w:pPr>
            <w:r>
              <w:rPr>
                <w:rFonts w:hint="eastAsia" w:ascii="宋体" w:hAnsi="宋体"/>
                <w:color w:val="auto"/>
                <w:szCs w:val="21"/>
              </w:rPr>
              <w:t>注册地址</w:t>
            </w:r>
          </w:p>
        </w:tc>
        <w:tc>
          <w:tcPr>
            <w:tcW w:w="3768" w:type="dxa"/>
            <w:gridSpan w:val="3"/>
            <w:tcBorders>
              <w:top w:val="single" w:color="auto" w:sz="6" w:space="0"/>
              <w:left w:val="single" w:color="auto" w:sz="6" w:space="0"/>
              <w:bottom w:val="single" w:color="auto" w:sz="6" w:space="0"/>
              <w:right w:val="single" w:color="auto" w:sz="6" w:space="0"/>
            </w:tcBorders>
            <w:noWrap w:val="0"/>
            <w:vAlign w:val="center"/>
          </w:tcPr>
          <w:p w14:paraId="6DF86B13">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041583A0">
            <w:pPr>
              <w:spacing w:line="500" w:lineRule="exact"/>
              <w:rPr>
                <w:rFonts w:hint="eastAsia" w:ascii="宋体" w:hAnsi="宋体"/>
                <w:color w:val="auto"/>
                <w:szCs w:val="21"/>
              </w:rPr>
            </w:pPr>
            <w:r>
              <w:rPr>
                <w:rFonts w:hint="eastAsia" w:ascii="宋体" w:hAnsi="宋体"/>
                <w:color w:val="auto"/>
                <w:szCs w:val="21"/>
              </w:rPr>
              <w:t>邮政编码</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1CE0956D">
            <w:pPr>
              <w:spacing w:line="500" w:lineRule="exact"/>
              <w:rPr>
                <w:rFonts w:hint="eastAsia" w:ascii="宋体" w:hAnsi="宋体"/>
                <w:color w:val="auto"/>
                <w:szCs w:val="21"/>
              </w:rPr>
            </w:pPr>
          </w:p>
        </w:tc>
      </w:tr>
      <w:tr w14:paraId="772766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vMerge w:val="restart"/>
            <w:tcBorders>
              <w:top w:val="single" w:color="auto" w:sz="6" w:space="0"/>
              <w:left w:val="single" w:color="auto" w:sz="18" w:space="0"/>
              <w:bottom w:val="single" w:color="auto" w:sz="6" w:space="0"/>
              <w:right w:val="single" w:color="auto" w:sz="6" w:space="0"/>
            </w:tcBorders>
            <w:noWrap w:val="0"/>
            <w:vAlign w:val="center"/>
          </w:tcPr>
          <w:p w14:paraId="5CA77811">
            <w:pPr>
              <w:spacing w:line="500" w:lineRule="exact"/>
              <w:jc w:val="center"/>
              <w:rPr>
                <w:rFonts w:hint="eastAsia" w:ascii="宋体" w:hAnsi="宋体"/>
                <w:color w:val="auto"/>
                <w:szCs w:val="21"/>
              </w:rPr>
            </w:pPr>
            <w:r>
              <w:rPr>
                <w:rFonts w:hint="eastAsia" w:ascii="宋体" w:hAnsi="宋体"/>
                <w:color w:val="auto"/>
                <w:szCs w:val="21"/>
              </w:rPr>
              <w:t>联系方式</w:t>
            </w:r>
          </w:p>
        </w:tc>
        <w:tc>
          <w:tcPr>
            <w:tcW w:w="1047" w:type="dxa"/>
            <w:tcBorders>
              <w:top w:val="single" w:color="auto" w:sz="6" w:space="0"/>
              <w:left w:val="single" w:color="auto" w:sz="6" w:space="0"/>
              <w:bottom w:val="single" w:color="auto" w:sz="6" w:space="0"/>
              <w:right w:val="single" w:color="auto" w:sz="6" w:space="0"/>
            </w:tcBorders>
            <w:noWrap w:val="0"/>
            <w:vAlign w:val="center"/>
          </w:tcPr>
          <w:p w14:paraId="2BEE6733">
            <w:pPr>
              <w:spacing w:line="500" w:lineRule="exact"/>
              <w:rPr>
                <w:rFonts w:hint="eastAsia" w:ascii="宋体" w:hAnsi="宋体"/>
                <w:color w:val="auto"/>
                <w:szCs w:val="21"/>
              </w:rPr>
            </w:pPr>
            <w:r>
              <w:rPr>
                <w:rFonts w:hint="eastAsia" w:ascii="宋体" w:hAnsi="宋体"/>
                <w:color w:val="auto"/>
                <w:szCs w:val="21"/>
              </w:rPr>
              <w:t>联系人</w:t>
            </w:r>
          </w:p>
        </w:tc>
        <w:tc>
          <w:tcPr>
            <w:tcW w:w="2721" w:type="dxa"/>
            <w:gridSpan w:val="2"/>
            <w:tcBorders>
              <w:top w:val="single" w:color="auto" w:sz="6" w:space="0"/>
              <w:left w:val="single" w:color="auto" w:sz="6" w:space="0"/>
              <w:bottom w:val="single" w:color="auto" w:sz="6" w:space="0"/>
              <w:right w:val="single" w:color="auto" w:sz="6" w:space="0"/>
            </w:tcBorders>
            <w:noWrap w:val="0"/>
            <w:vAlign w:val="center"/>
          </w:tcPr>
          <w:p w14:paraId="549821B7">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5906B28D">
            <w:pPr>
              <w:spacing w:line="500" w:lineRule="exact"/>
              <w:rPr>
                <w:rFonts w:hint="eastAsia" w:ascii="宋体" w:hAnsi="宋体"/>
                <w:color w:val="auto"/>
                <w:szCs w:val="21"/>
              </w:rPr>
            </w:pPr>
            <w:r>
              <w:rPr>
                <w:rFonts w:hint="eastAsia" w:ascii="宋体" w:hAnsi="宋体"/>
                <w:color w:val="auto"/>
                <w:szCs w:val="21"/>
              </w:rPr>
              <w:t>电话</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55B381A4">
            <w:pPr>
              <w:spacing w:line="500" w:lineRule="exact"/>
              <w:rPr>
                <w:rFonts w:hint="eastAsia" w:ascii="宋体" w:hAnsi="宋体"/>
                <w:color w:val="auto"/>
                <w:szCs w:val="21"/>
              </w:rPr>
            </w:pPr>
          </w:p>
        </w:tc>
      </w:tr>
      <w:tr w14:paraId="4BF456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 w:hRule="atLeast"/>
          <w:jc w:val="center"/>
        </w:trPr>
        <w:tc>
          <w:tcPr>
            <w:tcW w:w="1665" w:type="dxa"/>
            <w:vMerge w:val="continue"/>
            <w:tcBorders>
              <w:top w:val="single" w:color="auto" w:sz="6" w:space="0"/>
              <w:left w:val="single" w:color="auto" w:sz="18" w:space="0"/>
              <w:bottom w:val="single" w:color="auto" w:sz="6" w:space="0"/>
              <w:right w:val="single" w:color="auto" w:sz="6" w:space="0"/>
            </w:tcBorders>
            <w:noWrap w:val="0"/>
            <w:vAlign w:val="center"/>
          </w:tcPr>
          <w:p w14:paraId="2C070EAC">
            <w:pPr>
              <w:widowControl/>
              <w:jc w:val="center"/>
              <w:rPr>
                <w:rFonts w:ascii="宋体" w:hAnsi="宋体"/>
                <w:color w:val="auto"/>
                <w:szCs w:val="21"/>
              </w:rPr>
            </w:pPr>
          </w:p>
        </w:tc>
        <w:tc>
          <w:tcPr>
            <w:tcW w:w="1047" w:type="dxa"/>
            <w:tcBorders>
              <w:top w:val="single" w:color="auto" w:sz="6" w:space="0"/>
              <w:left w:val="single" w:color="auto" w:sz="6" w:space="0"/>
              <w:bottom w:val="single" w:color="auto" w:sz="6" w:space="0"/>
              <w:right w:val="single" w:color="auto" w:sz="6" w:space="0"/>
            </w:tcBorders>
            <w:noWrap w:val="0"/>
            <w:vAlign w:val="center"/>
          </w:tcPr>
          <w:p w14:paraId="08205F41">
            <w:pPr>
              <w:spacing w:line="500" w:lineRule="exact"/>
              <w:rPr>
                <w:rFonts w:hint="eastAsia" w:ascii="宋体" w:hAnsi="宋体"/>
                <w:color w:val="auto"/>
                <w:szCs w:val="21"/>
              </w:rPr>
            </w:pPr>
            <w:r>
              <w:rPr>
                <w:rFonts w:hint="eastAsia" w:ascii="宋体" w:hAnsi="宋体"/>
                <w:color w:val="auto"/>
                <w:szCs w:val="21"/>
              </w:rPr>
              <w:t>传真</w:t>
            </w:r>
          </w:p>
        </w:tc>
        <w:tc>
          <w:tcPr>
            <w:tcW w:w="2721" w:type="dxa"/>
            <w:gridSpan w:val="2"/>
            <w:tcBorders>
              <w:top w:val="single" w:color="auto" w:sz="6" w:space="0"/>
              <w:left w:val="single" w:color="auto" w:sz="6" w:space="0"/>
              <w:bottom w:val="single" w:color="auto" w:sz="6" w:space="0"/>
              <w:right w:val="single" w:color="auto" w:sz="6" w:space="0"/>
            </w:tcBorders>
            <w:noWrap w:val="0"/>
            <w:vAlign w:val="center"/>
          </w:tcPr>
          <w:p w14:paraId="414D90AE">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44D2A736">
            <w:pPr>
              <w:spacing w:line="500" w:lineRule="exact"/>
              <w:rPr>
                <w:rFonts w:hint="eastAsia" w:ascii="宋体" w:hAnsi="宋体"/>
                <w:color w:val="auto"/>
                <w:szCs w:val="21"/>
              </w:rPr>
            </w:pPr>
            <w:r>
              <w:rPr>
                <w:rFonts w:hint="eastAsia" w:ascii="宋体" w:hAnsi="宋体"/>
                <w:color w:val="auto"/>
                <w:szCs w:val="21"/>
              </w:rPr>
              <w:t>网址</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6A5ED7D3">
            <w:pPr>
              <w:spacing w:line="500" w:lineRule="exact"/>
              <w:rPr>
                <w:rFonts w:hint="eastAsia" w:ascii="宋体" w:hAnsi="宋体"/>
                <w:color w:val="auto"/>
                <w:szCs w:val="21"/>
              </w:rPr>
            </w:pPr>
          </w:p>
        </w:tc>
      </w:tr>
      <w:tr w14:paraId="4F48EA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443E081C">
            <w:pPr>
              <w:spacing w:line="500" w:lineRule="exact"/>
              <w:jc w:val="center"/>
              <w:rPr>
                <w:rFonts w:hint="eastAsia" w:ascii="宋体" w:hAnsi="宋体"/>
                <w:color w:val="auto"/>
                <w:szCs w:val="21"/>
              </w:rPr>
            </w:pPr>
            <w:r>
              <w:rPr>
                <w:rFonts w:hint="eastAsia" w:ascii="宋体" w:hAnsi="宋体"/>
                <w:color w:val="auto"/>
                <w:szCs w:val="21"/>
              </w:rPr>
              <w:t>法定代表人</w:t>
            </w:r>
          </w:p>
        </w:tc>
        <w:tc>
          <w:tcPr>
            <w:tcW w:w="1047" w:type="dxa"/>
            <w:tcBorders>
              <w:top w:val="single" w:color="auto" w:sz="6" w:space="0"/>
              <w:left w:val="single" w:color="auto" w:sz="6" w:space="0"/>
              <w:bottom w:val="single" w:color="auto" w:sz="6" w:space="0"/>
              <w:right w:val="single" w:color="auto" w:sz="6" w:space="0"/>
            </w:tcBorders>
            <w:noWrap w:val="0"/>
            <w:vAlign w:val="center"/>
          </w:tcPr>
          <w:p w14:paraId="7D3751AA">
            <w:pPr>
              <w:spacing w:line="500" w:lineRule="exact"/>
              <w:rPr>
                <w:rFonts w:hint="eastAsia" w:ascii="宋体" w:hAnsi="宋体"/>
                <w:color w:val="auto"/>
                <w:szCs w:val="21"/>
              </w:rPr>
            </w:pPr>
            <w:r>
              <w:rPr>
                <w:rFonts w:hint="eastAsia" w:ascii="宋体" w:hAnsi="宋体"/>
                <w:color w:val="auto"/>
                <w:szCs w:val="21"/>
              </w:rPr>
              <w:t>姓名</w:t>
            </w:r>
          </w:p>
        </w:tc>
        <w:tc>
          <w:tcPr>
            <w:tcW w:w="2721" w:type="dxa"/>
            <w:gridSpan w:val="2"/>
            <w:tcBorders>
              <w:top w:val="single" w:color="auto" w:sz="6" w:space="0"/>
              <w:left w:val="single" w:color="auto" w:sz="6" w:space="0"/>
              <w:bottom w:val="single" w:color="auto" w:sz="6" w:space="0"/>
              <w:right w:val="single" w:color="auto" w:sz="6" w:space="0"/>
            </w:tcBorders>
            <w:noWrap w:val="0"/>
            <w:vAlign w:val="center"/>
          </w:tcPr>
          <w:p w14:paraId="329DBC98">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0FD271D8">
            <w:pPr>
              <w:spacing w:line="500" w:lineRule="exact"/>
              <w:rPr>
                <w:rFonts w:hint="eastAsia" w:ascii="宋体" w:hAnsi="宋体"/>
                <w:color w:val="auto"/>
                <w:szCs w:val="21"/>
              </w:rPr>
            </w:pPr>
            <w:r>
              <w:rPr>
                <w:rFonts w:hint="eastAsia" w:ascii="宋体" w:hAnsi="宋体"/>
                <w:color w:val="auto"/>
                <w:szCs w:val="21"/>
              </w:rPr>
              <w:t>技术职称</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78FE3DDB">
            <w:pPr>
              <w:spacing w:line="500" w:lineRule="exact"/>
              <w:rPr>
                <w:rFonts w:hint="eastAsia" w:ascii="宋体" w:hAnsi="宋体"/>
                <w:color w:val="auto"/>
                <w:szCs w:val="21"/>
              </w:rPr>
            </w:pPr>
          </w:p>
        </w:tc>
      </w:tr>
      <w:tr w14:paraId="63BE5A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360B2FD4">
            <w:pPr>
              <w:spacing w:line="500" w:lineRule="exact"/>
              <w:jc w:val="center"/>
              <w:rPr>
                <w:rFonts w:hint="eastAsia" w:ascii="宋体" w:hAnsi="宋体"/>
                <w:color w:val="auto"/>
                <w:szCs w:val="21"/>
              </w:rPr>
            </w:pPr>
            <w:r>
              <w:rPr>
                <w:rFonts w:hint="eastAsia" w:ascii="宋体" w:hAnsi="宋体"/>
                <w:color w:val="auto"/>
                <w:szCs w:val="21"/>
              </w:rPr>
              <w:t>成立时间</w:t>
            </w:r>
          </w:p>
        </w:tc>
        <w:tc>
          <w:tcPr>
            <w:tcW w:w="2403" w:type="dxa"/>
            <w:gridSpan w:val="2"/>
            <w:tcBorders>
              <w:top w:val="single" w:color="auto" w:sz="6" w:space="0"/>
              <w:left w:val="single" w:color="auto" w:sz="6" w:space="0"/>
              <w:bottom w:val="single" w:color="auto" w:sz="4" w:space="0"/>
              <w:right w:val="single" w:color="auto" w:sz="6" w:space="0"/>
            </w:tcBorders>
            <w:noWrap w:val="0"/>
            <w:vAlign w:val="center"/>
          </w:tcPr>
          <w:p w14:paraId="57DEF594">
            <w:pPr>
              <w:spacing w:line="500" w:lineRule="exact"/>
              <w:rPr>
                <w:rFonts w:hint="eastAsia" w:ascii="宋体" w:hAnsi="宋体"/>
                <w:color w:val="auto"/>
                <w:szCs w:val="21"/>
              </w:rPr>
            </w:pPr>
          </w:p>
        </w:tc>
        <w:tc>
          <w:tcPr>
            <w:tcW w:w="4921" w:type="dxa"/>
            <w:gridSpan w:val="3"/>
            <w:tcBorders>
              <w:top w:val="single" w:color="auto" w:sz="6" w:space="0"/>
              <w:left w:val="single" w:color="auto" w:sz="6" w:space="0"/>
              <w:bottom w:val="single" w:color="auto" w:sz="4" w:space="0"/>
              <w:right w:val="single" w:color="auto" w:sz="18" w:space="0"/>
            </w:tcBorders>
            <w:noWrap w:val="0"/>
            <w:vAlign w:val="center"/>
          </w:tcPr>
          <w:p w14:paraId="1CAA9C4E">
            <w:pPr>
              <w:spacing w:line="500" w:lineRule="exact"/>
              <w:rPr>
                <w:rFonts w:hint="eastAsia" w:ascii="宋体" w:hAnsi="宋体"/>
                <w:color w:val="auto"/>
                <w:szCs w:val="21"/>
              </w:rPr>
            </w:pPr>
            <w:r>
              <w:rPr>
                <w:rFonts w:hint="eastAsia" w:ascii="宋体" w:hAnsi="宋体"/>
                <w:color w:val="auto"/>
                <w:szCs w:val="21"/>
              </w:rPr>
              <w:t>员工总人数：</w:t>
            </w:r>
          </w:p>
        </w:tc>
      </w:tr>
      <w:tr w14:paraId="46C6B9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74A6D0AE">
            <w:pPr>
              <w:spacing w:line="500" w:lineRule="exact"/>
              <w:jc w:val="center"/>
              <w:rPr>
                <w:rFonts w:hint="eastAsia" w:ascii="宋体" w:hAnsi="宋体"/>
                <w:color w:val="auto"/>
                <w:szCs w:val="21"/>
              </w:rPr>
            </w:pPr>
            <w:r>
              <w:rPr>
                <w:rFonts w:hint="eastAsia" w:ascii="宋体" w:hAnsi="宋体"/>
                <w:color w:val="auto"/>
                <w:szCs w:val="21"/>
              </w:rPr>
              <w:t>注册资金</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306080E4">
            <w:pPr>
              <w:spacing w:line="500" w:lineRule="exact"/>
              <w:rPr>
                <w:rFonts w:hint="eastAsia" w:ascii="宋体" w:hAnsi="宋体"/>
                <w:color w:val="auto"/>
                <w:szCs w:val="21"/>
              </w:rPr>
            </w:pPr>
          </w:p>
        </w:tc>
      </w:tr>
      <w:tr w14:paraId="373FB4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0C6AB878">
            <w:pPr>
              <w:spacing w:line="500" w:lineRule="exact"/>
              <w:jc w:val="center"/>
              <w:rPr>
                <w:rFonts w:hint="eastAsia" w:ascii="宋体" w:hAnsi="宋体"/>
                <w:color w:val="auto"/>
                <w:szCs w:val="21"/>
              </w:rPr>
            </w:pPr>
            <w:r>
              <w:rPr>
                <w:rFonts w:hint="eastAsia" w:ascii="宋体" w:hAnsi="宋体"/>
                <w:color w:val="auto"/>
                <w:szCs w:val="21"/>
              </w:rPr>
              <w:t>开户银行</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722260C3">
            <w:pPr>
              <w:spacing w:line="500" w:lineRule="exact"/>
              <w:rPr>
                <w:rFonts w:hint="eastAsia" w:ascii="宋体" w:hAnsi="宋体"/>
                <w:color w:val="auto"/>
                <w:szCs w:val="21"/>
              </w:rPr>
            </w:pPr>
          </w:p>
        </w:tc>
      </w:tr>
      <w:tr w14:paraId="613888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1A75E529">
            <w:pPr>
              <w:spacing w:line="500" w:lineRule="exact"/>
              <w:jc w:val="center"/>
              <w:rPr>
                <w:rFonts w:hint="eastAsia" w:ascii="宋体" w:hAnsi="宋体"/>
                <w:color w:val="auto"/>
                <w:szCs w:val="21"/>
              </w:rPr>
            </w:pPr>
            <w:r>
              <w:rPr>
                <w:rFonts w:hint="eastAsia" w:ascii="宋体" w:hAnsi="宋体"/>
                <w:color w:val="auto"/>
                <w:szCs w:val="21"/>
              </w:rPr>
              <w:t>账号</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79EF230A">
            <w:pPr>
              <w:spacing w:line="500" w:lineRule="exact"/>
              <w:rPr>
                <w:rFonts w:hint="eastAsia" w:ascii="宋体" w:hAnsi="宋体"/>
                <w:color w:val="auto"/>
                <w:szCs w:val="21"/>
              </w:rPr>
            </w:pPr>
          </w:p>
        </w:tc>
      </w:tr>
      <w:tr w14:paraId="0E435E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61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04D72844">
            <w:pPr>
              <w:spacing w:line="500" w:lineRule="exact"/>
              <w:jc w:val="center"/>
              <w:rPr>
                <w:rFonts w:hint="eastAsia" w:ascii="宋体" w:hAnsi="宋体"/>
                <w:color w:val="auto"/>
                <w:szCs w:val="21"/>
              </w:rPr>
            </w:pPr>
            <w:r>
              <w:rPr>
                <w:rFonts w:hint="eastAsia" w:ascii="宋体" w:hAnsi="宋体"/>
                <w:color w:val="auto"/>
                <w:szCs w:val="21"/>
              </w:rPr>
              <w:t>经营范围</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33123B0E">
            <w:pPr>
              <w:spacing w:line="500" w:lineRule="exact"/>
              <w:rPr>
                <w:rFonts w:hint="eastAsia" w:ascii="宋体" w:hAnsi="宋体"/>
                <w:color w:val="auto"/>
                <w:szCs w:val="21"/>
              </w:rPr>
            </w:pPr>
          </w:p>
        </w:tc>
      </w:tr>
      <w:tr w14:paraId="3B63F9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1" w:hRule="atLeast"/>
          <w:jc w:val="center"/>
        </w:trPr>
        <w:tc>
          <w:tcPr>
            <w:tcW w:w="1665" w:type="dxa"/>
            <w:tcBorders>
              <w:top w:val="single" w:color="auto" w:sz="6" w:space="0"/>
              <w:left w:val="single" w:color="auto" w:sz="18" w:space="0"/>
              <w:bottom w:val="single" w:color="auto" w:sz="18" w:space="0"/>
              <w:right w:val="single" w:color="auto" w:sz="6" w:space="0"/>
            </w:tcBorders>
            <w:noWrap w:val="0"/>
            <w:vAlign w:val="top"/>
          </w:tcPr>
          <w:p w14:paraId="24B561B1">
            <w:pPr>
              <w:spacing w:line="500" w:lineRule="exact"/>
              <w:jc w:val="center"/>
              <w:rPr>
                <w:rFonts w:hint="eastAsia" w:ascii="宋体" w:hAnsi="宋体"/>
                <w:color w:val="auto"/>
                <w:szCs w:val="21"/>
              </w:rPr>
            </w:pPr>
            <w:r>
              <w:rPr>
                <w:rFonts w:hint="eastAsia" w:ascii="宋体" w:hAnsi="宋体"/>
                <w:color w:val="auto"/>
                <w:szCs w:val="21"/>
              </w:rPr>
              <w:t>备注</w:t>
            </w:r>
          </w:p>
        </w:tc>
        <w:tc>
          <w:tcPr>
            <w:tcW w:w="7324" w:type="dxa"/>
            <w:gridSpan w:val="5"/>
            <w:tcBorders>
              <w:top w:val="single" w:color="auto" w:sz="6" w:space="0"/>
              <w:left w:val="single" w:color="auto" w:sz="6" w:space="0"/>
              <w:bottom w:val="single" w:color="auto" w:sz="18" w:space="0"/>
              <w:right w:val="single" w:color="auto" w:sz="18" w:space="0"/>
            </w:tcBorders>
            <w:noWrap w:val="0"/>
            <w:vAlign w:val="top"/>
          </w:tcPr>
          <w:p w14:paraId="360FEFA3">
            <w:pPr>
              <w:spacing w:line="500" w:lineRule="exact"/>
              <w:rPr>
                <w:rFonts w:hint="eastAsia" w:ascii="宋体" w:hAnsi="宋体"/>
                <w:color w:val="auto"/>
                <w:szCs w:val="21"/>
              </w:rPr>
            </w:pPr>
          </w:p>
        </w:tc>
      </w:tr>
    </w:tbl>
    <w:p w14:paraId="3AE84001">
      <w:pPr>
        <w:pStyle w:val="3"/>
        <w:rPr>
          <w:rFonts w:hint="eastAsia"/>
          <w:lang w:val="en-US" w:eastAsia="zh-CN"/>
        </w:rPr>
      </w:pPr>
    </w:p>
    <w:p w14:paraId="1B6EEB5A">
      <w:pPr>
        <w:spacing w:line="360" w:lineRule="auto"/>
        <w:rPr>
          <w:rFonts w:eastAsia="黑体"/>
          <w:bCs/>
          <w:color w:val="auto"/>
          <w:sz w:val="24"/>
        </w:rPr>
      </w:pPr>
    </w:p>
    <w:p w14:paraId="677A9FAF">
      <w:pPr>
        <w:pStyle w:val="3"/>
        <w:rPr>
          <w:rFonts w:eastAsia="黑体"/>
          <w:bCs/>
          <w:color w:val="auto"/>
          <w:sz w:val="24"/>
        </w:rPr>
      </w:pPr>
    </w:p>
    <w:p w14:paraId="0BFDA66A">
      <w:pPr>
        <w:pStyle w:val="4"/>
        <w:rPr>
          <w:rFonts w:eastAsia="黑体"/>
          <w:bCs/>
          <w:color w:val="auto"/>
          <w:sz w:val="24"/>
        </w:rPr>
      </w:pPr>
    </w:p>
    <w:p w14:paraId="273436B7">
      <w:pPr>
        <w:pStyle w:val="4"/>
        <w:rPr>
          <w:rFonts w:eastAsia="黑体"/>
          <w:bCs/>
          <w:color w:val="auto"/>
          <w:sz w:val="24"/>
        </w:rPr>
      </w:pPr>
    </w:p>
    <w:p w14:paraId="01CE6684">
      <w:pPr>
        <w:pStyle w:val="4"/>
        <w:rPr>
          <w:rFonts w:eastAsia="黑体"/>
          <w:bCs/>
          <w:color w:val="auto"/>
          <w:sz w:val="24"/>
        </w:rPr>
      </w:pPr>
    </w:p>
    <w:p w14:paraId="3A45B354">
      <w:pPr>
        <w:pStyle w:val="4"/>
        <w:rPr>
          <w:rFonts w:eastAsia="黑体"/>
          <w:bCs/>
          <w:color w:val="auto"/>
          <w:sz w:val="24"/>
        </w:rPr>
      </w:pPr>
    </w:p>
    <w:p w14:paraId="2B1394B2">
      <w:pPr>
        <w:pStyle w:val="4"/>
        <w:rPr>
          <w:rFonts w:eastAsia="黑体"/>
          <w:bCs/>
          <w:color w:val="auto"/>
          <w:sz w:val="24"/>
        </w:rPr>
      </w:pPr>
    </w:p>
    <w:p w14:paraId="5C515814">
      <w:pPr>
        <w:pStyle w:val="4"/>
        <w:rPr>
          <w:rFonts w:eastAsia="黑体"/>
          <w:bCs/>
          <w:color w:val="auto"/>
          <w:sz w:val="24"/>
        </w:rPr>
      </w:pPr>
    </w:p>
    <w:p w14:paraId="281189AE">
      <w:pPr>
        <w:pStyle w:val="4"/>
        <w:rPr>
          <w:rFonts w:eastAsia="黑体"/>
          <w:bCs/>
          <w:color w:val="auto"/>
          <w:sz w:val="24"/>
        </w:rPr>
      </w:pPr>
    </w:p>
    <w:p w14:paraId="3A0DC0CA">
      <w:pPr>
        <w:pStyle w:val="4"/>
        <w:rPr>
          <w:rFonts w:eastAsia="黑体"/>
          <w:bCs/>
          <w:color w:val="auto"/>
          <w:sz w:val="24"/>
        </w:rPr>
      </w:pPr>
    </w:p>
    <w:p w14:paraId="7499B2F0">
      <w:pPr>
        <w:pStyle w:val="4"/>
        <w:rPr>
          <w:rFonts w:eastAsia="黑体"/>
          <w:bCs/>
          <w:color w:val="auto"/>
          <w:sz w:val="24"/>
        </w:rPr>
      </w:pPr>
    </w:p>
    <w:p w14:paraId="292FC608">
      <w:pPr>
        <w:pStyle w:val="4"/>
        <w:rPr>
          <w:rFonts w:eastAsia="黑体"/>
          <w:bCs/>
          <w:color w:val="auto"/>
          <w:sz w:val="24"/>
        </w:rPr>
      </w:pPr>
    </w:p>
    <w:p w14:paraId="6FB52C72">
      <w:pPr>
        <w:pStyle w:val="4"/>
        <w:ind w:left="0" w:leftChars="0" w:firstLine="0" w:firstLineChars="0"/>
        <w:jc w:val="center"/>
        <w:rPr>
          <w:rFonts w:eastAsia="黑体"/>
          <w:bCs/>
          <w:color w:val="auto"/>
          <w:sz w:val="24"/>
        </w:rPr>
      </w:pPr>
      <w:r>
        <w:rPr>
          <w:rFonts w:hint="eastAsia" w:eastAsia="黑体"/>
          <w:bCs/>
          <w:color w:val="auto"/>
          <w:sz w:val="24"/>
          <w:lang w:eastAsia="zh-CN"/>
        </w:rPr>
        <w:t>（二）</w:t>
      </w:r>
      <w:r>
        <w:rPr>
          <w:rFonts w:hint="eastAsia" w:eastAsia="黑体"/>
          <w:bCs/>
          <w:color w:val="auto"/>
          <w:sz w:val="24"/>
        </w:rPr>
        <w:t>供应商的资格声明</w:t>
      </w:r>
    </w:p>
    <w:p w14:paraId="50A9FB44">
      <w:pPr>
        <w:spacing w:line="360" w:lineRule="auto"/>
        <w:rPr>
          <w:color w:val="auto"/>
          <w:sz w:val="24"/>
          <w:szCs w:val="24"/>
        </w:rPr>
      </w:pPr>
      <w:r>
        <w:rPr>
          <w:rFonts w:hint="eastAsia" w:ascii="宋体" w:hAnsi="宋体"/>
          <w:color w:val="auto"/>
          <w:kern w:val="0"/>
          <w:sz w:val="24"/>
          <w:szCs w:val="24"/>
        </w:rPr>
        <w:t>致</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eastAsia="zh-CN"/>
        </w:rPr>
        <w:t>采购人</w:t>
      </w:r>
      <w:r>
        <w:rPr>
          <w:rFonts w:hint="eastAsia" w:ascii="宋体" w:hAnsi="宋体"/>
          <w:color w:val="auto"/>
          <w:kern w:val="0"/>
          <w:sz w:val="24"/>
          <w:szCs w:val="24"/>
          <w:u w:val="single"/>
        </w:rPr>
        <w:t xml:space="preserve">名称）         </w:t>
      </w:r>
      <w:r>
        <w:rPr>
          <w:rFonts w:hint="eastAsia" w:ascii="宋体" w:cs="宋体"/>
          <w:color w:val="auto"/>
          <w:sz w:val="24"/>
          <w:szCs w:val="24"/>
          <w:lang w:val="zh-CN"/>
        </w:rPr>
        <w:t>：</w:t>
      </w:r>
    </w:p>
    <w:p w14:paraId="0BF21DB8">
      <w:pPr>
        <w:spacing w:line="360" w:lineRule="auto"/>
        <w:ind w:firstLine="480" w:firstLineChars="200"/>
        <w:rPr>
          <w:rFonts w:ascii="宋体" w:hAnsi="宋体"/>
          <w:color w:val="auto"/>
          <w:sz w:val="24"/>
          <w:szCs w:val="24"/>
        </w:rPr>
      </w:pPr>
      <w:r>
        <w:rPr>
          <w:rFonts w:hint="eastAsia" w:ascii="宋体" w:cs="宋体"/>
          <w:color w:val="auto"/>
          <w:sz w:val="24"/>
          <w:szCs w:val="24"/>
          <w:lang w:val="zh-CN"/>
        </w:rPr>
        <w:t>按照《中华人民共和国政府采购</w:t>
      </w:r>
      <w:r>
        <w:rPr>
          <w:rFonts w:hint="eastAsia" w:ascii="宋体" w:hAnsi="宋体" w:cs="宋体"/>
          <w:color w:val="auto"/>
          <w:sz w:val="24"/>
          <w:szCs w:val="24"/>
          <w:lang w:val="zh-CN"/>
        </w:rPr>
        <w:t>法》第</w:t>
      </w:r>
      <w:r>
        <w:rPr>
          <w:rFonts w:hint="eastAsia" w:ascii="宋体" w:hAnsi="宋体" w:cs="宋体"/>
          <w:color w:val="auto"/>
          <w:sz w:val="24"/>
          <w:szCs w:val="24"/>
        </w:rPr>
        <w:t>22</w:t>
      </w:r>
      <w:r>
        <w:rPr>
          <w:rFonts w:hint="eastAsia" w:ascii="宋体" w:hAnsi="宋体" w:cs="宋体"/>
          <w:color w:val="auto"/>
          <w:sz w:val="24"/>
          <w:szCs w:val="24"/>
          <w:lang w:val="zh-CN"/>
        </w:rPr>
        <w:t>条和</w:t>
      </w:r>
      <w:r>
        <w:rPr>
          <w:rFonts w:hint="eastAsia" w:ascii="宋体" w:cs="宋体"/>
          <w:color w:val="auto"/>
          <w:sz w:val="24"/>
          <w:szCs w:val="24"/>
          <w:lang w:val="zh-CN"/>
        </w:rPr>
        <w:t>你采购代理公司发布的《</w:t>
      </w:r>
      <w:r>
        <w:rPr>
          <w:rFonts w:ascii="宋体" w:cs="宋体"/>
          <w:color w:val="auto"/>
          <w:sz w:val="24"/>
          <w:szCs w:val="24"/>
          <w:u w:val="single"/>
          <w:lang w:val="zh-CN"/>
        </w:rPr>
        <w:t xml:space="preserve"> </w:t>
      </w:r>
      <w:r>
        <w:rPr>
          <w:rFonts w:hint="eastAsia" w:ascii="宋体" w:cs="宋体"/>
          <w:color w:val="auto"/>
          <w:sz w:val="24"/>
          <w:szCs w:val="24"/>
          <w:u w:val="single"/>
          <w:lang w:val="zh-CN"/>
        </w:rPr>
        <w:t>项目名称</w:t>
      </w:r>
      <w:r>
        <w:rPr>
          <w:rFonts w:hint="eastAsia" w:ascii="宋体" w:cs="宋体"/>
          <w:color w:val="auto"/>
          <w:sz w:val="24"/>
          <w:szCs w:val="24"/>
          <w:lang w:val="zh-CN"/>
        </w:rPr>
        <w:t>》（</w:t>
      </w:r>
      <w:r>
        <w:rPr>
          <w:rFonts w:hint="eastAsia" w:ascii="宋体" w:hAnsi="宋体"/>
          <w:color w:val="auto"/>
          <w:sz w:val="24"/>
          <w:szCs w:val="24"/>
        </w:rPr>
        <w:t xml:space="preserve"> </w:t>
      </w:r>
      <w:r>
        <w:rPr>
          <w:rFonts w:hint="eastAsia" w:ascii="宋体" w:cs="宋体"/>
          <w:color w:val="auto"/>
          <w:sz w:val="24"/>
          <w:szCs w:val="24"/>
          <w:lang w:val="zh-CN"/>
        </w:rPr>
        <w:t>项目编号）的规定，我公司郑重声明如下：</w:t>
      </w:r>
    </w:p>
    <w:p w14:paraId="5D09431D">
      <w:pPr>
        <w:spacing w:line="360" w:lineRule="auto"/>
        <w:ind w:firstLine="480"/>
        <w:rPr>
          <w:color w:val="auto"/>
          <w:sz w:val="24"/>
          <w:szCs w:val="24"/>
        </w:rPr>
      </w:pPr>
      <w:r>
        <w:rPr>
          <w:color w:val="auto"/>
          <w:sz w:val="24"/>
          <w:szCs w:val="24"/>
        </w:rPr>
        <w:t>1</w:t>
      </w:r>
      <w:r>
        <w:rPr>
          <w:rFonts w:hint="eastAsia" w:ascii="宋体" w:cs="宋体"/>
          <w:color w:val="auto"/>
          <w:sz w:val="24"/>
          <w:szCs w:val="24"/>
          <w:lang w:val="zh-CN"/>
        </w:rPr>
        <w:t>、我公司是按照中华人民共和国法律在工商管理机关登记注册的企业法人，注册地点为</w:t>
      </w:r>
      <w:r>
        <w:rPr>
          <w:color w:val="auto"/>
          <w:sz w:val="24"/>
          <w:szCs w:val="24"/>
          <w:u w:val="single"/>
        </w:rPr>
        <w:t xml:space="preserve">         </w:t>
      </w:r>
      <w:r>
        <w:rPr>
          <w:rFonts w:hint="eastAsia" w:ascii="宋体" w:cs="宋体"/>
          <w:color w:val="auto"/>
          <w:sz w:val="24"/>
          <w:szCs w:val="24"/>
          <w:lang w:val="zh-CN"/>
        </w:rPr>
        <w:t>，公司全称为</w:t>
      </w:r>
      <w:r>
        <w:rPr>
          <w:color w:val="auto"/>
          <w:sz w:val="24"/>
          <w:szCs w:val="24"/>
          <w:u w:val="single"/>
        </w:rPr>
        <w:t xml:space="preserve">        </w:t>
      </w:r>
      <w:r>
        <w:rPr>
          <w:rFonts w:hint="eastAsia" w:ascii="宋体" w:cs="宋体"/>
          <w:color w:val="auto"/>
          <w:sz w:val="24"/>
          <w:szCs w:val="24"/>
          <w:lang w:val="zh-CN"/>
        </w:rPr>
        <w:t>，法定代表人为</w:t>
      </w:r>
      <w:r>
        <w:rPr>
          <w:color w:val="auto"/>
          <w:sz w:val="24"/>
          <w:szCs w:val="24"/>
          <w:u w:val="single"/>
        </w:rPr>
        <w:t xml:space="preserve">         </w:t>
      </w:r>
      <w:r>
        <w:rPr>
          <w:rFonts w:hint="eastAsia" w:ascii="宋体" w:cs="宋体"/>
          <w:color w:val="auto"/>
          <w:sz w:val="24"/>
          <w:szCs w:val="24"/>
          <w:lang w:val="zh-CN"/>
        </w:rPr>
        <w:t>，具有独立承担民事责任的能力。</w:t>
      </w:r>
    </w:p>
    <w:p w14:paraId="434586BD">
      <w:pPr>
        <w:spacing w:line="360" w:lineRule="auto"/>
        <w:ind w:firstLine="480"/>
        <w:rPr>
          <w:color w:val="auto"/>
          <w:sz w:val="24"/>
          <w:szCs w:val="24"/>
        </w:rPr>
      </w:pPr>
      <w:r>
        <w:rPr>
          <w:color w:val="auto"/>
          <w:sz w:val="24"/>
          <w:szCs w:val="24"/>
        </w:rPr>
        <w:t>2</w:t>
      </w:r>
      <w:r>
        <w:rPr>
          <w:rFonts w:hint="eastAsia" w:ascii="宋体" w:cs="宋体"/>
          <w:color w:val="auto"/>
          <w:sz w:val="24"/>
          <w:szCs w:val="24"/>
          <w:lang w:val="zh-CN"/>
        </w:rPr>
        <w:t>、我公司具有良好的商业信誉和健全的财务会计制度。</w:t>
      </w:r>
    </w:p>
    <w:p w14:paraId="4AFAF759">
      <w:pPr>
        <w:spacing w:line="360" w:lineRule="auto"/>
        <w:ind w:firstLine="480"/>
        <w:rPr>
          <w:color w:val="auto"/>
          <w:sz w:val="24"/>
          <w:szCs w:val="24"/>
        </w:rPr>
      </w:pPr>
      <w:r>
        <w:rPr>
          <w:color w:val="auto"/>
          <w:sz w:val="24"/>
          <w:szCs w:val="24"/>
        </w:rPr>
        <w:t>3</w:t>
      </w:r>
      <w:r>
        <w:rPr>
          <w:rFonts w:hint="eastAsia" w:ascii="宋体" w:cs="宋体"/>
          <w:color w:val="auto"/>
          <w:sz w:val="24"/>
          <w:szCs w:val="24"/>
          <w:lang w:val="zh-CN"/>
        </w:rPr>
        <w:t>、我公司具有履行本项目采购合同所必需的设备和专业技术能力。</w:t>
      </w:r>
    </w:p>
    <w:p w14:paraId="6CEC1601">
      <w:pPr>
        <w:spacing w:line="360" w:lineRule="auto"/>
        <w:ind w:firstLine="480"/>
        <w:rPr>
          <w:color w:val="auto"/>
          <w:sz w:val="24"/>
          <w:szCs w:val="24"/>
        </w:rPr>
      </w:pPr>
      <w:r>
        <w:rPr>
          <w:color w:val="auto"/>
          <w:sz w:val="24"/>
          <w:szCs w:val="24"/>
        </w:rPr>
        <w:t>4</w:t>
      </w:r>
      <w:r>
        <w:rPr>
          <w:rFonts w:hint="eastAsia" w:ascii="宋体" w:cs="宋体"/>
          <w:color w:val="auto"/>
          <w:sz w:val="24"/>
          <w:szCs w:val="24"/>
          <w:lang w:val="zh-CN"/>
        </w:rPr>
        <w:t>、我公司具有依法缴纳税收和社会保障资金的良好记录。</w:t>
      </w:r>
    </w:p>
    <w:p w14:paraId="2ADA6308">
      <w:pPr>
        <w:spacing w:line="360" w:lineRule="auto"/>
        <w:ind w:firstLine="480"/>
        <w:rPr>
          <w:color w:val="auto"/>
          <w:sz w:val="24"/>
          <w:szCs w:val="24"/>
        </w:rPr>
      </w:pPr>
      <w:r>
        <w:rPr>
          <w:color w:val="auto"/>
          <w:sz w:val="24"/>
          <w:szCs w:val="24"/>
        </w:rPr>
        <w:t>5</w:t>
      </w:r>
      <w:r>
        <w:rPr>
          <w:rFonts w:hint="eastAsia" w:ascii="宋体" w:cs="宋体"/>
          <w:color w:val="auto"/>
          <w:sz w:val="24"/>
          <w:szCs w:val="24"/>
          <w:lang w:val="zh-CN"/>
        </w:rPr>
        <w:t>、我公司在参与本次政府采购活动之前三年内，在经营活动中无重大违法记录。</w:t>
      </w:r>
    </w:p>
    <w:p w14:paraId="2795C952">
      <w:pPr>
        <w:spacing w:line="360" w:lineRule="auto"/>
        <w:ind w:firstLine="480"/>
        <w:rPr>
          <w:color w:val="auto"/>
          <w:sz w:val="24"/>
          <w:szCs w:val="24"/>
        </w:rPr>
      </w:pPr>
      <w:r>
        <w:rPr>
          <w:color w:val="auto"/>
          <w:sz w:val="24"/>
          <w:szCs w:val="24"/>
        </w:rPr>
        <w:t>6</w:t>
      </w:r>
      <w:r>
        <w:rPr>
          <w:rFonts w:hint="eastAsia" w:ascii="宋体" w:cs="宋体"/>
          <w:color w:val="auto"/>
          <w:sz w:val="24"/>
          <w:szCs w:val="24"/>
          <w:lang w:val="zh-CN"/>
        </w:rPr>
        <w:t>、我公司在参与本次政府采购活动时未受到任何地方政府采购部门作出的暂停参加政府采购活动的处罚。</w:t>
      </w:r>
    </w:p>
    <w:p w14:paraId="01B5049E">
      <w:pPr>
        <w:spacing w:line="360" w:lineRule="auto"/>
        <w:ind w:firstLine="480"/>
        <w:rPr>
          <w:color w:val="auto"/>
          <w:sz w:val="24"/>
          <w:szCs w:val="24"/>
        </w:rPr>
      </w:pPr>
      <w:r>
        <w:rPr>
          <w:rFonts w:hint="eastAsia" w:ascii="宋体" w:cs="宋体"/>
          <w:color w:val="auto"/>
          <w:sz w:val="24"/>
          <w:szCs w:val="24"/>
          <w:lang w:val="zh-CN"/>
        </w:rPr>
        <w:t>我公司保证上述声明的事项都是真实的，如有虚假，我公司承担相应的法律责任，并承担因此给你</w:t>
      </w:r>
      <w:r>
        <w:rPr>
          <w:rFonts w:hint="eastAsia" w:ascii="宋体" w:cs="宋体"/>
          <w:color w:val="auto"/>
          <w:sz w:val="24"/>
          <w:szCs w:val="24"/>
          <w:lang w:val="zh-CN" w:eastAsia="zh-CN"/>
        </w:rPr>
        <w:t>公司</w:t>
      </w:r>
      <w:r>
        <w:rPr>
          <w:rFonts w:hint="eastAsia" w:ascii="宋体" w:cs="宋体"/>
          <w:color w:val="auto"/>
          <w:sz w:val="24"/>
          <w:szCs w:val="24"/>
          <w:lang w:val="zh-CN"/>
        </w:rPr>
        <w:t>以及本项目采购人所造成的损失。</w:t>
      </w:r>
    </w:p>
    <w:p w14:paraId="35F89968">
      <w:pPr>
        <w:spacing w:line="360" w:lineRule="auto"/>
        <w:ind w:firstLine="480"/>
        <w:rPr>
          <w:color w:val="auto"/>
          <w:sz w:val="24"/>
          <w:szCs w:val="24"/>
        </w:rPr>
      </w:pPr>
      <w:r>
        <w:rPr>
          <w:rFonts w:hint="eastAsia" w:ascii="宋体" w:cs="宋体"/>
          <w:color w:val="auto"/>
          <w:sz w:val="24"/>
          <w:szCs w:val="24"/>
          <w:lang w:val="zh-CN"/>
        </w:rPr>
        <w:t>我公司已经按照招标文件的要求提交了所要求提交的能够证明上述声明事项真实性的全部文件材料，并保证随时按照你公司的要求提供能够证明上述声明事项真实性的任何有效文件。</w:t>
      </w:r>
    </w:p>
    <w:p w14:paraId="0E050D1A">
      <w:pPr>
        <w:spacing w:line="360" w:lineRule="auto"/>
        <w:ind w:firstLine="480"/>
        <w:rPr>
          <w:color w:val="auto"/>
          <w:sz w:val="24"/>
          <w:szCs w:val="24"/>
        </w:rPr>
      </w:pPr>
    </w:p>
    <w:p w14:paraId="361A4F85">
      <w:pPr>
        <w:spacing w:line="360" w:lineRule="auto"/>
        <w:ind w:firstLine="480"/>
        <w:rPr>
          <w:color w:val="auto"/>
          <w:sz w:val="24"/>
          <w:szCs w:val="24"/>
        </w:rPr>
      </w:pPr>
    </w:p>
    <w:p w14:paraId="292530EA">
      <w:pPr>
        <w:spacing w:line="360" w:lineRule="auto"/>
        <w:ind w:firstLine="480"/>
        <w:rPr>
          <w:color w:val="auto"/>
          <w:sz w:val="24"/>
          <w:szCs w:val="24"/>
        </w:rPr>
      </w:pPr>
      <w:r>
        <w:rPr>
          <w:rFonts w:hint="eastAsia" w:ascii="宋体" w:cs="宋体"/>
          <w:color w:val="auto"/>
          <w:sz w:val="24"/>
          <w:szCs w:val="24"/>
          <w:lang w:val="zh-CN"/>
        </w:rPr>
        <w:t>投标人名称全称</w:t>
      </w:r>
      <w:r>
        <w:rPr>
          <w:rFonts w:hint="eastAsia" w:ascii="黑体" w:eastAsia="黑体" w:cs="黑体"/>
          <w:bCs/>
          <w:color w:val="auto"/>
          <w:sz w:val="24"/>
          <w:szCs w:val="24"/>
          <w:lang w:val="zh-CN"/>
        </w:rPr>
        <w:t>（加盖公章）</w:t>
      </w:r>
      <w:r>
        <w:rPr>
          <w:rFonts w:hint="eastAsia" w:ascii="宋体" w:cs="宋体"/>
          <w:color w:val="auto"/>
          <w:sz w:val="24"/>
          <w:szCs w:val="24"/>
          <w:lang w:val="zh-CN"/>
        </w:rPr>
        <w:t>：</w:t>
      </w:r>
    </w:p>
    <w:p w14:paraId="6F0B152C">
      <w:pPr>
        <w:spacing w:line="360" w:lineRule="auto"/>
        <w:ind w:firstLine="480"/>
        <w:rPr>
          <w:color w:val="auto"/>
          <w:sz w:val="24"/>
          <w:szCs w:val="24"/>
        </w:rPr>
      </w:pPr>
      <w:r>
        <w:rPr>
          <w:rFonts w:hint="eastAsia" w:ascii="宋体" w:cs="宋体"/>
          <w:color w:val="auto"/>
          <w:sz w:val="24"/>
          <w:szCs w:val="24"/>
          <w:lang w:val="zh-CN"/>
        </w:rPr>
        <w:t>时间：</w:t>
      </w:r>
      <w:r>
        <w:rPr>
          <w:color w:val="auto"/>
          <w:sz w:val="24"/>
          <w:szCs w:val="24"/>
        </w:rPr>
        <w:t xml:space="preserve">  </w:t>
      </w:r>
      <w:r>
        <w:rPr>
          <w:rFonts w:hint="eastAsia" w:ascii="宋体" w:cs="宋体"/>
          <w:color w:val="auto"/>
          <w:sz w:val="24"/>
          <w:szCs w:val="24"/>
          <w:lang w:val="zh-CN"/>
        </w:rPr>
        <w:t>年</w:t>
      </w:r>
      <w:r>
        <w:rPr>
          <w:color w:val="auto"/>
          <w:sz w:val="24"/>
          <w:szCs w:val="24"/>
        </w:rPr>
        <w:t xml:space="preserve">  </w:t>
      </w:r>
      <w:r>
        <w:rPr>
          <w:rFonts w:hint="eastAsia" w:ascii="宋体" w:cs="宋体"/>
          <w:color w:val="auto"/>
          <w:sz w:val="24"/>
          <w:szCs w:val="24"/>
          <w:lang w:val="zh-CN"/>
        </w:rPr>
        <w:t>月</w:t>
      </w:r>
      <w:r>
        <w:rPr>
          <w:color w:val="auto"/>
          <w:sz w:val="24"/>
          <w:szCs w:val="24"/>
        </w:rPr>
        <w:t xml:space="preserve">  </w:t>
      </w:r>
      <w:r>
        <w:rPr>
          <w:rFonts w:hint="eastAsia" w:ascii="宋体" w:cs="宋体"/>
          <w:color w:val="auto"/>
          <w:sz w:val="24"/>
          <w:szCs w:val="24"/>
          <w:lang w:val="zh-CN"/>
        </w:rPr>
        <w:t>日</w:t>
      </w:r>
    </w:p>
    <w:p w14:paraId="2DAF28EF">
      <w:pPr>
        <w:widowControl/>
        <w:spacing w:line="276" w:lineRule="auto"/>
        <w:jc w:val="left"/>
        <w:rPr>
          <w:rFonts w:hint="eastAsia"/>
        </w:rPr>
      </w:pPr>
    </w:p>
    <w:p w14:paraId="44C9594D">
      <w:pPr>
        <w:pStyle w:val="3"/>
        <w:rPr>
          <w:rFonts w:hint="eastAsia"/>
        </w:rPr>
      </w:pPr>
    </w:p>
    <w:p w14:paraId="704F18B4">
      <w:pPr>
        <w:pStyle w:val="4"/>
        <w:rPr>
          <w:rFonts w:hint="eastAsia"/>
        </w:rPr>
      </w:pPr>
    </w:p>
    <w:p w14:paraId="4889F6C3">
      <w:pPr>
        <w:pStyle w:val="4"/>
        <w:rPr>
          <w:rFonts w:hint="eastAsia"/>
        </w:rPr>
      </w:pPr>
    </w:p>
    <w:p w14:paraId="069479A7">
      <w:pPr>
        <w:pStyle w:val="4"/>
        <w:rPr>
          <w:rFonts w:hint="eastAsia"/>
        </w:rPr>
      </w:pPr>
    </w:p>
    <w:p w14:paraId="1D61CD8B">
      <w:pPr>
        <w:pStyle w:val="4"/>
        <w:rPr>
          <w:rFonts w:hint="eastAsia"/>
        </w:rPr>
      </w:pPr>
    </w:p>
    <w:p w14:paraId="6AF8ED7E">
      <w:pPr>
        <w:pStyle w:val="4"/>
        <w:rPr>
          <w:rFonts w:hint="eastAsia"/>
        </w:rPr>
      </w:pPr>
    </w:p>
    <w:p w14:paraId="28E5788A">
      <w:pPr>
        <w:pStyle w:val="4"/>
        <w:rPr>
          <w:rFonts w:hint="eastAsia"/>
        </w:rPr>
      </w:pPr>
    </w:p>
    <w:p w14:paraId="422AB48A">
      <w:pPr>
        <w:pStyle w:val="4"/>
        <w:rPr>
          <w:rFonts w:hint="eastAsia"/>
        </w:rPr>
      </w:pPr>
    </w:p>
    <w:p w14:paraId="38A49405">
      <w:pPr>
        <w:pStyle w:val="4"/>
        <w:ind w:left="0" w:leftChars="0" w:firstLine="0" w:firstLineChars="0"/>
        <w:jc w:val="center"/>
        <w:rPr>
          <w:rFonts w:hint="eastAsia" w:hAnsi="Times New Roman" w:eastAsia="黑体" w:cs="Times New Roman"/>
          <w:bCs/>
          <w:color w:val="auto"/>
          <w:sz w:val="24"/>
          <w:lang w:val="en-US" w:eastAsia="zh-CN"/>
        </w:rPr>
      </w:pPr>
      <w:r>
        <w:rPr>
          <w:rFonts w:hint="eastAsia" w:hAnsi="Times New Roman" w:eastAsia="黑体" w:cs="Times New Roman"/>
          <w:bCs/>
          <w:color w:val="auto"/>
          <w:sz w:val="24"/>
          <w:lang w:val="en-US" w:eastAsia="zh-CN"/>
        </w:rPr>
        <w:t>（三）无弄虚作假承诺书</w:t>
      </w:r>
    </w:p>
    <w:p w14:paraId="724A8F71">
      <w:pPr>
        <w:spacing w:line="360" w:lineRule="auto"/>
        <w:ind w:firstLine="480"/>
        <w:rPr>
          <w:rFonts w:hint="eastAsia" w:ascii="宋体" w:hAnsi="Times New Roman" w:cs="宋体"/>
          <w:color w:val="auto"/>
          <w:sz w:val="24"/>
          <w:szCs w:val="24"/>
          <w:lang w:val="en-US" w:eastAsia="zh-CN"/>
        </w:rPr>
      </w:pPr>
      <w:r>
        <w:rPr>
          <w:rFonts w:hint="eastAsia" w:ascii="宋体" w:hAnsi="Times New Roman" w:cs="宋体"/>
          <w:color w:val="auto"/>
          <w:sz w:val="24"/>
          <w:szCs w:val="24"/>
          <w:lang w:val="en-US" w:eastAsia="zh-CN"/>
        </w:rPr>
        <w:t>我公司郑重承诺在本次投标中提供的任何资料均真实有效，没有弄虚作假行为，如果我公司在本次投标中获取中标资格，采购</w:t>
      </w:r>
      <w:r>
        <w:rPr>
          <w:rFonts w:hint="eastAsia" w:ascii="宋体" w:cs="宋体"/>
          <w:color w:val="auto"/>
          <w:sz w:val="24"/>
          <w:szCs w:val="24"/>
          <w:lang w:val="en-US" w:eastAsia="zh-CN"/>
        </w:rPr>
        <w:t>人</w:t>
      </w:r>
      <w:r>
        <w:rPr>
          <w:rFonts w:hint="eastAsia" w:ascii="宋体" w:hAnsi="Times New Roman" w:cs="宋体"/>
          <w:color w:val="auto"/>
          <w:sz w:val="24"/>
          <w:szCs w:val="24"/>
          <w:lang w:val="en-US" w:eastAsia="zh-CN"/>
        </w:rPr>
        <w:t>有权核实我方投标文件中资料的真实性，如果发现我公司有任何弄虚作假行为，采购人有权取消我公司中标资格。</w:t>
      </w:r>
    </w:p>
    <w:p w14:paraId="1F95EDE9">
      <w:pPr>
        <w:spacing w:line="360" w:lineRule="auto"/>
        <w:ind w:firstLine="480"/>
        <w:rPr>
          <w:rFonts w:hint="eastAsia" w:ascii="宋体" w:hAnsi="Times New Roman" w:cs="宋体"/>
          <w:color w:val="auto"/>
          <w:sz w:val="24"/>
          <w:szCs w:val="24"/>
          <w:lang w:val="en-US" w:eastAsia="zh-CN"/>
        </w:rPr>
      </w:pPr>
      <w:r>
        <w:rPr>
          <w:rFonts w:hint="eastAsia" w:ascii="宋体" w:hAnsi="Times New Roman" w:cs="宋体"/>
          <w:color w:val="auto"/>
          <w:sz w:val="24"/>
          <w:szCs w:val="24"/>
          <w:lang w:val="en-US" w:eastAsia="zh-CN"/>
        </w:rPr>
        <w:t>特此承诺。</w:t>
      </w:r>
    </w:p>
    <w:p w14:paraId="51156A89">
      <w:pPr>
        <w:pStyle w:val="4"/>
        <w:rPr>
          <w:rFonts w:hint="eastAsia"/>
          <w:lang w:val="en-US" w:eastAsia="zh-CN"/>
        </w:rPr>
      </w:pPr>
    </w:p>
    <w:p w14:paraId="2A347378">
      <w:pPr>
        <w:pStyle w:val="4"/>
        <w:rPr>
          <w:rFonts w:hint="eastAsia"/>
          <w:lang w:val="en-US" w:eastAsia="zh-CN"/>
        </w:rPr>
      </w:pPr>
    </w:p>
    <w:p w14:paraId="2A8935E7">
      <w:pPr>
        <w:pStyle w:val="4"/>
        <w:rPr>
          <w:rFonts w:hint="eastAsia"/>
          <w:lang w:val="en-US" w:eastAsia="zh-CN"/>
        </w:rPr>
      </w:pPr>
    </w:p>
    <w:p w14:paraId="6547305D">
      <w:pPr>
        <w:pStyle w:val="4"/>
        <w:rPr>
          <w:rFonts w:hint="eastAsia"/>
          <w:lang w:val="en-US" w:eastAsia="zh-CN"/>
        </w:rPr>
      </w:pPr>
    </w:p>
    <w:p w14:paraId="36ADFAF7">
      <w:pPr>
        <w:pStyle w:val="4"/>
        <w:rPr>
          <w:rFonts w:hint="eastAsia"/>
          <w:lang w:val="en-US" w:eastAsia="zh-CN"/>
        </w:rPr>
      </w:pPr>
    </w:p>
    <w:p w14:paraId="128ECA8A">
      <w:pPr>
        <w:pStyle w:val="4"/>
        <w:rPr>
          <w:rFonts w:hint="eastAsia"/>
          <w:lang w:val="en-US" w:eastAsia="zh-CN"/>
        </w:rPr>
      </w:pPr>
    </w:p>
    <w:p w14:paraId="6EAE5A44">
      <w:pPr>
        <w:pStyle w:val="4"/>
        <w:rPr>
          <w:rFonts w:hint="eastAsia"/>
          <w:lang w:val="en-US" w:eastAsia="zh-CN"/>
        </w:rPr>
      </w:pPr>
      <w:r>
        <w:rPr>
          <w:rFonts w:hint="eastAsia"/>
          <w:lang w:val="en-US" w:eastAsia="zh-CN"/>
        </w:rPr>
        <w:t>投标人（印刷体及公章）：</w:t>
      </w:r>
    </w:p>
    <w:p w14:paraId="2D52B63B">
      <w:pPr>
        <w:pStyle w:val="4"/>
        <w:rPr>
          <w:rFonts w:hint="eastAsia"/>
          <w:lang w:val="en-US" w:eastAsia="zh-CN"/>
        </w:rPr>
      </w:pPr>
    </w:p>
    <w:p w14:paraId="53D7A464">
      <w:pPr>
        <w:pStyle w:val="4"/>
        <w:rPr>
          <w:rFonts w:hint="eastAsia"/>
          <w:lang w:val="en-US" w:eastAsia="zh-CN"/>
        </w:rPr>
      </w:pPr>
      <w:r>
        <w:rPr>
          <w:rFonts w:hint="eastAsia"/>
          <w:lang w:val="en-US" w:eastAsia="zh-CN"/>
        </w:rPr>
        <w:t>法定代表人或授权委托人（签字或盖章）：</w:t>
      </w:r>
    </w:p>
    <w:p w14:paraId="0A6D5213">
      <w:pPr>
        <w:pStyle w:val="4"/>
        <w:rPr>
          <w:rFonts w:hint="eastAsia"/>
          <w:lang w:val="en-US" w:eastAsia="zh-CN"/>
        </w:rPr>
      </w:pPr>
    </w:p>
    <w:p w14:paraId="2F87D810">
      <w:pPr>
        <w:pStyle w:val="4"/>
        <w:rPr>
          <w:rFonts w:hint="eastAsia"/>
          <w:lang w:val="en-US" w:eastAsia="zh-CN"/>
        </w:rPr>
      </w:pPr>
    </w:p>
    <w:p w14:paraId="222667FE">
      <w:pPr>
        <w:pStyle w:val="4"/>
        <w:rPr>
          <w:rFonts w:hint="eastAsia"/>
          <w:lang w:val="en-US" w:eastAsia="zh-CN"/>
        </w:rPr>
      </w:pPr>
    </w:p>
    <w:p w14:paraId="118CD9C8">
      <w:pPr>
        <w:pStyle w:val="4"/>
        <w:rPr>
          <w:rFonts w:hint="eastAsia"/>
          <w:lang w:val="en-US" w:eastAsia="zh-CN"/>
        </w:rPr>
      </w:pPr>
    </w:p>
    <w:p w14:paraId="43BB3398">
      <w:pPr>
        <w:pStyle w:val="4"/>
        <w:rPr>
          <w:rFonts w:hint="eastAsia"/>
          <w:lang w:val="en-US" w:eastAsia="zh-CN"/>
        </w:rPr>
      </w:pPr>
    </w:p>
    <w:p w14:paraId="4FCB69D9">
      <w:pPr>
        <w:pStyle w:val="4"/>
        <w:rPr>
          <w:rFonts w:hint="eastAsia" w:eastAsia="宋体"/>
          <w:lang w:val="en-US" w:eastAsia="zh-CN"/>
        </w:rPr>
      </w:pPr>
      <w:r>
        <w:rPr>
          <w:rFonts w:hint="eastAsia"/>
          <w:lang w:val="en-US" w:eastAsia="zh-CN"/>
        </w:rPr>
        <w:t>日期：</w:t>
      </w:r>
    </w:p>
    <w:p w14:paraId="21824F0A">
      <w:pPr>
        <w:pStyle w:val="4"/>
        <w:rPr>
          <w:rFonts w:hint="eastAsia"/>
        </w:rPr>
      </w:pPr>
    </w:p>
    <w:p w14:paraId="220DE54D">
      <w:pPr>
        <w:pStyle w:val="4"/>
        <w:rPr>
          <w:rFonts w:hint="eastAsia"/>
        </w:rPr>
      </w:pPr>
    </w:p>
    <w:p w14:paraId="2632FB7C">
      <w:pPr>
        <w:pStyle w:val="4"/>
        <w:rPr>
          <w:rFonts w:hint="eastAsia"/>
        </w:rPr>
      </w:pPr>
    </w:p>
    <w:p w14:paraId="17034E66">
      <w:pPr>
        <w:pStyle w:val="4"/>
        <w:rPr>
          <w:rFonts w:hint="eastAsia"/>
        </w:rPr>
      </w:pPr>
    </w:p>
    <w:p w14:paraId="482D114F">
      <w:pPr>
        <w:pStyle w:val="4"/>
        <w:rPr>
          <w:rFonts w:hint="eastAsia"/>
        </w:rPr>
      </w:pPr>
    </w:p>
    <w:p w14:paraId="7A41C113">
      <w:pPr>
        <w:pStyle w:val="4"/>
        <w:rPr>
          <w:rFonts w:hint="eastAsia"/>
        </w:rPr>
      </w:pPr>
    </w:p>
    <w:p w14:paraId="6BB23477">
      <w:pPr>
        <w:pStyle w:val="4"/>
        <w:rPr>
          <w:rFonts w:hint="eastAsia"/>
        </w:rPr>
      </w:pPr>
    </w:p>
    <w:p w14:paraId="0E49D1FA">
      <w:pPr>
        <w:pStyle w:val="4"/>
        <w:rPr>
          <w:rFonts w:hint="eastAsia"/>
        </w:rPr>
      </w:pPr>
    </w:p>
    <w:p w14:paraId="2E632B48">
      <w:pPr>
        <w:pStyle w:val="4"/>
        <w:rPr>
          <w:rFonts w:hint="eastAsia"/>
        </w:rPr>
      </w:pPr>
    </w:p>
    <w:p w14:paraId="39982203">
      <w:pPr>
        <w:pStyle w:val="4"/>
        <w:rPr>
          <w:rFonts w:hint="eastAsia"/>
        </w:rPr>
      </w:pPr>
    </w:p>
    <w:p w14:paraId="7AEAF7F1">
      <w:pPr>
        <w:pStyle w:val="4"/>
        <w:rPr>
          <w:rFonts w:hint="eastAsia"/>
        </w:rPr>
      </w:pPr>
    </w:p>
    <w:p w14:paraId="41C8EB89">
      <w:pPr>
        <w:pStyle w:val="4"/>
        <w:rPr>
          <w:rFonts w:hint="eastAsia"/>
        </w:rPr>
      </w:pPr>
    </w:p>
    <w:p w14:paraId="20D95DDC">
      <w:pPr>
        <w:pStyle w:val="4"/>
        <w:rPr>
          <w:rFonts w:hint="eastAsia"/>
        </w:rPr>
      </w:pPr>
    </w:p>
    <w:p w14:paraId="54BEE117">
      <w:pPr>
        <w:pStyle w:val="4"/>
        <w:rPr>
          <w:rFonts w:hint="eastAsia"/>
        </w:rPr>
      </w:pPr>
    </w:p>
    <w:p w14:paraId="7B2EE4DA">
      <w:pPr>
        <w:pStyle w:val="4"/>
        <w:rPr>
          <w:rFonts w:hint="eastAsia"/>
        </w:rPr>
      </w:pPr>
    </w:p>
    <w:p w14:paraId="5207965E">
      <w:pPr>
        <w:pStyle w:val="4"/>
        <w:rPr>
          <w:rFonts w:hint="eastAsia"/>
        </w:rPr>
      </w:pPr>
    </w:p>
    <w:p w14:paraId="76E3F476">
      <w:pPr>
        <w:pStyle w:val="4"/>
        <w:rPr>
          <w:rFonts w:hint="eastAsia"/>
        </w:rPr>
      </w:pPr>
    </w:p>
    <w:p w14:paraId="6B532419">
      <w:pPr>
        <w:pStyle w:val="4"/>
        <w:rPr>
          <w:rFonts w:hint="eastAsia"/>
        </w:rPr>
      </w:pPr>
    </w:p>
    <w:p w14:paraId="28A0A446">
      <w:pPr>
        <w:pStyle w:val="4"/>
        <w:rPr>
          <w:rFonts w:hint="eastAsia"/>
        </w:rPr>
      </w:pPr>
    </w:p>
    <w:p w14:paraId="4363B083">
      <w:pPr>
        <w:pStyle w:val="4"/>
        <w:rPr>
          <w:rFonts w:hint="eastAsia"/>
        </w:rPr>
      </w:pPr>
    </w:p>
    <w:p w14:paraId="5D4EF5E3">
      <w:pPr>
        <w:spacing w:line="276" w:lineRule="auto"/>
        <w:rPr>
          <w:rFonts w:hint="eastAsia" w:cs="宋体" w:asciiTheme="majorEastAsia" w:hAnsiTheme="majorEastAsia" w:eastAsiaTheme="majorEastAsia"/>
          <w:b/>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7</w:t>
      </w:r>
    </w:p>
    <w:p w14:paraId="280BB03C">
      <w:pPr>
        <w:spacing w:line="276" w:lineRule="auto"/>
        <w:rPr>
          <w:rFonts w:cs="宋体" w:asciiTheme="majorEastAsia" w:hAnsiTheme="majorEastAsia" w:eastAsiaTheme="majorEastAsia"/>
          <w:color w:val="000000"/>
          <w:sz w:val="24"/>
        </w:rPr>
      </w:pPr>
    </w:p>
    <w:p w14:paraId="1135BA23">
      <w:pPr>
        <w:autoSpaceDE w:val="0"/>
        <w:autoSpaceDN w:val="0"/>
        <w:adjustRightInd w:val="0"/>
        <w:spacing w:beforeLines="50" w:afterLines="50"/>
        <w:jc w:val="center"/>
        <w:rPr>
          <w:rFonts w:ascii="宋体"/>
          <w:kern w:val="0"/>
          <w:sz w:val="24"/>
          <w:szCs w:val="24"/>
        </w:rPr>
      </w:pPr>
      <w:r>
        <w:rPr>
          <w:rFonts w:hint="eastAsia" w:ascii="黑体" w:hAnsi="黑体" w:eastAsia="黑体" w:cs="黑体"/>
          <w:kern w:val="0"/>
          <w:sz w:val="30"/>
          <w:szCs w:val="30"/>
        </w:rPr>
        <w:t>三年内在经营活动中没有重大违法记录的声明</w:t>
      </w:r>
    </w:p>
    <w:p w14:paraId="22DDAF69">
      <w:pPr>
        <w:spacing w:line="360" w:lineRule="auto"/>
        <w:ind w:firstLine="480"/>
        <w:rPr>
          <w:rFonts w:hint="eastAsia" w:ascii="宋体" w:hAnsi="Times New Roman" w:cs="宋体"/>
          <w:color w:val="auto"/>
          <w:sz w:val="24"/>
          <w:szCs w:val="24"/>
          <w:lang w:val="zh-CN"/>
        </w:rPr>
      </w:pPr>
    </w:p>
    <w:p w14:paraId="246D7A57">
      <w:pPr>
        <w:spacing w:line="360" w:lineRule="auto"/>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14:paraId="79AA1A2D">
      <w:pPr>
        <w:spacing w:line="360" w:lineRule="auto"/>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本公司对上述声明的真实性负责。如有虚假，将依法承担相应责任。</w:t>
      </w:r>
    </w:p>
    <w:p w14:paraId="4B40C209">
      <w:pPr>
        <w:spacing w:line="276" w:lineRule="auto"/>
        <w:rPr>
          <w:rFonts w:cs="宋体" w:asciiTheme="majorEastAsia" w:hAnsiTheme="majorEastAsia" w:eastAsiaTheme="majorEastAsia"/>
          <w:color w:val="000000"/>
          <w:sz w:val="24"/>
        </w:rPr>
      </w:pPr>
    </w:p>
    <w:p w14:paraId="5E506A91">
      <w:pPr>
        <w:spacing w:line="276" w:lineRule="auto"/>
        <w:rPr>
          <w:rFonts w:cs="宋体" w:asciiTheme="majorEastAsia" w:hAnsiTheme="majorEastAsia" w:eastAsiaTheme="majorEastAsia"/>
          <w:color w:val="000000"/>
          <w:sz w:val="24"/>
        </w:rPr>
      </w:pPr>
    </w:p>
    <w:p w14:paraId="2622CF40">
      <w:pPr>
        <w:spacing w:line="276" w:lineRule="auto"/>
        <w:rPr>
          <w:rFonts w:cs="宋体" w:asciiTheme="majorEastAsia" w:hAnsiTheme="majorEastAsia" w:eastAsiaTheme="majorEastAsia"/>
          <w:color w:val="000000"/>
          <w:sz w:val="24"/>
        </w:rPr>
      </w:pPr>
    </w:p>
    <w:p w14:paraId="2204AB7E">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1F9E611B">
      <w:pPr>
        <w:spacing w:line="276" w:lineRule="auto"/>
        <w:rPr>
          <w:rFonts w:cs="宋体" w:asciiTheme="majorEastAsia" w:hAnsiTheme="majorEastAsia" w:eastAsiaTheme="majorEastAsia"/>
          <w:color w:val="000000"/>
          <w:sz w:val="24"/>
        </w:rPr>
      </w:pPr>
    </w:p>
    <w:p w14:paraId="3619B3E3">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法定代表人或授权委托人（签字或盖章）：</w:t>
      </w:r>
    </w:p>
    <w:p w14:paraId="2BCFA62B">
      <w:pPr>
        <w:spacing w:line="276" w:lineRule="auto"/>
        <w:rPr>
          <w:rFonts w:cs="宋体" w:asciiTheme="majorEastAsia" w:hAnsiTheme="majorEastAsia" w:eastAsiaTheme="majorEastAsia"/>
          <w:color w:val="000000"/>
          <w:sz w:val="24"/>
        </w:rPr>
      </w:pPr>
    </w:p>
    <w:p w14:paraId="19F210BE">
      <w:pPr>
        <w:spacing w:line="276" w:lineRule="auto"/>
        <w:rPr>
          <w:rFonts w:cs="宋体" w:asciiTheme="majorEastAsia" w:hAnsiTheme="majorEastAsia" w:eastAsiaTheme="majorEastAsia"/>
          <w:color w:val="000000"/>
          <w:sz w:val="24"/>
        </w:rPr>
      </w:pPr>
    </w:p>
    <w:p w14:paraId="3391EB12">
      <w:pPr>
        <w:spacing w:line="276" w:lineRule="auto"/>
        <w:ind w:right="480" w:firstLine="6240" w:firstLineChars="2600"/>
        <w:rPr>
          <w:rFonts w:cs="宋体" w:asciiTheme="majorEastAsia" w:hAnsiTheme="majorEastAsia" w:eastAsiaTheme="majorEastAsia"/>
          <w:color w:val="000000"/>
          <w:sz w:val="24"/>
        </w:rPr>
      </w:pPr>
    </w:p>
    <w:p w14:paraId="70C25391">
      <w:pPr>
        <w:spacing w:line="276" w:lineRule="auto"/>
        <w:ind w:right="480" w:firstLine="6240" w:firstLineChars="2600"/>
        <w:rPr>
          <w:rFonts w:cs="宋体" w:asciiTheme="majorEastAsia" w:hAnsiTheme="majorEastAsia" w:eastAsiaTheme="majorEastAsia"/>
          <w:color w:val="000000"/>
          <w:sz w:val="24"/>
        </w:rPr>
      </w:pPr>
    </w:p>
    <w:p w14:paraId="239D42CE">
      <w:pPr>
        <w:spacing w:line="276" w:lineRule="auto"/>
        <w:ind w:right="480" w:firstLine="6240" w:firstLineChars="26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日期：</w:t>
      </w:r>
    </w:p>
    <w:p w14:paraId="38F769F3">
      <w:pPr>
        <w:spacing w:line="276" w:lineRule="auto"/>
        <w:rPr>
          <w:rFonts w:cs="宋体" w:asciiTheme="majorEastAsia" w:hAnsiTheme="majorEastAsia" w:eastAsiaTheme="majorEastAsia"/>
          <w:color w:val="000000"/>
          <w:sz w:val="24"/>
        </w:rPr>
      </w:pPr>
    </w:p>
    <w:p w14:paraId="4BC6F7AC">
      <w:pPr>
        <w:spacing w:line="276" w:lineRule="auto"/>
        <w:rPr>
          <w:rFonts w:cs="宋体" w:asciiTheme="majorEastAsia" w:hAnsiTheme="majorEastAsia" w:eastAsiaTheme="majorEastAsia"/>
          <w:color w:val="000000"/>
          <w:sz w:val="24"/>
        </w:rPr>
      </w:pPr>
    </w:p>
    <w:p w14:paraId="5D453DC2">
      <w:pPr>
        <w:spacing w:line="276" w:lineRule="auto"/>
        <w:rPr>
          <w:rFonts w:cs="宋体" w:asciiTheme="majorEastAsia" w:hAnsiTheme="majorEastAsia" w:eastAsiaTheme="majorEastAsia"/>
          <w:color w:val="000000"/>
          <w:sz w:val="24"/>
        </w:rPr>
      </w:pPr>
    </w:p>
    <w:p w14:paraId="189F7F2A">
      <w:pPr>
        <w:spacing w:line="276" w:lineRule="auto"/>
        <w:rPr>
          <w:rFonts w:cs="宋体" w:asciiTheme="majorEastAsia" w:hAnsiTheme="majorEastAsia" w:eastAsiaTheme="majorEastAsia"/>
          <w:color w:val="000000"/>
          <w:sz w:val="24"/>
        </w:rPr>
      </w:pPr>
    </w:p>
    <w:p w14:paraId="0B016DD0">
      <w:pPr>
        <w:spacing w:line="276" w:lineRule="auto"/>
        <w:rPr>
          <w:rFonts w:cs="宋体" w:asciiTheme="majorEastAsia" w:hAnsiTheme="majorEastAsia" w:eastAsiaTheme="majorEastAsia"/>
          <w:color w:val="000000"/>
          <w:sz w:val="24"/>
        </w:rPr>
      </w:pPr>
    </w:p>
    <w:p w14:paraId="3B07C735">
      <w:pPr>
        <w:spacing w:line="276" w:lineRule="auto"/>
        <w:rPr>
          <w:rFonts w:cs="宋体" w:asciiTheme="majorEastAsia" w:hAnsiTheme="majorEastAsia" w:eastAsiaTheme="majorEastAsia"/>
          <w:color w:val="000000"/>
          <w:sz w:val="24"/>
        </w:rPr>
      </w:pPr>
    </w:p>
    <w:p w14:paraId="3224BDFC">
      <w:pPr>
        <w:spacing w:line="276" w:lineRule="auto"/>
        <w:rPr>
          <w:rFonts w:cs="宋体" w:asciiTheme="majorEastAsia" w:hAnsiTheme="majorEastAsia" w:eastAsiaTheme="majorEastAsia"/>
          <w:color w:val="000000"/>
          <w:sz w:val="24"/>
        </w:rPr>
      </w:pPr>
    </w:p>
    <w:p w14:paraId="17190A01">
      <w:pPr>
        <w:spacing w:line="276" w:lineRule="auto"/>
        <w:rPr>
          <w:rFonts w:cs="宋体" w:asciiTheme="majorEastAsia" w:hAnsiTheme="majorEastAsia" w:eastAsiaTheme="majorEastAsia"/>
          <w:color w:val="000000"/>
          <w:sz w:val="24"/>
        </w:rPr>
      </w:pPr>
    </w:p>
    <w:p w14:paraId="06B2EDE3">
      <w:pPr>
        <w:pStyle w:val="4"/>
      </w:pPr>
    </w:p>
    <w:p w14:paraId="6BA521F6">
      <w:pPr>
        <w:pStyle w:val="4"/>
      </w:pPr>
    </w:p>
    <w:p w14:paraId="12346EA9">
      <w:pPr>
        <w:pStyle w:val="4"/>
      </w:pPr>
    </w:p>
    <w:p w14:paraId="747603B4">
      <w:pPr>
        <w:pStyle w:val="4"/>
      </w:pPr>
    </w:p>
    <w:p w14:paraId="1573F934">
      <w:pPr>
        <w:pStyle w:val="4"/>
      </w:pPr>
    </w:p>
    <w:p w14:paraId="20E2E983">
      <w:pPr>
        <w:pStyle w:val="4"/>
      </w:pPr>
    </w:p>
    <w:p w14:paraId="4A5BEA0C">
      <w:pPr>
        <w:pStyle w:val="4"/>
      </w:pPr>
    </w:p>
    <w:p w14:paraId="1634DB4A">
      <w:pPr>
        <w:pStyle w:val="4"/>
      </w:pPr>
    </w:p>
    <w:p w14:paraId="6849210F">
      <w:pPr>
        <w:pStyle w:val="4"/>
      </w:pPr>
    </w:p>
    <w:p w14:paraId="33484E12">
      <w:pPr>
        <w:pStyle w:val="4"/>
      </w:pPr>
    </w:p>
    <w:p w14:paraId="74AF3130">
      <w:pPr>
        <w:pStyle w:val="4"/>
      </w:pPr>
    </w:p>
    <w:p w14:paraId="1F3B2D56">
      <w:pPr>
        <w:pStyle w:val="4"/>
      </w:pPr>
    </w:p>
    <w:p w14:paraId="7CE3FF31">
      <w:pPr>
        <w:pStyle w:val="4"/>
      </w:pPr>
    </w:p>
    <w:p w14:paraId="7EB2C989">
      <w:pPr>
        <w:pStyle w:val="4"/>
        <w:ind w:left="0" w:leftChars="0" w:firstLine="0" w:firstLineChars="0"/>
        <w:jc w:val="center"/>
      </w:pPr>
      <w:r>
        <w:rPr>
          <w:rFonts w:hint="eastAsia"/>
          <w:sz w:val="36"/>
          <w:szCs w:val="36"/>
        </w:rPr>
        <w:t>供应商认为需要提供的其他商务文件材料，但应注意不要提供与评标无直接关联的文件材料</w:t>
      </w:r>
      <w:r>
        <w:rPr>
          <w:rFonts w:hint="eastAsia"/>
        </w:rPr>
        <w:t>。</w:t>
      </w:r>
    </w:p>
    <w:p w14:paraId="5B98587C">
      <w:pPr>
        <w:pStyle w:val="4"/>
      </w:pPr>
    </w:p>
    <w:p w14:paraId="77E1DC8D">
      <w:pPr>
        <w:pStyle w:val="4"/>
      </w:pPr>
    </w:p>
    <w:p w14:paraId="7A52C702">
      <w:pPr>
        <w:pStyle w:val="4"/>
      </w:pPr>
    </w:p>
    <w:p w14:paraId="0C2AC607">
      <w:pPr>
        <w:pStyle w:val="4"/>
      </w:pPr>
    </w:p>
    <w:p w14:paraId="63F41D2B">
      <w:pPr>
        <w:pStyle w:val="4"/>
      </w:pPr>
    </w:p>
    <w:p w14:paraId="78554A2C">
      <w:pPr>
        <w:pStyle w:val="4"/>
      </w:pPr>
    </w:p>
    <w:p w14:paraId="5E305331">
      <w:pPr>
        <w:pStyle w:val="4"/>
      </w:pPr>
    </w:p>
    <w:p w14:paraId="7FE901EF">
      <w:pPr>
        <w:pStyle w:val="4"/>
      </w:pPr>
    </w:p>
    <w:p w14:paraId="43E31DF4">
      <w:pPr>
        <w:pStyle w:val="4"/>
      </w:pPr>
    </w:p>
    <w:p w14:paraId="78DACD5F">
      <w:pPr>
        <w:pStyle w:val="4"/>
      </w:pPr>
    </w:p>
    <w:p w14:paraId="0EF2C5CF">
      <w:pPr>
        <w:pStyle w:val="4"/>
      </w:pPr>
    </w:p>
    <w:p w14:paraId="4471AE87">
      <w:pPr>
        <w:pStyle w:val="4"/>
      </w:pPr>
    </w:p>
    <w:p w14:paraId="190E1B25">
      <w:pPr>
        <w:pStyle w:val="4"/>
      </w:pPr>
    </w:p>
    <w:p w14:paraId="2214C117">
      <w:pPr>
        <w:pStyle w:val="4"/>
      </w:pPr>
    </w:p>
    <w:p w14:paraId="7247DC8D">
      <w:pPr>
        <w:pStyle w:val="4"/>
      </w:pPr>
    </w:p>
    <w:p w14:paraId="2E31E8A4">
      <w:pPr>
        <w:pStyle w:val="4"/>
      </w:pPr>
    </w:p>
    <w:p w14:paraId="1F871E43">
      <w:pPr>
        <w:pStyle w:val="4"/>
      </w:pPr>
    </w:p>
    <w:p w14:paraId="20EBE689">
      <w:pPr>
        <w:pStyle w:val="4"/>
      </w:pPr>
    </w:p>
    <w:p w14:paraId="757B01A8">
      <w:pPr>
        <w:pStyle w:val="4"/>
      </w:pPr>
    </w:p>
    <w:p w14:paraId="7D45054E">
      <w:pPr>
        <w:pStyle w:val="4"/>
      </w:pPr>
    </w:p>
    <w:p w14:paraId="44057935">
      <w:pPr>
        <w:pStyle w:val="4"/>
      </w:pPr>
    </w:p>
    <w:p w14:paraId="2B4F0DF0">
      <w:pPr>
        <w:pStyle w:val="4"/>
      </w:pPr>
    </w:p>
    <w:p w14:paraId="3F80A700">
      <w:pPr>
        <w:pStyle w:val="4"/>
      </w:pPr>
    </w:p>
    <w:p w14:paraId="55D3E51E">
      <w:pPr>
        <w:pStyle w:val="4"/>
      </w:pPr>
    </w:p>
    <w:p w14:paraId="314231AA">
      <w:pPr>
        <w:pStyle w:val="4"/>
      </w:pPr>
    </w:p>
    <w:p w14:paraId="6D9D30B8">
      <w:pPr>
        <w:pStyle w:val="4"/>
      </w:pPr>
    </w:p>
    <w:p w14:paraId="44C9C38D">
      <w:pPr>
        <w:pStyle w:val="4"/>
      </w:pPr>
    </w:p>
    <w:p w14:paraId="7B235959">
      <w:pPr>
        <w:pStyle w:val="4"/>
      </w:pPr>
    </w:p>
    <w:p w14:paraId="6E73788B">
      <w:pPr>
        <w:pStyle w:val="4"/>
      </w:pPr>
    </w:p>
    <w:p w14:paraId="1A7F200C">
      <w:pPr>
        <w:pStyle w:val="4"/>
      </w:pPr>
    </w:p>
    <w:p w14:paraId="2534961E">
      <w:pPr>
        <w:pStyle w:val="4"/>
      </w:pPr>
    </w:p>
    <w:p w14:paraId="215F7FB3">
      <w:pPr>
        <w:pStyle w:val="4"/>
      </w:pPr>
    </w:p>
    <w:p w14:paraId="7FA9B80C">
      <w:pPr>
        <w:pStyle w:val="4"/>
      </w:pPr>
    </w:p>
    <w:p w14:paraId="5FEFEDB4">
      <w:pPr>
        <w:pStyle w:val="4"/>
      </w:pPr>
    </w:p>
    <w:p w14:paraId="4B36736B">
      <w:pPr>
        <w:pStyle w:val="4"/>
      </w:pPr>
    </w:p>
    <w:p w14:paraId="4453E6DD">
      <w:pPr>
        <w:pStyle w:val="4"/>
      </w:pPr>
    </w:p>
    <w:p w14:paraId="405F26C4">
      <w:pPr>
        <w:pStyle w:val="4"/>
      </w:pPr>
    </w:p>
    <w:p w14:paraId="71B3F1DF">
      <w:pPr>
        <w:pStyle w:val="4"/>
      </w:pPr>
    </w:p>
    <w:p w14:paraId="2DD0038B">
      <w:pPr>
        <w:pStyle w:val="4"/>
      </w:pPr>
    </w:p>
    <w:p w14:paraId="6259F62D">
      <w:pPr>
        <w:pStyle w:val="4"/>
      </w:pPr>
    </w:p>
    <w:p w14:paraId="3F2643B7">
      <w:pPr>
        <w:pStyle w:val="4"/>
      </w:pPr>
    </w:p>
    <w:p w14:paraId="77407959">
      <w:pPr>
        <w:pStyle w:val="4"/>
      </w:pPr>
    </w:p>
    <w:p w14:paraId="1B2EFEEA">
      <w:pPr>
        <w:pStyle w:val="4"/>
      </w:pPr>
    </w:p>
    <w:p w14:paraId="2DD2AA32">
      <w:pPr>
        <w:pStyle w:val="4"/>
      </w:pPr>
    </w:p>
    <w:p w14:paraId="28B275C1">
      <w:pPr>
        <w:pStyle w:val="4"/>
      </w:pPr>
    </w:p>
    <w:p w14:paraId="7ACC2B75">
      <w:pPr>
        <w:pStyle w:val="4"/>
        <w:ind w:firstLine="0"/>
        <w:jc w:val="center"/>
      </w:pPr>
      <w:r>
        <w:rPr>
          <w:rFonts w:hint="eastAsia"/>
          <w:b/>
          <w:bCs/>
          <w:sz w:val="52"/>
          <w:szCs w:val="52"/>
        </w:rPr>
        <w:t>技术部分</w:t>
      </w:r>
    </w:p>
    <w:p w14:paraId="3C7B889A">
      <w:pPr>
        <w:pStyle w:val="4"/>
      </w:pPr>
    </w:p>
    <w:p w14:paraId="46EE28E2">
      <w:pPr>
        <w:pStyle w:val="4"/>
      </w:pPr>
    </w:p>
    <w:p w14:paraId="63A67025">
      <w:pPr>
        <w:pStyle w:val="4"/>
      </w:pPr>
    </w:p>
    <w:p w14:paraId="4B086EC1">
      <w:pPr>
        <w:pStyle w:val="4"/>
      </w:pPr>
    </w:p>
    <w:p w14:paraId="78A9DBF6">
      <w:pPr>
        <w:pStyle w:val="4"/>
      </w:pPr>
    </w:p>
    <w:p w14:paraId="77AEC538">
      <w:pPr>
        <w:pStyle w:val="4"/>
      </w:pPr>
    </w:p>
    <w:p w14:paraId="1962A61A">
      <w:pPr>
        <w:spacing w:line="276" w:lineRule="auto"/>
        <w:rPr>
          <w:rFonts w:cs="宋体" w:asciiTheme="majorEastAsia" w:hAnsiTheme="majorEastAsia" w:eastAsiaTheme="majorEastAsia"/>
          <w:b/>
          <w:bCs/>
          <w:color w:val="000000"/>
          <w:sz w:val="32"/>
          <w:szCs w:val="32"/>
        </w:rPr>
      </w:pPr>
    </w:p>
    <w:p w14:paraId="66B5FD01">
      <w:pPr>
        <w:spacing w:line="276" w:lineRule="auto"/>
        <w:rPr>
          <w:rFonts w:cs="宋体" w:asciiTheme="majorEastAsia" w:hAnsiTheme="majorEastAsia" w:eastAsiaTheme="majorEastAsia"/>
          <w:b/>
          <w:bCs/>
          <w:color w:val="000000"/>
          <w:sz w:val="30"/>
          <w:szCs w:val="30"/>
        </w:rPr>
      </w:pPr>
      <w:r>
        <w:rPr>
          <w:rFonts w:cs="宋体" w:asciiTheme="majorEastAsia" w:hAnsiTheme="majorEastAsia" w:eastAsiaTheme="majorEastAsia"/>
          <w:b/>
          <w:bCs/>
          <w:color w:val="000000"/>
          <w:sz w:val="30"/>
          <w:szCs w:val="30"/>
        </w:rPr>
        <w:br w:type="page"/>
      </w:r>
    </w:p>
    <w:p w14:paraId="51412ED8">
      <w:pPr>
        <w:spacing w:line="276" w:lineRule="auto"/>
        <w:rPr>
          <w:rFonts w:hint="eastAsia" w:cs="宋体" w:asciiTheme="majorEastAsia" w:hAnsiTheme="majorEastAsia" w:eastAsiaTheme="majorEastAsia"/>
          <w:b/>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8</w:t>
      </w:r>
    </w:p>
    <w:p w14:paraId="74E84EFA">
      <w:pPr>
        <w:spacing w:line="276" w:lineRule="auto"/>
        <w:jc w:val="center"/>
        <w:rPr>
          <w:rFonts w:hint="eastAsia" w:cs="宋体" w:asciiTheme="majorEastAsia" w:hAnsiTheme="majorEastAsia" w:eastAsiaTheme="majorEastAsia"/>
          <w:b/>
          <w:color w:val="000000"/>
          <w:sz w:val="36"/>
          <w:szCs w:val="30"/>
          <w:lang w:eastAsia="zh-CN"/>
        </w:rPr>
      </w:pPr>
      <w:r>
        <w:rPr>
          <w:rFonts w:hint="eastAsia" w:cs="宋体" w:asciiTheme="majorEastAsia" w:hAnsiTheme="majorEastAsia" w:eastAsiaTheme="majorEastAsia"/>
          <w:b/>
          <w:color w:val="000000"/>
          <w:sz w:val="36"/>
          <w:szCs w:val="30"/>
        </w:rPr>
        <w:t>技术</w:t>
      </w:r>
      <w:r>
        <w:rPr>
          <w:rFonts w:hint="eastAsia" w:cs="宋体" w:asciiTheme="majorEastAsia" w:hAnsiTheme="majorEastAsia" w:eastAsiaTheme="majorEastAsia"/>
          <w:b/>
          <w:color w:val="000000"/>
          <w:sz w:val="36"/>
          <w:szCs w:val="30"/>
          <w:lang w:eastAsia="zh-CN"/>
        </w:rPr>
        <w:t>偏离表</w:t>
      </w:r>
    </w:p>
    <w:tbl>
      <w:tblPr>
        <w:tblStyle w:val="32"/>
        <w:tblW w:w="894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86"/>
        <w:gridCol w:w="2713"/>
        <w:gridCol w:w="2705"/>
        <w:gridCol w:w="1134"/>
      </w:tblGrid>
      <w:tr w14:paraId="5734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vMerge w:val="restart"/>
            <w:vAlign w:val="center"/>
          </w:tcPr>
          <w:p w14:paraId="21470EB4">
            <w:pPr>
              <w:spacing w:before="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序号</w:t>
            </w:r>
          </w:p>
        </w:tc>
        <w:tc>
          <w:tcPr>
            <w:tcW w:w="4099" w:type="dxa"/>
            <w:gridSpan w:val="2"/>
            <w:vAlign w:val="center"/>
          </w:tcPr>
          <w:p w14:paraId="1BEAD072">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招标文件要求</w:t>
            </w:r>
          </w:p>
        </w:tc>
        <w:tc>
          <w:tcPr>
            <w:tcW w:w="2705" w:type="dxa"/>
            <w:vAlign w:val="center"/>
          </w:tcPr>
          <w:p w14:paraId="6F89E53D">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投标货物规格</w:t>
            </w:r>
          </w:p>
        </w:tc>
        <w:tc>
          <w:tcPr>
            <w:tcW w:w="1134" w:type="dxa"/>
            <w:vMerge w:val="restart"/>
            <w:vAlign w:val="center"/>
          </w:tcPr>
          <w:p w14:paraId="67DB777C">
            <w:pPr>
              <w:spacing w:before="120" w:line="276" w:lineRule="auto"/>
              <w:jc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偏离</w:t>
            </w:r>
          </w:p>
        </w:tc>
      </w:tr>
      <w:tr w14:paraId="2F7B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vMerge w:val="continue"/>
            <w:vAlign w:val="center"/>
          </w:tcPr>
          <w:p w14:paraId="0AED120E">
            <w:pPr>
              <w:spacing w:line="276" w:lineRule="auto"/>
              <w:jc w:val="center"/>
              <w:rPr>
                <w:rFonts w:cs="宋体" w:asciiTheme="majorEastAsia" w:hAnsiTheme="majorEastAsia" w:eastAsiaTheme="majorEastAsia"/>
                <w:color w:val="000000"/>
              </w:rPr>
            </w:pPr>
          </w:p>
        </w:tc>
        <w:tc>
          <w:tcPr>
            <w:tcW w:w="1386" w:type="dxa"/>
            <w:vAlign w:val="center"/>
          </w:tcPr>
          <w:p w14:paraId="30E4CEA3">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设备</w:t>
            </w:r>
          </w:p>
        </w:tc>
        <w:tc>
          <w:tcPr>
            <w:tcW w:w="2713" w:type="dxa"/>
            <w:vAlign w:val="center"/>
          </w:tcPr>
          <w:p w14:paraId="13B3A9F7">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参数</w:t>
            </w:r>
          </w:p>
        </w:tc>
        <w:tc>
          <w:tcPr>
            <w:tcW w:w="2705" w:type="dxa"/>
            <w:vAlign w:val="center"/>
          </w:tcPr>
          <w:p w14:paraId="640CB68E">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参数</w:t>
            </w:r>
          </w:p>
        </w:tc>
        <w:tc>
          <w:tcPr>
            <w:tcW w:w="1134" w:type="dxa"/>
            <w:vMerge w:val="continue"/>
            <w:vAlign w:val="center"/>
          </w:tcPr>
          <w:p w14:paraId="3B3C727D">
            <w:pPr>
              <w:spacing w:line="276" w:lineRule="auto"/>
              <w:jc w:val="center"/>
              <w:rPr>
                <w:rFonts w:cs="宋体" w:asciiTheme="majorEastAsia" w:hAnsiTheme="majorEastAsia" w:eastAsiaTheme="majorEastAsia"/>
                <w:color w:val="000000"/>
              </w:rPr>
            </w:pPr>
          </w:p>
        </w:tc>
      </w:tr>
      <w:tr w14:paraId="2AC5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0865EE15">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4C167AA2">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4721DFA7">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378961B8">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0A4136D6">
            <w:pPr>
              <w:spacing w:before="120" w:after="120" w:line="276" w:lineRule="auto"/>
              <w:jc w:val="center"/>
              <w:rPr>
                <w:rFonts w:cs="宋体" w:asciiTheme="majorEastAsia" w:hAnsiTheme="majorEastAsia" w:eastAsiaTheme="majorEastAsia"/>
                <w:color w:val="000000"/>
                <w:sz w:val="32"/>
              </w:rPr>
            </w:pPr>
          </w:p>
        </w:tc>
      </w:tr>
      <w:tr w14:paraId="35A8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56530566">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21D520CD">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65E4D489">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5FA5C072">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716BFCBF">
            <w:pPr>
              <w:spacing w:before="120" w:after="120" w:line="276" w:lineRule="auto"/>
              <w:jc w:val="center"/>
              <w:rPr>
                <w:rFonts w:cs="宋体" w:asciiTheme="majorEastAsia" w:hAnsiTheme="majorEastAsia" w:eastAsiaTheme="majorEastAsia"/>
                <w:color w:val="000000"/>
                <w:sz w:val="32"/>
              </w:rPr>
            </w:pPr>
          </w:p>
        </w:tc>
      </w:tr>
      <w:tr w14:paraId="0806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350D61BC">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6F6899CE">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3AA3AA33">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6BA97EE5">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22E799F3">
            <w:pPr>
              <w:spacing w:before="120" w:after="120" w:line="276" w:lineRule="auto"/>
              <w:jc w:val="center"/>
              <w:rPr>
                <w:rFonts w:cs="宋体" w:asciiTheme="majorEastAsia" w:hAnsiTheme="majorEastAsia" w:eastAsiaTheme="majorEastAsia"/>
                <w:color w:val="000000"/>
                <w:sz w:val="32"/>
              </w:rPr>
            </w:pPr>
          </w:p>
        </w:tc>
      </w:tr>
      <w:tr w14:paraId="0747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73E52BCE">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3E61064F">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0D7FC756">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49299D61">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7BEA3B87">
            <w:pPr>
              <w:spacing w:before="120" w:after="120" w:line="276" w:lineRule="auto"/>
              <w:jc w:val="center"/>
              <w:rPr>
                <w:rFonts w:cs="宋体" w:asciiTheme="majorEastAsia" w:hAnsiTheme="majorEastAsia" w:eastAsiaTheme="majorEastAsia"/>
                <w:color w:val="000000"/>
                <w:sz w:val="32"/>
              </w:rPr>
            </w:pPr>
          </w:p>
        </w:tc>
      </w:tr>
      <w:tr w14:paraId="67D8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7F747014">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2CEA4286">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723ADBD6">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467EA726">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0598B8E5">
            <w:pPr>
              <w:spacing w:before="120" w:after="120" w:line="276" w:lineRule="auto"/>
              <w:jc w:val="center"/>
              <w:rPr>
                <w:rFonts w:cs="宋体" w:asciiTheme="majorEastAsia" w:hAnsiTheme="majorEastAsia" w:eastAsiaTheme="majorEastAsia"/>
                <w:color w:val="000000"/>
                <w:sz w:val="32"/>
              </w:rPr>
            </w:pPr>
          </w:p>
        </w:tc>
      </w:tr>
      <w:tr w14:paraId="6FC8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2A04534F">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1FCF229B">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6C10F4AC">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43CA49B1">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4F0591F2">
            <w:pPr>
              <w:spacing w:before="120" w:after="120" w:line="276" w:lineRule="auto"/>
              <w:jc w:val="center"/>
              <w:rPr>
                <w:rFonts w:cs="宋体" w:asciiTheme="majorEastAsia" w:hAnsiTheme="majorEastAsia" w:eastAsiaTheme="majorEastAsia"/>
                <w:color w:val="000000"/>
                <w:sz w:val="32"/>
              </w:rPr>
            </w:pPr>
          </w:p>
        </w:tc>
      </w:tr>
      <w:tr w14:paraId="5D95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1CA071D2">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4E23421C">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02F7E560">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5FC7304B">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1AD3A2EE">
            <w:pPr>
              <w:spacing w:before="120" w:after="120" w:line="276" w:lineRule="auto"/>
              <w:jc w:val="center"/>
              <w:rPr>
                <w:rFonts w:cs="宋体" w:asciiTheme="majorEastAsia" w:hAnsiTheme="majorEastAsia" w:eastAsiaTheme="majorEastAsia"/>
                <w:color w:val="000000"/>
                <w:sz w:val="32"/>
              </w:rPr>
            </w:pPr>
          </w:p>
        </w:tc>
      </w:tr>
    </w:tbl>
    <w:p w14:paraId="2AB0CB13">
      <w:pPr>
        <w:spacing w:line="276" w:lineRule="auto"/>
        <w:rPr>
          <w:rFonts w:cs="宋体" w:asciiTheme="majorEastAsia" w:hAnsiTheme="majorEastAsia" w:eastAsiaTheme="majorEastAsia"/>
          <w:color w:val="000000"/>
          <w:sz w:val="24"/>
        </w:rPr>
      </w:pPr>
    </w:p>
    <w:p w14:paraId="691BB0F8">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注：</w:t>
      </w:r>
    </w:p>
    <w:p w14:paraId="6C174B33">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1、投标人必须把招标项目的全部技术参数列入此表。</w:t>
      </w:r>
    </w:p>
    <w:p w14:paraId="072DD3C2">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2、按照招标项目技术要求的顺序对应填写。</w:t>
      </w:r>
    </w:p>
    <w:p w14:paraId="71D86118">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3、“偏离情况”栏应当填写“正偏离、无偏离、负偏离”。</w:t>
      </w:r>
    </w:p>
    <w:p w14:paraId="61942A02">
      <w:pPr>
        <w:spacing w:line="276" w:lineRule="auto"/>
        <w:rPr>
          <w:rFonts w:hint="eastAsia"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4、不得虚假应标，如中标后发现所供应设备技术标准与投标文件技术标准不符，按虚假应标处理，采购人有权取消中标人资格。</w:t>
      </w:r>
    </w:p>
    <w:p w14:paraId="08D394D0">
      <w:pPr>
        <w:spacing w:line="276" w:lineRule="auto"/>
        <w:rPr>
          <w:rFonts w:hint="eastAsia" w:cs="宋体" w:asciiTheme="majorEastAsia" w:hAnsiTheme="majorEastAsia" w:eastAsiaTheme="majorEastAsia"/>
          <w:color w:val="000000"/>
          <w:sz w:val="24"/>
          <w:lang w:eastAsia="zh-CN"/>
        </w:rPr>
      </w:pPr>
      <w:bookmarkStart w:id="641" w:name="_Toc524834043"/>
      <w:bookmarkStart w:id="642" w:name="_Toc24696157"/>
    </w:p>
    <w:p w14:paraId="1DD21CB6">
      <w:pPr>
        <w:spacing w:line="276" w:lineRule="auto"/>
        <w:rPr>
          <w:rFonts w:hint="eastAsia" w:cs="宋体" w:asciiTheme="majorEastAsia" w:hAnsiTheme="majorEastAsia" w:eastAsiaTheme="majorEastAsia"/>
          <w:color w:val="000000"/>
          <w:sz w:val="24"/>
          <w:lang w:eastAsia="zh-CN"/>
        </w:rPr>
      </w:pPr>
    </w:p>
    <w:p w14:paraId="0A640AB4">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79654C15">
      <w:pPr>
        <w:spacing w:line="276" w:lineRule="auto"/>
        <w:rPr>
          <w:rFonts w:hint="eastAsia" w:cs="宋体" w:asciiTheme="majorEastAsia" w:hAnsiTheme="majorEastAsia" w:eastAsiaTheme="majorEastAsia"/>
          <w:color w:val="000000"/>
          <w:sz w:val="24"/>
        </w:rPr>
      </w:pPr>
    </w:p>
    <w:p w14:paraId="7C283185">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法定代表人或授权委托人（签字或盖章）：</w:t>
      </w:r>
      <w:bookmarkEnd w:id="641"/>
      <w:bookmarkEnd w:id="642"/>
    </w:p>
    <w:p w14:paraId="2DD88B65">
      <w:pPr>
        <w:pStyle w:val="29"/>
        <w:rPr>
          <w:rFonts w:hint="eastAsia" w:cs="宋体" w:asciiTheme="majorEastAsia" w:hAnsiTheme="majorEastAsia" w:eastAsiaTheme="majorEastAsia"/>
          <w:color w:val="000000"/>
          <w:sz w:val="24"/>
        </w:rPr>
      </w:pPr>
    </w:p>
    <w:p w14:paraId="5ED15213">
      <w:pPr>
        <w:rPr>
          <w:rFonts w:hint="eastAsia" w:cs="宋体" w:asciiTheme="majorEastAsia" w:hAnsiTheme="majorEastAsia" w:eastAsiaTheme="majorEastAsia"/>
          <w:color w:val="000000"/>
          <w:sz w:val="24"/>
        </w:rPr>
      </w:pPr>
    </w:p>
    <w:p w14:paraId="3D97FA5F">
      <w:pPr>
        <w:pStyle w:val="29"/>
        <w:rPr>
          <w:rFonts w:hint="eastAsia" w:cs="宋体" w:asciiTheme="majorEastAsia" w:hAnsiTheme="majorEastAsia" w:eastAsiaTheme="majorEastAsia"/>
          <w:color w:val="000000"/>
          <w:sz w:val="24"/>
        </w:rPr>
      </w:pPr>
    </w:p>
    <w:p w14:paraId="028D5EB2">
      <w:pPr>
        <w:rPr>
          <w:rFonts w:hint="eastAsia" w:cs="宋体" w:asciiTheme="majorEastAsia" w:hAnsiTheme="majorEastAsia" w:eastAsiaTheme="majorEastAsia"/>
          <w:color w:val="000000"/>
          <w:sz w:val="24"/>
        </w:rPr>
      </w:pPr>
    </w:p>
    <w:p w14:paraId="05A2083F">
      <w:pPr>
        <w:pStyle w:val="4"/>
        <w:spacing w:line="276" w:lineRule="auto"/>
        <w:ind w:left="0" w:leftChars="0" w:firstLine="0" w:firstLineChars="0"/>
        <w:jc w:val="center"/>
        <w:rPr>
          <w:rFonts w:hint="eastAsia" w:cs="宋体" w:asciiTheme="majorEastAsia" w:hAnsiTheme="majorEastAsia" w:eastAsiaTheme="majorEastAsia"/>
          <w:b/>
          <w:color w:val="000000"/>
          <w:sz w:val="36"/>
          <w:szCs w:val="30"/>
        </w:rPr>
      </w:pPr>
    </w:p>
    <w:p w14:paraId="0DBEFE89">
      <w:pPr>
        <w:pStyle w:val="4"/>
        <w:spacing w:line="276" w:lineRule="auto"/>
        <w:ind w:left="0" w:leftChars="0" w:firstLine="0" w:firstLineChars="0"/>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lang w:eastAsia="zh-CN"/>
        </w:rPr>
        <w:t>投标人可根据本项目</w:t>
      </w:r>
      <w:r>
        <w:rPr>
          <w:rFonts w:hint="eastAsia" w:cs="宋体" w:asciiTheme="majorEastAsia" w:hAnsiTheme="majorEastAsia" w:eastAsiaTheme="majorEastAsia"/>
          <w:b/>
          <w:color w:val="000000"/>
          <w:sz w:val="36"/>
          <w:szCs w:val="30"/>
        </w:rPr>
        <w:t>要求的其他内容</w:t>
      </w:r>
    </w:p>
    <w:p w14:paraId="083D9201">
      <w:pPr>
        <w:spacing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自行编写技术部分</w:t>
      </w:r>
    </w:p>
    <w:p w14:paraId="4B0D1FF6">
      <w:pPr>
        <w:rPr>
          <w:rFonts w:asciiTheme="majorEastAsia" w:hAnsiTheme="majorEastAsia" w:eastAsiaTheme="majorEastAsia"/>
        </w:rPr>
      </w:pPr>
      <w:r>
        <w:rPr>
          <w:rFonts w:asciiTheme="majorEastAsia" w:hAnsiTheme="majorEastAsia" w:eastAsiaTheme="majorEastAsia"/>
        </w:rPr>
        <w:br w:type="page"/>
      </w:r>
    </w:p>
    <w:p w14:paraId="1B48345D">
      <w:pPr>
        <w:pStyle w:val="9"/>
        <w:spacing w:line="240" w:lineRule="atLeast"/>
        <w:jc w:val="center"/>
        <w:rPr>
          <w:rFonts w:hint="eastAsia" w:ascii="宋体" w:hAnsi="宋体" w:eastAsia="宋体" w:cs="宋体"/>
          <w:b/>
          <w:color w:val="auto"/>
          <w:sz w:val="30"/>
          <w:szCs w:val="30"/>
          <w:highlight w:val="none"/>
        </w:rPr>
      </w:pPr>
      <w:r>
        <w:rPr>
          <w:rFonts w:hint="eastAsia" w:ascii="宋体" w:hAnsi="宋体" w:eastAsia="宋体" w:cs="宋体"/>
          <w:b/>
          <w:color w:val="000000"/>
          <w:sz w:val="30"/>
          <w:szCs w:val="30"/>
          <w:highlight w:val="none"/>
        </w:rPr>
        <w:t>中小企业声明函(货物)</w:t>
      </w:r>
    </w:p>
    <w:p w14:paraId="6FEE5B97">
      <w:pPr>
        <w:pStyle w:val="9"/>
        <w:spacing w:line="240" w:lineRule="atLeast"/>
        <w:ind w:firstLine="560" w:firstLineChars="20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本公司</w:t>
      </w:r>
      <w:r>
        <w:rPr>
          <w:rFonts w:hint="eastAsia" w:ascii="宋体" w:hAnsi="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(联合体)郑重声明，根据《采购促进中小企业发展管理办法》的规定，本公司</w:t>
      </w:r>
      <w:r>
        <w:rPr>
          <w:rFonts w:hint="eastAsia" w:ascii="宋体" w:hAnsi="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(联合体)参加</w:t>
      </w:r>
      <w:r>
        <w:rPr>
          <w:rFonts w:hint="eastAsia" w:ascii="宋体" w:hAnsi="宋体" w:eastAsia="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(单位名称)的</w:t>
      </w:r>
      <w:r>
        <w:rPr>
          <w:rFonts w:hint="eastAsia" w:ascii="宋体" w:hAnsi="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(项目名称)采购活动，提供的货物全部由符合政策要求的中小企业制造。相关企业(含联合体中的中小企业、签订分包意向协议的中小企业)的具体情况如下：</w:t>
      </w:r>
    </w:p>
    <w:p w14:paraId="40ABA0CE">
      <w:pPr>
        <w:pStyle w:val="9"/>
        <w:numPr>
          <w:ilvl w:val="0"/>
          <w:numId w:val="6"/>
        </w:numPr>
        <w:spacing w:line="240" w:lineRule="atLeast"/>
        <w:ind w:firstLine="560" w:firstLineChars="20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(标的名称),属于</w:t>
      </w:r>
      <w:r>
        <w:rPr>
          <w:rFonts w:hint="eastAsia" w:ascii="宋体" w:hAnsi="宋体" w:eastAsia="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(采购文件中明确的所属行业)行业；制造商为</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(企业名称),从业人员</w:t>
      </w:r>
      <w:r>
        <w:rPr>
          <w:rFonts w:hint="eastAsia" w:ascii="宋体" w:hAnsi="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人，营业收入为</w:t>
      </w:r>
      <w:r>
        <w:rPr>
          <w:rFonts w:hint="eastAsia" w:ascii="宋体" w:hAnsi="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万元，资产总额为</w:t>
      </w:r>
      <w:r>
        <w:rPr>
          <w:rFonts w:hint="eastAsia" w:ascii="宋体" w:hAnsi="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万元</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属于</w:t>
      </w:r>
      <w:r>
        <w:rPr>
          <w:rFonts w:hint="eastAsia" w:ascii="宋体" w:hAnsi="宋体" w:eastAsia="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(中型企业、小型企业、微型企业):</w:t>
      </w:r>
    </w:p>
    <w:p w14:paraId="6FD8509B">
      <w:pPr>
        <w:pStyle w:val="9"/>
        <w:spacing w:line="240" w:lineRule="atLeast"/>
        <w:ind w:firstLine="560" w:firstLineChars="20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以上企业，不属于大企业的分支机构，不存在控股股东为大企业的情形，也不存在与大企业的负责人为同一人的情形。</w:t>
      </w:r>
    </w:p>
    <w:p w14:paraId="68BB447F">
      <w:pPr>
        <w:pStyle w:val="9"/>
        <w:spacing w:line="240" w:lineRule="atLeast"/>
        <w:ind w:firstLine="56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8"/>
          <w:szCs w:val="28"/>
          <w:highlight w:val="none"/>
        </w:rPr>
        <w:t>本企业对上述声明内容的真实性负责。如有虚假，将依法承担相应责任。</w:t>
      </w:r>
    </w:p>
    <w:p w14:paraId="212A024A">
      <w:pPr>
        <w:pStyle w:val="9"/>
        <w:spacing w:line="240" w:lineRule="atLeast"/>
        <w:jc w:val="left"/>
        <w:rPr>
          <w:rFonts w:hint="eastAsia" w:ascii="宋体" w:hAnsi="宋体" w:eastAsia="宋体" w:cs="宋体"/>
          <w:b w:val="0"/>
          <w:bCs/>
          <w:color w:val="auto"/>
          <w:sz w:val="24"/>
          <w:szCs w:val="24"/>
          <w:highlight w:val="none"/>
        </w:rPr>
      </w:pPr>
    </w:p>
    <w:p w14:paraId="74C1E955">
      <w:pPr>
        <w:pStyle w:val="9"/>
        <w:spacing w:line="240" w:lineRule="atLeast"/>
        <w:jc w:val="left"/>
        <w:rPr>
          <w:rFonts w:hint="eastAsia" w:ascii="宋体" w:hAnsi="宋体" w:eastAsia="宋体" w:cs="宋体"/>
          <w:b w:val="0"/>
          <w:bCs/>
          <w:color w:val="auto"/>
          <w:sz w:val="24"/>
          <w:szCs w:val="24"/>
          <w:highlight w:val="none"/>
        </w:rPr>
      </w:pPr>
    </w:p>
    <w:p w14:paraId="33479B12">
      <w:pPr>
        <w:pStyle w:val="9"/>
        <w:spacing w:line="240" w:lineRule="atLeast"/>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企业名称（盖章）：</w:t>
      </w:r>
    </w:p>
    <w:p w14:paraId="377963DB">
      <w:pPr>
        <w:pStyle w:val="9"/>
        <w:spacing w:line="240" w:lineRule="atLeast"/>
        <w:jc w:val="left"/>
        <w:rPr>
          <w:rFonts w:hint="eastAsia" w:ascii="宋体" w:hAnsi="宋体" w:eastAsia="宋体" w:cs="宋体"/>
          <w:b w:val="0"/>
          <w:bCs/>
          <w:color w:val="000000"/>
          <w:sz w:val="24"/>
          <w:szCs w:val="24"/>
          <w:highlight w:val="yellow"/>
        </w:rPr>
      </w:pPr>
    </w:p>
    <w:p w14:paraId="6BE6411A">
      <w:pPr>
        <w:pStyle w:val="30"/>
        <w:ind w:left="0" w:leftChars="0" w:firstLine="0" w:firstLineChars="0"/>
        <w:rPr>
          <w:rFonts w:hint="eastAsia" w:ascii="宋体" w:hAnsi="宋体" w:cs="宋体"/>
          <w:b/>
          <w:sz w:val="21"/>
          <w:szCs w:val="21"/>
          <w:lang w:eastAsia="zh-CN"/>
        </w:rPr>
      </w:pPr>
      <w:r>
        <w:rPr>
          <w:rFonts w:hint="eastAsia" w:ascii="宋体" w:hAnsi="宋体" w:eastAsia="宋体" w:cs="宋体"/>
          <w:b w:val="0"/>
          <w:bCs/>
          <w:color w:val="000000"/>
          <w:sz w:val="24"/>
          <w:szCs w:val="24"/>
        </w:rPr>
        <w:t>日 期：</w:t>
      </w:r>
      <w:r>
        <w:rPr>
          <w:rFonts w:hint="eastAsia" w:ascii="宋体" w:hAnsi="宋体" w:cs="宋体"/>
          <w:b w:val="0"/>
          <w:bCs/>
          <w:color w:val="000000"/>
          <w:sz w:val="24"/>
          <w:szCs w:val="24"/>
          <w:lang w:val="en-US" w:eastAsia="zh-CN"/>
        </w:rPr>
        <w:t>年月日</w:t>
      </w:r>
    </w:p>
    <w:p w14:paraId="686B2B31">
      <w:pPr>
        <w:rPr>
          <w:rFonts w:hint="eastAsia" w:ascii="宋体" w:hAnsi="宋体" w:cs="宋体"/>
          <w:b/>
          <w:sz w:val="21"/>
          <w:szCs w:val="21"/>
          <w:lang w:eastAsia="zh-CN"/>
        </w:rPr>
      </w:pPr>
    </w:p>
    <w:p w14:paraId="1E05463C">
      <w:pPr>
        <w:rPr>
          <w:rFonts w:hint="eastAsia" w:ascii="宋体" w:hAnsi="宋体" w:cs="宋体"/>
          <w:b/>
          <w:sz w:val="21"/>
          <w:szCs w:val="21"/>
          <w:lang w:eastAsia="zh-CN"/>
        </w:rPr>
      </w:pPr>
    </w:p>
    <w:p w14:paraId="27D646DA">
      <w:pPr>
        <w:rPr>
          <w:rFonts w:hint="eastAsia" w:ascii="宋体" w:hAnsi="宋体" w:cs="宋体"/>
          <w:b/>
          <w:sz w:val="21"/>
          <w:szCs w:val="21"/>
          <w:lang w:eastAsia="zh-CN"/>
        </w:rPr>
      </w:pPr>
    </w:p>
    <w:p w14:paraId="1BBA8C0F">
      <w:pPr>
        <w:rPr>
          <w:rFonts w:hint="eastAsia" w:ascii="宋体" w:hAnsi="宋体" w:cs="宋体"/>
          <w:b/>
          <w:sz w:val="21"/>
          <w:szCs w:val="21"/>
          <w:lang w:eastAsia="zh-CN"/>
        </w:rPr>
      </w:pPr>
    </w:p>
    <w:p w14:paraId="275F18E0">
      <w:pPr>
        <w:rPr>
          <w:rFonts w:hint="eastAsia" w:ascii="宋体" w:hAnsi="宋体" w:cs="宋体"/>
          <w:b/>
          <w:sz w:val="21"/>
          <w:szCs w:val="21"/>
          <w:lang w:eastAsia="zh-CN"/>
        </w:rPr>
      </w:pPr>
    </w:p>
    <w:p w14:paraId="7E301CAA">
      <w:pPr>
        <w:rPr>
          <w:rFonts w:hint="eastAsia" w:ascii="宋体" w:hAnsi="宋体" w:cs="宋体"/>
          <w:b/>
          <w:sz w:val="21"/>
          <w:szCs w:val="21"/>
          <w:lang w:eastAsia="zh-CN"/>
        </w:rPr>
      </w:pPr>
    </w:p>
    <w:p w14:paraId="7553A29C">
      <w:pPr>
        <w:rPr>
          <w:rFonts w:hint="eastAsia" w:ascii="宋体" w:hAnsi="宋体" w:cs="宋体"/>
          <w:b/>
          <w:sz w:val="21"/>
          <w:szCs w:val="21"/>
          <w:lang w:eastAsia="zh-CN"/>
        </w:rPr>
      </w:pPr>
    </w:p>
    <w:p w14:paraId="4935645E">
      <w:r>
        <w:rPr>
          <w:rFonts w:hint="eastAsia" w:ascii="宋体" w:hAnsi="宋体" w:cs="宋体"/>
          <w:b/>
          <w:sz w:val="21"/>
          <w:szCs w:val="21"/>
          <w:lang w:eastAsia="zh-CN"/>
        </w:rPr>
        <w:t>注释：</w:t>
      </w:r>
      <w:r>
        <w:rPr>
          <w:rFonts w:hint="eastAsia" w:ascii="宋体" w:hAnsi="宋体" w:cs="宋体"/>
          <w:b/>
          <w:sz w:val="21"/>
          <w:szCs w:val="21"/>
        </w:rPr>
        <w:t>中小企业参加政府采购活动，应当出具本办法规定的《中小企业声明函》，否则不得享受相关中小企业扶持政策。</w:t>
      </w:r>
    </w:p>
    <w:p w14:paraId="13905368">
      <w:pPr>
        <w:pStyle w:val="4"/>
        <w:spacing w:line="276" w:lineRule="auto"/>
        <w:ind w:left="0" w:leftChars="0" w:firstLine="0" w:firstLineChars="0"/>
        <w:rPr>
          <w:rFonts w:asciiTheme="majorEastAsia" w:hAnsiTheme="majorEastAsia" w:eastAsiaTheme="majorEastAsia"/>
        </w:rPr>
      </w:pPr>
    </w:p>
    <w:p w14:paraId="27B9E42F">
      <w:pPr>
        <w:pStyle w:val="4"/>
        <w:spacing w:line="276" w:lineRule="auto"/>
        <w:ind w:left="0" w:leftChars="0" w:firstLine="0" w:firstLineChars="0"/>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4622">
    <w:pPr>
      <w:pStyle w:val="18"/>
    </w:pPr>
    <w:r>
      <w:pict>
        <v:shape id="文本框 102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lfknQ&#10;AAAAAwEAAA8AAAAAAAAAAQAgAAAAIgAAAGRycy9kb3ducmV2LnhtbFBLAQIUABQAAAAIAIdO4kBS&#10;ugY5tgEAAEwDAAAOAAAAAAAAAAEAIAAAAB8BAABkcnMvZTJvRG9jLnhtbFBLBQYAAAAABgAGAFkB&#10;AABHBQAAAAA=&#10;">
          <v:path/>
          <v:fill on="f" focussize="0,0"/>
          <v:stroke on="f" joinstyle="miter"/>
          <v:imagedata o:title=""/>
          <o:lock v:ext="edit"/>
          <v:textbox inset="0mm,0mm,0mm,0mm" style="mso-fit-shape-to-text:t;">
            <w:txbxContent>
              <w:p w14:paraId="7E0BE8B5">
                <w:pPr>
                  <w:pStyle w:val="1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27DC">
    <w:pPr>
      <w:pStyle w:val="18"/>
    </w:pPr>
    <w:r>
      <w:pict>
        <v:shape id="文本框 1026" o:spid="_x0000_s3073"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7XTPQ&#10;AAAAAwEAAA8AAAAAAAAAAQAgAAAAIgAAAGRycy9kb3ducmV2LnhtbFBLAQIUABQAAAAIAIdO4kAB&#10;X77htgEAAEwDAAAOAAAAAAAAAAEAIAAAAB8BAABkcnMvZTJvRG9jLnhtbFBLBQYAAAAABgAGAFkB&#10;AABHBQAAAAA=&#10;">
          <v:path/>
          <v:fill on="f" focussize="0,0"/>
          <v:stroke on="f" joinstyle="miter"/>
          <v:imagedata o:title=""/>
          <o:lock v:ext="edit"/>
          <v:textbox inset="0mm,0mm,0mm,0mm" style="mso-fit-shape-to-text:t;">
            <w:txbxContent>
              <w:p w14:paraId="2303DF56">
                <w:pPr>
                  <w:snapToGrid w:val="0"/>
                  <w:rPr>
                    <w:sz w:val="18"/>
                  </w:rPr>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4F40">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1166C"/>
    <w:multiLevelType w:val="singleLevel"/>
    <w:tmpl w:val="9FE1166C"/>
    <w:lvl w:ilvl="0" w:tentative="0">
      <w:start w:val="1"/>
      <w:numFmt w:val="decimal"/>
      <w:suff w:val="nothing"/>
      <w:lvlText w:val="%1）"/>
      <w:lvlJc w:val="left"/>
      <w:rPr>
        <w:rFonts w:cs="Times New Roman"/>
      </w:rPr>
    </w:lvl>
  </w:abstractNum>
  <w:abstractNum w:abstractNumId="1">
    <w:nsid w:val="B56C586C"/>
    <w:multiLevelType w:val="singleLevel"/>
    <w:tmpl w:val="B56C586C"/>
    <w:lvl w:ilvl="0" w:tentative="0">
      <w:start w:val="1"/>
      <w:numFmt w:val="decimal"/>
      <w:suff w:val="nothing"/>
      <w:lvlText w:val="%1）"/>
      <w:lvlJc w:val="left"/>
      <w:rPr>
        <w:rFonts w:cs="Times New Roman"/>
      </w:rPr>
    </w:lvl>
  </w:abstractNum>
  <w:abstractNum w:abstractNumId="2">
    <w:nsid w:val="CBEB6A75"/>
    <w:multiLevelType w:val="singleLevel"/>
    <w:tmpl w:val="CBEB6A75"/>
    <w:lvl w:ilvl="0" w:tentative="0">
      <w:start w:val="2"/>
      <w:numFmt w:val="chineseCounting"/>
      <w:suff w:val="space"/>
      <w:lvlText w:val="第%1节"/>
      <w:lvlJc w:val="left"/>
      <w:rPr>
        <w:rFonts w:hint="eastAsia" w:cs="Times New Roman"/>
      </w:rPr>
    </w:lvl>
  </w:abstractNum>
  <w:abstractNum w:abstractNumId="3">
    <w:nsid w:val="F196320B"/>
    <w:multiLevelType w:val="singleLevel"/>
    <w:tmpl w:val="F196320B"/>
    <w:lvl w:ilvl="0" w:tentative="0">
      <w:start w:val="1"/>
      <w:numFmt w:val="decimal"/>
      <w:suff w:val="space"/>
      <w:lvlText w:val="%1."/>
      <w:lvlJc w:val="left"/>
    </w:lvl>
  </w:abstractNum>
  <w:abstractNum w:abstractNumId="4">
    <w:nsid w:val="00000010"/>
    <w:multiLevelType w:val="multilevel"/>
    <w:tmpl w:val="00000010"/>
    <w:lvl w:ilvl="0" w:tentative="0">
      <w:start w:val="1"/>
      <w:numFmt w:val="decimal"/>
      <w:lvlText w:val="（%1）"/>
      <w:lvlJc w:val="left"/>
      <w:pPr>
        <w:tabs>
          <w:tab w:val="left" w:pos="1369"/>
        </w:tabs>
        <w:ind w:left="1369" w:hanging="972"/>
      </w:pPr>
      <w:rPr>
        <w:rFonts w:hint="eastAsia" w:cs="Times New Roman"/>
      </w:rPr>
    </w:lvl>
    <w:lvl w:ilvl="1" w:tentative="0">
      <w:start w:val="1"/>
      <w:numFmt w:val="decimal"/>
      <w:lvlText w:val="（%2）"/>
      <w:lvlJc w:val="left"/>
      <w:pPr>
        <w:tabs>
          <w:tab w:val="left" w:pos="1174"/>
        </w:tabs>
        <w:ind w:left="794" w:hanging="340"/>
      </w:pPr>
      <w:rPr>
        <w:rFonts w:hint="eastAsia" w:cs="Times New Roman"/>
      </w:rPr>
    </w:lvl>
    <w:lvl w:ilvl="2" w:tentative="0">
      <w:start w:val="1"/>
      <w:numFmt w:val="decimal"/>
      <w:lvlText w:val="%3、"/>
      <w:lvlJc w:val="left"/>
      <w:pPr>
        <w:tabs>
          <w:tab w:val="left" w:pos="1230"/>
        </w:tabs>
        <w:ind w:left="1230" w:hanging="720"/>
      </w:pPr>
      <w:rPr>
        <w:rFonts w:hint="eastAsia" w:eastAsia="宋体" w:cs="Times New Roman"/>
        <w:b w:val="0"/>
      </w:rPr>
    </w:lvl>
    <w:lvl w:ilvl="3" w:tentative="0">
      <w:start w:val="1"/>
      <w:numFmt w:val="japaneseCounting"/>
      <w:lvlText w:val="（%4）"/>
      <w:lvlJc w:val="left"/>
      <w:pPr>
        <w:ind w:left="6010" w:hanging="108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72299AD6"/>
    <w:multiLevelType w:val="singleLevel"/>
    <w:tmpl w:val="72299AD6"/>
    <w:lvl w:ilvl="0" w:tentative="0">
      <w:start w:val="6"/>
      <w:numFmt w:val="chineseCounting"/>
      <w:suff w:val="nothing"/>
      <w:lvlText w:val="%1、"/>
      <w:lvlJc w:val="left"/>
      <w:rPr>
        <w:rFonts w:hint="eastAsia"/>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1NTg4NzlkYmRiNWUzNzUyNzhlYzEyNDY4ODk2ZjcifQ=="/>
  </w:docVars>
  <w:rsids>
    <w:rsidRoot w:val="00333D71"/>
    <w:rsid w:val="000110DA"/>
    <w:rsid w:val="000116A6"/>
    <w:rsid w:val="000143AB"/>
    <w:rsid w:val="00015BA2"/>
    <w:rsid w:val="00027AA7"/>
    <w:rsid w:val="000375CC"/>
    <w:rsid w:val="00041E48"/>
    <w:rsid w:val="00045C50"/>
    <w:rsid w:val="000529BA"/>
    <w:rsid w:val="00054870"/>
    <w:rsid w:val="00055CB5"/>
    <w:rsid w:val="0005617A"/>
    <w:rsid w:val="00056FE2"/>
    <w:rsid w:val="0005793E"/>
    <w:rsid w:val="000653F9"/>
    <w:rsid w:val="000733F3"/>
    <w:rsid w:val="00083E1D"/>
    <w:rsid w:val="00095B8C"/>
    <w:rsid w:val="000977E5"/>
    <w:rsid w:val="000A264F"/>
    <w:rsid w:val="000A63F0"/>
    <w:rsid w:val="000C1FF7"/>
    <w:rsid w:val="000C3007"/>
    <w:rsid w:val="000C674B"/>
    <w:rsid w:val="000D0C14"/>
    <w:rsid w:val="000D2440"/>
    <w:rsid w:val="000E078D"/>
    <w:rsid w:val="000E30E4"/>
    <w:rsid w:val="000E3C32"/>
    <w:rsid w:val="000F0631"/>
    <w:rsid w:val="000F2BCA"/>
    <w:rsid w:val="001011F7"/>
    <w:rsid w:val="00103B91"/>
    <w:rsid w:val="00113069"/>
    <w:rsid w:val="00116E7E"/>
    <w:rsid w:val="00120C62"/>
    <w:rsid w:val="00125289"/>
    <w:rsid w:val="00130711"/>
    <w:rsid w:val="00131394"/>
    <w:rsid w:val="00133042"/>
    <w:rsid w:val="00133245"/>
    <w:rsid w:val="00136148"/>
    <w:rsid w:val="00150E33"/>
    <w:rsid w:val="00152402"/>
    <w:rsid w:val="00160F4E"/>
    <w:rsid w:val="00163138"/>
    <w:rsid w:val="00167049"/>
    <w:rsid w:val="001854CD"/>
    <w:rsid w:val="001A1F63"/>
    <w:rsid w:val="001B0E21"/>
    <w:rsid w:val="001B77E8"/>
    <w:rsid w:val="001C1510"/>
    <w:rsid w:val="001D0D9F"/>
    <w:rsid w:val="001D164A"/>
    <w:rsid w:val="001D5889"/>
    <w:rsid w:val="001D6CDC"/>
    <w:rsid w:val="001E1425"/>
    <w:rsid w:val="001E1C52"/>
    <w:rsid w:val="001F3E4C"/>
    <w:rsid w:val="001F5128"/>
    <w:rsid w:val="00214443"/>
    <w:rsid w:val="00215E76"/>
    <w:rsid w:val="00220E9E"/>
    <w:rsid w:val="00223282"/>
    <w:rsid w:val="00224441"/>
    <w:rsid w:val="002425B1"/>
    <w:rsid w:val="00243C23"/>
    <w:rsid w:val="002504DE"/>
    <w:rsid w:val="00253761"/>
    <w:rsid w:val="00256DD9"/>
    <w:rsid w:val="0026082F"/>
    <w:rsid w:val="00264C45"/>
    <w:rsid w:val="00267D99"/>
    <w:rsid w:val="002777D7"/>
    <w:rsid w:val="00282670"/>
    <w:rsid w:val="002945CC"/>
    <w:rsid w:val="00295FC3"/>
    <w:rsid w:val="002A1E6F"/>
    <w:rsid w:val="002A509E"/>
    <w:rsid w:val="002A5644"/>
    <w:rsid w:val="002B23B9"/>
    <w:rsid w:val="002B267A"/>
    <w:rsid w:val="002C4366"/>
    <w:rsid w:val="002C61F7"/>
    <w:rsid w:val="002C7625"/>
    <w:rsid w:val="002D0179"/>
    <w:rsid w:val="002D1CDC"/>
    <w:rsid w:val="002D785D"/>
    <w:rsid w:val="002E23C3"/>
    <w:rsid w:val="002E761D"/>
    <w:rsid w:val="002F0161"/>
    <w:rsid w:val="002F05A1"/>
    <w:rsid w:val="002F151A"/>
    <w:rsid w:val="002F7EF0"/>
    <w:rsid w:val="0031033E"/>
    <w:rsid w:val="0031554F"/>
    <w:rsid w:val="003224CA"/>
    <w:rsid w:val="00324F63"/>
    <w:rsid w:val="00326F15"/>
    <w:rsid w:val="00330E2A"/>
    <w:rsid w:val="00333D71"/>
    <w:rsid w:val="00343A61"/>
    <w:rsid w:val="00346D62"/>
    <w:rsid w:val="00352AEF"/>
    <w:rsid w:val="00353D1C"/>
    <w:rsid w:val="0035728F"/>
    <w:rsid w:val="0036021D"/>
    <w:rsid w:val="00375059"/>
    <w:rsid w:val="00380E85"/>
    <w:rsid w:val="00386D4F"/>
    <w:rsid w:val="00387709"/>
    <w:rsid w:val="003916B8"/>
    <w:rsid w:val="00393E7C"/>
    <w:rsid w:val="003A06CE"/>
    <w:rsid w:val="003A341F"/>
    <w:rsid w:val="003B6D82"/>
    <w:rsid w:val="003B7B29"/>
    <w:rsid w:val="003E127B"/>
    <w:rsid w:val="003E1AF7"/>
    <w:rsid w:val="003E2BB0"/>
    <w:rsid w:val="003E3F69"/>
    <w:rsid w:val="003E433E"/>
    <w:rsid w:val="003F16D0"/>
    <w:rsid w:val="003F1CA0"/>
    <w:rsid w:val="003F4571"/>
    <w:rsid w:val="003F5233"/>
    <w:rsid w:val="003F6D22"/>
    <w:rsid w:val="003F773E"/>
    <w:rsid w:val="004012F1"/>
    <w:rsid w:val="0040363F"/>
    <w:rsid w:val="004168DA"/>
    <w:rsid w:val="00427AFD"/>
    <w:rsid w:val="00445317"/>
    <w:rsid w:val="0045211D"/>
    <w:rsid w:val="00463D65"/>
    <w:rsid w:val="0046578C"/>
    <w:rsid w:val="0046651B"/>
    <w:rsid w:val="004669FF"/>
    <w:rsid w:val="00466F56"/>
    <w:rsid w:val="00473107"/>
    <w:rsid w:val="00480E5F"/>
    <w:rsid w:val="004849AF"/>
    <w:rsid w:val="004874F7"/>
    <w:rsid w:val="00491522"/>
    <w:rsid w:val="00495F2A"/>
    <w:rsid w:val="00495FA4"/>
    <w:rsid w:val="004974A3"/>
    <w:rsid w:val="004A5ECD"/>
    <w:rsid w:val="004A6C5A"/>
    <w:rsid w:val="004A7C35"/>
    <w:rsid w:val="004B1539"/>
    <w:rsid w:val="004B7CB8"/>
    <w:rsid w:val="004C1210"/>
    <w:rsid w:val="004C183A"/>
    <w:rsid w:val="004C2B78"/>
    <w:rsid w:val="004C45C1"/>
    <w:rsid w:val="004E42BC"/>
    <w:rsid w:val="004E63E0"/>
    <w:rsid w:val="004F5BDA"/>
    <w:rsid w:val="00500248"/>
    <w:rsid w:val="00502322"/>
    <w:rsid w:val="005036DA"/>
    <w:rsid w:val="00504DAE"/>
    <w:rsid w:val="0050617A"/>
    <w:rsid w:val="0050638A"/>
    <w:rsid w:val="00510265"/>
    <w:rsid w:val="0051165B"/>
    <w:rsid w:val="00514FAA"/>
    <w:rsid w:val="00517443"/>
    <w:rsid w:val="00520CBE"/>
    <w:rsid w:val="00523482"/>
    <w:rsid w:val="0052464A"/>
    <w:rsid w:val="0053159D"/>
    <w:rsid w:val="00536063"/>
    <w:rsid w:val="00542D22"/>
    <w:rsid w:val="005466CD"/>
    <w:rsid w:val="0055061D"/>
    <w:rsid w:val="005520D8"/>
    <w:rsid w:val="005710B6"/>
    <w:rsid w:val="00577BB7"/>
    <w:rsid w:val="00582EA1"/>
    <w:rsid w:val="00585102"/>
    <w:rsid w:val="00591055"/>
    <w:rsid w:val="00594BC9"/>
    <w:rsid w:val="00596F73"/>
    <w:rsid w:val="005B2A11"/>
    <w:rsid w:val="005B2EC5"/>
    <w:rsid w:val="005B7C9D"/>
    <w:rsid w:val="005C38E5"/>
    <w:rsid w:val="005D0FCF"/>
    <w:rsid w:val="005D1E6E"/>
    <w:rsid w:val="005D643C"/>
    <w:rsid w:val="005E297B"/>
    <w:rsid w:val="005F36AD"/>
    <w:rsid w:val="005F652D"/>
    <w:rsid w:val="00602F8C"/>
    <w:rsid w:val="0061680A"/>
    <w:rsid w:val="00617776"/>
    <w:rsid w:val="00621DFD"/>
    <w:rsid w:val="006270B1"/>
    <w:rsid w:val="0063512D"/>
    <w:rsid w:val="00637391"/>
    <w:rsid w:val="00640B0E"/>
    <w:rsid w:val="00645E51"/>
    <w:rsid w:val="00646E2D"/>
    <w:rsid w:val="006605ED"/>
    <w:rsid w:val="0066070E"/>
    <w:rsid w:val="00664719"/>
    <w:rsid w:val="00676849"/>
    <w:rsid w:val="0068640D"/>
    <w:rsid w:val="00690EFF"/>
    <w:rsid w:val="00692A32"/>
    <w:rsid w:val="00697F9A"/>
    <w:rsid w:val="006A4C02"/>
    <w:rsid w:val="006B1A77"/>
    <w:rsid w:val="006B700F"/>
    <w:rsid w:val="006C4369"/>
    <w:rsid w:val="006D5646"/>
    <w:rsid w:val="006E0FCE"/>
    <w:rsid w:val="006E1549"/>
    <w:rsid w:val="006E3D93"/>
    <w:rsid w:val="006F230C"/>
    <w:rsid w:val="006F335D"/>
    <w:rsid w:val="006F47C7"/>
    <w:rsid w:val="006F75BE"/>
    <w:rsid w:val="00704479"/>
    <w:rsid w:val="00710364"/>
    <w:rsid w:val="00721A2D"/>
    <w:rsid w:val="0072284B"/>
    <w:rsid w:val="007379EC"/>
    <w:rsid w:val="00740E7A"/>
    <w:rsid w:val="007417C8"/>
    <w:rsid w:val="00745F7D"/>
    <w:rsid w:val="007524AB"/>
    <w:rsid w:val="00756561"/>
    <w:rsid w:val="0075735C"/>
    <w:rsid w:val="00760587"/>
    <w:rsid w:val="00760E42"/>
    <w:rsid w:val="00764A7E"/>
    <w:rsid w:val="00770F26"/>
    <w:rsid w:val="007768E8"/>
    <w:rsid w:val="00782C6F"/>
    <w:rsid w:val="0079090F"/>
    <w:rsid w:val="00794857"/>
    <w:rsid w:val="00795EE1"/>
    <w:rsid w:val="007A7C52"/>
    <w:rsid w:val="007B6AB8"/>
    <w:rsid w:val="007B7424"/>
    <w:rsid w:val="007B7721"/>
    <w:rsid w:val="007B7BD0"/>
    <w:rsid w:val="007C0C49"/>
    <w:rsid w:val="007C1CFA"/>
    <w:rsid w:val="007C797E"/>
    <w:rsid w:val="007D01AA"/>
    <w:rsid w:val="007D3240"/>
    <w:rsid w:val="007D59D4"/>
    <w:rsid w:val="007E0A19"/>
    <w:rsid w:val="007E30F8"/>
    <w:rsid w:val="007E61CF"/>
    <w:rsid w:val="007E6A52"/>
    <w:rsid w:val="007E6A53"/>
    <w:rsid w:val="008117D4"/>
    <w:rsid w:val="008220D2"/>
    <w:rsid w:val="008254E7"/>
    <w:rsid w:val="008303A9"/>
    <w:rsid w:val="008322BB"/>
    <w:rsid w:val="00844E81"/>
    <w:rsid w:val="008474B1"/>
    <w:rsid w:val="00864609"/>
    <w:rsid w:val="0086538A"/>
    <w:rsid w:val="008653DD"/>
    <w:rsid w:val="00875703"/>
    <w:rsid w:val="00877F5B"/>
    <w:rsid w:val="00880AF5"/>
    <w:rsid w:val="00881748"/>
    <w:rsid w:val="00884859"/>
    <w:rsid w:val="00885308"/>
    <w:rsid w:val="0089187C"/>
    <w:rsid w:val="008924B1"/>
    <w:rsid w:val="00894E47"/>
    <w:rsid w:val="008A1C8D"/>
    <w:rsid w:val="008A78CC"/>
    <w:rsid w:val="008C0529"/>
    <w:rsid w:val="008C3762"/>
    <w:rsid w:val="008D34F6"/>
    <w:rsid w:val="008D68D6"/>
    <w:rsid w:val="008E0EE3"/>
    <w:rsid w:val="008E6566"/>
    <w:rsid w:val="008F4400"/>
    <w:rsid w:val="008F4AD6"/>
    <w:rsid w:val="00901A49"/>
    <w:rsid w:val="00906D9F"/>
    <w:rsid w:val="00910E56"/>
    <w:rsid w:val="00912F69"/>
    <w:rsid w:val="00915205"/>
    <w:rsid w:val="0091665E"/>
    <w:rsid w:val="009171A5"/>
    <w:rsid w:val="00921AB9"/>
    <w:rsid w:val="009327CD"/>
    <w:rsid w:val="009471D9"/>
    <w:rsid w:val="0096422A"/>
    <w:rsid w:val="0096485A"/>
    <w:rsid w:val="009733A6"/>
    <w:rsid w:val="009739C1"/>
    <w:rsid w:val="00982341"/>
    <w:rsid w:val="009842F6"/>
    <w:rsid w:val="00984E44"/>
    <w:rsid w:val="009905E6"/>
    <w:rsid w:val="0099252E"/>
    <w:rsid w:val="00996741"/>
    <w:rsid w:val="009A4AFD"/>
    <w:rsid w:val="009B4F84"/>
    <w:rsid w:val="009B58CE"/>
    <w:rsid w:val="009B6E34"/>
    <w:rsid w:val="009C15CD"/>
    <w:rsid w:val="009C5F63"/>
    <w:rsid w:val="009C6757"/>
    <w:rsid w:val="009C6B74"/>
    <w:rsid w:val="009D035A"/>
    <w:rsid w:val="009D4B73"/>
    <w:rsid w:val="009D74AF"/>
    <w:rsid w:val="009E369D"/>
    <w:rsid w:val="009E5000"/>
    <w:rsid w:val="009E724E"/>
    <w:rsid w:val="009F220E"/>
    <w:rsid w:val="009F3DED"/>
    <w:rsid w:val="009F6FCD"/>
    <w:rsid w:val="00A03EC5"/>
    <w:rsid w:val="00A10B49"/>
    <w:rsid w:val="00A15BCB"/>
    <w:rsid w:val="00A258F7"/>
    <w:rsid w:val="00A26671"/>
    <w:rsid w:val="00A27EFA"/>
    <w:rsid w:val="00A32F81"/>
    <w:rsid w:val="00A34FF7"/>
    <w:rsid w:val="00A454F0"/>
    <w:rsid w:val="00A57E34"/>
    <w:rsid w:val="00A636D5"/>
    <w:rsid w:val="00A72D6F"/>
    <w:rsid w:val="00A75004"/>
    <w:rsid w:val="00A76690"/>
    <w:rsid w:val="00A76F33"/>
    <w:rsid w:val="00A83A47"/>
    <w:rsid w:val="00A90001"/>
    <w:rsid w:val="00A912D6"/>
    <w:rsid w:val="00A97EAF"/>
    <w:rsid w:val="00AA114A"/>
    <w:rsid w:val="00AB08BA"/>
    <w:rsid w:val="00AB3B5E"/>
    <w:rsid w:val="00AB6817"/>
    <w:rsid w:val="00AB6D09"/>
    <w:rsid w:val="00AC10D1"/>
    <w:rsid w:val="00AC362D"/>
    <w:rsid w:val="00AD3B52"/>
    <w:rsid w:val="00AD4473"/>
    <w:rsid w:val="00AD61A2"/>
    <w:rsid w:val="00AE3AB2"/>
    <w:rsid w:val="00AF30FE"/>
    <w:rsid w:val="00B028A0"/>
    <w:rsid w:val="00B04F7E"/>
    <w:rsid w:val="00B05BAA"/>
    <w:rsid w:val="00B12E43"/>
    <w:rsid w:val="00B1685F"/>
    <w:rsid w:val="00B17CD4"/>
    <w:rsid w:val="00B200E6"/>
    <w:rsid w:val="00B2173B"/>
    <w:rsid w:val="00B22940"/>
    <w:rsid w:val="00B27573"/>
    <w:rsid w:val="00B34CC1"/>
    <w:rsid w:val="00B353C6"/>
    <w:rsid w:val="00B35D10"/>
    <w:rsid w:val="00B3636F"/>
    <w:rsid w:val="00B50033"/>
    <w:rsid w:val="00B51966"/>
    <w:rsid w:val="00B5565B"/>
    <w:rsid w:val="00B57E58"/>
    <w:rsid w:val="00B6081F"/>
    <w:rsid w:val="00B65B38"/>
    <w:rsid w:val="00B764CB"/>
    <w:rsid w:val="00B82F4B"/>
    <w:rsid w:val="00B83392"/>
    <w:rsid w:val="00B84C9D"/>
    <w:rsid w:val="00B905C1"/>
    <w:rsid w:val="00B91E1C"/>
    <w:rsid w:val="00B92375"/>
    <w:rsid w:val="00B933F6"/>
    <w:rsid w:val="00B97117"/>
    <w:rsid w:val="00BA73D5"/>
    <w:rsid w:val="00BB2525"/>
    <w:rsid w:val="00BB34A9"/>
    <w:rsid w:val="00BB4167"/>
    <w:rsid w:val="00BB6FE5"/>
    <w:rsid w:val="00BC21A4"/>
    <w:rsid w:val="00BC3BDA"/>
    <w:rsid w:val="00BC7043"/>
    <w:rsid w:val="00BC7C79"/>
    <w:rsid w:val="00BD0F68"/>
    <w:rsid w:val="00BD3BE9"/>
    <w:rsid w:val="00BD498C"/>
    <w:rsid w:val="00BD7A17"/>
    <w:rsid w:val="00BE038E"/>
    <w:rsid w:val="00BE5E7D"/>
    <w:rsid w:val="00BE6AEB"/>
    <w:rsid w:val="00BF27E9"/>
    <w:rsid w:val="00C02B4B"/>
    <w:rsid w:val="00C054E9"/>
    <w:rsid w:val="00C12BE6"/>
    <w:rsid w:val="00C15F24"/>
    <w:rsid w:val="00C17E80"/>
    <w:rsid w:val="00C217EC"/>
    <w:rsid w:val="00C30FA4"/>
    <w:rsid w:val="00C340A8"/>
    <w:rsid w:val="00C37938"/>
    <w:rsid w:val="00C475E8"/>
    <w:rsid w:val="00C53C30"/>
    <w:rsid w:val="00C5446A"/>
    <w:rsid w:val="00C57551"/>
    <w:rsid w:val="00C57F44"/>
    <w:rsid w:val="00C606BB"/>
    <w:rsid w:val="00C7129C"/>
    <w:rsid w:val="00C775E9"/>
    <w:rsid w:val="00C77FC9"/>
    <w:rsid w:val="00C82377"/>
    <w:rsid w:val="00C83EB9"/>
    <w:rsid w:val="00C92744"/>
    <w:rsid w:val="00CA1B44"/>
    <w:rsid w:val="00CA1FE2"/>
    <w:rsid w:val="00CA2DC0"/>
    <w:rsid w:val="00CA308E"/>
    <w:rsid w:val="00CA4C62"/>
    <w:rsid w:val="00CB25CC"/>
    <w:rsid w:val="00CB2B28"/>
    <w:rsid w:val="00CB5752"/>
    <w:rsid w:val="00CC6752"/>
    <w:rsid w:val="00CD25B5"/>
    <w:rsid w:val="00CD51EA"/>
    <w:rsid w:val="00CD7F3C"/>
    <w:rsid w:val="00CE5A28"/>
    <w:rsid w:val="00CF39E6"/>
    <w:rsid w:val="00CF6D02"/>
    <w:rsid w:val="00D04150"/>
    <w:rsid w:val="00D10127"/>
    <w:rsid w:val="00D21A64"/>
    <w:rsid w:val="00D24BBA"/>
    <w:rsid w:val="00D25852"/>
    <w:rsid w:val="00D25D87"/>
    <w:rsid w:val="00D26C1B"/>
    <w:rsid w:val="00D26D5A"/>
    <w:rsid w:val="00D30CB3"/>
    <w:rsid w:val="00D40642"/>
    <w:rsid w:val="00D449FF"/>
    <w:rsid w:val="00D46BBB"/>
    <w:rsid w:val="00D46D03"/>
    <w:rsid w:val="00D52366"/>
    <w:rsid w:val="00D60FAE"/>
    <w:rsid w:val="00D63D93"/>
    <w:rsid w:val="00D669C9"/>
    <w:rsid w:val="00D73F12"/>
    <w:rsid w:val="00D74F2A"/>
    <w:rsid w:val="00D8216F"/>
    <w:rsid w:val="00D82D70"/>
    <w:rsid w:val="00D904CA"/>
    <w:rsid w:val="00D90DBF"/>
    <w:rsid w:val="00D916FC"/>
    <w:rsid w:val="00D95CF1"/>
    <w:rsid w:val="00DA1E61"/>
    <w:rsid w:val="00DA2503"/>
    <w:rsid w:val="00DA3810"/>
    <w:rsid w:val="00DB14E6"/>
    <w:rsid w:val="00DB69FF"/>
    <w:rsid w:val="00DC0075"/>
    <w:rsid w:val="00DC0402"/>
    <w:rsid w:val="00DC538E"/>
    <w:rsid w:val="00DC6086"/>
    <w:rsid w:val="00DD41BD"/>
    <w:rsid w:val="00DD56F4"/>
    <w:rsid w:val="00DE4131"/>
    <w:rsid w:val="00DE58B2"/>
    <w:rsid w:val="00DE776C"/>
    <w:rsid w:val="00DF0100"/>
    <w:rsid w:val="00DF0FBA"/>
    <w:rsid w:val="00DF301C"/>
    <w:rsid w:val="00E001BF"/>
    <w:rsid w:val="00E02DD3"/>
    <w:rsid w:val="00E0541A"/>
    <w:rsid w:val="00E06A43"/>
    <w:rsid w:val="00E134A9"/>
    <w:rsid w:val="00E13FD4"/>
    <w:rsid w:val="00E15BB9"/>
    <w:rsid w:val="00E25C6F"/>
    <w:rsid w:val="00E2643D"/>
    <w:rsid w:val="00E27708"/>
    <w:rsid w:val="00E57A61"/>
    <w:rsid w:val="00E734CA"/>
    <w:rsid w:val="00E764CD"/>
    <w:rsid w:val="00E83DC1"/>
    <w:rsid w:val="00E86C5F"/>
    <w:rsid w:val="00E917B2"/>
    <w:rsid w:val="00E92F48"/>
    <w:rsid w:val="00E9477E"/>
    <w:rsid w:val="00E96C12"/>
    <w:rsid w:val="00EA0ADD"/>
    <w:rsid w:val="00EA0B57"/>
    <w:rsid w:val="00EA1A89"/>
    <w:rsid w:val="00EB366F"/>
    <w:rsid w:val="00EB6E06"/>
    <w:rsid w:val="00EC6616"/>
    <w:rsid w:val="00EC68D4"/>
    <w:rsid w:val="00ED1E2A"/>
    <w:rsid w:val="00EE2109"/>
    <w:rsid w:val="00EE2806"/>
    <w:rsid w:val="00EE3706"/>
    <w:rsid w:val="00F00BC2"/>
    <w:rsid w:val="00F06804"/>
    <w:rsid w:val="00F12BEC"/>
    <w:rsid w:val="00F1513A"/>
    <w:rsid w:val="00F15B9A"/>
    <w:rsid w:val="00F167C7"/>
    <w:rsid w:val="00F21421"/>
    <w:rsid w:val="00F26FED"/>
    <w:rsid w:val="00F32D7C"/>
    <w:rsid w:val="00F364BE"/>
    <w:rsid w:val="00F440EB"/>
    <w:rsid w:val="00F450B0"/>
    <w:rsid w:val="00F4701E"/>
    <w:rsid w:val="00F503FA"/>
    <w:rsid w:val="00F55A4B"/>
    <w:rsid w:val="00F576BF"/>
    <w:rsid w:val="00F57AD0"/>
    <w:rsid w:val="00F61F2F"/>
    <w:rsid w:val="00F861C8"/>
    <w:rsid w:val="00F86C37"/>
    <w:rsid w:val="00FA1478"/>
    <w:rsid w:val="00FA35F6"/>
    <w:rsid w:val="00FA7131"/>
    <w:rsid w:val="00FA7B0C"/>
    <w:rsid w:val="00FC0D85"/>
    <w:rsid w:val="00FC2159"/>
    <w:rsid w:val="00FD3132"/>
    <w:rsid w:val="00FD4C62"/>
    <w:rsid w:val="00FE63A7"/>
    <w:rsid w:val="00FF1137"/>
    <w:rsid w:val="00FF652E"/>
    <w:rsid w:val="01046D05"/>
    <w:rsid w:val="010E46FB"/>
    <w:rsid w:val="010E51A2"/>
    <w:rsid w:val="010F7148"/>
    <w:rsid w:val="011025CA"/>
    <w:rsid w:val="01174ECA"/>
    <w:rsid w:val="01184748"/>
    <w:rsid w:val="011C3EEF"/>
    <w:rsid w:val="01232CF3"/>
    <w:rsid w:val="012E026C"/>
    <w:rsid w:val="013C246A"/>
    <w:rsid w:val="013E3620"/>
    <w:rsid w:val="01430A0E"/>
    <w:rsid w:val="01563248"/>
    <w:rsid w:val="015C5207"/>
    <w:rsid w:val="0165139B"/>
    <w:rsid w:val="016A5294"/>
    <w:rsid w:val="016C7070"/>
    <w:rsid w:val="01772782"/>
    <w:rsid w:val="01781D56"/>
    <w:rsid w:val="017D2C13"/>
    <w:rsid w:val="018145FB"/>
    <w:rsid w:val="018A31A6"/>
    <w:rsid w:val="018D5EFA"/>
    <w:rsid w:val="01A37EC9"/>
    <w:rsid w:val="01A74ACE"/>
    <w:rsid w:val="01AE5944"/>
    <w:rsid w:val="01AF5E1F"/>
    <w:rsid w:val="01BD79C7"/>
    <w:rsid w:val="01CC5C7B"/>
    <w:rsid w:val="01CE30C5"/>
    <w:rsid w:val="01E75A73"/>
    <w:rsid w:val="01F42039"/>
    <w:rsid w:val="01FE48A3"/>
    <w:rsid w:val="02004A0B"/>
    <w:rsid w:val="02012B4C"/>
    <w:rsid w:val="02083B49"/>
    <w:rsid w:val="020E03C7"/>
    <w:rsid w:val="020F7B7E"/>
    <w:rsid w:val="02104A8C"/>
    <w:rsid w:val="02106DDC"/>
    <w:rsid w:val="02121E78"/>
    <w:rsid w:val="021B7C25"/>
    <w:rsid w:val="021E6629"/>
    <w:rsid w:val="022624DE"/>
    <w:rsid w:val="02266D94"/>
    <w:rsid w:val="022A59FA"/>
    <w:rsid w:val="022A6766"/>
    <w:rsid w:val="022E26FA"/>
    <w:rsid w:val="02311E36"/>
    <w:rsid w:val="023339ED"/>
    <w:rsid w:val="02391794"/>
    <w:rsid w:val="02404C7C"/>
    <w:rsid w:val="024060B9"/>
    <w:rsid w:val="024A3F82"/>
    <w:rsid w:val="0252293B"/>
    <w:rsid w:val="025E02B4"/>
    <w:rsid w:val="026F2C9B"/>
    <w:rsid w:val="026F5C33"/>
    <w:rsid w:val="027331D0"/>
    <w:rsid w:val="027802BA"/>
    <w:rsid w:val="027B12F5"/>
    <w:rsid w:val="027B4B16"/>
    <w:rsid w:val="027C16B8"/>
    <w:rsid w:val="02894562"/>
    <w:rsid w:val="028A0542"/>
    <w:rsid w:val="02966988"/>
    <w:rsid w:val="02995712"/>
    <w:rsid w:val="02AB41F1"/>
    <w:rsid w:val="02BA3AC1"/>
    <w:rsid w:val="02BF778F"/>
    <w:rsid w:val="02C24BF1"/>
    <w:rsid w:val="02C65144"/>
    <w:rsid w:val="02CA3618"/>
    <w:rsid w:val="02CB1CF7"/>
    <w:rsid w:val="02CC54F6"/>
    <w:rsid w:val="02CD6B71"/>
    <w:rsid w:val="02D3048A"/>
    <w:rsid w:val="02DA27EB"/>
    <w:rsid w:val="02DB47E2"/>
    <w:rsid w:val="02EB239A"/>
    <w:rsid w:val="02EC2E1D"/>
    <w:rsid w:val="02ED4920"/>
    <w:rsid w:val="02EE21E1"/>
    <w:rsid w:val="02F2272D"/>
    <w:rsid w:val="02FA1E2D"/>
    <w:rsid w:val="03037639"/>
    <w:rsid w:val="03081551"/>
    <w:rsid w:val="030E16B4"/>
    <w:rsid w:val="03107858"/>
    <w:rsid w:val="032851E4"/>
    <w:rsid w:val="033A0B07"/>
    <w:rsid w:val="033E0A80"/>
    <w:rsid w:val="03407B91"/>
    <w:rsid w:val="034E32A7"/>
    <w:rsid w:val="034F4A7C"/>
    <w:rsid w:val="034F7FD8"/>
    <w:rsid w:val="03530CC2"/>
    <w:rsid w:val="035D128D"/>
    <w:rsid w:val="03701120"/>
    <w:rsid w:val="03717EAB"/>
    <w:rsid w:val="03845070"/>
    <w:rsid w:val="038638F5"/>
    <w:rsid w:val="039902BE"/>
    <w:rsid w:val="039F2C72"/>
    <w:rsid w:val="03A448DB"/>
    <w:rsid w:val="03A60618"/>
    <w:rsid w:val="03A83007"/>
    <w:rsid w:val="03AB4390"/>
    <w:rsid w:val="03C6143C"/>
    <w:rsid w:val="03D742BD"/>
    <w:rsid w:val="03E86904"/>
    <w:rsid w:val="03EB4AE8"/>
    <w:rsid w:val="03EB5541"/>
    <w:rsid w:val="03F10190"/>
    <w:rsid w:val="03F9311B"/>
    <w:rsid w:val="03FA60D2"/>
    <w:rsid w:val="04020848"/>
    <w:rsid w:val="040405DC"/>
    <w:rsid w:val="04043A74"/>
    <w:rsid w:val="040B28DC"/>
    <w:rsid w:val="040D6F97"/>
    <w:rsid w:val="04187467"/>
    <w:rsid w:val="042574C6"/>
    <w:rsid w:val="042B15EC"/>
    <w:rsid w:val="04392432"/>
    <w:rsid w:val="04474D35"/>
    <w:rsid w:val="044E27DA"/>
    <w:rsid w:val="045E177B"/>
    <w:rsid w:val="046046C1"/>
    <w:rsid w:val="04632436"/>
    <w:rsid w:val="046732EE"/>
    <w:rsid w:val="046A47DB"/>
    <w:rsid w:val="047E1F9D"/>
    <w:rsid w:val="04806B32"/>
    <w:rsid w:val="04860462"/>
    <w:rsid w:val="048C2356"/>
    <w:rsid w:val="04920CC2"/>
    <w:rsid w:val="04934333"/>
    <w:rsid w:val="04B01AD6"/>
    <w:rsid w:val="04BB673B"/>
    <w:rsid w:val="04C72700"/>
    <w:rsid w:val="04D22F71"/>
    <w:rsid w:val="04E31926"/>
    <w:rsid w:val="04E452F2"/>
    <w:rsid w:val="04EA25D9"/>
    <w:rsid w:val="04EA7349"/>
    <w:rsid w:val="04F01F8A"/>
    <w:rsid w:val="04F80A45"/>
    <w:rsid w:val="04F96684"/>
    <w:rsid w:val="04FA6C1E"/>
    <w:rsid w:val="0505446B"/>
    <w:rsid w:val="0508282C"/>
    <w:rsid w:val="0516741C"/>
    <w:rsid w:val="051C35EF"/>
    <w:rsid w:val="051E0804"/>
    <w:rsid w:val="052628D6"/>
    <w:rsid w:val="052D4B72"/>
    <w:rsid w:val="052D6C99"/>
    <w:rsid w:val="052F2CC1"/>
    <w:rsid w:val="053436DE"/>
    <w:rsid w:val="05356E5F"/>
    <w:rsid w:val="05392CBE"/>
    <w:rsid w:val="0539425C"/>
    <w:rsid w:val="054254D8"/>
    <w:rsid w:val="055A77DE"/>
    <w:rsid w:val="055B6B11"/>
    <w:rsid w:val="056C27DA"/>
    <w:rsid w:val="056C78F3"/>
    <w:rsid w:val="056E0AD3"/>
    <w:rsid w:val="05755E05"/>
    <w:rsid w:val="05765804"/>
    <w:rsid w:val="05786D1F"/>
    <w:rsid w:val="057B535E"/>
    <w:rsid w:val="058102B9"/>
    <w:rsid w:val="05956C68"/>
    <w:rsid w:val="059C2384"/>
    <w:rsid w:val="05A23823"/>
    <w:rsid w:val="05A66CF0"/>
    <w:rsid w:val="05AF19F4"/>
    <w:rsid w:val="05B248CA"/>
    <w:rsid w:val="05BB2471"/>
    <w:rsid w:val="05C33F56"/>
    <w:rsid w:val="05CA6465"/>
    <w:rsid w:val="05CC2B2F"/>
    <w:rsid w:val="05CE21B9"/>
    <w:rsid w:val="05CE2B90"/>
    <w:rsid w:val="05CF78AA"/>
    <w:rsid w:val="05D527DF"/>
    <w:rsid w:val="05D931B3"/>
    <w:rsid w:val="05DA07E0"/>
    <w:rsid w:val="05EC1C40"/>
    <w:rsid w:val="05F17CC7"/>
    <w:rsid w:val="05F27129"/>
    <w:rsid w:val="05F374D2"/>
    <w:rsid w:val="05F7643C"/>
    <w:rsid w:val="06005421"/>
    <w:rsid w:val="060642B2"/>
    <w:rsid w:val="06146E84"/>
    <w:rsid w:val="061C67D5"/>
    <w:rsid w:val="062922DB"/>
    <w:rsid w:val="062C6596"/>
    <w:rsid w:val="06325E4C"/>
    <w:rsid w:val="063D050E"/>
    <w:rsid w:val="063F1B60"/>
    <w:rsid w:val="064B6DCF"/>
    <w:rsid w:val="064F740C"/>
    <w:rsid w:val="06500ED0"/>
    <w:rsid w:val="06530BEE"/>
    <w:rsid w:val="06542095"/>
    <w:rsid w:val="065757CD"/>
    <w:rsid w:val="065D62CE"/>
    <w:rsid w:val="065D6BDB"/>
    <w:rsid w:val="06677F89"/>
    <w:rsid w:val="06691EAE"/>
    <w:rsid w:val="066979AC"/>
    <w:rsid w:val="06724299"/>
    <w:rsid w:val="06783A6C"/>
    <w:rsid w:val="067D52C1"/>
    <w:rsid w:val="067F451A"/>
    <w:rsid w:val="0681403F"/>
    <w:rsid w:val="068666D8"/>
    <w:rsid w:val="06866ADC"/>
    <w:rsid w:val="06912800"/>
    <w:rsid w:val="069428CA"/>
    <w:rsid w:val="06962865"/>
    <w:rsid w:val="06AA7908"/>
    <w:rsid w:val="06AE6D55"/>
    <w:rsid w:val="06AE7773"/>
    <w:rsid w:val="06B34F53"/>
    <w:rsid w:val="06B56245"/>
    <w:rsid w:val="06B71BB2"/>
    <w:rsid w:val="06B9408C"/>
    <w:rsid w:val="06BF5D48"/>
    <w:rsid w:val="06C02A27"/>
    <w:rsid w:val="06C20493"/>
    <w:rsid w:val="06CC41A0"/>
    <w:rsid w:val="06DA152C"/>
    <w:rsid w:val="06DA35DC"/>
    <w:rsid w:val="06DD514E"/>
    <w:rsid w:val="06E0100D"/>
    <w:rsid w:val="06F2115B"/>
    <w:rsid w:val="06F6484F"/>
    <w:rsid w:val="06F94FD5"/>
    <w:rsid w:val="06FD7CA7"/>
    <w:rsid w:val="070127C0"/>
    <w:rsid w:val="070D55D6"/>
    <w:rsid w:val="07261A99"/>
    <w:rsid w:val="072F46A8"/>
    <w:rsid w:val="073704EF"/>
    <w:rsid w:val="07374CEA"/>
    <w:rsid w:val="073A6536"/>
    <w:rsid w:val="073E4236"/>
    <w:rsid w:val="074C7627"/>
    <w:rsid w:val="07513B3C"/>
    <w:rsid w:val="075146C7"/>
    <w:rsid w:val="07531541"/>
    <w:rsid w:val="0754306E"/>
    <w:rsid w:val="075432EF"/>
    <w:rsid w:val="075A770E"/>
    <w:rsid w:val="075C24CA"/>
    <w:rsid w:val="075E138C"/>
    <w:rsid w:val="075E3483"/>
    <w:rsid w:val="07626F10"/>
    <w:rsid w:val="07642286"/>
    <w:rsid w:val="077A189F"/>
    <w:rsid w:val="077A38A1"/>
    <w:rsid w:val="077F224A"/>
    <w:rsid w:val="077F373C"/>
    <w:rsid w:val="07924F64"/>
    <w:rsid w:val="07934B14"/>
    <w:rsid w:val="07951613"/>
    <w:rsid w:val="07960F7F"/>
    <w:rsid w:val="079771A3"/>
    <w:rsid w:val="07980050"/>
    <w:rsid w:val="0798632E"/>
    <w:rsid w:val="079B4099"/>
    <w:rsid w:val="07A75C3D"/>
    <w:rsid w:val="07A8433B"/>
    <w:rsid w:val="07B121F3"/>
    <w:rsid w:val="07B661FE"/>
    <w:rsid w:val="07B90CB8"/>
    <w:rsid w:val="07BA715B"/>
    <w:rsid w:val="07BE3C75"/>
    <w:rsid w:val="07BF1FE4"/>
    <w:rsid w:val="07C237CC"/>
    <w:rsid w:val="07C87C38"/>
    <w:rsid w:val="07C87EC1"/>
    <w:rsid w:val="07C9562A"/>
    <w:rsid w:val="07CA34E3"/>
    <w:rsid w:val="07DC7DE9"/>
    <w:rsid w:val="07DF0852"/>
    <w:rsid w:val="07FB4377"/>
    <w:rsid w:val="080F3675"/>
    <w:rsid w:val="081111A9"/>
    <w:rsid w:val="081223CF"/>
    <w:rsid w:val="08225A1E"/>
    <w:rsid w:val="082B33E4"/>
    <w:rsid w:val="082B6965"/>
    <w:rsid w:val="08332A57"/>
    <w:rsid w:val="083958BA"/>
    <w:rsid w:val="08464F69"/>
    <w:rsid w:val="084733AB"/>
    <w:rsid w:val="08481F0E"/>
    <w:rsid w:val="084C3DAB"/>
    <w:rsid w:val="085165AC"/>
    <w:rsid w:val="08600F60"/>
    <w:rsid w:val="08601F29"/>
    <w:rsid w:val="086D08F2"/>
    <w:rsid w:val="08740FB9"/>
    <w:rsid w:val="08802A98"/>
    <w:rsid w:val="088B310B"/>
    <w:rsid w:val="088B63E6"/>
    <w:rsid w:val="088C1F8B"/>
    <w:rsid w:val="088D01C2"/>
    <w:rsid w:val="08A66F77"/>
    <w:rsid w:val="08AC5488"/>
    <w:rsid w:val="08B01E48"/>
    <w:rsid w:val="08B31F97"/>
    <w:rsid w:val="08B847D1"/>
    <w:rsid w:val="08C6514E"/>
    <w:rsid w:val="08CC31C7"/>
    <w:rsid w:val="08CD2993"/>
    <w:rsid w:val="08CE5D0F"/>
    <w:rsid w:val="08DA7C18"/>
    <w:rsid w:val="08DE58E5"/>
    <w:rsid w:val="08DF501D"/>
    <w:rsid w:val="08E04023"/>
    <w:rsid w:val="08E2231C"/>
    <w:rsid w:val="08FB4835"/>
    <w:rsid w:val="08FD2862"/>
    <w:rsid w:val="08FE3835"/>
    <w:rsid w:val="08FF5787"/>
    <w:rsid w:val="09053D2E"/>
    <w:rsid w:val="09060D0E"/>
    <w:rsid w:val="090920DC"/>
    <w:rsid w:val="090B1578"/>
    <w:rsid w:val="090C77AC"/>
    <w:rsid w:val="0921214C"/>
    <w:rsid w:val="09287CDD"/>
    <w:rsid w:val="09294C94"/>
    <w:rsid w:val="092C5EEE"/>
    <w:rsid w:val="093607B1"/>
    <w:rsid w:val="093C4C13"/>
    <w:rsid w:val="093F5769"/>
    <w:rsid w:val="09404A9C"/>
    <w:rsid w:val="094D33E2"/>
    <w:rsid w:val="095206D1"/>
    <w:rsid w:val="09532A47"/>
    <w:rsid w:val="095709A0"/>
    <w:rsid w:val="095C3586"/>
    <w:rsid w:val="095F529B"/>
    <w:rsid w:val="0960396A"/>
    <w:rsid w:val="096E334D"/>
    <w:rsid w:val="097035F9"/>
    <w:rsid w:val="09710812"/>
    <w:rsid w:val="097459C0"/>
    <w:rsid w:val="09756720"/>
    <w:rsid w:val="09837B7E"/>
    <w:rsid w:val="098747E8"/>
    <w:rsid w:val="09887186"/>
    <w:rsid w:val="09951701"/>
    <w:rsid w:val="09973771"/>
    <w:rsid w:val="099C619C"/>
    <w:rsid w:val="099F7A3A"/>
    <w:rsid w:val="09A55056"/>
    <w:rsid w:val="09A87738"/>
    <w:rsid w:val="09B232E4"/>
    <w:rsid w:val="09B469B3"/>
    <w:rsid w:val="09B86C17"/>
    <w:rsid w:val="09B95927"/>
    <w:rsid w:val="09C27287"/>
    <w:rsid w:val="09CA6023"/>
    <w:rsid w:val="09CB2FC6"/>
    <w:rsid w:val="09D044B5"/>
    <w:rsid w:val="09D12E70"/>
    <w:rsid w:val="09D22CD9"/>
    <w:rsid w:val="09D2462C"/>
    <w:rsid w:val="09D9621E"/>
    <w:rsid w:val="09DC268A"/>
    <w:rsid w:val="09DD509A"/>
    <w:rsid w:val="09E153DE"/>
    <w:rsid w:val="09EE36B3"/>
    <w:rsid w:val="09F40E53"/>
    <w:rsid w:val="09F71A3D"/>
    <w:rsid w:val="09FC1DA7"/>
    <w:rsid w:val="09FE21DD"/>
    <w:rsid w:val="0A016C97"/>
    <w:rsid w:val="0A072825"/>
    <w:rsid w:val="0A0D7A69"/>
    <w:rsid w:val="0A175880"/>
    <w:rsid w:val="0A187007"/>
    <w:rsid w:val="0A194B74"/>
    <w:rsid w:val="0A1B04DB"/>
    <w:rsid w:val="0A1C7B9C"/>
    <w:rsid w:val="0A252303"/>
    <w:rsid w:val="0A2746EB"/>
    <w:rsid w:val="0A2801C1"/>
    <w:rsid w:val="0A292D02"/>
    <w:rsid w:val="0A313694"/>
    <w:rsid w:val="0A325AC3"/>
    <w:rsid w:val="0A357F36"/>
    <w:rsid w:val="0A366118"/>
    <w:rsid w:val="0A3A7203"/>
    <w:rsid w:val="0A4A71AC"/>
    <w:rsid w:val="0A55015F"/>
    <w:rsid w:val="0A646F06"/>
    <w:rsid w:val="0A6B58BE"/>
    <w:rsid w:val="0A721E31"/>
    <w:rsid w:val="0A724B13"/>
    <w:rsid w:val="0A7D31AA"/>
    <w:rsid w:val="0A8A6C00"/>
    <w:rsid w:val="0A8B0FB8"/>
    <w:rsid w:val="0A8F1606"/>
    <w:rsid w:val="0A94218E"/>
    <w:rsid w:val="0A9D521F"/>
    <w:rsid w:val="0AA56979"/>
    <w:rsid w:val="0AAB1637"/>
    <w:rsid w:val="0AAC398C"/>
    <w:rsid w:val="0AAF13A8"/>
    <w:rsid w:val="0AB16C0B"/>
    <w:rsid w:val="0AB32C8D"/>
    <w:rsid w:val="0AB85F54"/>
    <w:rsid w:val="0AB94B2B"/>
    <w:rsid w:val="0ABB5BB2"/>
    <w:rsid w:val="0AC17791"/>
    <w:rsid w:val="0AC41270"/>
    <w:rsid w:val="0AC55042"/>
    <w:rsid w:val="0AC91CA4"/>
    <w:rsid w:val="0ACA6936"/>
    <w:rsid w:val="0ACD1933"/>
    <w:rsid w:val="0AD16319"/>
    <w:rsid w:val="0ADD6FB2"/>
    <w:rsid w:val="0ADF6208"/>
    <w:rsid w:val="0AE8253A"/>
    <w:rsid w:val="0AEE74EE"/>
    <w:rsid w:val="0AEF2D0A"/>
    <w:rsid w:val="0AEF423F"/>
    <w:rsid w:val="0AFB04F2"/>
    <w:rsid w:val="0AFE7AD0"/>
    <w:rsid w:val="0B0002A5"/>
    <w:rsid w:val="0B024BDE"/>
    <w:rsid w:val="0B0467E7"/>
    <w:rsid w:val="0B054896"/>
    <w:rsid w:val="0B1358F4"/>
    <w:rsid w:val="0B157D31"/>
    <w:rsid w:val="0B16227D"/>
    <w:rsid w:val="0B1A2176"/>
    <w:rsid w:val="0B1B16C4"/>
    <w:rsid w:val="0B246449"/>
    <w:rsid w:val="0B2979C7"/>
    <w:rsid w:val="0B2F142C"/>
    <w:rsid w:val="0B2F3406"/>
    <w:rsid w:val="0B300C9C"/>
    <w:rsid w:val="0B323435"/>
    <w:rsid w:val="0B346DC3"/>
    <w:rsid w:val="0B347428"/>
    <w:rsid w:val="0B35167D"/>
    <w:rsid w:val="0B3D750A"/>
    <w:rsid w:val="0B4314CE"/>
    <w:rsid w:val="0B456F16"/>
    <w:rsid w:val="0B4E345B"/>
    <w:rsid w:val="0B503428"/>
    <w:rsid w:val="0B53464D"/>
    <w:rsid w:val="0B5769BC"/>
    <w:rsid w:val="0B5D10D5"/>
    <w:rsid w:val="0B613401"/>
    <w:rsid w:val="0B6A1833"/>
    <w:rsid w:val="0B716A11"/>
    <w:rsid w:val="0B731C71"/>
    <w:rsid w:val="0B7805BC"/>
    <w:rsid w:val="0B7B4F06"/>
    <w:rsid w:val="0B7E61EF"/>
    <w:rsid w:val="0B815C6B"/>
    <w:rsid w:val="0B8269B1"/>
    <w:rsid w:val="0B8378CE"/>
    <w:rsid w:val="0B874C6A"/>
    <w:rsid w:val="0B892C2B"/>
    <w:rsid w:val="0B8B0029"/>
    <w:rsid w:val="0B9218EA"/>
    <w:rsid w:val="0B950F73"/>
    <w:rsid w:val="0B952B8D"/>
    <w:rsid w:val="0B997C69"/>
    <w:rsid w:val="0B9E4DF9"/>
    <w:rsid w:val="0B9E4EF6"/>
    <w:rsid w:val="0B9F164D"/>
    <w:rsid w:val="0BA026C2"/>
    <w:rsid w:val="0BA34A4F"/>
    <w:rsid w:val="0BA73018"/>
    <w:rsid w:val="0BA85603"/>
    <w:rsid w:val="0BA97ABB"/>
    <w:rsid w:val="0BB7050F"/>
    <w:rsid w:val="0BB76D50"/>
    <w:rsid w:val="0BBB2BBE"/>
    <w:rsid w:val="0BBD6C50"/>
    <w:rsid w:val="0BBE4AEF"/>
    <w:rsid w:val="0BC22C8D"/>
    <w:rsid w:val="0BD01381"/>
    <w:rsid w:val="0BD35BB7"/>
    <w:rsid w:val="0BD4032B"/>
    <w:rsid w:val="0BD7011D"/>
    <w:rsid w:val="0BD71824"/>
    <w:rsid w:val="0BE15129"/>
    <w:rsid w:val="0BE3181D"/>
    <w:rsid w:val="0BEB757A"/>
    <w:rsid w:val="0BF260C7"/>
    <w:rsid w:val="0C035492"/>
    <w:rsid w:val="0C17237D"/>
    <w:rsid w:val="0C186EA6"/>
    <w:rsid w:val="0C1C1816"/>
    <w:rsid w:val="0C22146D"/>
    <w:rsid w:val="0C224FE6"/>
    <w:rsid w:val="0C2A6FC1"/>
    <w:rsid w:val="0C2C0BBD"/>
    <w:rsid w:val="0C30452F"/>
    <w:rsid w:val="0C3152C1"/>
    <w:rsid w:val="0C32293D"/>
    <w:rsid w:val="0C37175D"/>
    <w:rsid w:val="0C3B1699"/>
    <w:rsid w:val="0C4D3C6E"/>
    <w:rsid w:val="0C521302"/>
    <w:rsid w:val="0C531AA3"/>
    <w:rsid w:val="0C5528C7"/>
    <w:rsid w:val="0C5952D6"/>
    <w:rsid w:val="0C5A0B77"/>
    <w:rsid w:val="0C5B66D4"/>
    <w:rsid w:val="0C5D4811"/>
    <w:rsid w:val="0C5E5AE2"/>
    <w:rsid w:val="0C644B40"/>
    <w:rsid w:val="0C652121"/>
    <w:rsid w:val="0C671018"/>
    <w:rsid w:val="0C6B6AA6"/>
    <w:rsid w:val="0C6F36DD"/>
    <w:rsid w:val="0C6F6E80"/>
    <w:rsid w:val="0C7A2001"/>
    <w:rsid w:val="0C820AA6"/>
    <w:rsid w:val="0C855BE1"/>
    <w:rsid w:val="0C98056B"/>
    <w:rsid w:val="0C9B273A"/>
    <w:rsid w:val="0CA75837"/>
    <w:rsid w:val="0CAC0DEC"/>
    <w:rsid w:val="0CB17527"/>
    <w:rsid w:val="0CB94930"/>
    <w:rsid w:val="0CDC4C12"/>
    <w:rsid w:val="0CE03634"/>
    <w:rsid w:val="0CE20EFC"/>
    <w:rsid w:val="0CE933A3"/>
    <w:rsid w:val="0CF21CC5"/>
    <w:rsid w:val="0CF43A8D"/>
    <w:rsid w:val="0CF81F11"/>
    <w:rsid w:val="0CFA194D"/>
    <w:rsid w:val="0CFE1250"/>
    <w:rsid w:val="0D023A38"/>
    <w:rsid w:val="0D06659C"/>
    <w:rsid w:val="0D083C6B"/>
    <w:rsid w:val="0D105504"/>
    <w:rsid w:val="0D196735"/>
    <w:rsid w:val="0D213DA3"/>
    <w:rsid w:val="0D2555F7"/>
    <w:rsid w:val="0D267F50"/>
    <w:rsid w:val="0D293E32"/>
    <w:rsid w:val="0D2D3D42"/>
    <w:rsid w:val="0D2F6066"/>
    <w:rsid w:val="0D3255B6"/>
    <w:rsid w:val="0D361122"/>
    <w:rsid w:val="0D3E0044"/>
    <w:rsid w:val="0D3E5EA5"/>
    <w:rsid w:val="0D442174"/>
    <w:rsid w:val="0D495847"/>
    <w:rsid w:val="0D4E0CC2"/>
    <w:rsid w:val="0D4E7875"/>
    <w:rsid w:val="0D4F5B21"/>
    <w:rsid w:val="0D557298"/>
    <w:rsid w:val="0D611BD6"/>
    <w:rsid w:val="0D645361"/>
    <w:rsid w:val="0D6A2BE1"/>
    <w:rsid w:val="0D7E3CFF"/>
    <w:rsid w:val="0D801213"/>
    <w:rsid w:val="0D820A9C"/>
    <w:rsid w:val="0D86163D"/>
    <w:rsid w:val="0D922AE6"/>
    <w:rsid w:val="0D997802"/>
    <w:rsid w:val="0D9C2C0E"/>
    <w:rsid w:val="0DA00927"/>
    <w:rsid w:val="0DA00FB3"/>
    <w:rsid w:val="0DA53399"/>
    <w:rsid w:val="0DA61F0E"/>
    <w:rsid w:val="0DB10C49"/>
    <w:rsid w:val="0DB135F2"/>
    <w:rsid w:val="0DC31559"/>
    <w:rsid w:val="0DCB0CE0"/>
    <w:rsid w:val="0DCB3462"/>
    <w:rsid w:val="0DD23758"/>
    <w:rsid w:val="0DD25D01"/>
    <w:rsid w:val="0DDA4038"/>
    <w:rsid w:val="0DE745FC"/>
    <w:rsid w:val="0DE7706B"/>
    <w:rsid w:val="0DEA1BCB"/>
    <w:rsid w:val="0DF359CB"/>
    <w:rsid w:val="0DF4585F"/>
    <w:rsid w:val="0DF93DEC"/>
    <w:rsid w:val="0DFE3856"/>
    <w:rsid w:val="0E0655AA"/>
    <w:rsid w:val="0E073B72"/>
    <w:rsid w:val="0E073C7C"/>
    <w:rsid w:val="0E097602"/>
    <w:rsid w:val="0E11239F"/>
    <w:rsid w:val="0E17208B"/>
    <w:rsid w:val="0E200867"/>
    <w:rsid w:val="0E20310E"/>
    <w:rsid w:val="0E260583"/>
    <w:rsid w:val="0E27286B"/>
    <w:rsid w:val="0E2C220E"/>
    <w:rsid w:val="0E371AB8"/>
    <w:rsid w:val="0E372937"/>
    <w:rsid w:val="0E3B15F1"/>
    <w:rsid w:val="0E3C3B1B"/>
    <w:rsid w:val="0E3E3CC5"/>
    <w:rsid w:val="0E3F29EC"/>
    <w:rsid w:val="0E433500"/>
    <w:rsid w:val="0E522333"/>
    <w:rsid w:val="0E682AF0"/>
    <w:rsid w:val="0E6A4AB3"/>
    <w:rsid w:val="0E6D17EB"/>
    <w:rsid w:val="0E6E0F1C"/>
    <w:rsid w:val="0E875513"/>
    <w:rsid w:val="0E8D12CA"/>
    <w:rsid w:val="0E8E0DF7"/>
    <w:rsid w:val="0E92606F"/>
    <w:rsid w:val="0E9F08FC"/>
    <w:rsid w:val="0EA23615"/>
    <w:rsid w:val="0EA50E7D"/>
    <w:rsid w:val="0EA8107B"/>
    <w:rsid w:val="0EA91963"/>
    <w:rsid w:val="0EAA4EC5"/>
    <w:rsid w:val="0EB5496A"/>
    <w:rsid w:val="0EB76104"/>
    <w:rsid w:val="0EB858B0"/>
    <w:rsid w:val="0EB9125C"/>
    <w:rsid w:val="0EBB1B81"/>
    <w:rsid w:val="0EBB3483"/>
    <w:rsid w:val="0EC437F6"/>
    <w:rsid w:val="0EC905E0"/>
    <w:rsid w:val="0EC97280"/>
    <w:rsid w:val="0ECF60FD"/>
    <w:rsid w:val="0ED015F6"/>
    <w:rsid w:val="0ED74E9E"/>
    <w:rsid w:val="0EE47BCA"/>
    <w:rsid w:val="0EE83B0C"/>
    <w:rsid w:val="0EEB73A1"/>
    <w:rsid w:val="0EF44384"/>
    <w:rsid w:val="0EF62F5C"/>
    <w:rsid w:val="0EFF0F09"/>
    <w:rsid w:val="0F04025B"/>
    <w:rsid w:val="0F06421B"/>
    <w:rsid w:val="0F07168C"/>
    <w:rsid w:val="0F256C33"/>
    <w:rsid w:val="0F2601FA"/>
    <w:rsid w:val="0F285E12"/>
    <w:rsid w:val="0F286EF6"/>
    <w:rsid w:val="0F295F6C"/>
    <w:rsid w:val="0F3076F6"/>
    <w:rsid w:val="0F313A11"/>
    <w:rsid w:val="0F325F5C"/>
    <w:rsid w:val="0F42236F"/>
    <w:rsid w:val="0F535128"/>
    <w:rsid w:val="0F5B5454"/>
    <w:rsid w:val="0F752CD6"/>
    <w:rsid w:val="0F7F3D72"/>
    <w:rsid w:val="0F7F69ED"/>
    <w:rsid w:val="0F853D64"/>
    <w:rsid w:val="0F856302"/>
    <w:rsid w:val="0F872D5B"/>
    <w:rsid w:val="0F940619"/>
    <w:rsid w:val="0F9845B0"/>
    <w:rsid w:val="0F9C1F20"/>
    <w:rsid w:val="0F9F4931"/>
    <w:rsid w:val="0FA346A2"/>
    <w:rsid w:val="0FA768B3"/>
    <w:rsid w:val="0FA87D43"/>
    <w:rsid w:val="0FA933C0"/>
    <w:rsid w:val="0FB60AF8"/>
    <w:rsid w:val="0FB92842"/>
    <w:rsid w:val="0FBF2EC1"/>
    <w:rsid w:val="0FC528E4"/>
    <w:rsid w:val="0FCD17F0"/>
    <w:rsid w:val="0FD71B62"/>
    <w:rsid w:val="0FDA17CC"/>
    <w:rsid w:val="0FDA77E5"/>
    <w:rsid w:val="0FDD0FA5"/>
    <w:rsid w:val="0FE60F46"/>
    <w:rsid w:val="0FEA1D63"/>
    <w:rsid w:val="0FEE36A4"/>
    <w:rsid w:val="0FF85D35"/>
    <w:rsid w:val="100254E6"/>
    <w:rsid w:val="10026D25"/>
    <w:rsid w:val="10055AE0"/>
    <w:rsid w:val="10063773"/>
    <w:rsid w:val="100C4521"/>
    <w:rsid w:val="10195B62"/>
    <w:rsid w:val="10196727"/>
    <w:rsid w:val="101B3017"/>
    <w:rsid w:val="10236BB9"/>
    <w:rsid w:val="102B64CB"/>
    <w:rsid w:val="102C1557"/>
    <w:rsid w:val="102C3E97"/>
    <w:rsid w:val="10361171"/>
    <w:rsid w:val="103E4D34"/>
    <w:rsid w:val="104206B5"/>
    <w:rsid w:val="10473338"/>
    <w:rsid w:val="104E339B"/>
    <w:rsid w:val="104F5999"/>
    <w:rsid w:val="10506631"/>
    <w:rsid w:val="10525730"/>
    <w:rsid w:val="10531BA1"/>
    <w:rsid w:val="10614BC2"/>
    <w:rsid w:val="106672B8"/>
    <w:rsid w:val="106E29E0"/>
    <w:rsid w:val="10704391"/>
    <w:rsid w:val="10790205"/>
    <w:rsid w:val="107D1C41"/>
    <w:rsid w:val="10832529"/>
    <w:rsid w:val="108C2185"/>
    <w:rsid w:val="109611DD"/>
    <w:rsid w:val="109F39D3"/>
    <w:rsid w:val="10A65197"/>
    <w:rsid w:val="10AF4A06"/>
    <w:rsid w:val="10B058A4"/>
    <w:rsid w:val="10B30287"/>
    <w:rsid w:val="10BB66A6"/>
    <w:rsid w:val="10C37275"/>
    <w:rsid w:val="10C57543"/>
    <w:rsid w:val="10C73305"/>
    <w:rsid w:val="10D56598"/>
    <w:rsid w:val="10DB1887"/>
    <w:rsid w:val="10DB6683"/>
    <w:rsid w:val="10E268A4"/>
    <w:rsid w:val="10E3215F"/>
    <w:rsid w:val="10E32E38"/>
    <w:rsid w:val="10F03343"/>
    <w:rsid w:val="10F407CD"/>
    <w:rsid w:val="10F80C4F"/>
    <w:rsid w:val="110034B4"/>
    <w:rsid w:val="11011E2A"/>
    <w:rsid w:val="110C1E79"/>
    <w:rsid w:val="11131439"/>
    <w:rsid w:val="1113563A"/>
    <w:rsid w:val="112112C3"/>
    <w:rsid w:val="11240435"/>
    <w:rsid w:val="112934B3"/>
    <w:rsid w:val="112F5DA3"/>
    <w:rsid w:val="11395135"/>
    <w:rsid w:val="113E7DB7"/>
    <w:rsid w:val="11431992"/>
    <w:rsid w:val="11440D72"/>
    <w:rsid w:val="11443805"/>
    <w:rsid w:val="114C77DF"/>
    <w:rsid w:val="11566383"/>
    <w:rsid w:val="115E485D"/>
    <w:rsid w:val="1161688E"/>
    <w:rsid w:val="11650C86"/>
    <w:rsid w:val="11674876"/>
    <w:rsid w:val="116E20BD"/>
    <w:rsid w:val="117A3947"/>
    <w:rsid w:val="117D4A66"/>
    <w:rsid w:val="117D4FE9"/>
    <w:rsid w:val="117F0823"/>
    <w:rsid w:val="11846D34"/>
    <w:rsid w:val="118D3F7D"/>
    <w:rsid w:val="118E6B36"/>
    <w:rsid w:val="118F65E6"/>
    <w:rsid w:val="11984F58"/>
    <w:rsid w:val="11A008E1"/>
    <w:rsid w:val="11A57776"/>
    <w:rsid w:val="11A6141E"/>
    <w:rsid w:val="11B86AA9"/>
    <w:rsid w:val="11BA18B5"/>
    <w:rsid w:val="11C57C7F"/>
    <w:rsid w:val="11C654A5"/>
    <w:rsid w:val="11C73FD2"/>
    <w:rsid w:val="11C853C3"/>
    <w:rsid w:val="11D37348"/>
    <w:rsid w:val="11D40394"/>
    <w:rsid w:val="11E64458"/>
    <w:rsid w:val="11E84BC5"/>
    <w:rsid w:val="11EE2B47"/>
    <w:rsid w:val="11EE78E1"/>
    <w:rsid w:val="11FF2CA7"/>
    <w:rsid w:val="12031B51"/>
    <w:rsid w:val="12051601"/>
    <w:rsid w:val="120668A8"/>
    <w:rsid w:val="12086470"/>
    <w:rsid w:val="120D6E04"/>
    <w:rsid w:val="12172188"/>
    <w:rsid w:val="121C03AC"/>
    <w:rsid w:val="121D5E5A"/>
    <w:rsid w:val="12266D6E"/>
    <w:rsid w:val="122A7284"/>
    <w:rsid w:val="122A7F34"/>
    <w:rsid w:val="122E4BDF"/>
    <w:rsid w:val="12323116"/>
    <w:rsid w:val="12373F93"/>
    <w:rsid w:val="12394EC2"/>
    <w:rsid w:val="1246596F"/>
    <w:rsid w:val="1248124B"/>
    <w:rsid w:val="12485F52"/>
    <w:rsid w:val="124E45B5"/>
    <w:rsid w:val="12532CA7"/>
    <w:rsid w:val="12536AFA"/>
    <w:rsid w:val="12593DD2"/>
    <w:rsid w:val="125B08F7"/>
    <w:rsid w:val="125E203A"/>
    <w:rsid w:val="12600773"/>
    <w:rsid w:val="1267181A"/>
    <w:rsid w:val="126E4404"/>
    <w:rsid w:val="126E5017"/>
    <w:rsid w:val="12744D20"/>
    <w:rsid w:val="127C4DBC"/>
    <w:rsid w:val="127C5776"/>
    <w:rsid w:val="12A2797D"/>
    <w:rsid w:val="12A32F34"/>
    <w:rsid w:val="12A51006"/>
    <w:rsid w:val="12B42EFD"/>
    <w:rsid w:val="12B97DBE"/>
    <w:rsid w:val="12BF5568"/>
    <w:rsid w:val="12C2162F"/>
    <w:rsid w:val="12CC3E2B"/>
    <w:rsid w:val="12CE5FA7"/>
    <w:rsid w:val="12CE60CC"/>
    <w:rsid w:val="12D828FF"/>
    <w:rsid w:val="12DB7407"/>
    <w:rsid w:val="12E0133C"/>
    <w:rsid w:val="12E45C87"/>
    <w:rsid w:val="12F45A33"/>
    <w:rsid w:val="12F72893"/>
    <w:rsid w:val="12FC0B8E"/>
    <w:rsid w:val="12FF6172"/>
    <w:rsid w:val="13014504"/>
    <w:rsid w:val="13143B7E"/>
    <w:rsid w:val="1318420A"/>
    <w:rsid w:val="131F221F"/>
    <w:rsid w:val="13200396"/>
    <w:rsid w:val="132C2E3F"/>
    <w:rsid w:val="132C519D"/>
    <w:rsid w:val="13314985"/>
    <w:rsid w:val="13361795"/>
    <w:rsid w:val="13412C46"/>
    <w:rsid w:val="135061F7"/>
    <w:rsid w:val="13556F8C"/>
    <w:rsid w:val="1360011D"/>
    <w:rsid w:val="13617C65"/>
    <w:rsid w:val="137369F2"/>
    <w:rsid w:val="13845E2A"/>
    <w:rsid w:val="13891C1E"/>
    <w:rsid w:val="138926BE"/>
    <w:rsid w:val="13893985"/>
    <w:rsid w:val="138C4CBA"/>
    <w:rsid w:val="138D6D9D"/>
    <w:rsid w:val="13930951"/>
    <w:rsid w:val="13996D11"/>
    <w:rsid w:val="13A55414"/>
    <w:rsid w:val="13A850D6"/>
    <w:rsid w:val="13B5731F"/>
    <w:rsid w:val="13B57C9B"/>
    <w:rsid w:val="13B84885"/>
    <w:rsid w:val="13BC0B5B"/>
    <w:rsid w:val="13C744BC"/>
    <w:rsid w:val="13CE3580"/>
    <w:rsid w:val="13CF2E46"/>
    <w:rsid w:val="13DA4490"/>
    <w:rsid w:val="13DB4A16"/>
    <w:rsid w:val="13DC6E9F"/>
    <w:rsid w:val="13E054EF"/>
    <w:rsid w:val="13EA21AB"/>
    <w:rsid w:val="13EE0E64"/>
    <w:rsid w:val="13F20DCB"/>
    <w:rsid w:val="13F21C65"/>
    <w:rsid w:val="13F25B1E"/>
    <w:rsid w:val="13F522A1"/>
    <w:rsid w:val="13FC08F7"/>
    <w:rsid w:val="13FD3830"/>
    <w:rsid w:val="14053709"/>
    <w:rsid w:val="140B289C"/>
    <w:rsid w:val="141023CF"/>
    <w:rsid w:val="14174B72"/>
    <w:rsid w:val="141B0C6C"/>
    <w:rsid w:val="141F71BC"/>
    <w:rsid w:val="14225BDD"/>
    <w:rsid w:val="142C7585"/>
    <w:rsid w:val="14375ABB"/>
    <w:rsid w:val="143D2405"/>
    <w:rsid w:val="143E5A52"/>
    <w:rsid w:val="143F7107"/>
    <w:rsid w:val="144A4CC5"/>
    <w:rsid w:val="144C3B71"/>
    <w:rsid w:val="144E72CB"/>
    <w:rsid w:val="14506E06"/>
    <w:rsid w:val="145225B7"/>
    <w:rsid w:val="14525AAA"/>
    <w:rsid w:val="14532701"/>
    <w:rsid w:val="14616EEF"/>
    <w:rsid w:val="146741C7"/>
    <w:rsid w:val="146C6E62"/>
    <w:rsid w:val="14787805"/>
    <w:rsid w:val="147951E0"/>
    <w:rsid w:val="147B353E"/>
    <w:rsid w:val="147D137E"/>
    <w:rsid w:val="147E12BF"/>
    <w:rsid w:val="147F6DE6"/>
    <w:rsid w:val="14870DFB"/>
    <w:rsid w:val="148A1CBE"/>
    <w:rsid w:val="148B4A35"/>
    <w:rsid w:val="1492039C"/>
    <w:rsid w:val="14965FBD"/>
    <w:rsid w:val="149844DB"/>
    <w:rsid w:val="14A20E8D"/>
    <w:rsid w:val="14A4204B"/>
    <w:rsid w:val="14A75F09"/>
    <w:rsid w:val="14AB19A6"/>
    <w:rsid w:val="14AC445C"/>
    <w:rsid w:val="14AE3F25"/>
    <w:rsid w:val="14BA0ECA"/>
    <w:rsid w:val="14BB7713"/>
    <w:rsid w:val="14C037BD"/>
    <w:rsid w:val="14C178A6"/>
    <w:rsid w:val="14C76C35"/>
    <w:rsid w:val="14C871FF"/>
    <w:rsid w:val="14CD413A"/>
    <w:rsid w:val="14CE7F36"/>
    <w:rsid w:val="14D131AA"/>
    <w:rsid w:val="14D52361"/>
    <w:rsid w:val="14D94FB4"/>
    <w:rsid w:val="14E320CE"/>
    <w:rsid w:val="14E6037C"/>
    <w:rsid w:val="14E75B9B"/>
    <w:rsid w:val="14EF43A5"/>
    <w:rsid w:val="14FF225C"/>
    <w:rsid w:val="15004EDE"/>
    <w:rsid w:val="15060238"/>
    <w:rsid w:val="150E3A6A"/>
    <w:rsid w:val="150E73A6"/>
    <w:rsid w:val="1511624D"/>
    <w:rsid w:val="15125344"/>
    <w:rsid w:val="1513523E"/>
    <w:rsid w:val="15173042"/>
    <w:rsid w:val="1517454E"/>
    <w:rsid w:val="151A29FF"/>
    <w:rsid w:val="151B6289"/>
    <w:rsid w:val="151E00DA"/>
    <w:rsid w:val="15251155"/>
    <w:rsid w:val="152D51BC"/>
    <w:rsid w:val="1532406F"/>
    <w:rsid w:val="15364A38"/>
    <w:rsid w:val="153B7935"/>
    <w:rsid w:val="153D273F"/>
    <w:rsid w:val="153D5F82"/>
    <w:rsid w:val="153E5F16"/>
    <w:rsid w:val="155A0DFA"/>
    <w:rsid w:val="155F0FF7"/>
    <w:rsid w:val="15604521"/>
    <w:rsid w:val="15654F9F"/>
    <w:rsid w:val="15677E09"/>
    <w:rsid w:val="156D4599"/>
    <w:rsid w:val="15705701"/>
    <w:rsid w:val="157955E3"/>
    <w:rsid w:val="157B4DCB"/>
    <w:rsid w:val="15883E8A"/>
    <w:rsid w:val="15890FC7"/>
    <w:rsid w:val="158E7AFD"/>
    <w:rsid w:val="15910B7E"/>
    <w:rsid w:val="159613DB"/>
    <w:rsid w:val="159A69D0"/>
    <w:rsid w:val="159C7593"/>
    <w:rsid w:val="159F241D"/>
    <w:rsid w:val="159F426F"/>
    <w:rsid w:val="15A70F2C"/>
    <w:rsid w:val="15A8529C"/>
    <w:rsid w:val="15A91AC8"/>
    <w:rsid w:val="15AB0A5C"/>
    <w:rsid w:val="15AC14D9"/>
    <w:rsid w:val="15AC7383"/>
    <w:rsid w:val="15B65BFC"/>
    <w:rsid w:val="15B67096"/>
    <w:rsid w:val="15B704ED"/>
    <w:rsid w:val="15B74252"/>
    <w:rsid w:val="15C44144"/>
    <w:rsid w:val="15C45589"/>
    <w:rsid w:val="15C556F9"/>
    <w:rsid w:val="15C611A2"/>
    <w:rsid w:val="15C73125"/>
    <w:rsid w:val="15C90318"/>
    <w:rsid w:val="15C9656A"/>
    <w:rsid w:val="15CA01C8"/>
    <w:rsid w:val="15CA0F82"/>
    <w:rsid w:val="15D1541F"/>
    <w:rsid w:val="15E1447E"/>
    <w:rsid w:val="15E843DA"/>
    <w:rsid w:val="15EB2AC6"/>
    <w:rsid w:val="15EE184B"/>
    <w:rsid w:val="16012EBA"/>
    <w:rsid w:val="16061F21"/>
    <w:rsid w:val="16113A6D"/>
    <w:rsid w:val="16135A37"/>
    <w:rsid w:val="16191A99"/>
    <w:rsid w:val="161940EF"/>
    <w:rsid w:val="161C5DB9"/>
    <w:rsid w:val="161E4493"/>
    <w:rsid w:val="162419F3"/>
    <w:rsid w:val="162641E6"/>
    <w:rsid w:val="16271A8A"/>
    <w:rsid w:val="16290DB7"/>
    <w:rsid w:val="162B75AB"/>
    <w:rsid w:val="162E31AD"/>
    <w:rsid w:val="163044BB"/>
    <w:rsid w:val="16372DB6"/>
    <w:rsid w:val="163D4894"/>
    <w:rsid w:val="166640D6"/>
    <w:rsid w:val="1682013E"/>
    <w:rsid w:val="168F7FBF"/>
    <w:rsid w:val="16953AAB"/>
    <w:rsid w:val="169A5E34"/>
    <w:rsid w:val="169B52D9"/>
    <w:rsid w:val="16A13CE0"/>
    <w:rsid w:val="16A45527"/>
    <w:rsid w:val="16A756A6"/>
    <w:rsid w:val="16B13929"/>
    <w:rsid w:val="16C046A5"/>
    <w:rsid w:val="16D31B89"/>
    <w:rsid w:val="16D367DB"/>
    <w:rsid w:val="16D77F84"/>
    <w:rsid w:val="16DB73F1"/>
    <w:rsid w:val="16DE59F5"/>
    <w:rsid w:val="16E041A8"/>
    <w:rsid w:val="16E112D0"/>
    <w:rsid w:val="16E231E2"/>
    <w:rsid w:val="16E318AE"/>
    <w:rsid w:val="16E526D9"/>
    <w:rsid w:val="16E82A20"/>
    <w:rsid w:val="16EC14EA"/>
    <w:rsid w:val="16F21F98"/>
    <w:rsid w:val="16F305E2"/>
    <w:rsid w:val="16FB46EB"/>
    <w:rsid w:val="1705173A"/>
    <w:rsid w:val="1705518A"/>
    <w:rsid w:val="170576D4"/>
    <w:rsid w:val="170F6AA9"/>
    <w:rsid w:val="1716364E"/>
    <w:rsid w:val="1716650C"/>
    <w:rsid w:val="1719005A"/>
    <w:rsid w:val="172B30FA"/>
    <w:rsid w:val="17391A20"/>
    <w:rsid w:val="17392084"/>
    <w:rsid w:val="173C58CE"/>
    <w:rsid w:val="173E2F06"/>
    <w:rsid w:val="174020A8"/>
    <w:rsid w:val="174348B8"/>
    <w:rsid w:val="174E4402"/>
    <w:rsid w:val="17566C0E"/>
    <w:rsid w:val="175C51BC"/>
    <w:rsid w:val="17626C76"/>
    <w:rsid w:val="17633D4D"/>
    <w:rsid w:val="176D119E"/>
    <w:rsid w:val="176E1DF2"/>
    <w:rsid w:val="176F6A7E"/>
    <w:rsid w:val="17712A16"/>
    <w:rsid w:val="17761BCA"/>
    <w:rsid w:val="17820107"/>
    <w:rsid w:val="178A6943"/>
    <w:rsid w:val="178C6ACC"/>
    <w:rsid w:val="17952269"/>
    <w:rsid w:val="17A01653"/>
    <w:rsid w:val="17A37D12"/>
    <w:rsid w:val="17A866A4"/>
    <w:rsid w:val="17AC246E"/>
    <w:rsid w:val="17B77093"/>
    <w:rsid w:val="17B9517F"/>
    <w:rsid w:val="17BB5764"/>
    <w:rsid w:val="17C03B5A"/>
    <w:rsid w:val="17C121EB"/>
    <w:rsid w:val="17C252BC"/>
    <w:rsid w:val="17D23757"/>
    <w:rsid w:val="17D629D0"/>
    <w:rsid w:val="17DA35E3"/>
    <w:rsid w:val="17EB6EA6"/>
    <w:rsid w:val="17F00093"/>
    <w:rsid w:val="17F37126"/>
    <w:rsid w:val="17FB2C27"/>
    <w:rsid w:val="17FF5078"/>
    <w:rsid w:val="18040386"/>
    <w:rsid w:val="18086AD8"/>
    <w:rsid w:val="180F13F2"/>
    <w:rsid w:val="18100A40"/>
    <w:rsid w:val="181619FD"/>
    <w:rsid w:val="18186543"/>
    <w:rsid w:val="181C3E33"/>
    <w:rsid w:val="18273957"/>
    <w:rsid w:val="18281952"/>
    <w:rsid w:val="182C0D72"/>
    <w:rsid w:val="183D0C7E"/>
    <w:rsid w:val="183E5038"/>
    <w:rsid w:val="18424326"/>
    <w:rsid w:val="184A1386"/>
    <w:rsid w:val="184B1D43"/>
    <w:rsid w:val="184B51F7"/>
    <w:rsid w:val="18546E2C"/>
    <w:rsid w:val="185A2398"/>
    <w:rsid w:val="185A2DAC"/>
    <w:rsid w:val="185A7A25"/>
    <w:rsid w:val="185E1F05"/>
    <w:rsid w:val="18720B54"/>
    <w:rsid w:val="18762172"/>
    <w:rsid w:val="18776883"/>
    <w:rsid w:val="18841E0D"/>
    <w:rsid w:val="188D4809"/>
    <w:rsid w:val="188D6EB2"/>
    <w:rsid w:val="189221CB"/>
    <w:rsid w:val="189351D3"/>
    <w:rsid w:val="18951C50"/>
    <w:rsid w:val="18956BD8"/>
    <w:rsid w:val="189A04BA"/>
    <w:rsid w:val="18A509A6"/>
    <w:rsid w:val="18B75AA0"/>
    <w:rsid w:val="18B91460"/>
    <w:rsid w:val="18BA4407"/>
    <w:rsid w:val="18C10972"/>
    <w:rsid w:val="18C20BF3"/>
    <w:rsid w:val="18C60E5B"/>
    <w:rsid w:val="18CA4A46"/>
    <w:rsid w:val="18CC5F83"/>
    <w:rsid w:val="18D0694A"/>
    <w:rsid w:val="18D27714"/>
    <w:rsid w:val="18D47700"/>
    <w:rsid w:val="18D566DC"/>
    <w:rsid w:val="18DA6CE0"/>
    <w:rsid w:val="18DC3BB0"/>
    <w:rsid w:val="18DD2112"/>
    <w:rsid w:val="18DF2D8A"/>
    <w:rsid w:val="18E6447B"/>
    <w:rsid w:val="18EA6F23"/>
    <w:rsid w:val="18F5289B"/>
    <w:rsid w:val="18F72ECC"/>
    <w:rsid w:val="19015178"/>
    <w:rsid w:val="19125308"/>
    <w:rsid w:val="191565A6"/>
    <w:rsid w:val="19216AC6"/>
    <w:rsid w:val="19236FE9"/>
    <w:rsid w:val="192B7873"/>
    <w:rsid w:val="192D7027"/>
    <w:rsid w:val="19313AE7"/>
    <w:rsid w:val="19314F2F"/>
    <w:rsid w:val="193432EC"/>
    <w:rsid w:val="193B3C57"/>
    <w:rsid w:val="193F11B7"/>
    <w:rsid w:val="1944139F"/>
    <w:rsid w:val="194D74B2"/>
    <w:rsid w:val="1951098B"/>
    <w:rsid w:val="19516372"/>
    <w:rsid w:val="195B09E6"/>
    <w:rsid w:val="195D298A"/>
    <w:rsid w:val="1967324E"/>
    <w:rsid w:val="1968624C"/>
    <w:rsid w:val="196A40A4"/>
    <w:rsid w:val="197473BF"/>
    <w:rsid w:val="197B0DE0"/>
    <w:rsid w:val="197C107E"/>
    <w:rsid w:val="198906F9"/>
    <w:rsid w:val="19896C52"/>
    <w:rsid w:val="199D137A"/>
    <w:rsid w:val="199E02EE"/>
    <w:rsid w:val="199E119C"/>
    <w:rsid w:val="19A103C6"/>
    <w:rsid w:val="19A525E5"/>
    <w:rsid w:val="19BB13FB"/>
    <w:rsid w:val="19BC5062"/>
    <w:rsid w:val="19BC7FD1"/>
    <w:rsid w:val="19BD4676"/>
    <w:rsid w:val="19BE1C8C"/>
    <w:rsid w:val="19C039A4"/>
    <w:rsid w:val="19C80F39"/>
    <w:rsid w:val="19CB6EDE"/>
    <w:rsid w:val="19D651CF"/>
    <w:rsid w:val="19DE7DF7"/>
    <w:rsid w:val="19DF6A30"/>
    <w:rsid w:val="19ED604B"/>
    <w:rsid w:val="19ED60FD"/>
    <w:rsid w:val="19EE57F7"/>
    <w:rsid w:val="1A114984"/>
    <w:rsid w:val="1A143BA8"/>
    <w:rsid w:val="1A165AF6"/>
    <w:rsid w:val="1A1B3FB9"/>
    <w:rsid w:val="1A1C6EFF"/>
    <w:rsid w:val="1A216E30"/>
    <w:rsid w:val="1A283801"/>
    <w:rsid w:val="1A2E4F9D"/>
    <w:rsid w:val="1A2F0F30"/>
    <w:rsid w:val="1A322139"/>
    <w:rsid w:val="1A3935CC"/>
    <w:rsid w:val="1A3B730B"/>
    <w:rsid w:val="1A3C66AA"/>
    <w:rsid w:val="1A475D76"/>
    <w:rsid w:val="1A534F9B"/>
    <w:rsid w:val="1A56113B"/>
    <w:rsid w:val="1A571E75"/>
    <w:rsid w:val="1A5A52A4"/>
    <w:rsid w:val="1A607FD3"/>
    <w:rsid w:val="1A671D1D"/>
    <w:rsid w:val="1A687495"/>
    <w:rsid w:val="1A6E013B"/>
    <w:rsid w:val="1A7151CA"/>
    <w:rsid w:val="1A773BE2"/>
    <w:rsid w:val="1A7D0955"/>
    <w:rsid w:val="1A8044A7"/>
    <w:rsid w:val="1A84016E"/>
    <w:rsid w:val="1A874A25"/>
    <w:rsid w:val="1A8A3F6C"/>
    <w:rsid w:val="1A8A49A7"/>
    <w:rsid w:val="1A9971AE"/>
    <w:rsid w:val="1AA93F60"/>
    <w:rsid w:val="1AAA4CF5"/>
    <w:rsid w:val="1AAD1497"/>
    <w:rsid w:val="1AAF4447"/>
    <w:rsid w:val="1AB17609"/>
    <w:rsid w:val="1AB27189"/>
    <w:rsid w:val="1ABA46AC"/>
    <w:rsid w:val="1ABB3658"/>
    <w:rsid w:val="1ABB41D9"/>
    <w:rsid w:val="1AC169BC"/>
    <w:rsid w:val="1AC328A7"/>
    <w:rsid w:val="1AC542F4"/>
    <w:rsid w:val="1AC553D7"/>
    <w:rsid w:val="1AD32EC4"/>
    <w:rsid w:val="1AD856B8"/>
    <w:rsid w:val="1ADA7058"/>
    <w:rsid w:val="1ADB3ADF"/>
    <w:rsid w:val="1ADD2B87"/>
    <w:rsid w:val="1AE24712"/>
    <w:rsid w:val="1AE31CFA"/>
    <w:rsid w:val="1AF536E4"/>
    <w:rsid w:val="1AFD7F1F"/>
    <w:rsid w:val="1B010554"/>
    <w:rsid w:val="1B076DBF"/>
    <w:rsid w:val="1B0B5C12"/>
    <w:rsid w:val="1B0E4D5A"/>
    <w:rsid w:val="1B0F7F07"/>
    <w:rsid w:val="1B100797"/>
    <w:rsid w:val="1B117315"/>
    <w:rsid w:val="1B126842"/>
    <w:rsid w:val="1B1B2302"/>
    <w:rsid w:val="1B1F09AF"/>
    <w:rsid w:val="1B273882"/>
    <w:rsid w:val="1B285AE1"/>
    <w:rsid w:val="1B2E6097"/>
    <w:rsid w:val="1B2E7029"/>
    <w:rsid w:val="1B345964"/>
    <w:rsid w:val="1B355413"/>
    <w:rsid w:val="1B382DB7"/>
    <w:rsid w:val="1B3A4C84"/>
    <w:rsid w:val="1B3D442A"/>
    <w:rsid w:val="1B4629FD"/>
    <w:rsid w:val="1B520E31"/>
    <w:rsid w:val="1B542D7A"/>
    <w:rsid w:val="1B580949"/>
    <w:rsid w:val="1B622D70"/>
    <w:rsid w:val="1B636A03"/>
    <w:rsid w:val="1B657DCE"/>
    <w:rsid w:val="1B6663A3"/>
    <w:rsid w:val="1B685C62"/>
    <w:rsid w:val="1B6C14A3"/>
    <w:rsid w:val="1B780494"/>
    <w:rsid w:val="1B782F83"/>
    <w:rsid w:val="1B7C35E6"/>
    <w:rsid w:val="1B8151F1"/>
    <w:rsid w:val="1B8247DD"/>
    <w:rsid w:val="1B835DCD"/>
    <w:rsid w:val="1B8619EC"/>
    <w:rsid w:val="1B8636E8"/>
    <w:rsid w:val="1B866CAC"/>
    <w:rsid w:val="1B871E5C"/>
    <w:rsid w:val="1B8A0D1E"/>
    <w:rsid w:val="1B942EF7"/>
    <w:rsid w:val="1B951FFD"/>
    <w:rsid w:val="1B965141"/>
    <w:rsid w:val="1B9855B5"/>
    <w:rsid w:val="1B9A68E7"/>
    <w:rsid w:val="1BA14C38"/>
    <w:rsid w:val="1BB02045"/>
    <w:rsid w:val="1BB0423D"/>
    <w:rsid w:val="1BB8647B"/>
    <w:rsid w:val="1BBA41AB"/>
    <w:rsid w:val="1BC2577F"/>
    <w:rsid w:val="1BC33695"/>
    <w:rsid w:val="1BC86C07"/>
    <w:rsid w:val="1BCA4DEA"/>
    <w:rsid w:val="1BCB4F0B"/>
    <w:rsid w:val="1BCD3AB0"/>
    <w:rsid w:val="1BD16289"/>
    <w:rsid w:val="1BD70745"/>
    <w:rsid w:val="1BD91D36"/>
    <w:rsid w:val="1BDF13A3"/>
    <w:rsid w:val="1BE05E01"/>
    <w:rsid w:val="1BE307FC"/>
    <w:rsid w:val="1BE37F4F"/>
    <w:rsid w:val="1BE41126"/>
    <w:rsid w:val="1C063A25"/>
    <w:rsid w:val="1C073948"/>
    <w:rsid w:val="1C0E02E0"/>
    <w:rsid w:val="1C1E47A5"/>
    <w:rsid w:val="1C2570E9"/>
    <w:rsid w:val="1C274785"/>
    <w:rsid w:val="1C28699B"/>
    <w:rsid w:val="1C2A28C4"/>
    <w:rsid w:val="1C337E59"/>
    <w:rsid w:val="1C36422E"/>
    <w:rsid w:val="1C3E1C1F"/>
    <w:rsid w:val="1C414DFE"/>
    <w:rsid w:val="1C450431"/>
    <w:rsid w:val="1C467B72"/>
    <w:rsid w:val="1C481C02"/>
    <w:rsid w:val="1C502D1A"/>
    <w:rsid w:val="1C68799C"/>
    <w:rsid w:val="1C6C0527"/>
    <w:rsid w:val="1C6E4C4A"/>
    <w:rsid w:val="1C8339EC"/>
    <w:rsid w:val="1C876C05"/>
    <w:rsid w:val="1C8E406A"/>
    <w:rsid w:val="1C950EA2"/>
    <w:rsid w:val="1C9D31E1"/>
    <w:rsid w:val="1CA12EBD"/>
    <w:rsid w:val="1CA55C6C"/>
    <w:rsid w:val="1CA62838"/>
    <w:rsid w:val="1CA67D85"/>
    <w:rsid w:val="1CC11B80"/>
    <w:rsid w:val="1CC83173"/>
    <w:rsid w:val="1CCE53D3"/>
    <w:rsid w:val="1CD32DB2"/>
    <w:rsid w:val="1CDC4242"/>
    <w:rsid w:val="1CDD52D2"/>
    <w:rsid w:val="1CE36171"/>
    <w:rsid w:val="1CE658C5"/>
    <w:rsid w:val="1CEA02A5"/>
    <w:rsid w:val="1CEE58F8"/>
    <w:rsid w:val="1CEF5878"/>
    <w:rsid w:val="1CFB5C36"/>
    <w:rsid w:val="1D0D6E9B"/>
    <w:rsid w:val="1D1354DB"/>
    <w:rsid w:val="1D255A9E"/>
    <w:rsid w:val="1D266050"/>
    <w:rsid w:val="1D291F4B"/>
    <w:rsid w:val="1D2D3883"/>
    <w:rsid w:val="1D2E491B"/>
    <w:rsid w:val="1D377249"/>
    <w:rsid w:val="1D496A33"/>
    <w:rsid w:val="1D4E02FF"/>
    <w:rsid w:val="1D536BB2"/>
    <w:rsid w:val="1D547F97"/>
    <w:rsid w:val="1D562585"/>
    <w:rsid w:val="1D5B0D63"/>
    <w:rsid w:val="1D5E1444"/>
    <w:rsid w:val="1D5F7616"/>
    <w:rsid w:val="1D762E31"/>
    <w:rsid w:val="1D7B668B"/>
    <w:rsid w:val="1D826EBE"/>
    <w:rsid w:val="1D8321C5"/>
    <w:rsid w:val="1D85102C"/>
    <w:rsid w:val="1DB620BE"/>
    <w:rsid w:val="1DC96FB6"/>
    <w:rsid w:val="1DCA047F"/>
    <w:rsid w:val="1DCD1DFD"/>
    <w:rsid w:val="1DD80A44"/>
    <w:rsid w:val="1DDB0BE7"/>
    <w:rsid w:val="1DE93D04"/>
    <w:rsid w:val="1DEC1F22"/>
    <w:rsid w:val="1DEC729A"/>
    <w:rsid w:val="1DEF691B"/>
    <w:rsid w:val="1DF17475"/>
    <w:rsid w:val="1DF21D9B"/>
    <w:rsid w:val="1DF23F5B"/>
    <w:rsid w:val="1DFD0A32"/>
    <w:rsid w:val="1DFE4D46"/>
    <w:rsid w:val="1E014F37"/>
    <w:rsid w:val="1E04575B"/>
    <w:rsid w:val="1E054781"/>
    <w:rsid w:val="1E083194"/>
    <w:rsid w:val="1E1075F6"/>
    <w:rsid w:val="1E135ECF"/>
    <w:rsid w:val="1E16306E"/>
    <w:rsid w:val="1E1A2378"/>
    <w:rsid w:val="1E1A32D3"/>
    <w:rsid w:val="1E2204D5"/>
    <w:rsid w:val="1E234EC6"/>
    <w:rsid w:val="1E2E73BF"/>
    <w:rsid w:val="1E351197"/>
    <w:rsid w:val="1E35517B"/>
    <w:rsid w:val="1E3B373E"/>
    <w:rsid w:val="1E4273AC"/>
    <w:rsid w:val="1E465B92"/>
    <w:rsid w:val="1E477B18"/>
    <w:rsid w:val="1E4C6C6B"/>
    <w:rsid w:val="1E4F7829"/>
    <w:rsid w:val="1E582EBA"/>
    <w:rsid w:val="1E5848F2"/>
    <w:rsid w:val="1E5D309D"/>
    <w:rsid w:val="1E5F583A"/>
    <w:rsid w:val="1E6F30B9"/>
    <w:rsid w:val="1E777B01"/>
    <w:rsid w:val="1E780B2E"/>
    <w:rsid w:val="1E7C5A4B"/>
    <w:rsid w:val="1E820952"/>
    <w:rsid w:val="1E846364"/>
    <w:rsid w:val="1E846EFB"/>
    <w:rsid w:val="1E85324A"/>
    <w:rsid w:val="1E8F6295"/>
    <w:rsid w:val="1E9254DB"/>
    <w:rsid w:val="1E926956"/>
    <w:rsid w:val="1E962AB9"/>
    <w:rsid w:val="1E97759E"/>
    <w:rsid w:val="1E9A34D8"/>
    <w:rsid w:val="1E9C4AB8"/>
    <w:rsid w:val="1E9D7E1D"/>
    <w:rsid w:val="1EA4238F"/>
    <w:rsid w:val="1EB36BA7"/>
    <w:rsid w:val="1EC52641"/>
    <w:rsid w:val="1EC53317"/>
    <w:rsid w:val="1ED41CC0"/>
    <w:rsid w:val="1ED70AB2"/>
    <w:rsid w:val="1EE4619C"/>
    <w:rsid w:val="1EE940ED"/>
    <w:rsid w:val="1EF512E8"/>
    <w:rsid w:val="1EF87E04"/>
    <w:rsid w:val="1F055DFF"/>
    <w:rsid w:val="1F087282"/>
    <w:rsid w:val="1F092DBE"/>
    <w:rsid w:val="1F133DFA"/>
    <w:rsid w:val="1F134C66"/>
    <w:rsid w:val="1F162A6F"/>
    <w:rsid w:val="1F1B3587"/>
    <w:rsid w:val="1F1C28C7"/>
    <w:rsid w:val="1F3069B1"/>
    <w:rsid w:val="1F330359"/>
    <w:rsid w:val="1F371514"/>
    <w:rsid w:val="1F37595B"/>
    <w:rsid w:val="1F3770DA"/>
    <w:rsid w:val="1F401D30"/>
    <w:rsid w:val="1F417171"/>
    <w:rsid w:val="1F4A0A08"/>
    <w:rsid w:val="1F515091"/>
    <w:rsid w:val="1F552C1D"/>
    <w:rsid w:val="1F705F14"/>
    <w:rsid w:val="1F737547"/>
    <w:rsid w:val="1F751511"/>
    <w:rsid w:val="1F78062A"/>
    <w:rsid w:val="1F7A1700"/>
    <w:rsid w:val="1F7F3AAB"/>
    <w:rsid w:val="1F841F9C"/>
    <w:rsid w:val="1F861E5A"/>
    <w:rsid w:val="1F8B78E1"/>
    <w:rsid w:val="1F8E612F"/>
    <w:rsid w:val="1F8F482F"/>
    <w:rsid w:val="1F923DFA"/>
    <w:rsid w:val="1F9B5A6B"/>
    <w:rsid w:val="1FA86E8A"/>
    <w:rsid w:val="1FA959E3"/>
    <w:rsid w:val="1FAC3FE1"/>
    <w:rsid w:val="1FB23644"/>
    <w:rsid w:val="1FC009DE"/>
    <w:rsid w:val="1FC0755B"/>
    <w:rsid w:val="1FC50356"/>
    <w:rsid w:val="1FC84FF9"/>
    <w:rsid w:val="1FE03E2B"/>
    <w:rsid w:val="1FE14043"/>
    <w:rsid w:val="1FE267B7"/>
    <w:rsid w:val="1FE40E9F"/>
    <w:rsid w:val="1FE45D78"/>
    <w:rsid w:val="1FE65F6B"/>
    <w:rsid w:val="1FE864B0"/>
    <w:rsid w:val="1FEB27A7"/>
    <w:rsid w:val="1FFB6136"/>
    <w:rsid w:val="20067C94"/>
    <w:rsid w:val="20091F39"/>
    <w:rsid w:val="200A2C73"/>
    <w:rsid w:val="200B03AC"/>
    <w:rsid w:val="20212468"/>
    <w:rsid w:val="20232854"/>
    <w:rsid w:val="20252083"/>
    <w:rsid w:val="202A1B2C"/>
    <w:rsid w:val="202A5E57"/>
    <w:rsid w:val="202B4E25"/>
    <w:rsid w:val="202E06A3"/>
    <w:rsid w:val="2031373D"/>
    <w:rsid w:val="20321CF6"/>
    <w:rsid w:val="203474F7"/>
    <w:rsid w:val="20404E0E"/>
    <w:rsid w:val="205028C9"/>
    <w:rsid w:val="205136B9"/>
    <w:rsid w:val="2051588D"/>
    <w:rsid w:val="20531463"/>
    <w:rsid w:val="20532554"/>
    <w:rsid w:val="20590DC3"/>
    <w:rsid w:val="20605D08"/>
    <w:rsid w:val="206863D5"/>
    <w:rsid w:val="20725F13"/>
    <w:rsid w:val="207D242B"/>
    <w:rsid w:val="20895FBF"/>
    <w:rsid w:val="208A5B0A"/>
    <w:rsid w:val="20945216"/>
    <w:rsid w:val="209B4FA7"/>
    <w:rsid w:val="209E479C"/>
    <w:rsid w:val="20A15C85"/>
    <w:rsid w:val="20A3345C"/>
    <w:rsid w:val="20AA51EA"/>
    <w:rsid w:val="20AD1A46"/>
    <w:rsid w:val="20B41895"/>
    <w:rsid w:val="20B87006"/>
    <w:rsid w:val="20B971DB"/>
    <w:rsid w:val="20C77463"/>
    <w:rsid w:val="20C86912"/>
    <w:rsid w:val="20CB271C"/>
    <w:rsid w:val="20D25746"/>
    <w:rsid w:val="20E3487E"/>
    <w:rsid w:val="20EC4E66"/>
    <w:rsid w:val="20EC4F8A"/>
    <w:rsid w:val="20FB6F69"/>
    <w:rsid w:val="20FB75CC"/>
    <w:rsid w:val="20FF6897"/>
    <w:rsid w:val="2108665E"/>
    <w:rsid w:val="210A16A7"/>
    <w:rsid w:val="21211AC9"/>
    <w:rsid w:val="21213FED"/>
    <w:rsid w:val="212360E4"/>
    <w:rsid w:val="212826DA"/>
    <w:rsid w:val="21283933"/>
    <w:rsid w:val="212879CE"/>
    <w:rsid w:val="21296B4E"/>
    <w:rsid w:val="212F1E3B"/>
    <w:rsid w:val="21410377"/>
    <w:rsid w:val="21426579"/>
    <w:rsid w:val="2145498F"/>
    <w:rsid w:val="214779FA"/>
    <w:rsid w:val="21507B40"/>
    <w:rsid w:val="2154597D"/>
    <w:rsid w:val="21570862"/>
    <w:rsid w:val="215F6274"/>
    <w:rsid w:val="21657FA2"/>
    <w:rsid w:val="21676236"/>
    <w:rsid w:val="21697306"/>
    <w:rsid w:val="216E7BF3"/>
    <w:rsid w:val="21791032"/>
    <w:rsid w:val="217A70EE"/>
    <w:rsid w:val="21823CA7"/>
    <w:rsid w:val="2189381B"/>
    <w:rsid w:val="218B4AD9"/>
    <w:rsid w:val="219148A3"/>
    <w:rsid w:val="21920158"/>
    <w:rsid w:val="21931DA4"/>
    <w:rsid w:val="219B686A"/>
    <w:rsid w:val="219E3CDE"/>
    <w:rsid w:val="21A0791B"/>
    <w:rsid w:val="21A34B70"/>
    <w:rsid w:val="21AA2FF4"/>
    <w:rsid w:val="21AE3FF3"/>
    <w:rsid w:val="21B4539C"/>
    <w:rsid w:val="21B82C1B"/>
    <w:rsid w:val="21B9031B"/>
    <w:rsid w:val="21B930E7"/>
    <w:rsid w:val="21BB32D9"/>
    <w:rsid w:val="21BC2066"/>
    <w:rsid w:val="21BF19B3"/>
    <w:rsid w:val="21C57807"/>
    <w:rsid w:val="21D61F53"/>
    <w:rsid w:val="21DD30DE"/>
    <w:rsid w:val="21F43E01"/>
    <w:rsid w:val="22121093"/>
    <w:rsid w:val="22132D0B"/>
    <w:rsid w:val="2213599D"/>
    <w:rsid w:val="22151733"/>
    <w:rsid w:val="22153089"/>
    <w:rsid w:val="22205764"/>
    <w:rsid w:val="22241B97"/>
    <w:rsid w:val="223119FD"/>
    <w:rsid w:val="2235363F"/>
    <w:rsid w:val="2238301F"/>
    <w:rsid w:val="224035C5"/>
    <w:rsid w:val="22426A36"/>
    <w:rsid w:val="2248768E"/>
    <w:rsid w:val="224941CC"/>
    <w:rsid w:val="225065FC"/>
    <w:rsid w:val="225127E7"/>
    <w:rsid w:val="22523711"/>
    <w:rsid w:val="22526955"/>
    <w:rsid w:val="225929CC"/>
    <w:rsid w:val="22604018"/>
    <w:rsid w:val="22611B1E"/>
    <w:rsid w:val="22615229"/>
    <w:rsid w:val="2267753D"/>
    <w:rsid w:val="22697527"/>
    <w:rsid w:val="226D3EEC"/>
    <w:rsid w:val="22713226"/>
    <w:rsid w:val="22720B41"/>
    <w:rsid w:val="22772F3B"/>
    <w:rsid w:val="22834DFD"/>
    <w:rsid w:val="22871F10"/>
    <w:rsid w:val="228A1DEC"/>
    <w:rsid w:val="228C498F"/>
    <w:rsid w:val="22940D96"/>
    <w:rsid w:val="22A21A7C"/>
    <w:rsid w:val="22A34A40"/>
    <w:rsid w:val="22A77BFD"/>
    <w:rsid w:val="22B129B5"/>
    <w:rsid w:val="22B57284"/>
    <w:rsid w:val="22B77886"/>
    <w:rsid w:val="22C45E7F"/>
    <w:rsid w:val="22C71431"/>
    <w:rsid w:val="22C8503C"/>
    <w:rsid w:val="22D26822"/>
    <w:rsid w:val="22D74FA7"/>
    <w:rsid w:val="22E1670A"/>
    <w:rsid w:val="22E32C7C"/>
    <w:rsid w:val="22F02644"/>
    <w:rsid w:val="22F13115"/>
    <w:rsid w:val="22F1502C"/>
    <w:rsid w:val="22F70C9A"/>
    <w:rsid w:val="23007E31"/>
    <w:rsid w:val="23044C54"/>
    <w:rsid w:val="230726AF"/>
    <w:rsid w:val="230823EF"/>
    <w:rsid w:val="230B009C"/>
    <w:rsid w:val="230E1551"/>
    <w:rsid w:val="231A18DD"/>
    <w:rsid w:val="231D4771"/>
    <w:rsid w:val="231F5C41"/>
    <w:rsid w:val="232B40F4"/>
    <w:rsid w:val="23330B55"/>
    <w:rsid w:val="233401CE"/>
    <w:rsid w:val="23384A40"/>
    <w:rsid w:val="233A1792"/>
    <w:rsid w:val="233A301D"/>
    <w:rsid w:val="233B3627"/>
    <w:rsid w:val="23434081"/>
    <w:rsid w:val="234C4D62"/>
    <w:rsid w:val="235855B1"/>
    <w:rsid w:val="235D1629"/>
    <w:rsid w:val="23622550"/>
    <w:rsid w:val="23642920"/>
    <w:rsid w:val="23680381"/>
    <w:rsid w:val="236A15CA"/>
    <w:rsid w:val="236D4A23"/>
    <w:rsid w:val="23754BA1"/>
    <w:rsid w:val="237A7AD8"/>
    <w:rsid w:val="23811821"/>
    <w:rsid w:val="23917CA9"/>
    <w:rsid w:val="23956AD6"/>
    <w:rsid w:val="239A4FCA"/>
    <w:rsid w:val="23A02D97"/>
    <w:rsid w:val="23A1796D"/>
    <w:rsid w:val="23AB2DED"/>
    <w:rsid w:val="23BE3FD3"/>
    <w:rsid w:val="23BF4BA9"/>
    <w:rsid w:val="23BF6C80"/>
    <w:rsid w:val="23C07461"/>
    <w:rsid w:val="23D13DF5"/>
    <w:rsid w:val="23D524D5"/>
    <w:rsid w:val="23D7416D"/>
    <w:rsid w:val="23D83E1C"/>
    <w:rsid w:val="23DA3BC7"/>
    <w:rsid w:val="23E46569"/>
    <w:rsid w:val="23EE2B46"/>
    <w:rsid w:val="23EF38CA"/>
    <w:rsid w:val="23FA331C"/>
    <w:rsid w:val="23FB5975"/>
    <w:rsid w:val="240C1433"/>
    <w:rsid w:val="240F5504"/>
    <w:rsid w:val="24186D4A"/>
    <w:rsid w:val="241909F0"/>
    <w:rsid w:val="241B1989"/>
    <w:rsid w:val="24276218"/>
    <w:rsid w:val="243705E8"/>
    <w:rsid w:val="243E3012"/>
    <w:rsid w:val="243F21FD"/>
    <w:rsid w:val="24463563"/>
    <w:rsid w:val="24553364"/>
    <w:rsid w:val="24630067"/>
    <w:rsid w:val="246568E7"/>
    <w:rsid w:val="24657811"/>
    <w:rsid w:val="24693A78"/>
    <w:rsid w:val="247358E6"/>
    <w:rsid w:val="24822298"/>
    <w:rsid w:val="24866762"/>
    <w:rsid w:val="248C6872"/>
    <w:rsid w:val="24A975F1"/>
    <w:rsid w:val="24AC46CD"/>
    <w:rsid w:val="24AD15DD"/>
    <w:rsid w:val="24BA14AA"/>
    <w:rsid w:val="24C50396"/>
    <w:rsid w:val="24C70B70"/>
    <w:rsid w:val="24CF1C37"/>
    <w:rsid w:val="24D119C6"/>
    <w:rsid w:val="24D665AE"/>
    <w:rsid w:val="24D81302"/>
    <w:rsid w:val="24D8686F"/>
    <w:rsid w:val="24E03613"/>
    <w:rsid w:val="24E25BB5"/>
    <w:rsid w:val="24E42949"/>
    <w:rsid w:val="24EC5DD1"/>
    <w:rsid w:val="24F84715"/>
    <w:rsid w:val="24F85FC0"/>
    <w:rsid w:val="25011FFA"/>
    <w:rsid w:val="25024878"/>
    <w:rsid w:val="2510405B"/>
    <w:rsid w:val="251549F4"/>
    <w:rsid w:val="251A48AC"/>
    <w:rsid w:val="2529428F"/>
    <w:rsid w:val="252C29F3"/>
    <w:rsid w:val="252E6C69"/>
    <w:rsid w:val="252F609C"/>
    <w:rsid w:val="253240D6"/>
    <w:rsid w:val="253357AE"/>
    <w:rsid w:val="25363A72"/>
    <w:rsid w:val="253A3AB2"/>
    <w:rsid w:val="253A686E"/>
    <w:rsid w:val="253F6A05"/>
    <w:rsid w:val="254011CD"/>
    <w:rsid w:val="25524AEA"/>
    <w:rsid w:val="25536737"/>
    <w:rsid w:val="255545CB"/>
    <w:rsid w:val="255862A8"/>
    <w:rsid w:val="255971C4"/>
    <w:rsid w:val="255D3FEE"/>
    <w:rsid w:val="25644CF6"/>
    <w:rsid w:val="256452B2"/>
    <w:rsid w:val="256E447D"/>
    <w:rsid w:val="257A162F"/>
    <w:rsid w:val="257E28EE"/>
    <w:rsid w:val="2580651A"/>
    <w:rsid w:val="25826F0E"/>
    <w:rsid w:val="258D5929"/>
    <w:rsid w:val="25921A87"/>
    <w:rsid w:val="259C42E1"/>
    <w:rsid w:val="25A14C02"/>
    <w:rsid w:val="25AC7389"/>
    <w:rsid w:val="25B026D8"/>
    <w:rsid w:val="25B155B7"/>
    <w:rsid w:val="25BB3BEF"/>
    <w:rsid w:val="25BC22F3"/>
    <w:rsid w:val="25BD3A06"/>
    <w:rsid w:val="25BD7B65"/>
    <w:rsid w:val="25C96A4D"/>
    <w:rsid w:val="25CC2D6A"/>
    <w:rsid w:val="25D2032B"/>
    <w:rsid w:val="25DB046E"/>
    <w:rsid w:val="25E10A99"/>
    <w:rsid w:val="25E42D96"/>
    <w:rsid w:val="25F7472D"/>
    <w:rsid w:val="25FD7528"/>
    <w:rsid w:val="26007258"/>
    <w:rsid w:val="26112284"/>
    <w:rsid w:val="2615501E"/>
    <w:rsid w:val="26354676"/>
    <w:rsid w:val="26487037"/>
    <w:rsid w:val="2652435A"/>
    <w:rsid w:val="26571118"/>
    <w:rsid w:val="26592DEA"/>
    <w:rsid w:val="265B53D7"/>
    <w:rsid w:val="265C75AD"/>
    <w:rsid w:val="26610E56"/>
    <w:rsid w:val="266375FD"/>
    <w:rsid w:val="26651A30"/>
    <w:rsid w:val="266867BD"/>
    <w:rsid w:val="26754AF9"/>
    <w:rsid w:val="26774A4C"/>
    <w:rsid w:val="26783A95"/>
    <w:rsid w:val="267A6E39"/>
    <w:rsid w:val="26994911"/>
    <w:rsid w:val="26A3655B"/>
    <w:rsid w:val="26A64C98"/>
    <w:rsid w:val="26AB4A04"/>
    <w:rsid w:val="26B17B6C"/>
    <w:rsid w:val="26CE2B2F"/>
    <w:rsid w:val="26D531F3"/>
    <w:rsid w:val="26DA06D3"/>
    <w:rsid w:val="26EF3957"/>
    <w:rsid w:val="26F42BF1"/>
    <w:rsid w:val="27005E27"/>
    <w:rsid w:val="270341B0"/>
    <w:rsid w:val="27094FD0"/>
    <w:rsid w:val="270A1686"/>
    <w:rsid w:val="27173F46"/>
    <w:rsid w:val="27174EDA"/>
    <w:rsid w:val="27190735"/>
    <w:rsid w:val="27227805"/>
    <w:rsid w:val="272B26AA"/>
    <w:rsid w:val="272C128C"/>
    <w:rsid w:val="272E02D9"/>
    <w:rsid w:val="27371510"/>
    <w:rsid w:val="27422F6A"/>
    <w:rsid w:val="274D140D"/>
    <w:rsid w:val="275A6D01"/>
    <w:rsid w:val="275F4C03"/>
    <w:rsid w:val="276A649A"/>
    <w:rsid w:val="276E08C7"/>
    <w:rsid w:val="276E09F1"/>
    <w:rsid w:val="276F267B"/>
    <w:rsid w:val="27720BED"/>
    <w:rsid w:val="27762722"/>
    <w:rsid w:val="27791F47"/>
    <w:rsid w:val="27811D6F"/>
    <w:rsid w:val="2782310C"/>
    <w:rsid w:val="27824680"/>
    <w:rsid w:val="27941ECD"/>
    <w:rsid w:val="279C1DA2"/>
    <w:rsid w:val="279C67DD"/>
    <w:rsid w:val="279E5966"/>
    <w:rsid w:val="279F6FE9"/>
    <w:rsid w:val="27A41F4B"/>
    <w:rsid w:val="27AE14D7"/>
    <w:rsid w:val="27AE466B"/>
    <w:rsid w:val="27B53849"/>
    <w:rsid w:val="27B659AA"/>
    <w:rsid w:val="27B97D81"/>
    <w:rsid w:val="27BA71EB"/>
    <w:rsid w:val="27BC6454"/>
    <w:rsid w:val="27C1040E"/>
    <w:rsid w:val="27C93C05"/>
    <w:rsid w:val="27CA22F5"/>
    <w:rsid w:val="27D54622"/>
    <w:rsid w:val="27D67E3C"/>
    <w:rsid w:val="27D7671F"/>
    <w:rsid w:val="27E35578"/>
    <w:rsid w:val="27E91FBB"/>
    <w:rsid w:val="27ED2D3A"/>
    <w:rsid w:val="27EF18C2"/>
    <w:rsid w:val="27FB3D3F"/>
    <w:rsid w:val="27FC1186"/>
    <w:rsid w:val="27FC4B5A"/>
    <w:rsid w:val="27FF5C84"/>
    <w:rsid w:val="28016E7C"/>
    <w:rsid w:val="2805689A"/>
    <w:rsid w:val="280D6DAA"/>
    <w:rsid w:val="28120EE6"/>
    <w:rsid w:val="281319DD"/>
    <w:rsid w:val="281475BC"/>
    <w:rsid w:val="281635F9"/>
    <w:rsid w:val="28386DDF"/>
    <w:rsid w:val="283B0812"/>
    <w:rsid w:val="283E3189"/>
    <w:rsid w:val="284003C4"/>
    <w:rsid w:val="284461BF"/>
    <w:rsid w:val="2850330B"/>
    <w:rsid w:val="28572E18"/>
    <w:rsid w:val="285D5C1D"/>
    <w:rsid w:val="28636474"/>
    <w:rsid w:val="286972DD"/>
    <w:rsid w:val="287459E7"/>
    <w:rsid w:val="28783B5D"/>
    <w:rsid w:val="28783C99"/>
    <w:rsid w:val="288822B5"/>
    <w:rsid w:val="288F7330"/>
    <w:rsid w:val="2896578B"/>
    <w:rsid w:val="2897236D"/>
    <w:rsid w:val="289742A6"/>
    <w:rsid w:val="28976A42"/>
    <w:rsid w:val="289D45DC"/>
    <w:rsid w:val="28AA2649"/>
    <w:rsid w:val="28AD14E5"/>
    <w:rsid w:val="28AE6C5B"/>
    <w:rsid w:val="28B03ED3"/>
    <w:rsid w:val="28BA3158"/>
    <w:rsid w:val="28BD653F"/>
    <w:rsid w:val="28C15AB1"/>
    <w:rsid w:val="28C27F23"/>
    <w:rsid w:val="28C76F2E"/>
    <w:rsid w:val="28CA1EC9"/>
    <w:rsid w:val="28CA78AE"/>
    <w:rsid w:val="28CE3B22"/>
    <w:rsid w:val="28D01566"/>
    <w:rsid w:val="28D12512"/>
    <w:rsid w:val="28E84736"/>
    <w:rsid w:val="29042DE7"/>
    <w:rsid w:val="290D71BB"/>
    <w:rsid w:val="291429D8"/>
    <w:rsid w:val="291A6C11"/>
    <w:rsid w:val="292D79EC"/>
    <w:rsid w:val="293548F9"/>
    <w:rsid w:val="293D4EAD"/>
    <w:rsid w:val="29420EA7"/>
    <w:rsid w:val="29523E6A"/>
    <w:rsid w:val="29683311"/>
    <w:rsid w:val="296C43C7"/>
    <w:rsid w:val="2979112F"/>
    <w:rsid w:val="297A1507"/>
    <w:rsid w:val="29802771"/>
    <w:rsid w:val="298567F4"/>
    <w:rsid w:val="298834A6"/>
    <w:rsid w:val="29886BB7"/>
    <w:rsid w:val="299E7A47"/>
    <w:rsid w:val="29A13EAB"/>
    <w:rsid w:val="29BD109B"/>
    <w:rsid w:val="29BF2E3A"/>
    <w:rsid w:val="29C25353"/>
    <w:rsid w:val="29C4259A"/>
    <w:rsid w:val="29C5030E"/>
    <w:rsid w:val="29C51F12"/>
    <w:rsid w:val="29CD3357"/>
    <w:rsid w:val="29D34BC6"/>
    <w:rsid w:val="29D445C0"/>
    <w:rsid w:val="29DE10B7"/>
    <w:rsid w:val="29E14AC1"/>
    <w:rsid w:val="29E834FF"/>
    <w:rsid w:val="29EE2254"/>
    <w:rsid w:val="29FD1BB8"/>
    <w:rsid w:val="2A005004"/>
    <w:rsid w:val="2A01640C"/>
    <w:rsid w:val="2A0713B0"/>
    <w:rsid w:val="2A0C1EB9"/>
    <w:rsid w:val="2A1069F6"/>
    <w:rsid w:val="2A1D4C7F"/>
    <w:rsid w:val="2A2142A3"/>
    <w:rsid w:val="2A254970"/>
    <w:rsid w:val="2A2735C6"/>
    <w:rsid w:val="2A295ACA"/>
    <w:rsid w:val="2A2D2117"/>
    <w:rsid w:val="2A371349"/>
    <w:rsid w:val="2A3C5A1D"/>
    <w:rsid w:val="2A4641D7"/>
    <w:rsid w:val="2A464A18"/>
    <w:rsid w:val="2A484A97"/>
    <w:rsid w:val="2A56246E"/>
    <w:rsid w:val="2A5B4431"/>
    <w:rsid w:val="2A5C33D4"/>
    <w:rsid w:val="2A60477A"/>
    <w:rsid w:val="2A653899"/>
    <w:rsid w:val="2A6F2F9E"/>
    <w:rsid w:val="2A7A44B6"/>
    <w:rsid w:val="2A7C3754"/>
    <w:rsid w:val="2A88547E"/>
    <w:rsid w:val="2A8E1F90"/>
    <w:rsid w:val="2A917DE9"/>
    <w:rsid w:val="2A961851"/>
    <w:rsid w:val="2A9C7B83"/>
    <w:rsid w:val="2AAC3A6A"/>
    <w:rsid w:val="2AAC49DA"/>
    <w:rsid w:val="2AAF3B29"/>
    <w:rsid w:val="2AAF54E7"/>
    <w:rsid w:val="2ABB5A92"/>
    <w:rsid w:val="2AC14138"/>
    <w:rsid w:val="2ACD595B"/>
    <w:rsid w:val="2ACE2333"/>
    <w:rsid w:val="2AD10253"/>
    <w:rsid w:val="2AD1561D"/>
    <w:rsid w:val="2AD562F3"/>
    <w:rsid w:val="2AD60098"/>
    <w:rsid w:val="2AD70E95"/>
    <w:rsid w:val="2AE63D65"/>
    <w:rsid w:val="2AF604EB"/>
    <w:rsid w:val="2AFE54CB"/>
    <w:rsid w:val="2B020837"/>
    <w:rsid w:val="2B097936"/>
    <w:rsid w:val="2B0B3DFC"/>
    <w:rsid w:val="2B0E6AE7"/>
    <w:rsid w:val="2B1B6C3C"/>
    <w:rsid w:val="2B1C0A93"/>
    <w:rsid w:val="2B1E2C33"/>
    <w:rsid w:val="2B237626"/>
    <w:rsid w:val="2B2564AF"/>
    <w:rsid w:val="2B2862D7"/>
    <w:rsid w:val="2B2A7A81"/>
    <w:rsid w:val="2B37732B"/>
    <w:rsid w:val="2B3B2AF8"/>
    <w:rsid w:val="2B3E3789"/>
    <w:rsid w:val="2B42260B"/>
    <w:rsid w:val="2B4A1A32"/>
    <w:rsid w:val="2B4E24A6"/>
    <w:rsid w:val="2B4F4DF3"/>
    <w:rsid w:val="2B671861"/>
    <w:rsid w:val="2B6936EE"/>
    <w:rsid w:val="2B6B2948"/>
    <w:rsid w:val="2B773C23"/>
    <w:rsid w:val="2B7C69B9"/>
    <w:rsid w:val="2B8128CF"/>
    <w:rsid w:val="2B822B44"/>
    <w:rsid w:val="2B8825F7"/>
    <w:rsid w:val="2B9178BA"/>
    <w:rsid w:val="2B936593"/>
    <w:rsid w:val="2B9B675E"/>
    <w:rsid w:val="2B9F4C75"/>
    <w:rsid w:val="2BA06FA4"/>
    <w:rsid w:val="2BAB509A"/>
    <w:rsid w:val="2BAF7A17"/>
    <w:rsid w:val="2BB0448D"/>
    <w:rsid w:val="2BBC66AD"/>
    <w:rsid w:val="2BBC727B"/>
    <w:rsid w:val="2BBD399F"/>
    <w:rsid w:val="2BC040F1"/>
    <w:rsid w:val="2BC3204C"/>
    <w:rsid w:val="2BC32D24"/>
    <w:rsid w:val="2BCE1645"/>
    <w:rsid w:val="2BCE43F4"/>
    <w:rsid w:val="2BD460CB"/>
    <w:rsid w:val="2BDB61F2"/>
    <w:rsid w:val="2BDD45A6"/>
    <w:rsid w:val="2BE45A54"/>
    <w:rsid w:val="2BE90921"/>
    <w:rsid w:val="2BF105A0"/>
    <w:rsid w:val="2BF86C7C"/>
    <w:rsid w:val="2C0B10D7"/>
    <w:rsid w:val="2C1815DA"/>
    <w:rsid w:val="2C2E1BF1"/>
    <w:rsid w:val="2C305D5B"/>
    <w:rsid w:val="2C31687F"/>
    <w:rsid w:val="2C4F30E3"/>
    <w:rsid w:val="2C5D567E"/>
    <w:rsid w:val="2C5E2B68"/>
    <w:rsid w:val="2C6302E6"/>
    <w:rsid w:val="2C681ED9"/>
    <w:rsid w:val="2C6A51A6"/>
    <w:rsid w:val="2C6F00D2"/>
    <w:rsid w:val="2C747DE9"/>
    <w:rsid w:val="2C792647"/>
    <w:rsid w:val="2C930799"/>
    <w:rsid w:val="2CA37D54"/>
    <w:rsid w:val="2CA75D49"/>
    <w:rsid w:val="2CB03656"/>
    <w:rsid w:val="2CB1329F"/>
    <w:rsid w:val="2CB67F90"/>
    <w:rsid w:val="2CBA153E"/>
    <w:rsid w:val="2CC260D9"/>
    <w:rsid w:val="2CC61A09"/>
    <w:rsid w:val="2CD377EE"/>
    <w:rsid w:val="2CD5501E"/>
    <w:rsid w:val="2CD67F92"/>
    <w:rsid w:val="2CD82133"/>
    <w:rsid w:val="2CDB7340"/>
    <w:rsid w:val="2CE22CE3"/>
    <w:rsid w:val="2CE70042"/>
    <w:rsid w:val="2CEE4A05"/>
    <w:rsid w:val="2CEF21DE"/>
    <w:rsid w:val="2CFC4A2B"/>
    <w:rsid w:val="2CFF7A63"/>
    <w:rsid w:val="2D0408CE"/>
    <w:rsid w:val="2D056F0D"/>
    <w:rsid w:val="2D0D540D"/>
    <w:rsid w:val="2D131D9A"/>
    <w:rsid w:val="2D135225"/>
    <w:rsid w:val="2D171C1B"/>
    <w:rsid w:val="2D2107D0"/>
    <w:rsid w:val="2D22020A"/>
    <w:rsid w:val="2D226883"/>
    <w:rsid w:val="2D235AAA"/>
    <w:rsid w:val="2D246F5E"/>
    <w:rsid w:val="2D286FDD"/>
    <w:rsid w:val="2D2A6646"/>
    <w:rsid w:val="2D2D65A9"/>
    <w:rsid w:val="2D2F3008"/>
    <w:rsid w:val="2D360BA6"/>
    <w:rsid w:val="2D3D7A8A"/>
    <w:rsid w:val="2D3E6FA9"/>
    <w:rsid w:val="2D4B09A6"/>
    <w:rsid w:val="2D4B6519"/>
    <w:rsid w:val="2D4D21D7"/>
    <w:rsid w:val="2D5279F1"/>
    <w:rsid w:val="2D593BF9"/>
    <w:rsid w:val="2D6C66AF"/>
    <w:rsid w:val="2D7358F6"/>
    <w:rsid w:val="2D75306F"/>
    <w:rsid w:val="2D781564"/>
    <w:rsid w:val="2D7D74DE"/>
    <w:rsid w:val="2D9E7E85"/>
    <w:rsid w:val="2DA34172"/>
    <w:rsid w:val="2DA756F2"/>
    <w:rsid w:val="2DAB22A4"/>
    <w:rsid w:val="2DAC33B6"/>
    <w:rsid w:val="2DAF1D46"/>
    <w:rsid w:val="2DB15E0A"/>
    <w:rsid w:val="2DB515C2"/>
    <w:rsid w:val="2DBE75C3"/>
    <w:rsid w:val="2DBF5B4B"/>
    <w:rsid w:val="2DC17EC5"/>
    <w:rsid w:val="2DC948C6"/>
    <w:rsid w:val="2DCC5040"/>
    <w:rsid w:val="2DD37EBB"/>
    <w:rsid w:val="2DDB321C"/>
    <w:rsid w:val="2DDB69E3"/>
    <w:rsid w:val="2DE04BB2"/>
    <w:rsid w:val="2DE438CF"/>
    <w:rsid w:val="2DE857E1"/>
    <w:rsid w:val="2DEC6948"/>
    <w:rsid w:val="2DEE699A"/>
    <w:rsid w:val="2DEF523D"/>
    <w:rsid w:val="2DF911D0"/>
    <w:rsid w:val="2DFE10C1"/>
    <w:rsid w:val="2E0D37A1"/>
    <w:rsid w:val="2E1819E5"/>
    <w:rsid w:val="2E1B75DC"/>
    <w:rsid w:val="2E233DAE"/>
    <w:rsid w:val="2E235EEA"/>
    <w:rsid w:val="2E2E18F7"/>
    <w:rsid w:val="2E3319DD"/>
    <w:rsid w:val="2E352597"/>
    <w:rsid w:val="2E3B21FA"/>
    <w:rsid w:val="2E4924CD"/>
    <w:rsid w:val="2E4A5C7F"/>
    <w:rsid w:val="2E4B62AE"/>
    <w:rsid w:val="2E4F2F2D"/>
    <w:rsid w:val="2E4F79C0"/>
    <w:rsid w:val="2E5572E9"/>
    <w:rsid w:val="2E56089A"/>
    <w:rsid w:val="2E58510D"/>
    <w:rsid w:val="2E627C62"/>
    <w:rsid w:val="2E631CB4"/>
    <w:rsid w:val="2E655FF5"/>
    <w:rsid w:val="2E68536B"/>
    <w:rsid w:val="2E6F20A1"/>
    <w:rsid w:val="2E7A61FC"/>
    <w:rsid w:val="2E7C2E00"/>
    <w:rsid w:val="2E82083F"/>
    <w:rsid w:val="2E835A6B"/>
    <w:rsid w:val="2E8936E2"/>
    <w:rsid w:val="2E8C24A2"/>
    <w:rsid w:val="2E90671E"/>
    <w:rsid w:val="2EA0716D"/>
    <w:rsid w:val="2EA11D44"/>
    <w:rsid w:val="2EAC13B9"/>
    <w:rsid w:val="2EAF27B7"/>
    <w:rsid w:val="2EB01441"/>
    <w:rsid w:val="2EB237D1"/>
    <w:rsid w:val="2EB4205E"/>
    <w:rsid w:val="2EB50196"/>
    <w:rsid w:val="2EB963FD"/>
    <w:rsid w:val="2EBB0330"/>
    <w:rsid w:val="2EC120F0"/>
    <w:rsid w:val="2EC30A05"/>
    <w:rsid w:val="2ECC7D1D"/>
    <w:rsid w:val="2ED500AE"/>
    <w:rsid w:val="2EDD71A3"/>
    <w:rsid w:val="2EE24165"/>
    <w:rsid w:val="2EE24355"/>
    <w:rsid w:val="2EE450A7"/>
    <w:rsid w:val="2EEB2C0B"/>
    <w:rsid w:val="2EEF6493"/>
    <w:rsid w:val="2EF4669D"/>
    <w:rsid w:val="2EFB204D"/>
    <w:rsid w:val="2EFC100D"/>
    <w:rsid w:val="2EFD3357"/>
    <w:rsid w:val="2F002AB3"/>
    <w:rsid w:val="2F0F125B"/>
    <w:rsid w:val="2F170806"/>
    <w:rsid w:val="2F200A5C"/>
    <w:rsid w:val="2F206BE2"/>
    <w:rsid w:val="2F21403D"/>
    <w:rsid w:val="2F2142B2"/>
    <w:rsid w:val="2F247543"/>
    <w:rsid w:val="2F2637C9"/>
    <w:rsid w:val="2F29697B"/>
    <w:rsid w:val="2F3549D4"/>
    <w:rsid w:val="2F3826A4"/>
    <w:rsid w:val="2F3A0CD4"/>
    <w:rsid w:val="2F3B3FB3"/>
    <w:rsid w:val="2F435BA1"/>
    <w:rsid w:val="2F455CE9"/>
    <w:rsid w:val="2F4739C6"/>
    <w:rsid w:val="2F4D2ACE"/>
    <w:rsid w:val="2F52431F"/>
    <w:rsid w:val="2F564A5D"/>
    <w:rsid w:val="2F570C5E"/>
    <w:rsid w:val="2F572668"/>
    <w:rsid w:val="2F58068E"/>
    <w:rsid w:val="2F586761"/>
    <w:rsid w:val="2F5D5055"/>
    <w:rsid w:val="2F627689"/>
    <w:rsid w:val="2F6911E1"/>
    <w:rsid w:val="2F6B3112"/>
    <w:rsid w:val="2F6C1D26"/>
    <w:rsid w:val="2F740257"/>
    <w:rsid w:val="2F74698A"/>
    <w:rsid w:val="2F771050"/>
    <w:rsid w:val="2F7D3166"/>
    <w:rsid w:val="2F825B40"/>
    <w:rsid w:val="2F860BD0"/>
    <w:rsid w:val="2F874BF1"/>
    <w:rsid w:val="2F8B6291"/>
    <w:rsid w:val="2F8C006D"/>
    <w:rsid w:val="2F905E48"/>
    <w:rsid w:val="2F9265BC"/>
    <w:rsid w:val="2F93083D"/>
    <w:rsid w:val="2F932646"/>
    <w:rsid w:val="2F9C03F4"/>
    <w:rsid w:val="2F9F7734"/>
    <w:rsid w:val="2FA137C9"/>
    <w:rsid w:val="2FA219F2"/>
    <w:rsid w:val="2FAE025E"/>
    <w:rsid w:val="2FB05DE3"/>
    <w:rsid w:val="2FC37297"/>
    <w:rsid w:val="2FC41E08"/>
    <w:rsid w:val="2FC45B71"/>
    <w:rsid w:val="2FE03845"/>
    <w:rsid w:val="2FE132A4"/>
    <w:rsid w:val="2FE15CBA"/>
    <w:rsid w:val="2FE82135"/>
    <w:rsid w:val="2FE92969"/>
    <w:rsid w:val="2FEA3F59"/>
    <w:rsid w:val="2FF0595B"/>
    <w:rsid w:val="2FF92A15"/>
    <w:rsid w:val="2FFE4C0B"/>
    <w:rsid w:val="30001E67"/>
    <w:rsid w:val="300165B8"/>
    <w:rsid w:val="300165C5"/>
    <w:rsid w:val="30043A13"/>
    <w:rsid w:val="3009139B"/>
    <w:rsid w:val="3014086A"/>
    <w:rsid w:val="301575F0"/>
    <w:rsid w:val="30196013"/>
    <w:rsid w:val="301F38C6"/>
    <w:rsid w:val="30206E53"/>
    <w:rsid w:val="30251730"/>
    <w:rsid w:val="302B5A72"/>
    <w:rsid w:val="302D422C"/>
    <w:rsid w:val="30471B0D"/>
    <w:rsid w:val="304B7D0F"/>
    <w:rsid w:val="304C2F6A"/>
    <w:rsid w:val="304E40F5"/>
    <w:rsid w:val="304E7003"/>
    <w:rsid w:val="305B7EC1"/>
    <w:rsid w:val="305C5D5D"/>
    <w:rsid w:val="306109A6"/>
    <w:rsid w:val="30695226"/>
    <w:rsid w:val="306D26FE"/>
    <w:rsid w:val="308060B0"/>
    <w:rsid w:val="30874D76"/>
    <w:rsid w:val="308A12B9"/>
    <w:rsid w:val="30A1538F"/>
    <w:rsid w:val="30A23D6D"/>
    <w:rsid w:val="30A6232C"/>
    <w:rsid w:val="30A725C4"/>
    <w:rsid w:val="30A75EBB"/>
    <w:rsid w:val="30AA1532"/>
    <w:rsid w:val="30AD0068"/>
    <w:rsid w:val="30B734A4"/>
    <w:rsid w:val="30C0687E"/>
    <w:rsid w:val="30CC0ABB"/>
    <w:rsid w:val="30D3122B"/>
    <w:rsid w:val="30D352C6"/>
    <w:rsid w:val="30DA03FF"/>
    <w:rsid w:val="30E019B8"/>
    <w:rsid w:val="30E726E0"/>
    <w:rsid w:val="30EB164A"/>
    <w:rsid w:val="30EF22E5"/>
    <w:rsid w:val="30FC2BF6"/>
    <w:rsid w:val="30FC2C3B"/>
    <w:rsid w:val="310839FB"/>
    <w:rsid w:val="310D26B0"/>
    <w:rsid w:val="310E31DA"/>
    <w:rsid w:val="31132938"/>
    <w:rsid w:val="31141281"/>
    <w:rsid w:val="311D3148"/>
    <w:rsid w:val="312254F5"/>
    <w:rsid w:val="312B5A10"/>
    <w:rsid w:val="312E31D3"/>
    <w:rsid w:val="313048CE"/>
    <w:rsid w:val="313F4DD3"/>
    <w:rsid w:val="31455667"/>
    <w:rsid w:val="3147315A"/>
    <w:rsid w:val="314E45ED"/>
    <w:rsid w:val="3151292F"/>
    <w:rsid w:val="31590611"/>
    <w:rsid w:val="3159280C"/>
    <w:rsid w:val="31693120"/>
    <w:rsid w:val="316F3BAF"/>
    <w:rsid w:val="317256DB"/>
    <w:rsid w:val="317337E2"/>
    <w:rsid w:val="31775E70"/>
    <w:rsid w:val="317D6EA7"/>
    <w:rsid w:val="3180397B"/>
    <w:rsid w:val="3184730B"/>
    <w:rsid w:val="31894D84"/>
    <w:rsid w:val="318B3640"/>
    <w:rsid w:val="318E0197"/>
    <w:rsid w:val="319746B3"/>
    <w:rsid w:val="3198297F"/>
    <w:rsid w:val="31A07231"/>
    <w:rsid w:val="31AC6BFA"/>
    <w:rsid w:val="31AD2D5C"/>
    <w:rsid w:val="31B3348E"/>
    <w:rsid w:val="31BB250A"/>
    <w:rsid w:val="31C05793"/>
    <w:rsid w:val="31CB0901"/>
    <w:rsid w:val="31CD14F4"/>
    <w:rsid w:val="31CE073E"/>
    <w:rsid w:val="31E5125A"/>
    <w:rsid w:val="31EE0795"/>
    <w:rsid w:val="31F04A6B"/>
    <w:rsid w:val="31FC22F1"/>
    <w:rsid w:val="32071112"/>
    <w:rsid w:val="320A6C63"/>
    <w:rsid w:val="320E36A6"/>
    <w:rsid w:val="320F011A"/>
    <w:rsid w:val="32134CAE"/>
    <w:rsid w:val="321D60EA"/>
    <w:rsid w:val="32216480"/>
    <w:rsid w:val="322249A2"/>
    <w:rsid w:val="322371CC"/>
    <w:rsid w:val="32252AB2"/>
    <w:rsid w:val="3228021C"/>
    <w:rsid w:val="32284315"/>
    <w:rsid w:val="32330655"/>
    <w:rsid w:val="32360592"/>
    <w:rsid w:val="32421808"/>
    <w:rsid w:val="32441A50"/>
    <w:rsid w:val="3244785C"/>
    <w:rsid w:val="3246469A"/>
    <w:rsid w:val="324A168C"/>
    <w:rsid w:val="324A579F"/>
    <w:rsid w:val="32557506"/>
    <w:rsid w:val="32617CB9"/>
    <w:rsid w:val="32626AAB"/>
    <w:rsid w:val="32641E98"/>
    <w:rsid w:val="326855DF"/>
    <w:rsid w:val="326A401D"/>
    <w:rsid w:val="326C25CC"/>
    <w:rsid w:val="32712C98"/>
    <w:rsid w:val="32717D2A"/>
    <w:rsid w:val="32722B9E"/>
    <w:rsid w:val="32786EF6"/>
    <w:rsid w:val="328A6C2A"/>
    <w:rsid w:val="328E671A"/>
    <w:rsid w:val="32980646"/>
    <w:rsid w:val="329C0970"/>
    <w:rsid w:val="32A30629"/>
    <w:rsid w:val="32A46E79"/>
    <w:rsid w:val="32AD17EB"/>
    <w:rsid w:val="32B2748B"/>
    <w:rsid w:val="32BA3D0F"/>
    <w:rsid w:val="32BA5BAE"/>
    <w:rsid w:val="32BD2B5B"/>
    <w:rsid w:val="32BF7833"/>
    <w:rsid w:val="32C45B58"/>
    <w:rsid w:val="32C45D7E"/>
    <w:rsid w:val="32CB3AAF"/>
    <w:rsid w:val="32CC5249"/>
    <w:rsid w:val="32CF1979"/>
    <w:rsid w:val="32D06E9A"/>
    <w:rsid w:val="32D0757E"/>
    <w:rsid w:val="32D3412D"/>
    <w:rsid w:val="32E2067B"/>
    <w:rsid w:val="32E926ED"/>
    <w:rsid w:val="32EF72A9"/>
    <w:rsid w:val="32F62498"/>
    <w:rsid w:val="32F825C0"/>
    <w:rsid w:val="32FA5384"/>
    <w:rsid w:val="32FC4D0C"/>
    <w:rsid w:val="32FD31D8"/>
    <w:rsid w:val="3300325E"/>
    <w:rsid w:val="3301043E"/>
    <w:rsid w:val="33081444"/>
    <w:rsid w:val="331352DB"/>
    <w:rsid w:val="331A1FBC"/>
    <w:rsid w:val="33386531"/>
    <w:rsid w:val="333A40FF"/>
    <w:rsid w:val="3349106C"/>
    <w:rsid w:val="334A0914"/>
    <w:rsid w:val="334E2C20"/>
    <w:rsid w:val="33501C21"/>
    <w:rsid w:val="33544D8E"/>
    <w:rsid w:val="335749B9"/>
    <w:rsid w:val="33576B0C"/>
    <w:rsid w:val="335A1B6D"/>
    <w:rsid w:val="335C2BBC"/>
    <w:rsid w:val="33615A2C"/>
    <w:rsid w:val="336233B3"/>
    <w:rsid w:val="33635384"/>
    <w:rsid w:val="337076CA"/>
    <w:rsid w:val="33724996"/>
    <w:rsid w:val="337306A3"/>
    <w:rsid w:val="33784789"/>
    <w:rsid w:val="337F2CC9"/>
    <w:rsid w:val="33831D76"/>
    <w:rsid w:val="33840ABE"/>
    <w:rsid w:val="338822BF"/>
    <w:rsid w:val="338A297C"/>
    <w:rsid w:val="338D7B7A"/>
    <w:rsid w:val="33912ACD"/>
    <w:rsid w:val="3397223F"/>
    <w:rsid w:val="3399384B"/>
    <w:rsid w:val="33AC4CD0"/>
    <w:rsid w:val="33B12DCB"/>
    <w:rsid w:val="33B14269"/>
    <w:rsid w:val="33B23DFD"/>
    <w:rsid w:val="33B70961"/>
    <w:rsid w:val="33C27F20"/>
    <w:rsid w:val="33CB70A2"/>
    <w:rsid w:val="33CD4196"/>
    <w:rsid w:val="33D13118"/>
    <w:rsid w:val="33D25809"/>
    <w:rsid w:val="33D4015C"/>
    <w:rsid w:val="33D86D85"/>
    <w:rsid w:val="33E232B6"/>
    <w:rsid w:val="33E42766"/>
    <w:rsid w:val="33EB6A95"/>
    <w:rsid w:val="33F01818"/>
    <w:rsid w:val="33F41511"/>
    <w:rsid w:val="33F564F8"/>
    <w:rsid w:val="33FD6268"/>
    <w:rsid w:val="34037BA8"/>
    <w:rsid w:val="340758B6"/>
    <w:rsid w:val="340D366E"/>
    <w:rsid w:val="340E1ED6"/>
    <w:rsid w:val="34137ADC"/>
    <w:rsid w:val="34164C19"/>
    <w:rsid w:val="34177423"/>
    <w:rsid w:val="341D436A"/>
    <w:rsid w:val="3424156D"/>
    <w:rsid w:val="342A3EF3"/>
    <w:rsid w:val="342A7221"/>
    <w:rsid w:val="342E56A6"/>
    <w:rsid w:val="342F52F3"/>
    <w:rsid w:val="34320033"/>
    <w:rsid w:val="34376568"/>
    <w:rsid w:val="343B24E9"/>
    <w:rsid w:val="34420160"/>
    <w:rsid w:val="34457276"/>
    <w:rsid w:val="34496DB3"/>
    <w:rsid w:val="344C5267"/>
    <w:rsid w:val="34513D3D"/>
    <w:rsid w:val="34517405"/>
    <w:rsid w:val="345310B1"/>
    <w:rsid w:val="34571AD8"/>
    <w:rsid w:val="34581D32"/>
    <w:rsid w:val="347D45A3"/>
    <w:rsid w:val="347F7FB0"/>
    <w:rsid w:val="3489386C"/>
    <w:rsid w:val="34896D8D"/>
    <w:rsid w:val="348C0A37"/>
    <w:rsid w:val="348E1FA7"/>
    <w:rsid w:val="348E47AF"/>
    <w:rsid w:val="349B1B0A"/>
    <w:rsid w:val="34A52952"/>
    <w:rsid w:val="34B636C5"/>
    <w:rsid w:val="34B833D3"/>
    <w:rsid w:val="34B94650"/>
    <w:rsid w:val="34BA6748"/>
    <w:rsid w:val="34CC6C4F"/>
    <w:rsid w:val="34D07280"/>
    <w:rsid w:val="34D36BF4"/>
    <w:rsid w:val="34D81857"/>
    <w:rsid w:val="34DB235E"/>
    <w:rsid w:val="34E160F8"/>
    <w:rsid w:val="34E661E4"/>
    <w:rsid w:val="34EB1C02"/>
    <w:rsid w:val="34EB33CF"/>
    <w:rsid w:val="34F33BB6"/>
    <w:rsid w:val="34F609B2"/>
    <w:rsid w:val="34F959AA"/>
    <w:rsid w:val="34FB1788"/>
    <w:rsid w:val="34FD5F55"/>
    <w:rsid w:val="350946BC"/>
    <w:rsid w:val="350B487C"/>
    <w:rsid w:val="350B691C"/>
    <w:rsid w:val="3510100E"/>
    <w:rsid w:val="35190E8A"/>
    <w:rsid w:val="351B643D"/>
    <w:rsid w:val="351C4C3D"/>
    <w:rsid w:val="351D1FD7"/>
    <w:rsid w:val="35352E7D"/>
    <w:rsid w:val="353D79CE"/>
    <w:rsid w:val="353D7F83"/>
    <w:rsid w:val="35411821"/>
    <w:rsid w:val="35422995"/>
    <w:rsid w:val="35450BBC"/>
    <w:rsid w:val="35471DA8"/>
    <w:rsid w:val="354752A8"/>
    <w:rsid w:val="35567B2C"/>
    <w:rsid w:val="355B48B8"/>
    <w:rsid w:val="35613C72"/>
    <w:rsid w:val="35674467"/>
    <w:rsid w:val="356771F5"/>
    <w:rsid w:val="35683252"/>
    <w:rsid w:val="356F06A9"/>
    <w:rsid w:val="357165D8"/>
    <w:rsid w:val="357B78EB"/>
    <w:rsid w:val="358124C4"/>
    <w:rsid w:val="35820754"/>
    <w:rsid w:val="35900DC4"/>
    <w:rsid w:val="35996D0F"/>
    <w:rsid w:val="359A522C"/>
    <w:rsid w:val="359B1625"/>
    <w:rsid w:val="359B50E2"/>
    <w:rsid w:val="359C0ABF"/>
    <w:rsid w:val="359D14E2"/>
    <w:rsid w:val="359E704A"/>
    <w:rsid w:val="35B34A3B"/>
    <w:rsid w:val="35B847C7"/>
    <w:rsid w:val="35B92268"/>
    <w:rsid w:val="35BA64FE"/>
    <w:rsid w:val="35CF1523"/>
    <w:rsid w:val="35D677B5"/>
    <w:rsid w:val="35D81B0F"/>
    <w:rsid w:val="35DC3F07"/>
    <w:rsid w:val="35DF54CA"/>
    <w:rsid w:val="35DF61A8"/>
    <w:rsid w:val="35E91E03"/>
    <w:rsid w:val="35E941F7"/>
    <w:rsid w:val="35EE27B6"/>
    <w:rsid w:val="35F5440A"/>
    <w:rsid w:val="35F805D0"/>
    <w:rsid w:val="35FC24FA"/>
    <w:rsid w:val="35FE44DC"/>
    <w:rsid w:val="36001163"/>
    <w:rsid w:val="36095E0A"/>
    <w:rsid w:val="360A7964"/>
    <w:rsid w:val="360D405E"/>
    <w:rsid w:val="3614165E"/>
    <w:rsid w:val="361E7FDC"/>
    <w:rsid w:val="362866A6"/>
    <w:rsid w:val="362C7FEF"/>
    <w:rsid w:val="362D7FF1"/>
    <w:rsid w:val="36393C2A"/>
    <w:rsid w:val="363B51C2"/>
    <w:rsid w:val="363F29D4"/>
    <w:rsid w:val="36454ECC"/>
    <w:rsid w:val="36495FFD"/>
    <w:rsid w:val="364F504D"/>
    <w:rsid w:val="36556C06"/>
    <w:rsid w:val="36562CE0"/>
    <w:rsid w:val="36581343"/>
    <w:rsid w:val="365C268B"/>
    <w:rsid w:val="36645C17"/>
    <w:rsid w:val="36660F13"/>
    <w:rsid w:val="36730100"/>
    <w:rsid w:val="36787822"/>
    <w:rsid w:val="367A7270"/>
    <w:rsid w:val="36887AAC"/>
    <w:rsid w:val="36891352"/>
    <w:rsid w:val="368B259B"/>
    <w:rsid w:val="369260AD"/>
    <w:rsid w:val="369E4E56"/>
    <w:rsid w:val="36A140ED"/>
    <w:rsid w:val="36A61EE2"/>
    <w:rsid w:val="36A7336E"/>
    <w:rsid w:val="36AE285C"/>
    <w:rsid w:val="36AF609D"/>
    <w:rsid w:val="36AF6AFD"/>
    <w:rsid w:val="36B11694"/>
    <w:rsid w:val="36C07F18"/>
    <w:rsid w:val="36C3479A"/>
    <w:rsid w:val="36C560FA"/>
    <w:rsid w:val="36D755FC"/>
    <w:rsid w:val="36D957E1"/>
    <w:rsid w:val="36DA1380"/>
    <w:rsid w:val="36DF37FE"/>
    <w:rsid w:val="36E23620"/>
    <w:rsid w:val="36E363B4"/>
    <w:rsid w:val="36E44B5A"/>
    <w:rsid w:val="36ED18A2"/>
    <w:rsid w:val="36ED5E42"/>
    <w:rsid w:val="36FD45FB"/>
    <w:rsid w:val="37004AF0"/>
    <w:rsid w:val="3707064C"/>
    <w:rsid w:val="370F1646"/>
    <w:rsid w:val="3714787A"/>
    <w:rsid w:val="372468A4"/>
    <w:rsid w:val="37262769"/>
    <w:rsid w:val="37286ABB"/>
    <w:rsid w:val="372A4595"/>
    <w:rsid w:val="372D6274"/>
    <w:rsid w:val="372D7345"/>
    <w:rsid w:val="372E4C09"/>
    <w:rsid w:val="373A72D3"/>
    <w:rsid w:val="373E5442"/>
    <w:rsid w:val="374629B4"/>
    <w:rsid w:val="37476080"/>
    <w:rsid w:val="374C3AC2"/>
    <w:rsid w:val="374D1136"/>
    <w:rsid w:val="37555B9F"/>
    <w:rsid w:val="375C6220"/>
    <w:rsid w:val="375D78B0"/>
    <w:rsid w:val="376123D5"/>
    <w:rsid w:val="37620BD8"/>
    <w:rsid w:val="3764123D"/>
    <w:rsid w:val="3767038E"/>
    <w:rsid w:val="376D4C67"/>
    <w:rsid w:val="377331E0"/>
    <w:rsid w:val="3778465F"/>
    <w:rsid w:val="37801987"/>
    <w:rsid w:val="37822440"/>
    <w:rsid w:val="378C0D6D"/>
    <w:rsid w:val="379B4F53"/>
    <w:rsid w:val="379B6C15"/>
    <w:rsid w:val="379F528A"/>
    <w:rsid w:val="37A12F75"/>
    <w:rsid w:val="37AE2BDC"/>
    <w:rsid w:val="37AF33BA"/>
    <w:rsid w:val="37BC0890"/>
    <w:rsid w:val="37BD4267"/>
    <w:rsid w:val="37CB19CC"/>
    <w:rsid w:val="37CC3707"/>
    <w:rsid w:val="37CD618C"/>
    <w:rsid w:val="37D5151C"/>
    <w:rsid w:val="37D62558"/>
    <w:rsid w:val="37DE58AF"/>
    <w:rsid w:val="37DF716B"/>
    <w:rsid w:val="37EE5A1F"/>
    <w:rsid w:val="37F52764"/>
    <w:rsid w:val="37F70C0D"/>
    <w:rsid w:val="380C0576"/>
    <w:rsid w:val="380E140D"/>
    <w:rsid w:val="38111B2E"/>
    <w:rsid w:val="38136A86"/>
    <w:rsid w:val="381A6EA7"/>
    <w:rsid w:val="38211E7F"/>
    <w:rsid w:val="38256FF7"/>
    <w:rsid w:val="3826175F"/>
    <w:rsid w:val="382D7664"/>
    <w:rsid w:val="382F12EF"/>
    <w:rsid w:val="38316EB6"/>
    <w:rsid w:val="38377108"/>
    <w:rsid w:val="38383B2C"/>
    <w:rsid w:val="383A5095"/>
    <w:rsid w:val="383B4840"/>
    <w:rsid w:val="383C2774"/>
    <w:rsid w:val="383C41B7"/>
    <w:rsid w:val="384A3A26"/>
    <w:rsid w:val="385449A0"/>
    <w:rsid w:val="38571CD3"/>
    <w:rsid w:val="38592528"/>
    <w:rsid w:val="385B0E4C"/>
    <w:rsid w:val="385C0585"/>
    <w:rsid w:val="385E7CF9"/>
    <w:rsid w:val="38630109"/>
    <w:rsid w:val="386E7827"/>
    <w:rsid w:val="387243E8"/>
    <w:rsid w:val="38753E85"/>
    <w:rsid w:val="387C1F75"/>
    <w:rsid w:val="387D707F"/>
    <w:rsid w:val="387E4B3B"/>
    <w:rsid w:val="388065D0"/>
    <w:rsid w:val="38810DD4"/>
    <w:rsid w:val="3888167C"/>
    <w:rsid w:val="38911567"/>
    <w:rsid w:val="389A39AC"/>
    <w:rsid w:val="389B5F1B"/>
    <w:rsid w:val="38A150B3"/>
    <w:rsid w:val="38A2155C"/>
    <w:rsid w:val="38A3731E"/>
    <w:rsid w:val="38A415F6"/>
    <w:rsid w:val="38B025EF"/>
    <w:rsid w:val="38B40C46"/>
    <w:rsid w:val="38B46337"/>
    <w:rsid w:val="38B87DE2"/>
    <w:rsid w:val="38BB4F6F"/>
    <w:rsid w:val="38BC0534"/>
    <w:rsid w:val="38C371B9"/>
    <w:rsid w:val="38CA1127"/>
    <w:rsid w:val="38CB7C0F"/>
    <w:rsid w:val="38CE454E"/>
    <w:rsid w:val="38CF3174"/>
    <w:rsid w:val="38D04A42"/>
    <w:rsid w:val="38D16EEA"/>
    <w:rsid w:val="38E2331B"/>
    <w:rsid w:val="38F17A02"/>
    <w:rsid w:val="38F571A7"/>
    <w:rsid w:val="38F62FA5"/>
    <w:rsid w:val="38F76288"/>
    <w:rsid w:val="390151DB"/>
    <w:rsid w:val="390E45F2"/>
    <w:rsid w:val="39143ADE"/>
    <w:rsid w:val="391578A5"/>
    <w:rsid w:val="39234F2F"/>
    <w:rsid w:val="392830F2"/>
    <w:rsid w:val="392A4455"/>
    <w:rsid w:val="392A53F5"/>
    <w:rsid w:val="392D4029"/>
    <w:rsid w:val="392F4087"/>
    <w:rsid w:val="393D2872"/>
    <w:rsid w:val="3940488C"/>
    <w:rsid w:val="394223F1"/>
    <w:rsid w:val="394671CC"/>
    <w:rsid w:val="394766F3"/>
    <w:rsid w:val="394C2F4D"/>
    <w:rsid w:val="39506AF1"/>
    <w:rsid w:val="395A1104"/>
    <w:rsid w:val="395B692B"/>
    <w:rsid w:val="395C2030"/>
    <w:rsid w:val="396C0E37"/>
    <w:rsid w:val="39705CC2"/>
    <w:rsid w:val="39732881"/>
    <w:rsid w:val="397642B8"/>
    <w:rsid w:val="39790D17"/>
    <w:rsid w:val="39796425"/>
    <w:rsid w:val="397A44A6"/>
    <w:rsid w:val="39985012"/>
    <w:rsid w:val="399F0BC6"/>
    <w:rsid w:val="39A36FA9"/>
    <w:rsid w:val="39A720E7"/>
    <w:rsid w:val="39A8410C"/>
    <w:rsid w:val="39BA7A3C"/>
    <w:rsid w:val="39C05609"/>
    <w:rsid w:val="39C746D4"/>
    <w:rsid w:val="39C77FEB"/>
    <w:rsid w:val="39C9110E"/>
    <w:rsid w:val="39CB30F4"/>
    <w:rsid w:val="39D51ECF"/>
    <w:rsid w:val="39DA2245"/>
    <w:rsid w:val="39DF4F74"/>
    <w:rsid w:val="39E35103"/>
    <w:rsid w:val="39E3559D"/>
    <w:rsid w:val="39EF23CD"/>
    <w:rsid w:val="39F14A6A"/>
    <w:rsid w:val="39F20B74"/>
    <w:rsid w:val="39F758F4"/>
    <w:rsid w:val="39FC02EA"/>
    <w:rsid w:val="39FF0DC4"/>
    <w:rsid w:val="3A08455E"/>
    <w:rsid w:val="3A1F3C13"/>
    <w:rsid w:val="3A21080B"/>
    <w:rsid w:val="3A241FF5"/>
    <w:rsid w:val="3A2627CE"/>
    <w:rsid w:val="3A271D04"/>
    <w:rsid w:val="3A296CB7"/>
    <w:rsid w:val="3A2F7625"/>
    <w:rsid w:val="3A30324D"/>
    <w:rsid w:val="3A36483E"/>
    <w:rsid w:val="3A3C6B16"/>
    <w:rsid w:val="3A4549C2"/>
    <w:rsid w:val="3A4818A4"/>
    <w:rsid w:val="3A49191C"/>
    <w:rsid w:val="3A493558"/>
    <w:rsid w:val="3A56723A"/>
    <w:rsid w:val="3A5B1378"/>
    <w:rsid w:val="3A627C77"/>
    <w:rsid w:val="3A642806"/>
    <w:rsid w:val="3A6F6933"/>
    <w:rsid w:val="3A7C6346"/>
    <w:rsid w:val="3A8158E7"/>
    <w:rsid w:val="3A8278C7"/>
    <w:rsid w:val="3A861834"/>
    <w:rsid w:val="3A8A5A06"/>
    <w:rsid w:val="3A8E1973"/>
    <w:rsid w:val="3A913600"/>
    <w:rsid w:val="3A946FC0"/>
    <w:rsid w:val="3A9C654E"/>
    <w:rsid w:val="3A9D10F3"/>
    <w:rsid w:val="3A9F6C2A"/>
    <w:rsid w:val="3AA16BAD"/>
    <w:rsid w:val="3AA44F7A"/>
    <w:rsid w:val="3AA84382"/>
    <w:rsid w:val="3AAA7E69"/>
    <w:rsid w:val="3AAE6A5C"/>
    <w:rsid w:val="3AB75F2D"/>
    <w:rsid w:val="3AC459ED"/>
    <w:rsid w:val="3AC63F8A"/>
    <w:rsid w:val="3AC9222E"/>
    <w:rsid w:val="3AD36883"/>
    <w:rsid w:val="3AD669B7"/>
    <w:rsid w:val="3AE3291D"/>
    <w:rsid w:val="3AEE31F6"/>
    <w:rsid w:val="3AEF3928"/>
    <w:rsid w:val="3AF55C6D"/>
    <w:rsid w:val="3AF85078"/>
    <w:rsid w:val="3AF875F0"/>
    <w:rsid w:val="3B053FC8"/>
    <w:rsid w:val="3B09104B"/>
    <w:rsid w:val="3B114BB6"/>
    <w:rsid w:val="3B152620"/>
    <w:rsid w:val="3B1661C7"/>
    <w:rsid w:val="3B1F152E"/>
    <w:rsid w:val="3B230759"/>
    <w:rsid w:val="3B2D743F"/>
    <w:rsid w:val="3B314039"/>
    <w:rsid w:val="3B342415"/>
    <w:rsid w:val="3B375632"/>
    <w:rsid w:val="3B396A28"/>
    <w:rsid w:val="3B3E60A3"/>
    <w:rsid w:val="3B473ADC"/>
    <w:rsid w:val="3B570F53"/>
    <w:rsid w:val="3B63197B"/>
    <w:rsid w:val="3B6B655C"/>
    <w:rsid w:val="3B720B15"/>
    <w:rsid w:val="3B76174A"/>
    <w:rsid w:val="3B7B3099"/>
    <w:rsid w:val="3B7E3CA9"/>
    <w:rsid w:val="3B81506E"/>
    <w:rsid w:val="3B823E03"/>
    <w:rsid w:val="3B864F7B"/>
    <w:rsid w:val="3B9944BA"/>
    <w:rsid w:val="3B9D5C20"/>
    <w:rsid w:val="3BA523D5"/>
    <w:rsid w:val="3BB92F44"/>
    <w:rsid w:val="3BBE4D52"/>
    <w:rsid w:val="3BCB0097"/>
    <w:rsid w:val="3BCC3D9B"/>
    <w:rsid w:val="3BCD02B3"/>
    <w:rsid w:val="3BCF7300"/>
    <w:rsid w:val="3BDC2275"/>
    <w:rsid w:val="3BDF363E"/>
    <w:rsid w:val="3BE90BB3"/>
    <w:rsid w:val="3BE9787A"/>
    <w:rsid w:val="3BEE2FEE"/>
    <w:rsid w:val="3BF23664"/>
    <w:rsid w:val="3BF903EE"/>
    <w:rsid w:val="3BFF7F63"/>
    <w:rsid w:val="3C0C102E"/>
    <w:rsid w:val="3C0D1F5A"/>
    <w:rsid w:val="3C0D7B1F"/>
    <w:rsid w:val="3C0E31E9"/>
    <w:rsid w:val="3C120B04"/>
    <w:rsid w:val="3C1826E2"/>
    <w:rsid w:val="3C2451C4"/>
    <w:rsid w:val="3C2C01BB"/>
    <w:rsid w:val="3C2F4BB2"/>
    <w:rsid w:val="3C31076A"/>
    <w:rsid w:val="3C311EDF"/>
    <w:rsid w:val="3C333569"/>
    <w:rsid w:val="3C335C3C"/>
    <w:rsid w:val="3C3636DC"/>
    <w:rsid w:val="3C395948"/>
    <w:rsid w:val="3C4140AB"/>
    <w:rsid w:val="3C422DF6"/>
    <w:rsid w:val="3C4944FC"/>
    <w:rsid w:val="3C4A0572"/>
    <w:rsid w:val="3C5102CD"/>
    <w:rsid w:val="3C573826"/>
    <w:rsid w:val="3C5F01C9"/>
    <w:rsid w:val="3C641634"/>
    <w:rsid w:val="3C642326"/>
    <w:rsid w:val="3C672820"/>
    <w:rsid w:val="3C685486"/>
    <w:rsid w:val="3C6A5952"/>
    <w:rsid w:val="3C720B8B"/>
    <w:rsid w:val="3C722C08"/>
    <w:rsid w:val="3C740C78"/>
    <w:rsid w:val="3C7C3A87"/>
    <w:rsid w:val="3C7E34E7"/>
    <w:rsid w:val="3C88528A"/>
    <w:rsid w:val="3C885CC1"/>
    <w:rsid w:val="3C8B7826"/>
    <w:rsid w:val="3C8F71C2"/>
    <w:rsid w:val="3C91491E"/>
    <w:rsid w:val="3C955C92"/>
    <w:rsid w:val="3CA365A0"/>
    <w:rsid w:val="3CA80131"/>
    <w:rsid w:val="3CC16B19"/>
    <w:rsid w:val="3CCA69C8"/>
    <w:rsid w:val="3CCC02D4"/>
    <w:rsid w:val="3CD24202"/>
    <w:rsid w:val="3CD979A4"/>
    <w:rsid w:val="3CDC15A2"/>
    <w:rsid w:val="3CDE0CDA"/>
    <w:rsid w:val="3CF25AF7"/>
    <w:rsid w:val="3CF80ED8"/>
    <w:rsid w:val="3D0028DB"/>
    <w:rsid w:val="3D0124DC"/>
    <w:rsid w:val="3D016090"/>
    <w:rsid w:val="3D077F26"/>
    <w:rsid w:val="3D0B2988"/>
    <w:rsid w:val="3D13248E"/>
    <w:rsid w:val="3D185B3B"/>
    <w:rsid w:val="3D1A41BE"/>
    <w:rsid w:val="3D204412"/>
    <w:rsid w:val="3D2A7738"/>
    <w:rsid w:val="3D32078A"/>
    <w:rsid w:val="3D365477"/>
    <w:rsid w:val="3D371E56"/>
    <w:rsid w:val="3D3B749E"/>
    <w:rsid w:val="3D462C1E"/>
    <w:rsid w:val="3D48509C"/>
    <w:rsid w:val="3D4D2734"/>
    <w:rsid w:val="3D536596"/>
    <w:rsid w:val="3D537E3F"/>
    <w:rsid w:val="3D571E2B"/>
    <w:rsid w:val="3D6038C1"/>
    <w:rsid w:val="3D7374A7"/>
    <w:rsid w:val="3D795BC7"/>
    <w:rsid w:val="3D985773"/>
    <w:rsid w:val="3D9F7C90"/>
    <w:rsid w:val="3DA82F71"/>
    <w:rsid w:val="3DBA2475"/>
    <w:rsid w:val="3DBB0989"/>
    <w:rsid w:val="3DC50400"/>
    <w:rsid w:val="3DC924AE"/>
    <w:rsid w:val="3DEB1531"/>
    <w:rsid w:val="3DEF006A"/>
    <w:rsid w:val="3DF70E95"/>
    <w:rsid w:val="3DFA72B9"/>
    <w:rsid w:val="3DFE5698"/>
    <w:rsid w:val="3E036D96"/>
    <w:rsid w:val="3E052950"/>
    <w:rsid w:val="3E0D7E46"/>
    <w:rsid w:val="3E100311"/>
    <w:rsid w:val="3E131675"/>
    <w:rsid w:val="3E177BE5"/>
    <w:rsid w:val="3E184EB0"/>
    <w:rsid w:val="3E213F25"/>
    <w:rsid w:val="3E2B2404"/>
    <w:rsid w:val="3E2C6066"/>
    <w:rsid w:val="3E2E6248"/>
    <w:rsid w:val="3E3B1BA7"/>
    <w:rsid w:val="3E403B46"/>
    <w:rsid w:val="3E490DE4"/>
    <w:rsid w:val="3E491350"/>
    <w:rsid w:val="3E495293"/>
    <w:rsid w:val="3E4F64A3"/>
    <w:rsid w:val="3E512B4F"/>
    <w:rsid w:val="3E536FAE"/>
    <w:rsid w:val="3E567311"/>
    <w:rsid w:val="3E5711FB"/>
    <w:rsid w:val="3E5B7EAB"/>
    <w:rsid w:val="3E5C3F2F"/>
    <w:rsid w:val="3E626FCA"/>
    <w:rsid w:val="3E630A5B"/>
    <w:rsid w:val="3E6753B1"/>
    <w:rsid w:val="3E712FCE"/>
    <w:rsid w:val="3E783420"/>
    <w:rsid w:val="3E7F621E"/>
    <w:rsid w:val="3E807FDD"/>
    <w:rsid w:val="3E891DEB"/>
    <w:rsid w:val="3E90412B"/>
    <w:rsid w:val="3E940451"/>
    <w:rsid w:val="3E940692"/>
    <w:rsid w:val="3E985FDE"/>
    <w:rsid w:val="3E9E232A"/>
    <w:rsid w:val="3E9E5888"/>
    <w:rsid w:val="3E9F2605"/>
    <w:rsid w:val="3EA475E2"/>
    <w:rsid w:val="3EA57B9B"/>
    <w:rsid w:val="3EA65ED0"/>
    <w:rsid w:val="3EB1143D"/>
    <w:rsid w:val="3EB25026"/>
    <w:rsid w:val="3EB45FDB"/>
    <w:rsid w:val="3EBE301E"/>
    <w:rsid w:val="3EC15386"/>
    <w:rsid w:val="3EC75CC9"/>
    <w:rsid w:val="3ED12088"/>
    <w:rsid w:val="3EDC60E0"/>
    <w:rsid w:val="3EDF340E"/>
    <w:rsid w:val="3EE11190"/>
    <w:rsid w:val="3EE443DF"/>
    <w:rsid w:val="3EE46579"/>
    <w:rsid w:val="3EE636B6"/>
    <w:rsid w:val="3EE90DCF"/>
    <w:rsid w:val="3EF1036C"/>
    <w:rsid w:val="3EF139A0"/>
    <w:rsid w:val="3EFA0A67"/>
    <w:rsid w:val="3EFB0C93"/>
    <w:rsid w:val="3F013424"/>
    <w:rsid w:val="3F025806"/>
    <w:rsid w:val="3F081D0B"/>
    <w:rsid w:val="3F086A71"/>
    <w:rsid w:val="3F0C53A8"/>
    <w:rsid w:val="3F1A058B"/>
    <w:rsid w:val="3F1F3C29"/>
    <w:rsid w:val="3F2629CF"/>
    <w:rsid w:val="3F26355F"/>
    <w:rsid w:val="3F27204A"/>
    <w:rsid w:val="3F33263F"/>
    <w:rsid w:val="3F3878FB"/>
    <w:rsid w:val="3F3F4A56"/>
    <w:rsid w:val="3F420B3E"/>
    <w:rsid w:val="3F421B42"/>
    <w:rsid w:val="3F43127F"/>
    <w:rsid w:val="3F450119"/>
    <w:rsid w:val="3F46121B"/>
    <w:rsid w:val="3F485ECA"/>
    <w:rsid w:val="3F4F04FA"/>
    <w:rsid w:val="3F514D57"/>
    <w:rsid w:val="3F544DEF"/>
    <w:rsid w:val="3F5E3E0D"/>
    <w:rsid w:val="3F640F14"/>
    <w:rsid w:val="3F65548C"/>
    <w:rsid w:val="3F726CEB"/>
    <w:rsid w:val="3F73116F"/>
    <w:rsid w:val="3F7655A9"/>
    <w:rsid w:val="3F773ABE"/>
    <w:rsid w:val="3F7A2035"/>
    <w:rsid w:val="3F7D1D47"/>
    <w:rsid w:val="3F854080"/>
    <w:rsid w:val="3F861299"/>
    <w:rsid w:val="3F997492"/>
    <w:rsid w:val="3FA80349"/>
    <w:rsid w:val="3FAB0EE8"/>
    <w:rsid w:val="3FAE5CCD"/>
    <w:rsid w:val="3FB73384"/>
    <w:rsid w:val="3FB92095"/>
    <w:rsid w:val="3FC00EF1"/>
    <w:rsid w:val="3FC03C8B"/>
    <w:rsid w:val="3FC05505"/>
    <w:rsid w:val="3FC818EC"/>
    <w:rsid w:val="3FCA6A17"/>
    <w:rsid w:val="3FCD39F7"/>
    <w:rsid w:val="3FCF6A5E"/>
    <w:rsid w:val="3FD67BB4"/>
    <w:rsid w:val="3FD95024"/>
    <w:rsid w:val="3FE02B28"/>
    <w:rsid w:val="3FE0667D"/>
    <w:rsid w:val="3FE130FD"/>
    <w:rsid w:val="3FED0981"/>
    <w:rsid w:val="3FF12D7A"/>
    <w:rsid w:val="3FF13678"/>
    <w:rsid w:val="3FF35E06"/>
    <w:rsid w:val="400118A7"/>
    <w:rsid w:val="40025261"/>
    <w:rsid w:val="400344F0"/>
    <w:rsid w:val="400C21A5"/>
    <w:rsid w:val="40154FA8"/>
    <w:rsid w:val="4019248D"/>
    <w:rsid w:val="4019772D"/>
    <w:rsid w:val="401E64C8"/>
    <w:rsid w:val="4020488B"/>
    <w:rsid w:val="40292BEF"/>
    <w:rsid w:val="402D0DAA"/>
    <w:rsid w:val="402F6024"/>
    <w:rsid w:val="403E4ECB"/>
    <w:rsid w:val="403E72C3"/>
    <w:rsid w:val="403F1335"/>
    <w:rsid w:val="4041239D"/>
    <w:rsid w:val="4048244A"/>
    <w:rsid w:val="40512E6A"/>
    <w:rsid w:val="40514BA2"/>
    <w:rsid w:val="40557CEF"/>
    <w:rsid w:val="405B759E"/>
    <w:rsid w:val="40611C35"/>
    <w:rsid w:val="406B0172"/>
    <w:rsid w:val="40736B04"/>
    <w:rsid w:val="407858C4"/>
    <w:rsid w:val="40851113"/>
    <w:rsid w:val="408A4D12"/>
    <w:rsid w:val="408D1DBF"/>
    <w:rsid w:val="40910601"/>
    <w:rsid w:val="40947489"/>
    <w:rsid w:val="409C46F8"/>
    <w:rsid w:val="409F17E2"/>
    <w:rsid w:val="40A269FF"/>
    <w:rsid w:val="40A411EE"/>
    <w:rsid w:val="40A71B9B"/>
    <w:rsid w:val="40A775E1"/>
    <w:rsid w:val="40AC1D88"/>
    <w:rsid w:val="40AC452B"/>
    <w:rsid w:val="40AD01A8"/>
    <w:rsid w:val="40B44BFE"/>
    <w:rsid w:val="40BA692C"/>
    <w:rsid w:val="40CE4F58"/>
    <w:rsid w:val="40DA0A2A"/>
    <w:rsid w:val="40E34CDB"/>
    <w:rsid w:val="40E36691"/>
    <w:rsid w:val="40EB0CF7"/>
    <w:rsid w:val="40EC3BDD"/>
    <w:rsid w:val="40F40090"/>
    <w:rsid w:val="40FB141E"/>
    <w:rsid w:val="40FC461D"/>
    <w:rsid w:val="410652DF"/>
    <w:rsid w:val="41095AB5"/>
    <w:rsid w:val="410A4412"/>
    <w:rsid w:val="411A6F1C"/>
    <w:rsid w:val="411B27CE"/>
    <w:rsid w:val="411F325C"/>
    <w:rsid w:val="4123165B"/>
    <w:rsid w:val="412A0992"/>
    <w:rsid w:val="41336ED1"/>
    <w:rsid w:val="41440A81"/>
    <w:rsid w:val="41444F69"/>
    <w:rsid w:val="41493EF3"/>
    <w:rsid w:val="41495713"/>
    <w:rsid w:val="414C7ECC"/>
    <w:rsid w:val="414D583B"/>
    <w:rsid w:val="415748F5"/>
    <w:rsid w:val="41581099"/>
    <w:rsid w:val="415A12A5"/>
    <w:rsid w:val="415E596E"/>
    <w:rsid w:val="41621EA0"/>
    <w:rsid w:val="41636FC4"/>
    <w:rsid w:val="41683578"/>
    <w:rsid w:val="416D3DAE"/>
    <w:rsid w:val="417D275F"/>
    <w:rsid w:val="417D47C3"/>
    <w:rsid w:val="417E7B48"/>
    <w:rsid w:val="417E7CC0"/>
    <w:rsid w:val="41841953"/>
    <w:rsid w:val="41850CE8"/>
    <w:rsid w:val="41923405"/>
    <w:rsid w:val="41925918"/>
    <w:rsid w:val="4195768E"/>
    <w:rsid w:val="419D12BF"/>
    <w:rsid w:val="419F5427"/>
    <w:rsid w:val="41AD3642"/>
    <w:rsid w:val="41AD51C7"/>
    <w:rsid w:val="41AE4CE9"/>
    <w:rsid w:val="41B15E76"/>
    <w:rsid w:val="41B51C54"/>
    <w:rsid w:val="41B65F65"/>
    <w:rsid w:val="41BC476E"/>
    <w:rsid w:val="41C66C88"/>
    <w:rsid w:val="41C8016B"/>
    <w:rsid w:val="41CF55A6"/>
    <w:rsid w:val="41D037F3"/>
    <w:rsid w:val="41D07AD5"/>
    <w:rsid w:val="41DC2ED1"/>
    <w:rsid w:val="41E45992"/>
    <w:rsid w:val="41EB0412"/>
    <w:rsid w:val="41F02818"/>
    <w:rsid w:val="41F37D5B"/>
    <w:rsid w:val="41F66818"/>
    <w:rsid w:val="41F8770C"/>
    <w:rsid w:val="41F90BCB"/>
    <w:rsid w:val="41FA16D6"/>
    <w:rsid w:val="41FC2EA8"/>
    <w:rsid w:val="42003B65"/>
    <w:rsid w:val="42031753"/>
    <w:rsid w:val="42033DF8"/>
    <w:rsid w:val="42091872"/>
    <w:rsid w:val="42105339"/>
    <w:rsid w:val="421107CE"/>
    <w:rsid w:val="422055B2"/>
    <w:rsid w:val="422229DB"/>
    <w:rsid w:val="422A1F7C"/>
    <w:rsid w:val="422A60D4"/>
    <w:rsid w:val="422D11F2"/>
    <w:rsid w:val="422F6EA6"/>
    <w:rsid w:val="423537D9"/>
    <w:rsid w:val="42380323"/>
    <w:rsid w:val="423D5A66"/>
    <w:rsid w:val="423F19AE"/>
    <w:rsid w:val="424A0749"/>
    <w:rsid w:val="42527738"/>
    <w:rsid w:val="42560428"/>
    <w:rsid w:val="425B1A47"/>
    <w:rsid w:val="425E3535"/>
    <w:rsid w:val="42634422"/>
    <w:rsid w:val="426A14AF"/>
    <w:rsid w:val="427464A4"/>
    <w:rsid w:val="427B1C28"/>
    <w:rsid w:val="427C10A2"/>
    <w:rsid w:val="428A46D1"/>
    <w:rsid w:val="428E4DE1"/>
    <w:rsid w:val="428F11B2"/>
    <w:rsid w:val="428F5976"/>
    <w:rsid w:val="429328DA"/>
    <w:rsid w:val="42957CBE"/>
    <w:rsid w:val="42967613"/>
    <w:rsid w:val="42AB6FC7"/>
    <w:rsid w:val="42AE3BC2"/>
    <w:rsid w:val="42B46A89"/>
    <w:rsid w:val="42B917D7"/>
    <w:rsid w:val="42BA4735"/>
    <w:rsid w:val="42D62AB2"/>
    <w:rsid w:val="42DC130A"/>
    <w:rsid w:val="42E2490B"/>
    <w:rsid w:val="42E8791F"/>
    <w:rsid w:val="42E93E94"/>
    <w:rsid w:val="42F11A82"/>
    <w:rsid w:val="42F5279C"/>
    <w:rsid w:val="42F7651D"/>
    <w:rsid w:val="42FD6FE9"/>
    <w:rsid w:val="43075EFF"/>
    <w:rsid w:val="430A6162"/>
    <w:rsid w:val="43115DC9"/>
    <w:rsid w:val="43166E55"/>
    <w:rsid w:val="43171A27"/>
    <w:rsid w:val="431E7E26"/>
    <w:rsid w:val="43204003"/>
    <w:rsid w:val="432131AC"/>
    <w:rsid w:val="43235D19"/>
    <w:rsid w:val="4324204B"/>
    <w:rsid w:val="43253016"/>
    <w:rsid w:val="432575F5"/>
    <w:rsid w:val="432C77FC"/>
    <w:rsid w:val="432D2140"/>
    <w:rsid w:val="432E4F3D"/>
    <w:rsid w:val="43336CD6"/>
    <w:rsid w:val="43352C27"/>
    <w:rsid w:val="433E029D"/>
    <w:rsid w:val="433F136A"/>
    <w:rsid w:val="43400169"/>
    <w:rsid w:val="434446F4"/>
    <w:rsid w:val="434921D0"/>
    <w:rsid w:val="434B23E9"/>
    <w:rsid w:val="434F4D48"/>
    <w:rsid w:val="43584C66"/>
    <w:rsid w:val="435B032D"/>
    <w:rsid w:val="4361333E"/>
    <w:rsid w:val="43614553"/>
    <w:rsid w:val="43695A3D"/>
    <w:rsid w:val="437149B3"/>
    <w:rsid w:val="437F06A2"/>
    <w:rsid w:val="437F5D4E"/>
    <w:rsid w:val="438116C5"/>
    <w:rsid w:val="43815D07"/>
    <w:rsid w:val="438E382E"/>
    <w:rsid w:val="438F0917"/>
    <w:rsid w:val="4390292A"/>
    <w:rsid w:val="43914133"/>
    <w:rsid w:val="43924D0C"/>
    <w:rsid w:val="439F3DFA"/>
    <w:rsid w:val="43A378E2"/>
    <w:rsid w:val="43A60564"/>
    <w:rsid w:val="43A613BB"/>
    <w:rsid w:val="43A72081"/>
    <w:rsid w:val="43B44BFC"/>
    <w:rsid w:val="43C07B6E"/>
    <w:rsid w:val="43C42A79"/>
    <w:rsid w:val="43D5531C"/>
    <w:rsid w:val="43D6170C"/>
    <w:rsid w:val="43DF1DFC"/>
    <w:rsid w:val="43E419FF"/>
    <w:rsid w:val="43E8135A"/>
    <w:rsid w:val="43EE4D1D"/>
    <w:rsid w:val="43FD508C"/>
    <w:rsid w:val="43FF2C98"/>
    <w:rsid w:val="440A1978"/>
    <w:rsid w:val="440B7CEA"/>
    <w:rsid w:val="44141723"/>
    <w:rsid w:val="441E415C"/>
    <w:rsid w:val="442B0142"/>
    <w:rsid w:val="442F13DF"/>
    <w:rsid w:val="443A3ED5"/>
    <w:rsid w:val="443F440F"/>
    <w:rsid w:val="444141EE"/>
    <w:rsid w:val="44433D9F"/>
    <w:rsid w:val="44434D35"/>
    <w:rsid w:val="44474F66"/>
    <w:rsid w:val="444E743A"/>
    <w:rsid w:val="44554496"/>
    <w:rsid w:val="445A4FE8"/>
    <w:rsid w:val="445E7BD5"/>
    <w:rsid w:val="44603692"/>
    <w:rsid w:val="4464750C"/>
    <w:rsid w:val="44740370"/>
    <w:rsid w:val="44785831"/>
    <w:rsid w:val="447A17CC"/>
    <w:rsid w:val="447F4CA3"/>
    <w:rsid w:val="44805861"/>
    <w:rsid w:val="44815E46"/>
    <w:rsid w:val="449714E1"/>
    <w:rsid w:val="44980F99"/>
    <w:rsid w:val="44984598"/>
    <w:rsid w:val="449B448F"/>
    <w:rsid w:val="449C4CC6"/>
    <w:rsid w:val="44A8366B"/>
    <w:rsid w:val="44B31C25"/>
    <w:rsid w:val="44B75683"/>
    <w:rsid w:val="44C2433C"/>
    <w:rsid w:val="44C47142"/>
    <w:rsid w:val="44CE3DDA"/>
    <w:rsid w:val="44CE60AD"/>
    <w:rsid w:val="44D06651"/>
    <w:rsid w:val="44D36217"/>
    <w:rsid w:val="44DF5E5C"/>
    <w:rsid w:val="44EA0EE7"/>
    <w:rsid w:val="44F206DC"/>
    <w:rsid w:val="44FF15FA"/>
    <w:rsid w:val="45050848"/>
    <w:rsid w:val="45092D87"/>
    <w:rsid w:val="45131D9D"/>
    <w:rsid w:val="4513630E"/>
    <w:rsid w:val="45196207"/>
    <w:rsid w:val="451C5B9D"/>
    <w:rsid w:val="45217066"/>
    <w:rsid w:val="45296091"/>
    <w:rsid w:val="45392000"/>
    <w:rsid w:val="45421D24"/>
    <w:rsid w:val="45461A1C"/>
    <w:rsid w:val="454B2248"/>
    <w:rsid w:val="454D4E0C"/>
    <w:rsid w:val="454F7F8B"/>
    <w:rsid w:val="45556C73"/>
    <w:rsid w:val="45561622"/>
    <w:rsid w:val="455C6204"/>
    <w:rsid w:val="45621AE7"/>
    <w:rsid w:val="45674F69"/>
    <w:rsid w:val="45680DF3"/>
    <w:rsid w:val="456A2963"/>
    <w:rsid w:val="456D2E29"/>
    <w:rsid w:val="457313CB"/>
    <w:rsid w:val="4578485E"/>
    <w:rsid w:val="45813EBC"/>
    <w:rsid w:val="458253FD"/>
    <w:rsid w:val="4586293F"/>
    <w:rsid w:val="458A32E5"/>
    <w:rsid w:val="45915EA3"/>
    <w:rsid w:val="4593574F"/>
    <w:rsid w:val="45962794"/>
    <w:rsid w:val="4596297F"/>
    <w:rsid w:val="459A0C3A"/>
    <w:rsid w:val="459A42FF"/>
    <w:rsid w:val="459C4773"/>
    <w:rsid w:val="459F3972"/>
    <w:rsid w:val="45A31E40"/>
    <w:rsid w:val="45AA5E00"/>
    <w:rsid w:val="45AF1235"/>
    <w:rsid w:val="45BF5175"/>
    <w:rsid w:val="45C3511F"/>
    <w:rsid w:val="45C90DE0"/>
    <w:rsid w:val="45C95C2E"/>
    <w:rsid w:val="45D619A2"/>
    <w:rsid w:val="45EC6BA8"/>
    <w:rsid w:val="45FA0734"/>
    <w:rsid w:val="45FF0577"/>
    <w:rsid w:val="4606725E"/>
    <w:rsid w:val="460B47BA"/>
    <w:rsid w:val="460B5D6D"/>
    <w:rsid w:val="460E5E0C"/>
    <w:rsid w:val="460F771A"/>
    <w:rsid w:val="46176A7A"/>
    <w:rsid w:val="461E6FEC"/>
    <w:rsid w:val="4628400B"/>
    <w:rsid w:val="46285A73"/>
    <w:rsid w:val="462F5BBC"/>
    <w:rsid w:val="4632335E"/>
    <w:rsid w:val="46327B38"/>
    <w:rsid w:val="46344AF4"/>
    <w:rsid w:val="46372786"/>
    <w:rsid w:val="46375861"/>
    <w:rsid w:val="464A5467"/>
    <w:rsid w:val="464C3CEB"/>
    <w:rsid w:val="464F441D"/>
    <w:rsid w:val="466724DC"/>
    <w:rsid w:val="466D0AAD"/>
    <w:rsid w:val="4680531C"/>
    <w:rsid w:val="4683107B"/>
    <w:rsid w:val="469E7A3F"/>
    <w:rsid w:val="46A35FC6"/>
    <w:rsid w:val="46AB1370"/>
    <w:rsid w:val="46AB43F6"/>
    <w:rsid w:val="46AB49B9"/>
    <w:rsid w:val="46AC31BB"/>
    <w:rsid w:val="46C15FF4"/>
    <w:rsid w:val="46C47653"/>
    <w:rsid w:val="46D341CF"/>
    <w:rsid w:val="46DC471D"/>
    <w:rsid w:val="46E11EF4"/>
    <w:rsid w:val="46E835E3"/>
    <w:rsid w:val="46EC2178"/>
    <w:rsid w:val="470240DC"/>
    <w:rsid w:val="470251C6"/>
    <w:rsid w:val="470326B1"/>
    <w:rsid w:val="470C4B77"/>
    <w:rsid w:val="47201392"/>
    <w:rsid w:val="47227D58"/>
    <w:rsid w:val="47252F1D"/>
    <w:rsid w:val="47267F41"/>
    <w:rsid w:val="473340EC"/>
    <w:rsid w:val="47337B2B"/>
    <w:rsid w:val="473B78CD"/>
    <w:rsid w:val="47442A60"/>
    <w:rsid w:val="4745072F"/>
    <w:rsid w:val="47466E1B"/>
    <w:rsid w:val="4748026C"/>
    <w:rsid w:val="47504A2B"/>
    <w:rsid w:val="47554E37"/>
    <w:rsid w:val="47580AD5"/>
    <w:rsid w:val="475A09DD"/>
    <w:rsid w:val="4764152B"/>
    <w:rsid w:val="476E121C"/>
    <w:rsid w:val="47715669"/>
    <w:rsid w:val="4773739E"/>
    <w:rsid w:val="47743AA3"/>
    <w:rsid w:val="47745304"/>
    <w:rsid w:val="47782C98"/>
    <w:rsid w:val="47797541"/>
    <w:rsid w:val="478131A1"/>
    <w:rsid w:val="4788069D"/>
    <w:rsid w:val="478F5DC9"/>
    <w:rsid w:val="479174EA"/>
    <w:rsid w:val="479611BF"/>
    <w:rsid w:val="479B127C"/>
    <w:rsid w:val="47A13F33"/>
    <w:rsid w:val="47AB5160"/>
    <w:rsid w:val="47BC742D"/>
    <w:rsid w:val="47C521DB"/>
    <w:rsid w:val="47D200F1"/>
    <w:rsid w:val="47DF0CB0"/>
    <w:rsid w:val="47E4006B"/>
    <w:rsid w:val="47E64F49"/>
    <w:rsid w:val="47E9201F"/>
    <w:rsid w:val="47E96D07"/>
    <w:rsid w:val="47F11250"/>
    <w:rsid w:val="47FB2A53"/>
    <w:rsid w:val="480117F0"/>
    <w:rsid w:val="48011EC5"/>
    <w:rsid w:val="480A0C40"/>
    <w:rsid w:val="480A685F"/>
    <w:rsid w:val="48104836"/>
    <w:rsid w:val="481065F9"/>
    <w:rsid w:val="481475CD"/>
    <w:rsid w:val="48180AE3"/>
    <w:rsid w:val="481C407A"/>
    <w:rsid w:val="48216B7E"/>
    <w:rsid w:val="48221986"/>
    <w:rsid w:val="482237E5"/>
    <w:rsid w:val="48240365"/>
    <w:rsid w:val="48384002"/>
    <w:rsid w:val="48387861"/>
    <w:rsid w:val="48517FF9"/>
    <w:rsid w:val="485E2E7D"/>
    <w:rsid w:val="48610F2C"/>
    <w:rsid w:val="486402B2"/>
    <w:rsid w:val="48652DAB"/>
    <w:rsid w:val="487B6098"/>
    <w:rsid w:val="488934AE"/>
    <w:rsid w:val="488D11DB"/>
    <w:rsid w:val="48957B48"/>
    <w:rsid w:val="48967E70"/>
    <w:rsid w:val="489D772D"/>
    <w:rsid w:val="489E687D"/>
    <w:rsid w:val="48A131B4"/>
    <w:rsid w:val="48B669D7"/>
    <w:rsid w:val="48B77EE6"/>
    <w:rsid w:val="48B84099"/>
    <w:rsid w:val="48B874FA"/>
    <w:rsid w:val="48BA1FAB"/>
    <w:rsid w:val="48BB1593"/>
    <w:rsid w:val="48C16BEB"/>
    <w:rsid w:val="48C433E9"/>
    <w:rsid w:val="48C7102C"/>
    <w:rsid w:val="48C91BA0"/>
    <w:rsid w:val="48CC7D43"/>
    <w:rsid w:val="48D535C2"/>
    <w:rsid w:val="48DF552F"/>
    <w:rsid w:val="48E171B2"/>
    <w:rsid w:val="48E868B4"/>
    <w:rsid w:val="48E918B2"/>
    <w:rsid w:val="48EB44E8"/>
    <w:rsid w:val="48EB621C"/>
    <w:rsid w:val="48EC3E19"/>
    <w:rsid w:val="48F40C95"/>
    <w:rsid w:val="48F56CCF"/>
    <w:rsid w:val="48F56F1E"/>
    <w:rsid w:val="48F6071D"/>
    <w:rsid w:val="48F805D1"/>
    <w:rsid w:val="48F81F5E"/>
    <w:rsid w:val="48FD5E65"/>
    <w:rsid w:val="48FD5F50"/>
    <w:rsid w:val="4903180A"/>
    <w:rsid w:val="49067CAC"/>
    <w:rsid w:val="490E4E0A"/>
    <w:rsid w:val="490F61FB"/>
    <w:rsid w:val="49110800"/>
    <w:rsid w:val="49140BF2"/>
    <w:rsid w:val="49152F96"/>
    <w:rsid w:val="49160057"/>
    <w:rsid w:val="4919092E"/>
    <w:rsid w:val="49283288"/>
    <w:rsid w:val="49310D45"/>
    <w:rsid w:val="493722F2"/>
    <w:rsid w:val="493A5221"/>
    <w:rsid w:val="494038C1"/>
    <w:rsid w:val="49412C43"/>
    <w:rsid w:val="494279EA"/>
    <w:rsid w:val="49476168"/>
    <w:rsid w:val="494D2EC0"/>
    <w:rsid w:val="495C37E5"/>
    <w:rsid w:val="496A1B57"/>
    <w:rsid w:val="496F3F92"/>
    <w:rsid w:val="497D1ACF"/>
    <w:rsid w:val="49803E6B"/>
    <w:rsid w:val="49814D70"/>
    <w:rsid w:val="499156B1"/>
    <w:rsid w:val="49983C2A"/>
    <w:rsid w:val="49A72B16"/>
    <w:rsid w:val="49B4652C"/>
    <w:rsid w:val="49B704AF"/>
    <w:rsid w:val="49BA38CF"/>
    <w:rsid w:val="49BA58E1"/>
    <w:rsid w:val="49BF14E0"/>
    <w:rsid w:val="49C04287"/>
    <w:rsid w:val="49C10B40"/>
    <w:rsid w:val="49C14BCE"/>
    <w:rsid w:val="49C61969"/>
    <w:rsid w:val="49C83F6E"/>
    <w:rsid w:val="49C96DFC"/>
    <w:rsid w:val="49D1080B"/>
    <w:rsid w:val="49D353C0"/>
    <w:rsid w:val="49E204B4"/>
    <w:rsid w:val="49E30E2B"/>
    <w:rsid w:val="49F053C5"/>
    <w:rsid w:val="49F06EF8"/>
    <w:rsid w:val="49F73A65"/>
    <w:rsid w:val="49F97CC4"/>
    <w:rsid w:val="49FB34A6"/>
    <w:rsid w:val="49FB423D"/>
    <w:rsid w:val="4A026765"/>
    <w:rsid w:val="4A054CBF"/>
    <w:rsid w:val="4A0D4263"/>
    <w:rsid w:val="4A131C8E"/>
    <w:rsid w:val="4A134962"/>
    <w:rsid w:val="4A14533E"/>
    <w:rsid w:val="4A1821A3"/>
    <w:rsid w:val="4A1825D6"/>
    <w:rsid w:val="4A280021"/>
    <w:rsid w:val="4A346F6A"/>
    <w:rsid w:val="4A3E2DC4"/>
    <w:rsid w:val="4A3F1E49"/>
    <w:rsid w:val="4A407311"/>
    <w:rsid w:val="4A4B0155"/>
    <w:rsid w:val="4A564D82"/>
    <w:rsid w:val="4A593086"/>
    <w:rsid w:val="4A5A24F6"/>
    <w:rsid w:val="4A5D6585"/>
    <w:rsid w:val="4A6771FC"/>
    <w:rsid w:val="4A6926B1"/>
    <w:rsid w:val="4A6C7464"/>
    <w:rsid w:val="4A6E7C76"/>
    <w:rsid w:val="4A7337A9"/>
    <w:rsid w:val="4A7460E6"/>
    <w:rsid w:val="4A8479B5"/>
    <w:rsid w:val="4A85529D"/>
    <w:rsid w:val="4A8F02B0"/>
    <w:rsid w:val="4A8F152A"/>
    <w:rsid w:val="4A8F6E7A"/>
    <w:rsid w:val="4A912E00"/>
    <w:rsid w:val="4A91728F"/>
    <w:rsid w:val="4AA42B78"/>
    <w:rsid w:val="4AAF02A5"/>
    <w:rsid w:val="4AB12CCE"/>
    <w:rsid w:val="4AB566A3"/>
    <w:rsid w:val="4ABF170F"/>
    <w:rsid w:val="4ACA29DD"/>
    <w:rsid w:val="4ACF468A"/>
    <w:rsid w:val="4AD25D50"/>
    <w:rsid w:val="4AE412F3"/>
    <w:rsid w:val="4AE616BD"/>
    <w:rsid w:val="4AF030E0"/>
    <w:rsid w:val="4AF375FB"/>
    <w:rsid w:val="4AF847F4"/>
    <w:rsid w:val="4AF90413"/>
    <w:rsid w:val="4AFE0BE5"/>
    <w:rsid w:val="4B021EE3"/>
    <w:rsid w:val="4B046362"/>
    <w:rsid w:val="4B0531A6"/>
    <w:rsid w:val="4B1067CA"/>
    <w:rsid w:val="4B13515A"/>
    <w:rsid w:val="4B146FA8"/>
    <w:rsid w:val="4B1F27B9"/>
    <w:rsid w:val="4B2143A2"/>
    <w:rsid w:val="4B221C9D"/>
    <w:rsid w:val="4B250172"/>
    <w:rsid w:val="4B2575C9"/>
    <w:rsid w:val="4B2752B5"/>
    <w:rsid w:val="4B2801BF"/>
    <w:rsid w:val="4B2A6006"/>
    <w:rsid w:val="4B2F73B3"/>
    <w:rsid w:val="4B32775E"/>
    <w:rsid w:val="4B392DE8"/>
    <w:rsid w:val="4B3A1B2B"/>
    <w:rsid w:val="4B3A6E74"/>
    <w:rsid w:val="4B467349"/>
    <w:rsid w:val="4B4B6A7D"/>
    <w:rsid w:val="4B4F2856"/>
    <w:rsid w:val="4B4F6392"/>
    <w:rsid w:val="4B50680B"/>
    <w:rsid w:val="4B624395"/>
    <w:rsid w:val="4B6A0E47"/>
    <w:rsid w:val="4B6D280E"/>
    <w:rsid w:val="4B700C5B"/>
    <w:rsid w:val="4B71317B"/>
    <w:rsid w:val="4B7818BD"/>
    <w:rsid w:val="4B792E23"/>
    <w:rsid w:val="4B8336F0"/>
    <w:rsid w:val="4B923CCB"/>
    <w:rsid w:val="4B9E2CA5"/>
    <w:rsid w:val="4B9F3E62"/>
    <w:rsid w:val="4BA13783"/>
    <w:rsid w:val="4BA2780E"/>
    <w:rsid w:val="4BA34761"/>
    <w:rsid w:val="4BA34B8C"/>
    <w:rsid w:val="4BA7103F"/>
    <w:rsid w:val="4BAB1DC7"/>
    <w:rsid w:val="4BAB32FF"/>
    <w:rsid w:val="4BAB57EF"/>
    <w:rsid w:val="4BAC58CC"/>
    <w:rsid w:val="4BB01566"/>
    <w:rsid w:val="4BBC0852"/>
    <w:rsid w:val="4BC01A5B"/>
    <w:rsid w:val="4BC060C5"/>
    <w:rsid w:val="4BC54441"/>
    <w:rsid w:val="4BC61540"/>
    <w:rsid w:val="4BC6544D"/>
    <w:rsid w:val="4BCF755B"/>
    <w:rsid w:val="4BD109D3"/>
    <w:rsid w:val="4BD112F0"/>
    <w:rsid w:val="4BD238D1"/>
    <w:rsid w:val="4BD523CC"/>
    <w:rsid w:val="4BE6690B"/>
    <w:rsid w:val="4BF6205C"/>
    <w:rsid w:val="4BFA307B"/>
    <w:rsid w:val="4BFF59E8"/>
    <w:rsid w:val="4C020810"/>
    <w:rsid w:val="4C0314DF"/>
    <w:rsid w:val="4C07336D"/>
    <w:rsid w:val="4C0D0368"/>
    <w:rsid w:val="4C156C07"/>
    <w:rsid w:val="4C170845"/>
    <w:rsid w:val="4C222660"/>
    <w:rsid w:val="4C227D8A"/>
    <w:rsid w:val="4C241CEA"/>
    <w:rsid w:val="4C273A24"/>
    <w:rsid w:val="4C2C00F0"/>
    <w:rsid w:val="4C3171E4"/>
    <w:rsid w:val="4C3177E2"/>
    <w:rsid w:val="4C3C7916"/>
    <w:rsid w:val="4C3E2017"/>
    <w:rsid w:val="4C3E67F7"/>
    <w:rsid w:val="4C3F694F"/>
    <w:rsid w:val="4C3F713F"/>
    <w:rsid w:val="4C435FCE"/>
    <w:rsid w:val="4C446AB8"/>
    <w:rsid w:val="4C516F13"/>
    <w:rsid w:val="4C57785E"/>
    <w:rsid w:val="4C584E84"/>
    <w:rsid w:val="4C5A7377"/>
    <w:rsid w:val="4C6106AF"/>
    <w:rsid w:val="4C673ECA"/>
    <w:rsid w:val="4C692829"/>
    <w:rsid w:val="4C720F78"/>
    <w:rsid w:val="4C7230C1"/>
    <w:rsid w:val="4C7475DE"/>
    <w:rsid w:val="4C774374"/>
    <w:rsid w:val="4C7B2115"/>
    <w:rsid w:val="4C803ACB"/>
    <w:rsid w:val="4C896DE9"/>
    <w:rsid w:val="4C9C0731"/>
    <w:rsid w:val="4CA16F07"/>
    <w:rsid w:val="4CA25CA4"/>
    <w:rsid w:val="4CA414BC"/>
    <w:rsid w:val="4CA66572"/>
    <w:rsid w:val="4CAD24E2"/>
    <w:rsid w:val="4CBB2FD6"/>
    <w:rsid w:val="4CBC2621"/>
    <w:rsid w:val="4CC7742C"/>
    <w:rsid w:val="4CD60F91"/>
    <w:rsid w:val="4CE0771A"/>
    <w:rsid w:val="4CE65812"/>
    <w:rsid w:val="4CE86935"/>
    <w:rsid w:val="4CE86EF3"/>
    <w:rsid w:val="4CEA4357"/>
    <w:rsid w:val="4CEC2563"/>
    <w:rsid w:val="4CF57AD6"/>
    <w:rsid w:val="4D007B15"/>
    <w:rsid w:val="4D0231E1"/>
    <w:rsid w:val="4D076613"/>
    <w:rsid w:val="4D096C71"/>
    <w:rsid w:val="4D0A6640"/>
    <w:rsid w:val="4D1D28B0"/>
    <w:rsid w:val="4D211478"/>
    <w:rsid w:val="4D246098"/>
    <w:rsid w:val="4D272D4D"/>
    <w:rsid w:val="4D2910C1"/>
    <w:rsid w:val="4D2C0E1C"/>
    <w:rsid w:val="4D2D4792"/>
    <w:rsid w:val="4D33137F"/>
    <w:rsid w:val="4D396BF3"/>
    <w:rsid w:val="4D3F62AF"/>
    <w:rsid w:val="4D402550"/>
    <w:rsid w:val="4D4A146A"/>
    <w:rsid w:val="4D502BFF"/>
    <w:rsid w:val="4D576BE8"/>
    <w:rsid w:val="4D590C04"/>
    <w:rsid w:val="4D686666"/>
    <w:rsid w:val="4D7C3FA3"/>
    <w:rsid w:val="4D7F5FFF"/>
    <w:rsid w:val="4D8E3894"/>
    <w:rsid w:val="4D932778"/>
    <w:rsid w:val="4D9E199C"/>
    <w:rsid w:val="4D9F1412"/>
    <w:rsid w:val="4DA07D4F"/>
    <w:rsid w:val="4DA94D1C"/>
    <w:rsid w:val="4DBB1987"/>
    <w:rsid w:val="4DBB2CA9"/>
    <w:rsid w:val="4DC833F3"/>
    <w:rsid w:val="4DE10DD9"/>
    <w:rsid w:val="4DE12A07"/>
    <w:rsid w:val="4DE33EC7"/>
    <w:rsid w:val="4DE67713"/>
    <w:rsid w:val="4DE71389"/>
    <w:rsid w:val="4DF42D07"/>
    <w:rsid w:val="4DFE2939"/>
    <w:rsid w:val="4E0D70DC"/>
    <w:rsid w:val="4E117CE5"/>
    <w:rsid w:val="4E134318"/>
    <w:rsid w:val="4E186F18"/>
    <w:rsid w:val="4E1919AA"/>
    <w:rsid w:val="4E2176BC"/>
    <w:rsid w:val="4E2C282C"/>
    <w:rsid w:val="4E2C621D"/>
    <w:rsid w:val="4E306B68"/>
    <w:rsid w:val="4E316FF0"/>
    <w:rsid w:val="4E343A1F"/>
    <w:rsid w:val="4E3B5550"/>
    <w:rsid w:val="4E43684E"/>
    <w:rsid w:val="4E4E1118"/>
    <w:rsid w:val="4E4E64B4"/>
    <w:rsid w:val="4E4E73EE"/>
    <w:rsid w:val="4E4F3A0E"/>
    <w:rsid w:val="4E670497"/>
    <w:rsid w:val="4E681940"/>
    <w:rsid w:val="4E691789"/>
    <w:rsid w:val="4E725E5B"/>
    <w:rsid w:val="4E7321A3"/>
    <w:rsid w:val="4E7431EF"/>
    <w:rsid w:val="4E78044F"/>
    <w:rsid w:val="4E782A10"/>
    <w:rsid w:val="4E7B4D14"/>
    <w:rsid w:val="4E7C2BFB"/>
    <w:rsid w:val="4E8942D4"/>
    <w:rsid w:val="4E89594C"/>
    <w:rsid w:val="4E8A1BC1"/>
    <w:rsid w:val="4E961D37"/>
    <w:rsid w:val="4E962AFB"/>
    <w:rsid w:val="4E97680D"/>
    <w:rsid w:val="4E984825"/>
    <w:rsid w:val="4E984971"/>
    <w:rsid w:val="4E991BAD"/>
    <w:rsid w:val="4EA33BE6"/>
    <w:rsid w:val="4EA97E43"/>
    <w:rsid w:val="4EB67178"/>
    <w:rsid w:val="4EB73D78"/>
    <w:rsid w:val="4EBC56D5"/>
    <w:rsid w:val="4EC07818"/>
    <w:rsid w:val="4EC557CB"/>
    <w:rsid w:val="4EC579F3"/>
    <w:rsid w:val="4ED077AC"/>
    <w:rsid w:val="4EE71C1F"/>
    <w:rsid w:val="4EE846A3"/>
    <w:rsid w:val="4EEE0514"/>
    <w:rsid w:val="4EF20FC2"/>
    <w:rsid w:val="4EF4233F"/>
    <w:rsid w:val="4EF53A4D"/>
    <w:rsid w:val="4F053748"/>
    <w:rsid w:val="4F145C36"/>
    <w:rsid w:val="4F216B4F"/>
    <w:rsid w:val="4F237E03"/>
    <w:rsid w:val="4F2515AD"/>
    <w:rsid w:val="4F3045C3"/>
    <w:rsid w:val="4F333B0B"/>
    <w:rsid w:val="4F397742"/>
    <w:rsid w:val="4F3A5808"/>
    <w:rsid w:val="4F3E2383"/>
    <w:rsid w:val="4F3E38D2"/>
    <w:rsid w:val="4F4114E9"/>
    <w:rsid w:val="4F44024E"/>
    <w:rsid w:val="4F51165E"/>
    <w:rsid w:val="4F5562C9"/>
    <w:rsid w:val="4F673ED7"/>
    <w:rsid w:val="4F6A42CE"/>
    <w:rsid w:val="4F6D0B8B"/>
    <w:rsid w:val="4F7472B9"/>
    <w:rsid w:val="4F7551A0"/>
    <w:rsid w:val="4F846A83"/>
    <w:rsid w:val="4F8576E6"/>
    <w:rsid w:val="4F885BD9"/>
    <w:rsid w:val="4F9B508F"/>
    <w:rsid w:val="4F9D18F3"/>
    <w:rsid w:val="4F9E0EF1"/>
    <w:rsid w:val="4FB04FBE"/>
    <w:rsid w:val="4FB67FFB"/>
    <w:rsid w:val="4FB7024C"/>
    <w:rsid w:val="4FBA0EFF"/>
    <w:rsid w:val="4FBD2EA6"/>
    <w:rsid w:val="4FC6282D"/>
    <w:rsid w:val="4FD401EA"/>
    <w:rsid w:val="4FDA63D2"/>
    <w:rsid w:val="4FDC0612"/>
    <w:rsid w:val="4FDF63AF"/>
    <w:rsid w:val="4FEC6792"/>
    <w:rsid w:val="4FF012A3"/>
    <w:rsid w:val="4FF012BC"/>
    <w:rsid w:val="4FF71C03"/>
    <w:rsid w:val="4FFD6A83"/>
    <w:rsid w:val="4FFF3C61"/>
    <w:rsid w:val="4FFF6735"/>
    <w:rsid w:val="5003793A"/>
    <w:rsid w:val="500C70F3"/>
    <w:rsid w:val="501D6C83"/>
    <w:rsid w:val="501F06F7"/>
    <w:rsid w:val="50205729"/>
    <w:rsid w:val="502A71D2"/>
    <w:rsid w:val="502E51AE"/>
    <w:rsid w:val="50345A90"/>
    <w:rsid w:val="503B1B0C"/>
    <w:rsid w:val="50415C08"/>
    <w:rsid w:val="504436EC"/>
    <w:rsid w:val="50446677"/>
    <w:rsid w:val="50451982"/>
    <w:rsid w:val="504A403B"/>
    <w:rsid w:val="505368A5"/>
    <w:rsid w:val="5075342E"/>
    <w:rsid w:val="50760AC1"/>
    <w:rsid w:val="50813F2A"/>
    <w:rsid w:val="508145C7"/>
    <w:rsid w:val="508A055E"/>
    <w:rsid w:val="508F1349"/>
    <w:rsid w:val="50901CB2"/>
    <w:rsid w:val="50916929"/>
    <w:rsid w:val="509428D3"/>
    <w:rsid w:val="509F429E"/>
    <w:rsid w:val="50A83F3E"/>
    <w:rsid w:val="50A93697"/>
    <w:rsid w:val="50B35F1A"/>
    <w:rsid w:val="50B379C3"/>
    <w:rsid w:val="50B621AA"/>
    <w:rsid w:val="50BA659B"/>
    <w:rsid w:val="50BE5461"/>
    <w:rsid w:val="50C31551"/>
    <w:rsid w:val="50C772E6"/>
    <w:rsid w:val="50DB103B"/>
    <w:rsid w:val="50E579F5"/>
    <w:rsid w:val="50EF68F9"/>
    <w:rsid w:val="50EF769D"/>
    <w:rsid w:val="50FB2F96"/>
    <w:rsid w:val="50FD1A36"/>
    <w:rsid w:val="51041D6D"/>
    <w:rsid w:val="511E2951"/>
    <w:rsid w:val="511E62DE"/>
    <w:rsid w:val="51224554"/>
    <w:rsid w:val="512A4B3B"/>
    <w:rsid w:val="51313A29"/>
    <w:rsid w:val="513828C7"/>
    <w:rsid w:val="51391837"/>
    <w:rsid w:val="513E0974"/>
    <w:rsid w:val="5149031D"/>
    <w:rsid w:val="514A2A43"/>
    <w:rsid w:val="514B7B70"/>
    <w:rsid w:val="514E45F3"/>
    <w:rsid w:val="51535763"/>
    <w:rsid w:val="515C2F78"/>
    <w:rsid w:val="5163230F"/>
    <w:rsid w:val="5164091A"/>
    <w:rsid w:val="51656440"/>
    <w:rsid w:val="516846B2"/>
    <w:rsid w:val="516B4240"/>
    <w:rsid w:val="51776826"/>
    <w:rsid w:val="517C72D0"/>
    <w:rsid w:val="517F5BE8"/>
    <w:rsid w:val="518F35F2"/>
    <w:rsid w:val="519308D7"/>
    <w:rsid w:val="51993261"/>
    <w:rsid w:val="51A056CA"/>
    <w:rsid w:val="51A35D51"/>
    <w:rsid w:val="51B611A7"/>
    <w:rsid w:val="51BC2B59"/>
    <w:rsid w:val="51BC67A5"/>
    <w:rsid w:val="51BC6DA4"/>
    <w:rsid w:val="51C12E46"/>
    <w:rsid w:val="51C163C8"/>
    <w:rsid w:val="51C34359"/>
    <w:rsid w:val="51C4760E"/>
    <w:rsid w:val="51C61EE0"/>
    <w:rsid w:val="51C81F8F"/>
    <w:rsid w:val="51CE73B7"/>
    <w:rsid w:val="51D9141A"/>
    <w:rsid w:val="51D96BAA"/>
    <w:rsid w:val="51DC2E43"/>
    <w:rsid w:val="51DF3590"/>
    <w:rsid w:val="51E54455"/>
    <w:rsid w:val="51E63C07"/>
    <w:rsid w:val="51E7686D"/>
    <w:rsid w:val="51F246A6"/>
    <w:rsid w:val="51F57EC4"/>
    <w:rsid w:val="51FB51A1"/>
    <w:rsid w:val="51FC7205"/>
    <w:rsid w:val="520306D0"/>
    <w:rsid w:val="5207280D"/>
    <w:rsid w:val="520830CF"/>
    <w:rsid w:val="520E74B2"/>
    <w:rsid w:val="520F3297"/>
    <w:rsid w:val="52102850"/>
    <w:rsid w:val="521902F8"/>
    <w:rsid w:val="521E1446"/>
    <w:rsid w:val="522472BB"/>
    <w:rsid w:val="52257849"/>
    <w:rsid w:val="522E4BC3"/>
    <w:rsid w:val="5230323E"/>
    <w:rsid w:val="52304CA0"/>
    <w:rsid w:val="52325FBB"/>
    <w:rsid w:val="52332575"/>
    <w:rsid w:val="52351079"/>
    <w:rsid w:val="52365F96"/>
    <w:rsid w:val="52410056"/>
    <w:rsid w:val="524E27B3"/>
    <w:rsid w:val="524F7DE2"/>
    <w:rsid w:val="525A2AE0"/>
    <w:rsid w:val="525A7381"/>
    <w:rsid w:val="52635D64"/>
    <w:rsid w:val="52667A72"/>
    <w:rsid w:val="526C5AA4"/>
    <w:rsid w:val="5271761D"/>
    <w:rsid w:val="527308CC"/>
    <w:rsid w:val="5275569C"/>
    <w:rsid w:val="52772BEC"/>
    <w:rsid w:val="527A5F1B"/>
    <w:rsid w:val="528256DA"/>
    <w:rsid w:val="528709B7"/>
    <w:rsid w:val="52877CD1"/>
    <w:rsid w:val="528A1E41"/>
    <w:rsid w:val="528D46C1"/>
    <w:rsid w:val="528F1DC5"/>
    <w:rsid w:val="52974252"/>
    <w:rsid w:val="52974D1F"/>
    <w:rsid w:val="52A16AD5"/>
    <w:rsid w:val="52B62AF9"/>
    <w:rsid w:val="52BF3B59"/>
    <w:rsid w:val="52C41F1C"/>
    <w:rsid w:val="52C865BE"/>
    <w:rsid w:val="52CC7E07"/>
    <w:rsid w:val="52CD64DB"/>
    <w:rsid w:val="52D07E9D"/>
    <w:rsid w:val="52D23671"/>
    <w:rsid w:val="52D56A54"/>
    <w:rsid w:val="52D573B7"/>
    <w:rsid w:val="52D63A99"/>
    <w:rsid w:val="52DE3A33"/>
    <w:rsid w:val="52DE4C23"/>
    <w:rsid w:val="52E27532"/>
    <w:rsid w:val="52E57838"/>
    <w:rsid w:val="52ED16F2"/>
    <w:rsid w:val="52F17FD6"/>
    <w:rsid w:val="52F80EA6"/>
    <w:rsid w:val="52FF0E89"/>
    <w:rsid w:val="530518BE"/>
    <w:rsid w:val="53060A78"/>
    <w:rsid w:val="53083527"/>
    <w:rsid w:val="530D6B4E"/>
    <w:rsid w:val="530E4236"/>
    <w:rsid w:val="53140E04"/>
    <w:rsid w:val="53166B83"/>
    <w:rsid w:val="532479C3"/>
    <w:rsid w:val="53413044"/>
    <w:rsid w:val="53423E6A"/>
    <w:rsid w:val="534327B1"/>
    <w:rsid w:val="53444058"/>
    <w:rsid w:val="534B236B"/>
    <w:rsid w:val="534B4A55"/>
    <w:rsid w:val="53504DA4"/>
    <w:rsid w:val="535853E1"/>
    <w:rsid w:val="535E769A"/>
    <w:rsid w:val="536246AF"/>
    <w:rsid w:val="53627955"/>
    <w:rsid w:val="53656BCB"/>
    <w:rsid w:val="536D1A74"/>
    <w:rsid w:val="537062F3"/>
    <w:rsid w:val="53747DED"/>
    <w:rsid w:val="537A66C3"/>
    <w:rsid w:val="537C41C3"/>
    <w:rsid w:val="537C694B"/>
    <w:rsid w:val="537D30EF"/>
    <w:rsid w:val="538605EE"/>
    <w:rsid w:val="538C4ED2"/>
    <w:rsid w:val="53902494"/>
    <w:rsid w:val="539474C1"/>
    <w:rsid w:val="53953BCC"/>
    <w:rsid w:val="53956BDB"/>
    <w:rsid w:val="53956F31"/>
    <w:rsid w:val="539E402F"/>
    <w:rsid w:val="53A5521A"/>
    <w:rsid w:val="53A7237C"/>
    <w:rsid w:val="53AF1A6F"/>
    <w:rsid w:val="53B2506D"/>
    <w:rsid w:val="53B3185F"/>
    <w:rsid w:val="53B525C8"/>
    <w:rsid w:val="53BD7BD0"/>
    <w:rsid w:val="53C15703"/>
    <w:rsid w:val="53C23BAE"/>
    <w:rsid w:val="53C60887"/>
    <w:rsid w:val="53CF4E27"/>
    <w:rsid w:val="53E25DF9"/>
    <w:rsid w:val="53EF29A8"/>
    <w:rsid w:val="53F81250"/>
    <w:rsid w:val="53F9625A"/>
    <w:rsid w:val="53FB32FF"/>
    <w:rsid w:val="540F331B"/>
    <w:rsid w:val="54102FDB"/>
    <w:rsid w:val="54187E1A"/>
    <w:rsid w:val="541C4274"/>
    <w:rsid w:val="5429409D"/>
    <w:rsid w:val="542F71C4"/>
    <w:rsid w:val="54314957"/>
    <w:rsid w:val="5434058B"/>
    <w:rsid w:val="54372E90"/>
    <w:rsid w:val="54396685"/>
    <w:rsid w:val="54410EE8"/>
    <w:rsid w:val="544363F3"/>
    <w:rsid w:val="54484D93"/>
    <w:rsid w:val="545903CB"/>
    <w:rsid w:val="545C6744"/>
    <w:rsid w:val="545C67E0"/>
    <w:rsid w:val="546721D9"/>
    <w:rsid w:val="546C1BBD"/>
    <w:rsid w:val="546E4792"/>
    <w:rsid w:val="5471064E"/>
    <w:rsid w:val="547279A2"/>
    <w:rsid w:val="54751C17"/>
    <w:rsid w:val="547701F2"/>
    <w:rsid w:val="54790B80"/>
    <w:rsid w:val="548109C5"/>
    <w:rsid w:val="548521A9"/>
    <w:rsid w:val="54941B6C"/>
    <w:rsid w:val="54944865"/>
    <w:rsid w:val="549B1E9C"/>
    <w:rsid w:val="549F4292"/>
    <w:rsid w:val="54A10472"/>
    <w:rsid w:val="54A1472F"/>
    <w:rsid w:val="54B44182"/>
    <w:rsid w:val="54BB2FA3"/>
    <w:rsid w:val="54C7062B"/>
    <w:rsid w:val="54D01F26"/>
    <w:rsid w:val="54D96381"/>
    <w:rsid w:val="54E0475B"/>
    <w:rsid w:val="54E30AF1"/>
    <w:rsid w:val="54E413E1"/>
    <w:rsid w:val="54EE14CD"/>
    <w:rsid w:val="54F1697C"/>
    <w:rsid w:val="54F4422B"/>
    <w:rsid w:val="5502103F"/>
    <w:rsid w:val="55021393"/>
    <w:rsid w:val="55074CDC"/>
    <w:rsid w:val="550B0D46"/>
    <w:rsid w:val="550D3076"/>
    <w:rsid w:val="55131CE1"/>
    <w:rsid w:val="5520354C"/>
    <w:rsid w:val="5523289A"/>
    <w:rsid w:val="552B6CDE"/>
    <w:rsid w:val="552D6F21"/>
    <w:rsid w:val="55370A93"/>
    <w:rsid w:val="55374F15"/>
    <w:rsid w:val="5539664F"/>
    <w:rsid w:val="553E60E4"/>
    <w:rsid w:val="553F163F"/>
    <w:rsid w:val="554343CB"/>
    <w:rsid w:val="55567C59"/>
    <w:rsid w:val="55690168"/>
    <w:rsid w:val="556924FC"/>
    <w:rsid w:val="557248C3"/>
    <w:rsid w:val="55733B8F"/>
    <w:rsid w:val="557826B5"/>
    <w:rsid w:val="5578404D"/>
    <w:rsid w:val="557B3CC9"/>
    <w:rsid w:val="558060BF"/>
    <w:rsid w:val="55892AB3"/>
    <w:rsid w:val="558A0B6B"/>
    <w:rsid w:val="559111A5"/>
    <w:rsid w:val="55926458"/>
    <w:rsid w:val="559A23FA"/>
    <w:rsid w:val="559A387B"/>
    <w:rsid w:val="55A22CA0"/>
    <w:rsid w:val="55A57753"/>
    <w:rsid w:val="55A77FB9"/>
    <w:rsid w:val="55AB73BC"/>
    <w:rsid w:val="55B32C60"/>
    <w:rsid w:val="55C706CA"/>
    <w:rsid w:val="55CB1298"/>
    <w:rsid w:val="55CF071D"/>
    <w:rsid w:val="55D82374"/>
    <w:rsid w:val="55D84DBC"/>
    <w:rsid w:val="55DD116A"/>
    <w:rsid w:val="55E00151"/>
    <w:rsid w:val="55E46D6F"/>
    <w:rsid w:val="55E74DF8"/>
    <w:rsid w:val="55F225CA"/>
    <w:rsid w:val="55F644BA"/>
    <w:rsid w:val="55FF044C"/>
    <w:rsid w:val="55FF6E63"/>
    <w:rsid w:val="56093B9F"/>
    <w:rsid w:val="560E4474"/>
    <w:rsid w:val="560F789A"/>
    <w:rsid w:val="56106886"/>
    <w:rsid w:val="5617263C"/>
    <w:rsid w:val="562044DA"/>
    <w:rsid w:val="562876A7"/>
    <w:rsid w:val="56296FB2"/>
    <w:rsid w:val="562C06DF"/>
    <w:rsid w:val="562D0D04"/>
    <w:rsid w:val="563175F1"/>
    <w:rsid w:val="563414FC"/>
    <w:rsid w:val="5634507E"/>
    <w:rsid w:val="56351736"/>
    <w:rsid w:val="563666EF"/>
    <w:rsid w:val="563E023F"/>
    <w:rsid w:val="563F387A"/>
    <w:rsid w:val="564127C8"/>
    <w:rsid w:val="564524B5"/>
    <w:rsid w:val="564B2D13"/>
    <w:rsid w:val="56543E0D"/>
    <w:rsid w:val="56596E56"/>
    <w:rsid w:val="565A65A4"/>
    <w:rsid w:val="565F4BAE"/>
    <w:rsid w:val="56686265"/>
    <w:rsid w:val="567315FF"/>
    <w:rsid w:val="568302C8"/>
    <w:rsid w:val="568B3751"/>
    <w:rsid w:val="568F78C9"/>
    <w:rsid w:val="56945652"/>
    <w:rsid w:val="569C1F24"/>
    <w:rsid w:val="56A6507F"/>
    <w:rsid w:val="56A82E17"/>
    <w:rsid w:val="56A83A18"/>
    <w:rsid w:val="56AA4205"/>
    <w:rsid w:val="56AD7F51"/>
    <w:rsid w:val="56AE5661"/>
    <w:rsid w:val="56AF14A3"/>
    <w:rsid w:val="56B0218F"/>
    <w:rsid w:val="56B140DF"/>
    <w:rsid w:val="56B56377"/>
    <w:rsid w:val="56C15555"/>
    <w:rsid w:val="56D32721"/>
    <w:rsid w:val="56D96832"/>
    <w:rsid w:val="56E439DA"/>
    <w:rsid w:val="56E65094"/>
    <w:rsid w:val="56ED7603"/>
    <w:rsid w:val="56EF09F0"/>
    <w:rsid w:val="56F109B1"/>
    <w:rsid w:val="56F648D3"/>
    <w:rsid w:val="56F65F16"/>
    <w:rsid w:val="56FA2288"/>
    <w:rsid w:val="56FC52D0"/>
    <w:rsid w:val="56FD3E97"/>
    <w:rsid w:val="57042237"/>
    <w:rsid w:val="570566FB"/>
    <w:rsid w:val="570968FB"/>
    <w:rsid w:val="570D1182"/>
    <w:rsid w:val="570E17B9"/>
    <w:rsid w:val="570F5687"/>
    <w:rsid w:val="57164CD1"/>
    <w:rsid w:val="571C3B1C"/>
    <w:rsid w:val="571C66F9"/>
    <w:rsid w:val="571E756E"/>
    <w:rsid w:val="571F17C2"/>
    <w:rsid w:val="57201787"/>
    <w:rsid w:val="57246B57"/>
    <w:rsid w:val="572C755F"/>
    <w:rsid w:val="572D17AE"/>
    <w:rsid w:val="573917CE"/>
    <w:rsid w:val="57441A79"/>
    <w:rsid w:val="57465415"/>
    <w:rsid w:val="5749332A"/>
    <w:rsid w:val="574D4E3C"/>
    <w:rsid w:val="574F5BC8"/>
    <w:rsid w:val="5755669D"/>
    <w:rsid w:val="575650D4"/>
    <w:rsid w:val="575708BD"/>
    <w:rsid w:val="575D179B"/>
    <w:rsid w:val="575D5887"/>
    <w:rsid w:val="57620AB5"/>
    <w:rsid w:val="576A525C"/>
    <w:rsid w:val="57743881"/>
    <w:rsid w:val="57772D64"/>
    <w:rsid w:val="57773A0A"/>
    <w:rsid w:val="5779580D"/>
    <w:rsid w:val="577E2589"/>
    <w:rsid w:val="57847916"/>
    <w:rsid w:val="578651E7"/>
    <w:rsid w:val="578D79A9"/>
    <w:rsid w:val="57910721"/>
    <w:rsid w:val="579320F7"/>
    <w:rsid w:val="579704FF"/>
    <w:rsid w:val="57984BE4"/>
    <w:rsid w:val="579B3FC2"/>
    <w:rsid w:val="579C5358"/>
    <w:rsid w:val="57A26AE4"/>
    <w:rsid w:val="57AC62F4"/>
    <w:rsid w:val="57B029B0"/>
    <w:rsid w:val="57B953FB"/>
    <w:rsid w:val="57C50DDF"/>
    <w:rsid w:val="57CB721C"/>
    <w:rsid w:val="57D56DBD"/>
    <w:rsid w:val="57D63BF4"/>
    <w:rsid w:val="57DB69ED"/>
    <w:rsid w:val="57E207EA"/>
    <w:rsid w:val="57E24C8E"/>
    <w:rsid w:val="57E36310"/>
    <w:rsid w:val="57F34DA8"/>
    <w:rsid w:val="57F6194F"/>
    <w:rsid w:val="57FB5630"/>
    <w:rsid w:val="58083258"/>
    <w:rsid w:val="580B2E3A"/>
    <w:rsid w:val="580E675D"/>
    <w:rsid w:val="581C1E56"/>
    <w:rsid w:val="583507D1"/>
    <w:rsid w:val="583F4CAD"/>
    <w:rsid w:val="584506BF"/>
    <w:rsid w:val="585602F9"/>
    <w:rsid w:val="585A18C5"/>
    <w:rsid w:val="585C07A5"/>
    <w:rsid w:val="5864573C"/>
    <w:rsid w:val="586631C9"/>
    <w:rsid w:val="58674100"/>
    <w:rsid w:val="586D09FC"/>
    <w:rsid w:val="586F1E49"/>
    <w:rsid w:val="588007FC"/>
    <w:rsid w:val="58884F0E"/>
    <w:rsid w:val="588F26F1"/>
    <w:rsid w:val="58964FF8"/>
    <w:rsid w:val="58A54BB1"/>
    <w:rsid w:val="58AB00C0"/>
    <w:rsid w:val="58AB66C1"/>
    <w:rsid w:val="58AD6FB2"/>
    <w:rsid w:val="58AF1BB5"/>
    <w:rsid w:val="58B14268"/>
    <w:rsid w:val="58B934C2"/>
    <w:rsid w:val="58BC198D"/>
    <w:rsid w:val="58BF0B2C"/>
    <w:rsid w:val="58C077E2"/>
    <w:rsid w:val="58C10EA8"/>
    <w:rsid w:val="58C223CA"/>
    <w:rsid w:val="58C31239"/>
    <w:rsid w:val="58CA7E81"/>
    <w:rsid w:val="58CB762F"/>
    <w:rsid w:val="58D1610A"/>
    <w:rsid w:val="58D16E1F"/>
    <w:rsid w:val="58D72416"/>
    <w:rsid w:val="58E1230C"/>
    <w:rsid w:val="58EC2AF9"/>
    <w:rsid w:val="58F03386"/>
    <w:rsid w:val="58F22007"/>
    <w:rsid w:val="59015B52"/>
    <w:rsid w:val="590A3412"/>
    <w:rsid w:val="59140E77"/>
    <w:rsid w:val="592227B9"/>
    <w:rsid w:val="59224CD2"/>
    <w:rsid w:val="59290367"/>
    <w:rsid w:val="592B2F21"/>
    <w:rsid w:val="592E0C54"/>
    <w:rsid w:val="59323FAF"/>
    <w:rsid w:val="593D625A"/>
    <w:rsid w:val="593F141A"/>
    <w:rsid w:val="59435F09"/>
    <w:rsid w:val="5947124D"/>
    <w:rsid w:val="594C1011"/>
    <w:rsid w:val="595A00DB"/>
    <w:rsid w:val="595F3A75"/>
    <w:rsid w:val="59642610"/>
    <w:rsid w:val="59646BEA"/>
    <w:rsid w:val="59683059"/>
    <w:rsid w:val="5972326A"/>
    <w:rsid w:val="59724DBE"/>
    <w:rsid w:val="59750169"/>
    <w:rsid w:val="597E02BE"/>
    <w:rsid w:val="598042E9"/>
    <w:rsid w:val="59843D3A"/>
    <w:rsid w:val="598C3D87"/>
    <w:rsid w:val="598F04FE"/>
    <w:rsid w:val="59903FE1"/>
    <w:rsid w:val="5995049B"/>
    <w:rsid w:val="59954082"/>
    <w:rsid w:val="599600FE"/>
    <w:rsid w:val="59A373B6"/>
    <w:rsid w:val="59A37471"/>
    <w:rsid w:val="59A829AB"/>
    <w:rsid w:val="59AB24FB"/>
    <w:rsid w:val="59AC61D4"/>
    <w:rsid w:val="59B129F6"/>
    <w:rsid w:val="59B40A2F"/>
    <w:rsid w:val="59B672ED"/>
    <w:rsid w:val="59BC7B2E"/>
    <w:rsid w:val="59CC3706"/>
    <w:rsid w:val="59E0557C"/>
    <w:rsid w:val="59E13E9A"/>
    <w:rsid w:val="59EA555B"/>
    <w:rsid w:val="59F57A2E"/>
    <w:rsid w:val="5A011CA0"/>
    <w:rsid w:val="5A02158A"/>
    <w:rsid w:val="5A066D65"/>
    <w:rsid w:val="5A071ED6"/>
    <w:rsid w:val="5A0C326B"/>
    <w:rsid w:val="5A101A0F"/>
    <w:rsid w:val="5A186882"/>
    <w:rsid w:val="5A1B5E91"/>
    <w:rsid w:val="5A1D0A87"/>
    <w:rsid w:val="5A1E2136"/>
    <w:rsid w:val="5A225816"/>
    <w:rsid w:val="5A263C40"/>
    <w:rsid w:val="5A2861A5"/>
    <w:rsid w:val="5A2A0227"/>
    <w:rsid w:val="5A363054"/>
    <w:rsid w:val="5A4130FB"/>
    <w:rsid w:val="5A4821F3"/>
    <w:rsid w:val="5A4A2267"/>
    <w:rsid w:val="5A535734"/>
    <w:rsid w:val="5A54155E"/>
    <w:rsid w:val="5A5A103C"/>
    <w:rsid w:val="5A5B2A34"/>
    <w:rsid w:val="5A6262E2"/>
    <w:rsid w:val="5A64439F"/>
    <w:rsid w:val="5A6574B1"/>
    <w:rsid w:val="5A671EA5"/>
    <w:rsid w:val="5A6D734E"/>
    <w:rsid w:val="5A6F66D3"/>
    <w:rsid w:val="5A7920A0"/>
    <w:rsid w:val="5A8063AC"/>
    <w:rsid w:val="5A831D7B"/>
    <w:rsid w:val="5A8402BE"/>
    <w:rsid w:val="5A8412FF"/>
    <w:rsid w:val="5A854537"/>
    <w:rsid w:val="5A874BDD"/>
    <w:rsid w:val="5A903309"/>
    <w:rsid w:val="5A977AAE"/>
    <w:rsid w:val="5A977D8E"/>
    <w:rsid w:val="5A9E7B30"/>
    <w:rsid w:val="5AA35513"/>
    <w:rsid w:val="5AA976A6"/>
    <w:rsid w:val="5AAC43CE"/>
    <w:rsid w:val="5AB82F3B"/>
    <w:rsid w:val="5AC317DA"/>
    <w:rsid w:val="5ACA3F54"/>
    <w:rsid w:val="5AD563E4"/>
    <w:rsid w:val="5ADC2C82"/>
    <w:rsid w:val="5ADF0C0A"/>
    <w:rsid w:val="5ADF1011"/>
    <w:rsid w:val="5AE6376B"/>
    <w:rsid w:val="5AF71264"/>
    <w:rsid w:val="5AF80B82"/>
    <w:rsid w:val="5AF94466"/>
    <w:rsid w:val="5AFF60B2"/>
    <w:rsid w:val="5B113596"/>
    <w:rsid w:val="5B181ED9"/>
    <w:rsid w:val="5B212628"/>
    <w:rsid w:val="5B246CDD"/>
    <w:rsid w:val="5B2555BE"/>
    <w:rsid w:val="5B2A1308"/>
    <w:rsid w:val="5B2C132F"/>
    <w:rsid w:val="5B305CE1"/>
    <w:rsid w:val="5B3445F8"/>
    <w:rsid w:val="5B406121"/>
    <w:rsid w:val="5B43687E"/>
    <w:rsid w:val="5B4640DC"/>
    <w:rsid w:val="5B476D3A"/>
    <w:rsid w:val="5B4B4754"/>
    <w:rsid w:val="5B56619E"/>
    <w:rsid w:val="5B584C8E"/>
    <w:rsid w:val="5B5E7F9B"/>
    <w:rsid w:val="5B5F5897"/>
    <w:rsid w:val="5B6226D4"/>
    <w:rsid w:val="5B636741"/>
    <w:rsid w:val="5B6C123D"/>
    <w:rsid w:val="5B6E14B9"/>
    <w:rsid w:val="5B737125"/>
    <w:rsid w:val="5B760EE9"/>
    <w:rsid w:val="5B765E18"/>
    <w:rsid w:val="5B8522D1"/>
    <w:rsid w:val="5B974F08"/>
    <w:rsid w:val="5B983776"/>
    <w:rsid w:val="5B9F61C1"/>
    <w:rsid w:val="5BA900D2"/>
    <w:rsid w:val="5BB05743"/>
    <w:rsid w:val="5BB25DC0"/>
    <w:rsid w:val="5BB9706F"/>
    <w:rsid w:val="5BBA276D"/>
    <w:rsid w:val="5BCB0339"/>
    <w:rsid w:val="5BCF578B"/>
    <w:rsid w:val="5BD24514"/>
    <w:rsid w:val="5BD86F1D"/>
    <w:rsid w:val="5BDB670C"/>
    <w:rsid w:val="5BE335E2"/>
    <w:rsid w:val="5BE713D3"/>
    <w:rsid w:val="5BE90707"/>
    <w:rsid w:val="5BFC3FF9"/>
    <w:rsid w:val="5C104C4B"/>
    <w:rsid w:val="5C1650EC"/>
    <w:rsid w:val="5C1D7EB6"/>
    <w:rsid w:val="5C2148B6"/>
    <w:rsid w:val="5C233F8C"/>
    <w:rsid w:val="5C322468"/>
    <w:rsid w:val="5C332FCC"/>
    <w:rsid w:val="5C3840A2"/>
    <w:rsid w:val="5C386399"/>
    <w:rsid w:val="5C3D1009"/>
    <w:rsid w:val="5C472BE7"/>
    <w:rsid w:val="5C473312"/>
    <w:rsid w:val="5C513E9B"/>
    <w:rsid w:val="5C52039C"/>
    <w:rsid w:val="5C5237DA"/>
    <w:rsid w:val="5C586A76"/>
    <w:rsid w:val="5C59122D"/>
    <w:rsid w:val="5C5C6CF4"/>
    <w:rsid w:val="5C5E7866"/>
    <w:rsid w:val="5C786814"/>
    <w:rsid w:val="5C7B5557"/>
    <w:rsid w:val="5C7C2D62"/>
    <w:rsid w:val="5C7C6AD7"/>
    <w:rsid w:val="5C7E2ED0"/>
    <w:rsid w:val="5C831A79"/>
    <w:rsid w:val="5C8A31FF"/>
    <w:rsid w:val="5C93263E"/>
    <w:rsid w:val="5C961280"/>
    <w:rsid w:val="5C9C63D4"/>
    <w:rsid w:val="5C9F0BDF"/>
    <w:rsid w:val="5CA55A75"/>
    <w:rsid w:val="5CAD6492"/>
    <w:rsid w:val="5CB16B28"/>
    <w:rsid w:val="5CCA4159"/>
    <w:rsid w:val="5CDD34AF"/>
    <w:rsid w:val="5CEA5494"/>
    <w:rsid w:val="5CF30176"/>
    <w:rsid w:val="5CF30C6D"/>
    <w:rsid w:val="5D0615C7"/>
    <w:rsid w:val="5D075CA3"/>
    <w:rsid w:val="5D0B0B46"/>
    <w:rsid w:val="5D117B41"/>
    <w:rsid w:val="5D1606AB"/>
    <w:rsid w:val="5D171AB2"/>
    <w:rsid w:val="5D180C37"/>
    <w:rsid w:val="5D1A0348"/>
    <w:rsid w:val="5D1D0AB2"/>
    <w:rsid w:val="5D212A69"/>
    <w:rsid w:val="5D223266"/>
    <w:rsid w:val="5D235B2D"/>
    <w:rsid w:val="5D267736"/>
    <w:rsid w:val="5D272194"/>
    <w:rsid w:val="5D285369"/>
    <w:rsid w:val="5D386D3F"/>
    <w:rsid w:val="5D391E12"/>
    <w:rsid w:val="5D425716"/>
    <w:rsid w:val="5D4741E3"/>
    <w:rsid w:val="5D4E44CD"/>
    <w:rsid w:val="5D5226A6"/>
    <w:rsid w:val="5D6E1157"/>
    <w:rsid w:val="5D70783D"/>
    <w:rsid w:val="5D806F26"/>
    <w:rsid w:val="5D837F18"/>
    <w:rsid w:val="5D877D93"/>
    <w:rsid w:val="5D897475"/>
    <w:rsid w:val="5D897FCB"/>
    <w:rsid w:val="5D931FB9"/>
    <w:rsid w:val="5DA070BE"/>
    <w:rsid w:val="5DA07490"/>
    <w:rsid w:val="5DA36F64"/>
    <w:rsid w:val="5DA43F14"/>
    <w:rsid w:val="5DA60C49"/>
    <w:rsid w:val="5DAF41EE"/>
    <w:rsid w:val="5DB266AB"/>
    <w:rsid w:val="5DB650F1"/>
    <w:rsid w:val="5DB730DF"/>
    <w:rsid w:val="5DC17817"/>
    <w:rsid w:val="5DC54D82"/>
    <w:rsid w:val="5DC73FC8"/>
    <w:rsid w:val="5DCC42C1"/>
    <w:rsid w:val="5DD170E1"/>
    <w:rsid w:val="5DE52DE2"/>
    <w:rsid w:val="5DE75739"/>
    <w:rsid w:val="5DE8148F"/>
    <w:rsid w:val="5DEC5427"/>
    <w:rsid w:val="5DFA18BB"/>
    <w:rsid w:val="5DFC0FA3"/>
    <w:rsid w:val="5DFC295F"/>
    <w:rsid w:val="5E0D5D08"/>
    <w:rsid w:val="5E107577"/>
    <w:rsid w:val="5E13795B"/>
    <w:rsid w:val="5E154310"/>
    <w:rsid w:val="5E154840"/>
    <w:rsid w:val="5E1E09C2"/>
    <w:rsid w:val="5E2A2A94"/>
    <w:rsid w:val="5E353798"/>
    <w:rsid w:val="5E383CAE"/>
    <w:rsid w:val="5E3F73D5"/>
    <w:rsid w:val="5E411BB2"/>
    <w:rsid w:val="5E4364F1"/>
    <w:rsid w:val="5E436D2B"/>
    <w:rsid w:val="5E4640C5"/>
    <w:rsid w:val="5E4A32C6"/>
    <w:rsid w:val="5E4F326B"/>
    <w:rsid w:val="5E502F62"/>
    <w:rsid w:val="5E543324"/>
    <w:rsid w:val="5E585C60"/>
    <w:rsid w:val="5E5E621A"/>
    <w:rsid w:val="5E672FBD"/>
    <w:rsid w:val="5E6A5B77"/>
    <w:rsid w:val="5E733294"/>
    <w:rsid w:val="5E7C0138"/>
    <w:rsid w:val="5E856373"/>
    <w:rsid w:val="5E8B5070"/>
    <w:rsid w:val="5E915FEC"/>
    <w:rsid w:val="5E9640DD"/>
    <w:rsid w:val="5E993BCD"/>
    <w:rsid w:val="5E9945F8"/>
    <w:rsid w:val="5E9967AD"/>
    <w:rsid w:val="5E9E3142"/>
    <w:rsid w:val="5EA3461D"/>
    <w:rsid w:val="5EA5286D"/>
    <w:rsid w:val="5EA873A4"/>
    <w:rsid w:val="5EAA5DDA"/>
    <w:rsid w:val="5EAD1147"/>
    <w:rsid w:val="5EB50187"/>
    <w:rsid w:val="5EB72609"/>
    <w:rsid w:val="5EB91FF2"/>
    <w:rsid w:val="5EC213D4"/>
    <w:rsid w:val="5EC52F2B"/>
    <w:rsid w:val="5EC625EB"/>
    <w:rsid w:val="5ED34B30"/>
    <w:rsid w:val="5ED40199"/>
    <w:rsid w:val="5ED86960"/>
    <w:rsid w:val="5ED94E53"/>
    <w:rsid w:val="5EDB0B7B"/>
    <w:rsid w:val="5EDB3A89"/>
    <w:rsid w:val="5EDC7DB7"/>
    <w:rsid w:val="5EDE1996"/>
    <w:rsid w:val="5EDE767F"/>
    <w:rsid w:val="5EF40C4C"/>
    <w:rsid w:val="5EF4149C"/>
    <w:rsid w:val="5EFB6E8E"/>
    <w:rsid w:val="5EFC34FB"/>
    <w:rsid w:val="5EFE40F5"/>
    <w:rsid w:val="5F007028"/>
    <w:rsid w:val="5F0374E4"/>
    <w:rsid w:val="5F047AD9"/>
    <w:rsid w:val="5F296EAA"/>
    <w:rsid w:val="5F3776DB"/>
    <w:rsid w:val="5F380D4C"/>
    <w:rsid w:val="5F381AA8"/>
    <w:rsid w:val="5F3B70AB"/>
    <w:rsid w:val="5F3C1253"/>
    <w:rsid w:val="5F404F65"/>
    <w:rsid w:val="5F4178E1"/>
    <w:rsid w:val="5F42019B"/>
    <w:rsid w:val="5F424E0F"/>
    <w:rsid w:val="5F497420"/>
    <w:rsid w:val="5F4E0050"/>
    <w:rsid w:val="5F4F253B"/>
    <w:rsid w:val="5F5155D0"/>
    <w:rsid w:val="5F5307F0"/>
    <w:rsid w:val="5F5578C8"/>
    <w:rsid w:val="5F567403"/>
    <w:rsid w:val="5F5757E4"/>
    <w:rsid w:val="5F63323E"/>
    <w:rsid w:val="5F6437DC"/>
    <w:rsid w:val="5F6479E0"/>
    <w:rsid w:val="5F677827"/>
    <w:rsid w:val="5F6E69A6"/>
    <w:rsid w:val="5F736FD8"/>
    <w:rsid w:val="5F7626F7"/>
    <w:rsid w:val="5F7F16A6"/>
    <w:rsid w:val="5F7F675C"/>
    <w:rsid w:val="5F7F69D4"/>
    <w:rsid w:val="5F8345E9"/>
    <w:rsid w:val="5F844420"/>
    <w:rsid w:val="5F87168D"/>
    <w:rsid w:val="5FA1111E"/>
    <w:rsid w:val="5FA763EF"/>
    <w:rsid w:val="5FA9472A"/>
    <w:rsid w:val="5FAF3E47"/>
    <w:rsid w:val="5FBD2CDA"/>
    <w:rsid w:val="5FBD3D3F"/>
    <w:rsid w:val="5FCD25EF"/>
    <w:rsid w:val="5FD10BA1"/>
    <w:rsid w:val="5FD53848"/>
    <w:rsid w:val="5FDA2652"/>
    <w:rsid w:val="5FDA77CD"/>
    <w:rsid w:val="5FDB4076"/>
    <w:rsid w:val="5FDB5120"/>
    <w:rsid w:val="5FDE7043"/>
    <w:rsid w:val="5FF26306"/>
    <w:rsid w:val="5FF40472"/>
    <w:rsid w:val="5FF838D2"/>
    <w:rsid w:val="5FFC6199"/>
    <w:rsid w:val="600A5C11"/>
    <w:rsid w:val="600B34AE"/>
    <w:rsid w:val="600D408B"/>
    <w:rsid w:val="60121F45"/>
    <w:rsid w:val="60133223"/>
    <w:rsid w:val="601B5E19"/>
    <w:rsid w:val="60284AA0"/>
    <w:rsid w:val="602A631E"/>
    <w:rsid w:val="60400826"/>
    <w:rsid w:val="60431D44"/>
    <w:rsid w:val="6043275A"/>
    <w:rsid w:val="604723CB"/>
    <w:rsid w:val="604D0966"/>
    <w:rsid w:val="604E75A8"/>
    <w:rsid w:val="60507E0B"/>
    <w:rsid w:val="60541DD5"/>
    <w:rsid w:val="6055424F"/>
    <w:rsid w:val="605C610D"/>
    <w:rsid w:val="606A75CF"/>
    <w:rsid w:val="606B65FD"/>
    <w:rsid w:val="606E139E"/>
    <w:rsid w:val="606E730A"/>
    <w:rsid w:val="607520E6"/>
    <w:rsid w:val="607D68E4"/>
    <w:rsid w:val="607F3A74"/>
    <w:rsid w:val="60822995"/>
    <w:rsid w:val="60875354"/>
    <w:rsid w:val="60937186"/>
    <w:rsid w:val="60972F83"/>
    <w:rsid w:val="6098238E"/>
    <w:rsid w:val="609B3FCF"/>
    <w:rsid w:val="609C29B9"/>
    <w:rsid w:val="609C64D7"/>
    <w:rsid w:val="60A01969"/>
    <w:rsid w:val="60A03008"/>
    <w:rsid w:val="60A123E1"/>
    <w:rsid w:val="60A344C7"/>
    <w:rsid w:val="60A524F0"/>
    <w:rsid w:val="60A75032"/>
    <w:rsid w:val="60A7619D"/>
    <w:rsid w:val="60AF15C3"/>
    <w:rsid w:val="60B46771"/>
    <w:rsid w:val="60B57F2A"/>
    <w:rsid w:val="60C36426"/>
    <w:rsid w:val="60DA5D16"/>
    <w:rsid w:val="60E06938"/>
    <w:rsid w:val="60E90278"/>
    <w:rsid w:val="60ED0BC9"/>
    <w:rsid w:val="60EF58B3"/>
    <w:rsid w:val="60FB2F3B"/>
    <w:rsid w:val="60FC5A41"/>
    <w:rsid w:val="610669D7"/>
    <w:rsid w:val="611029C3"/>
    <w:rsid w:val="6112272B"/>
    <w:rsid w:val="61151C31"/>
    <w:rsid w:val="611931AA"/>
    <w:rsid w:val="611C0757"/>
    <w:rsid w:val="611E57EF"/>
    <w:rsid w:val="611F256E"/>
    <w:rsid w:val="612023D7"/>
    <w:rsid w:val="61241C21"/>
    <w:rsid w:val="612857F3"/>
    <w:rsid w:val="61292987"/>
    <w:rsid w:val="61336F11"/>
    <w:rsid w:val="6135114D"/>
    <w:rsid w:val="61380F5D"/>
    <w:rsid w:val="6138147B"/>
    <w:rsid w:val="61384BB4"/>
    <w:rsid w:val="61391E57"/>
    <w:rsid w:val="613E3250"/>
    <w:rsid w:val="613F0C30"/>
    <w:rsid w:val="614421D8"/>
    <w:rsid w:val="614F7793"/>
    <w:rsid w:val="61553518"/>
    <w:rsid w:val="61565198"/>
    <w:rsid w:val="61602266"/>
    <w:rsid w:val="61660824"/>
    <w:rsid w:val="61665ACE"/>
    <w:rsid w:val="616D2415"/>
    <w:rsid w:val="616D748C"/>
    <w:rsid w:val="616E3EB9"/>
    <w:rsid w:val="617950D5"/>
    <w:rsid w:val="617A1671"/>
    <w:rsid w:val="617E0B4B"/>
    <w:rsid w:val="61920433"/>
    <w:rsid w:val="619326EF"/>
    <w:rsid w:val="61940B5E"/>
    <w:rsid w:val="619A6D8E"/>
    <w:rsid w:val="619B06CC"/>
    <w:rsid w:val="619E187C"/>
    <w:rsid w:val="61A15272"/>
    <w:rsid w:val="61B85E6A"/>
    <w:rsid w:val="61BA0DF3"/>
    <w:rsid w:val="61BB082D"/>
    <w:rsid w:val="61BB3864"/>
    <w:rsid w:val="61BC5EC7"/>
    <w:rsid w:val="61BC6D1C"/>
    <w:rsid w:val="61BD6ACF"/>
    <w:rsid w:val="61C77E8D"/>
    <w:rsid w:val="61CE473C"/>
    <w:rsid w:val="61D04B97"/>
    <w:rsid w:val="61D17522"/>
    <w:rsid w:val="61D634E9"/>
    <w:rsid w:val="61DA6967"/>
    <w:rsid w:val="61DB5613"/>
    <w:rsid w:val="61DB7C6C"/>
    <w:rsid w:val="61DD79FC"/>
    <w:rsid w:val="61E64ABE"/>
    <w:rsid w:val="61F564A8"/>
    <w:rsid w:val="61F61128"/>
    <w:rsid w:val="61FB0C3D"/>
    <w:rsid w:val="61FB5336"/>
    <w:rsid w:val="61FB6884"/>
    <w:rsid w:val="62043312"/>
    <w:rsid w:val="620537CF"/>
    <w:rsid w:val="62067DE2"/>
    <w:rsid w:val="62174211"/>
    <w:rsid w:val="622228A9"/>
    <w:rsid w:val="62352A19"/>
    <w:rsid w:val="623B7BB7"/>
    <w:rsid w:val="623E7F1A"/>
    <w:rsid w:val="62403C40"/>
    <w:rsid w:val="6249426A"/>
    <w:rsid w:val="6253291B"/>
    <w:rsid w:val="62534F3E"/>
    <w:rsid w:val="626161AE"/>
    <w:rsid w:val="626203F0"/>
    <w:rsid w:val="626B5CE9"/>
    <w:rsid w:val="6273461B"/>
    <w:rsid w:val="62823A62"/>
    <w:rsid w:val="62850696"/>
    <w:rsid w:val="62866BE0"/>
    <w:rsid w:val="628D30EF"/>
    <w:rsid w:val="628D68A1"/>
    <w:rsid w:val="629339F6"/>
    <w:rsid w:val="62936C1B"/>
    <w:rsid w:val="629C3FBD"/>
    <w:rsid w:val="629D4D83"/>
    <w:rsid w:val="629D7907"/>
    <w:rsid w:val="62A05DE6"/>
    <w:rsid w:val="62A63105"/>
    <w:rsid w:val="62A81F5D"/>
    <w:rsid w:val="62A87F70"/>
    <w:rsid w:val="62AF39BF"/>
    <w:rsid w:val="62B156C2"/>
    <w:rsid w:val="62B60305"/>
    <w:rsid w:val="62BC58F7"/>
    <w:rsid w:val="62C21BFD"/>
    <w:rsid w:val="62CE52EF"/>
    <w:rsid w:val="62D1479A"/>
    <w:rsid w:val="62D15D4D"/>
    <w:rsid w:val="62E51FF3"/>
    <w:rsid w:val="62E5610C"/>
    <w:rsid w:val="62E62580"/>
    <w:rsid w:val="62E75902"/>
    <w:rsid w:val="62E9052B"/>
    <w:rsid w:val="62F53AC8"/>
    <w:rsid w:val="62F860F1"/>
    <w:rsid w:val="63012DD0"/>
    <w:rsid w:val="63055021"/>
    <w:rsid w:val="63062353"/>
    <w:rsid w:val="630738BA"/>
    <w:rsid w:val="631609E2"/>
    <w:rsid w:val="63182C38"/>
    <w:rsid w:val="6322272E"/>
    <w:rsid w:val="63263290"/>
    <w:rsid w:val="632D3772"/>
    <w:rsid w:val="632F7A1F"/>
    <w:rsid w:val="633526DB"/>
    <w:rsid w:val="633714D3"/>
    <w:rsid w:val="633F041C"/>
    <w:rsid w:val="6341496B"/>
    <w:rsid w:val="6350246A"/>
    <w:rsid w:val="635526A3"/>
    <w:rsid w:val="63566F23"/>
    <w:rsid w:val="63570CFE"/>
    <w:rsid w:val="635977F9"/>
    <w:rsid w:val="63615C19"/>
    <w:rsid w:val="63692534"/>
    <w:rsid w:val="63790D9B"/>
    <w:rsid w:val="638405B2"/>
    <w:rsid w:val="638B3F64"/>
    <w:rsid w:val="6392701B"/>
    <w:rsid w:val="63973A5D"/>
    <w:rsid w:val="6399081E"/>
    <w:rsid w:val="6399296A"/>
    <w:rsid w:val="63997DAE"/>
    <w:rsid w:val="63A017FC"/>
    <w:rsid w:val="63A252D2"/>
    <w:rsid w:val="63A42B2E"/>
    <w:rsid w:val="63A45B5A"/>
    <w:rsid w:val="63A64892"/>
    <w:rsid w:val="63A934A6"/>
    <w:rsid w:val="63AE24A1"/>
    <w:rsid w:val="63B33071"/>
    <w:rsid w:val="63B374DF"/>
    <w:rsid w:val="63B51A8E"/>
    <w:rsid w:val="63B902E3"/>
    <w:rsid w:val="63BA2EE7"/>
    <w:rsid w:val="63BB3A50"/>
    <w:rsid w:val="63C7285D"/>
    <w:rsid w:val="63D21C69"/>
    <w:rsid w:val="63D93849"/>
    <w:rsid w:val="63E309C9"/>
    <w:rsid w:val="63E53F33"/>
    <w:rsid w:val="63E774D4"/>
    <w:rsid w:val="63EA1336"/>
    <w:rsid w:val="63F113F9"/>
    <w:rsid w:val="63F62484"/>
    <w:rsid w:val="64026374"/>
    <w:rsid w:val="64052C3C"/>
    <w:rsid w:val="64104931"/>
    <w:rsid w:val="641746F2"/>
    <w:rsid w:val="6430235C"/>
    <w:rsid w:val="643822A7"/>
    <w:rsid w:val="643A7BF4"/>
    <w:rsid w:val="643D764D"/>
    <w:rsid w:val="643F67ED"/>
    <w:rsid w:val="6459048E"/>
    <w:rsid w:val="645F69B5"/>
    <w:rsid w:val="6461775A"/>
    <w:rsid w:val="6462028C"/>
    <w:rsid w:val="64637B8D"/>
    <w:rsid w:val="64641D02"/>
    <w:rsid w:val="64664551"/>
    <w:rsid w:val="646E5F17"/>
    <w:rsid w:val="64733235"/>
    <w:rsid w:val="647678D9"/>
    <w:rsid w:val="64773E8B"/>
    <w:rsid w:val="647A1404"/>
    <w:rsid w:val="64817BBB"/>
    <w:rsid w:val="64825B13"/>
    <w:rsid w:val="648E5E86"/>
    <w:rsid w:val="648F5856"/>
    <w:rsid w:val="64A11B74"/>
    <w:rsid w:val="64A136EB"/>
    <w:rsid w:val="64A61E65"/>
    <w:rsid w:val="64A7688D"/>
    <w:rsid w:val="64A90252"/>
    <w:rsid w:val="64B269B3"/>
    <w:rsid w:val="64B675FC"/>
    <w:rsid w:val="64D54E81"/>
    <w:rsid w:val="64DB1422"/>
    <w:rsid w:val="64E0374B"/>
    <w:rsid w:val="64E27CFB"/>
    <w:rsid w:val="64E42F71"/>
    <w:rsid w:val="64E82E80"/>
    <w:rsid w:val="64F3079F"/>
    <w:rsid w:val="64F53496"/>
    <w:rsid w:val="64F63F6D"/>
    <w:rsid w:val="64F970F2"/>
    <w:rsid w:val="64FB1877"/>
    <w:rsid w:val="64FF7738"/>
    <w:rsid w:val="65065FFE"/>
    <w:rsid w:val="650C5A96"/>
    <w:rsid w:val="651542FF"/>
    <w:rsid w:val="65187157"/>
    <w:rsid w:val="6519693E"/>
    <w:rsid w:val="651B6829"/>
    <w:rsid w:val="65296A38"/>
    <w:rsid w:val="65315482"/>
    <w:rsid w:val="653A655C"/>
    <w:rsid w:val="653B1FA0"/>
    <w:rsid w:val="653D41DA"/>
    <w:rsid w:val="6545060B"/>
    <w:rsid w:val="65464604"/>
    <w:rsid w:val="656B66B1"/>
    <w:rsid w:val="656C3DE9"/>
    <w:rsid w:val="656C70BB"/>
    <w:rsid w:val="656E6FBD"/>
    <w:rsid w:val="65712386"/>
    <w:rsid w:val="657E0829"/>
    <w:rsid w:val="657E0F7E"/>
    <w:rsid w:val="65862F7B"/>
    <w:rsid w:val="658E536B"/>
    <w:rsid w:val="65941CDF"/>
    <w:rsid w:val="65975F64"/>
    <w:rsid w:val="659D0CE0"/>
    <w:rsid w:val="659D46FE"/>
    <w:rsid w:val="65A94CBC"/>
    <w:rsid w:val="65B3448C"/>
    <w:rsid w:val="65B64127"/>
    <w:rsid w:val="65BA2E48"/>
    <w:rsid w:val="65C2749E"/>
    <w:rsid w:val="65C343E8"/>
    <w:rsid w:val="65CC6B05"/>
    <w:rsid w:val="65D513CC"/>
    <w:rsid w:val="65DB1217"/>
    <w:rsid w:val="65DD09D2"/>
    <w:rsid w:val="65E24B3A"/>
    <w:rsid w:val="65E47E23"/>
    <w:rsid w:val="65E87914"/>
    <w:rsid w:val="65EB18D7"/>
    <w:rsid w:val="65EC2B68"/>
    <w:rsid w:val="65F003EF"/>
    <w:rsid w:val="65F01902"/>
    <w:rsid w:val="65F2153C"/>
    <w:rsid w:val="65F434E3"/>
    <w:rsid w:val="65FC4C4B"/>
    <w:rsid w:val="65FE3DF8"/>
    <w:rsid w:val="6604742D"/>
    <w:rsid w:val="660C13EE"/>
    <w:rsid w:val="660E7375"/>
    <w:rsid w:val="660F4720"/>
    <w:rsid w:val="66130B5A"/>
    <w:rsid w:val="66142C60"/>
    <w:rsid w:val="661A3CC3"/>
    <w:rsid w:val="66221C95"/>
    <w:rsid w:val="662F11D0"/>
    <w:rsid w:val="66350740"/>
    <w:rsid w:val="66353396"/>
    <w:rsid w:val="6638556B"/>
    <w:rsid w:val="663924BF"/>
    <w:rsid w:val="663C62B8"/>
    <w:rsid w:val="663E49E9"/>
    <w:rsid w:val="664371D5"/>
    <w:rsid w:val="665379B4"/>
    <w:rsid w:val="66585D15"/>
    <w:rsid w:val="66597AD2"/>
    <w:rsid w:val="666B6F5E"/>
    <w:rsid w:val="666F7012"/>
    <w:rsid w:val="66721A39"/>
    <w:rsid w:val="667276F9"/>
    <w:rsid w:val="6675447C"/>
    <w:rsid w:val="667911DE"/>
    <w:rsid w:val="667E46F7"/>
    <w:rsid w:val="667E6455"/>
    <w:rsid w:val="667F2783"/>
    <w:rsid w:val="66836371"/>
    <w:rsid w:val="66871409"/>
    <w:rsid w:val="66885971"/>
    <w:rsid w:val="668C3DF7"/>
    <w:rsid w:val="66923659"/>
    <w:rsid w:val="669704DA"/>
    <w:rsid w:val="669811B3"/>
    <w:rsid w:val="669B0CD5"/>
    <w:rsid w:val="66A333A0"/>
    <w:rsid w:val="66A61D32"/>
    <w:rsid w:val="66B00994"/>
    <w:rsid w:val="66B05B54"/>
    <w:rsid w:val="66B4739A"/>
    <w:rsid w:val="66B85C86"/>
    <w:rsid w:val="66B86633"/>
    <w:rsid w:val="66BA4B43"/>
    <w:rsid w:val="66C452A1"/>
    <w:rsid w:val="66C47D44"/>
    <w:rsid w:val="66D06B14"/>
    <w:rsid w:val="66D33358"/>
    <w:rsid w:val="66F07F4F"/>
    <w:rsid w:val="66F52C4A"/>
    <w:rsid w:val="66F5619E"/>
    <w:rsid w:val="67012D8E"/>
    <w:rsid w:val="670A3F93"/>
    <w:rsid w:val="671045D7"/>
    <w:rsid w:val="67177459"/>
    <w:rsid w:val="672970DD"/>
    <w:rsid w:val="672D01B0"/>
    <w:rsid w:val="672F61E3"/>
    <w:rsid w:val="6731529F"/>
    <w:rsid w:val="673436C1"/>
    <w:rsid w:val="673927D9"/>
    <w:rsid w:val="6739324D"/>
    <w:rsid w:val="674A23D4"/>
    <w:rsid w:val="674E4629"/>
    <w:rsid w:val="675200EC"/>
    <w:rsid w:val="6756299C"/>
    <w:rsid w:val="67581DCE"/>
    <w:rsid w:val="676E51F8"/>
    <w:rsid w:val="67745EE5"/>
    <w:rsid w:val="67831E38"/>
    <w:rsid w:val="67836697"/>
    <w:rsid w:val="6784531D"/>
    <w:rsid w:val="678D31FE"/>
    <w:rsid w:val="67973799"/>
    <w:rsid w:val="679F4257"/>
    <w:rsid w:val="679F4657"/>
    <w:rsid w:val="67A81998"/>
    <w:rsid w:val="67A839E7"/>
    <w:rsid w:val="67AA6120"/>
    <w:rsid w:val="67AF053E"/>
    <w:rsid w:val="67B06231"/>
    <w:rsid w:val="67B35BE4"/>
    <w:rsid w:val="67B424A8"/>
    <w:rsid w:val="67BC221B"/>
    <w:rsid w:val="67C63D78"/>
    <w:rsid w:val="67D05B05"/>
    <w:rsid w:val="67D22629"/>
    <w:rsid w:val="67DB2BFF"/>
    <w:rsid w:val="67E22128"/>
    <w:rsid w:val="67E57A1F"/>
    <w:rsid w:val="67E75256"/>
    <w:rsid w:val="67E759A9"/>
    <w:rsid w:val="67F54A69"/>
    <w:rsid w:val="6803648C"/>
    <w:rsid w:val="68050437"/>
    <w:rsid w:val="68091E76"/>
    <w:rsid w:val="68250A3B"/>
    <w:rsid w:val="68264723"/>
    <w:rsid w:val="68264756"/>
    <w:rsid w:val="682F3DE0"/>
    <w:rsid w:val="68361325"/>
    <w:rsid w:val="683F348E"/>
    <w:rsid w:val="68421E52"/>
    <w:rsid w:val="684340CE"/>
    <w:rsid w:val="685079F2"/>
    <w:rsid w:val="68525518"/>
    <w:rsid w:val="68555B92"/>
    <w:rsid w:val="685F7F7E"/>
    <w:rsid w:val="68600EFE"/>
    <w:rsid w:val="686343E6"/>
    <w:rsid w:val="686B51E0"/>
    <w:rsid w:val="687270C1"/>
    <w:rsid w:val="687428E3"/>
    <w:rsid w:val="687523CC"/>
    <w:rsid w:val="688A540D"/>
    <w:rsid w:val="68906504"/>
    <w:rsid w:val="68953657"/>
    <w:rsid w:val="689541A5"/>
    <w:rsid w:val="689D6255"/>
    <w:rsid w:val="68AE296E"/>
    <w:rsid w:val="68B3092E"/>
    <w:rsid w:val="68B51AD6"/>
    <w:rsid w:val="68B75E9E"/>
    <w:rsid w:val="68B7648F"/>
    <w:rsid w:val="68B86F87"/>
    <w:rsid w:val="68BE1452"/>
    <w:rsid w:val="68CF19F3"/>
    <w:rsid w:val="68D0468F"/>
    <w:rsid w:val="68D21D70"/>
    <w:rsid w:val="68D75BEC"/>
    <w:rsid w:val="68DA720A"/>
    <w:rsid w:val="68DB7720"/>
    <w:rsid w:val="68E74568"/>
    <w:rsid w:val="68EC4E79"/>
    <w:rsid w:val="68EE4EF6"/>
    <w:rsid w:val="68F3377A"/>
    <w:rsid w:val="68F46AF9"/>
    <w:rsid w:val="68F8253A"/>
    <w:rsid w:val="69014BBB"/>
    <w:rsid w:val="69035E41"/>
    <w:rsid w:val="69054F3E"/>
    <w:rsid w:val="690B1545"/>
    <w:rsid w:val="691837CF"/>
    <w:rsid w:val="691F08CC"/>
    <w:rsid w:val="6934678C"/>
    <w:rsid w:val="69396307"/>
    <w:rsid w:val="69445657"/>
    <w:rsid w:val="694A5A3C"/>
    <w:rsid w:val="694C4A7A"/>
    <w:rsid w:val="695017CA"/>
    <w:rsid w:val="69501D61"/>
    <w:rsid w:val="69527A38"/>
    <w:rsid w:val="695A33B4"/>
    <w:rsid w:val="695A7671"/>
    <w:rsid w:val="69643755"/>
    <w:rsid w:val="69693688"/>
    <w:rsid w:val="696937C8"/>
    <w:rsid w:val="696C085C"/>
    <w:rsid w:val="696D54E5"/>
    <w:rsid w:val="696F4C47"/>
    <w:rsid w:val="6970145F"/>
    <w:rsid w:val="697225E4"/>
    <w:rsid w:val="69847451"/>
    <w:rsid w:val="69875310"/>
    <w:rsid w:val="69894835"/>
    <w:rsid w:val="698A1F39"/>
    <w:rsid w:val="699456C0"/>
    <w:rsid w:val="699477EC"/>
    <w:rsid w:val="699548D1"/>
    <w:rsid w:val="699876D2"/>
    <w:rsid w:val="699C5463"/>
    <w:rsid w:val="699F0AEF"/>
    <w:rsid w:val="69A335D5"/>
    <w:rsid w:val="69A779ED"/>
    <w:rsid w:val="69AE0B74"/>
    <w:rsid w:val="69B045B6"/>
    <w:rsid w:val="69B83AA1"/>
    <w:rsid w:val="69BF0F41"/>
    <w:rsid w:val="69C43A34"/>
    <w:rsid w:val="69C67358"/>
    <w:rsid w:val="69C719CD"/>
    <w:rsid w:val="69D15D37"/>
    <w:rsid w:val="69DB16EA"/>
    <w:rsid w:val="69DF78A4"/>
    <w:rsid w:val="69E72733"/>
    <w:rsid w:val="69EF255F"/>
    <w:rsid w:val="69F36F0D"/>
    <w:rsid w:val="69F43DC6"/>
    <w:rsid w:val="69FF0432"/>
    <w:rsid w:val="69FF4825"/>
    <w:rsid w:val="6A0308B8"/>
    <w:rsid w:val="6A0310D1"/>
    <w:rsid w:val="6A03194F"/>
    <w:rsid w:val="6A0D25F5"/>
    <w:rsid w:val="6A0E716C"/>
    <w:rsid w:val="6A1F017A"/>
    <w:rsid w:val="6A204F5C"/>
    <w:rsid w:val="6A2A10C4"/>
    <w:rsid w:val="6A2B1B79"/>
    <w:rsid w:val="6A2B2B4A"/>
    <w:rsid w:val="6A2F530B"/>
    <w:rsid w:val="6A386990"/>
    <w:rsid w:val="6A3E4BD4"/>
    <w:rsid w:val="6A52613C"/>
    <w:rsid w:val="6A535578"/>
    <w:rsid w:val="6A572CE8"/>
    <w:rsid w:val="6A577583"/>
    <w:rsid w:val="6A585EF3"/>
    <w:rsid w:val="6A5A0898"/>
    <w:rsid w:val="6A5C2083"/>
    <w:rsid w:val="6A654C47"/>
    <w:rsid w:val="6A7757F6"/>
    <w:rsid w:val="6A7E38A4"/>
    <w:rsid w:val="6A833AC7"/>
    <w:rsid w:val="6A8D0247"/>
    <w:rsid w:val="6A9149C9"/>
    <w:rsid w:val="6A9232AC"/>
    <w:rsid w:val="6A9256FB"/>
    <w:rsid w:val="6A9A1F1D"/>
    <w:rsid w:val="6A9F5E5A"/>
    <w:rsid w:val="6AA562C1"/>
    <w:rsid w:val="6AAB0575"/>
    <w:rsid w:val="6AAB0660"/>
    <w:rsid w:val="6AAF437C"/>
    <w:rsid w:val="6AB02B1C"/>
    <w:rsid w:val="6AB26E61"/>
    <w:rsid w:val="6AB33D5E"/>
    <w:rsid w:val="6AB6007C"/>
    <w:rsid w:val="6AB93F5E"/>
    <w:rsid w:val="6ABA6C8B"/>
    <w:rsid w:val="6ABD151F"/>
    <w:rsid w:val="6AC64717"/>
    <w:rsid w:val="6ACD2C46"/>
    <w:rsid w:val="6ACE5D72"/>
    <w:rsid w:val="6AD10640"/>
    <w:rsid w:val="6AD459F9"/>
    <w:rsid w:val="6ADC6157"/>
    <w:rsid w:val="6ADE4784"/>
    <w:rsid w:val="6AE00180"/>
    <w:rsid w:val="6AE12D53"/>
    <w:rsid w:val="6AE14186"/>
    <w:rsid w:val="6AE173AB"/>
    <w:rsid w:val="6AE64046"/>
    <w:rsid w:val="6AE71BB0"/>
    <w:rsid w:val="6AE92051"/>
    <w:rsid w:val="6AF52F15"/>
    <w:rsid w:val="6AFC79BD"/>
    <w:rsid w:val="6AFD616C"/>
    <w:rsid w:val="6B0306BE"/>
    <w:rsid w:val="6B0C788F"/>
    <w:rsid w:val="6B0D1F0C"/>
    <w:rsid w:val="6B10322C"/>
    <w:rsid w:val="6B15563C"/>
    <w:rsid w:val="6B192EC5"/>
    <w:rsid w:val="6B227BF7"/>
    <w:rsid w:val="6B270312"/>
    <w:rsid w:val="6B357FB0"/>
    <w:rsid w:val="6B395428"/>
    <w:rsid w:val="6B3C69E0"/>
    <w:rsid w:val="6B416E32"/>
    <w:rsid w:val="6B4D1FC7"/>
    <w:rsid w:val="6B4F2DF4"/>
    <w:rsid w:val="6B512DDA"/>
    <w:rsid w:val="6B524E25"/>
    <w:rsid w:val="6B5D4694"/>
    <w:rsid w:val="6B765603"/>
    <w:rsid w:val="6B795934"/>
    <w:rsid w:val="6B7C5740"/>
    <w:rsid w:val="6B8F791B"/>
    <w:rsid w:val="6B910701"/>
    <w:rsid w:val="6B9827E5"/>
    <w:rsid w:val="6BA061BC"/>
    <w:rsid w:val="6BA06CFB"/>
    <w:rsid w:val="6BB027B3"/>
    <w:rsid w:val="6BB70E70"/>
    <w:rsid w:val="6BBB1626"/>
    <w:rsid w:val="6BC4164E"/>
    <w:rsid w:val="6BCA28D9"/>
    <w:rsid w:val="6BCA3DF0"/>
    <w:rsid w:val="6BD364C2"/>
    <w:rsid w:val="6BD504D3"/>
    <w:rsid w:val="6BD71CDA"/>
    <w:rsid w:val="6BDC46BD"/>
    <w:rsid w:val="6BDD183F"/>
    <w:rsid w:val="6BDD26E2"/>
    <w:rsid w:val="6BDF66C4"/>
    <w:rsid w:val="6BE02DF8"/>
    <w:rsid w:val="6BEC4FD0"/>
    <w:rsid w:val="6BEF6A4D"/>
    <w:rsid w:val="6BF064D7"/>
    <w:rsid w:val="6BF20309"/>
    <w:rsid w:val="6BF261A5"/>
    <w:rsid w:val="6C0B3D2F"/>
    <w:rsid w:val="6C103115"/>
    <w:rsid w:val="6C257AD2"/>
    <w:rsid w:val="6C2F687B"/>
    <w:rsid w:val="6C3311BD"/>
    <w:rsid w:val="6C3D5EC5"/>
    <w:rsid w:val="6C3F64D5"/>
    <w:rsid w:val="6C4C04D0"/>
    <w:rsid w:val="6C4D7940"/>
    <w:rsid w:val="6C517F32"/>
    <w:rsid w:val="6C5972E5"/>
    <w:rsid w:val="6C5C6379"/>
    <w:rsid w:val="6C662892"/>
    <w:rsid w:val="6C6B097E"/>
    <w:rsid w:val="6C6D5741"/>
    <w:rsid w:val="6C6E183C"/>
    <w:rsid w:val="6C6E7D09"/>
    <w:rsid w:val="6C737452"/>
    <w:rsid w:val="6C7F3972"/>
    <w:rsid w:val="6C7F5935"/>
    <w:rsid w:val="6C812F91"/>
    <w:rsid w:val="6C93096F"/>
    <w:rsid w:val="6C947BF6"/>
    <w:rsid w:val="6C967C41"/>
    <w:rsid w:val="6C986E01"/>
    <w:rsid w:val="6C9C5E7A"/>
    <w:rsid w:val="6CA1561F"/>
    <w:rsid w:val="6CA17491"/>
    <w:rsid w:val="6CA53208"/>
    <w:rsid w:val="6CA5764B"/>
    <w:rsid w:val="6CC058FB"/>
    <w:rsid w:val="6CD159BE"/>
    <w:rsid w:val="6CD37822"/>
    <w:rsid w:val="6CDD2F12"/>
    <w:rsid w:val="6CDD3626"/>
    <w:rsid w:val="6CE82E98"/>
    <w:rsid w:val="6CF05300"/>
    <w:rsid w:val="6CF16701"/>
    <w:rsid w:val="6CF3094C"/>
    <w:rsid w:val="6CF6765B"/>
    <w:rsid w:val="6D095F13"/>
    <w:rsid w:val="6D143417"/>
    <w:rsid w:val="6D15675C"/>
    <w:rsid w:val="6D1A327F"/>
    <w:rsid w:val="6D1F7993"/>
    <w:rsid w:val="6D322004"/>
    <w:rsid w:val="6D387617"/>
    <w:rsid w:val="6D490505"/>
    <w:rsid w:val="6D4C6D94"/>
    <w:rsid w:val="6D4E4C86"/>
    <w:rsid w:val="6D557468"/>
    <w:rsid w:val="6D650324"/>
    <w:rsid w:val="6D6C3102"/>
    <w:rsid w:val="6D703A36"/>
    <w:rsid w:val="6D7C25AD"/>
    <w:rsid w:val="6D8016C4"/>
    <w:rsid w:val="6D805458"/>
    <w:rsid w:val="6D822D14"/>
    <w:rsid w:val="6D837E49"/>
    <w:rsid w:val="6D8F7CB5"/>
    <w:rsid w:val="6D965D52"/>
    <w:rsid w:val="6DA0580B"/>
    <w:rsid w:val="6DAF3B53"/>
    <w:rsid w:val="6DB11175"/>
    <w:rsid w:val="6DB63E53"/>
    <w:rsid w:val="6DBE078A"/>
    <w:rsid w:val="6DBF7D57"/>
    <w:rsid w:val="6DC33829"/>
    <w:rsid w:val="6DC5024C"/>
    <w:rsid w:val="6DC764B9"/>
    <w:rsid w:val="6DCC5AFE"/>
    <w:rsid w:val="6DD44888"/>
    <w:rsid w:val="6DDB4580"/>
    <w:rsid w:val="6DDB632E"/>
    <w:rsid w:val="6DDF3E32"/>
    <w:rsid w:val="6DE4139C"/>
    <w:rsid w:val="6DE739C8"/>
    <w:rsid w:val="6DE873C4"/>
    <w:rsid w:val="6DF1369C"/>
    <w:rsid w:val="6DF20B60"/>
    <w:rsid w:val="6DF52321"/>
    <w:rsid w:val="6E01741A"/>
    <w:rsid w:val="6E052BCC"/>
    <w:rsid w:val="6E09562A"/>
    <w:rsid w:val="6E0B367A"/>
    <w:rsid w:val="6E1C3511"/>
    <w:rsid w:val="6E222164"/>
    <w:rsid w:val="6E222A62"/>
    <w:rsid w:val="6E2323B0"/>
    <w:rsid w:val="6E2406F8"/>
    <w:rsid w:val="6E312183"/>
    <w:rsid w:val="6E321B30"/>
    <w:rsid w:val="6E3229AF"/>
    <w:rsid w:val="6E441742"/>
    <w:rsid w:val="6E5034D8"/>
    <w:rsid w:val="6E5159ED"/>
    <w:rsid w:val="6E532EAE"/>
    <w:rsid w:val="6E616C35"/>
    <w:rsid w:val="6E632072"/>
    <w:rsid w:val="6E6566CE"/>
    <w:rsid w:val="6E675661"/>
    <w:rsid w:val="6E6B2869"/>
    <w:rsid w:val="6E6E2025"/>
    <w:rsid w:val="6E701BA1"/>
    <w:rsid w:val="6E74281A"/>
    <w:rsid w:val="6E743097"/>
    <w:rsid w:val="6E7526A3"/>
    <w:rsid w:val="6E837CE9"/>
    <w:rsid w:val="6E871DE3"/>
    <w:rsid w:val="6E890EF9"/>
    <w:rsid w:val="6E8B5354"/>
    <w:rsid w:val="6E9359C3"/>
    <w:rsid w:val="6E9F2D61"/>
    <w:rsid w:val="6EAA43AD"/>
    <w:rsid w:val="6EAC1208"/>
    <w:rsid w:val="6EAF1AC9"/>
    <w:rsid w:val="6EAF5C26"/>
    <w:rsid w:val="6EB00B85"/>
    <w:rsid w:val="6EB22C65"/>
    <w:rsid w:val="6EBF3DD9"/>
    <w:rsid w:val="6EC56C46"/>
    <w:rsid w:val="6ECB65EB"/>
    <w:rsid w:val="6ED8765D"/>
    <w:rsid w:val="6EDB5CED"/>
    <w:rsid w:val="6EDD74A1"/>
    <w:rsid w:val="6EDE48A4"/>
    <w:rsid w:val="6EEB7156"/>
    <w:rsid w:val="6EF12B77"/>
    <w:rsid w:val="6EF70BC7"/>
    <w:rsid w:val="6EFA289E"/>
    <w:rsid w:val="6EFC0496"/>
    <w:rsid w:val="6EFF5CCE"/>
    <w:rsid w:val="6F0022BD"/>
    <w:rsid w:val="6F045D2E"/>
    <w:rsid w:val="6F10106E"/>
    <w:rsid w:val="6F1B086F"/>
    <w:rsid w:val="6F212F57"/>
    <w:rsid w:val="6F230A3B"/>
    <w:rsid w:val="6F26531A"/>
    <w:rsid w:val="6F2F695D"/>
    <w:rsid w:val="6F315BA3"/>
    <w:rsid w:val="6F360EB5"/>
    <w:rsid w:val="6F3D2EB3"/>
    <w:rsid w:val="6F425B76"/>
    <w:rsid w:val="6F4A4871"/>
    <w:rsid w:val="6F566E5B"/>
    <w:rsid w:val="6F5778B8"/>
    <w:rsid w:val="6F5D2C2D"/>
    <w:rsid w:val="6F5E3BD1"/>
    <w:rsid w:val="6F6516F3"/>
    <w:rsid w:val="6F671DA0"/>
    <w:rsid w:val="6F714D27"/>
    <w:rsid w:val="6F794F08"/>
    <w:rsid w:val="6F7B3FB9"/>
    <w:rsid w:val="6F7E1338"/>
    <w:rsid w:val="6F805440"/>
    <w:rsid w:val="6F815003"/>
    <w:rsid w:val="6F87454A"/>
    <w:rsid w:val="6F8C7562"/>
    <w:rsid w:val="6F993D7A"/>
    <w:rsid w:val="6F9E14BE"/>
    <w:rsid w:val="6FA46D57"/>
    <w:rsid w:val="6FA52086"/>
    <w:rsid w:val="6FAE43C7"/>
    <w:rsid w:val="6FAE6FD6"/>
    <w:rsid w:val="6FB441B7"/>
    <w:rsid w:val="6FB708D1"/>
    <w:rsid w:val="6FB82DF0"/>
    <w:rsid w:val="6FC053E4"/>
    <w:rsid w:val="6FC36B76"/>
    <w:rsid w:val="6FC96C7A"/>
    <w:rsid w:val="6FD1192A"/>
    <w:rsid w:val="6FD81C81"/>
    <w:rsid w:val="6FE253D4"/>
    <w:rsid w:val="6FE47008"/>
    <w:rsid w:val="6FE76AA7"/>
    <w:rsid w:val="6FFB3A24"/>
    <w:rsid w:val="6FFF5BE2"/>
    <w:rsid w:val="700353F8"/>
    <w:rsid w:val="700B6F6A"/>
    <w:rsid w:val="700C65F0"/>
    <w:rsid w:val="70101D98"/>
    <w:rsid w:val="70124445"/>
    <w:rsid w:val="701971E1"/>
    <w:rsid w:val="701E08DD"/>
    <w:rsid w:val="70293611"/>
    <w:rsid w:val="702B59A5"/>
    <w:rsid w:val="70323507"/>
    <w:rsid w:val="7034017A"/>
    <w:rsid w:val="70340A76"/>
    <w:rsid w:val="7039670F"/>
    <w:rsid w:val="703B6D92"/>
    <w:rsid w:val="703C23C6"/>
    <w:rsid w:val="703D5393"/>
    <w:rsid w:val="7049103C"/>
    <w:rsid w:val="704D4170"/>
    <w:rsid w:val="704E4F2D"/>
    <w:rsid w:val="705E15CB"/>
    <w:rsid w:val="705E673A"/>
    <w:rsid w:val="70667E9D"/>
    <w:rsid w:val="706F3E17"/>
    <w:rsid w:val="707931B3"/>
    <w:rsid w:val="707A263B"/>
    <w:rsid w:val="707B2DD9"/>
    <w:rsid w:val="7087774D"/>
    <w:rsid w:val="708A4345"/>
    <w:rsid w:val="708A49A6"/>
    <w:rsid w:val="70A6241A"/>
    <w:rsid w:val="70AA7970"/>
    <w:rsid w:val="70B60D2C"/>
    <w:rsid w:val="70CC5871"/>
    <w:rsid w:val="70D52D70"/>
    <w:rsid w:val="70D94A29"/>
    <w:rsid w:val="70DB058B"/>
    <w:rsid w:val="70DC5D3C"/>
    <w:rsid w:val="70DF10C9"/>
    <w:rsid w:val="70F74943"/>
    <w:rsid w:val="70FE0AA4"/>
    <w:rsid w:val="7110675A"/>
    <w:rsid w:val="711202F2"/>
    <w:rsid w:val="711969F6"/>
    <w:rsid w:val="71271FD6"/>
    <w:rsid w:val="712B484D"/>
    <w:rsid w:val="713A5BD8"/>
    <w:rsid w:val="7145308A"/>
    <w:rsid w:val="71463FA0"/>
    <w:rsid w:val="71475807"/>
    <w:rsid w:val="7150038C"/>
    <w:rsid w:val="71535E5D"/>
    <w:rsid w:val="71564493"/>
    <w:rsid w:val="715E4405"/>
    <w:rsid w:val="7160352C"/>
    <w:rsid w:val="716166E4"/>
    <w:rsid w:val="71682CE2"/>
    <w:rsid w:val="716910AD"/>
    <w:rsid w:val="716B5684"/>
    <w:rsid w:val="7171496E"/>
    <w:rsid w:val="717F4621"/>
    <w:rsid w:val="71813981"/>
    <w:rsid w:val="71824559"/>
    <w:rsid w:val="71876421"/>
    <w:rsid w:val="7190488C"/>
    <w:rsid w:val="719763C1"/>
    <w:rsid w:val="71AA7A10"/>
    <w:rsid w:val="71AF474A"/>
    <w:rsid w:val="71B0505E"/>
    <w:rsid w:val="71B05742"/>
    <w:rsid w:val="71B154D1"/>
    <w:rsid w:val="71B7463E"/>
    <w:rsid w:val="71BA3CA2"/>
    <w:rsid w:val="71C55C09"/>
    <w:rsid w:val="71C57464"/>
    <w:rsid w:val="71C801AC"/>
    <w:rsid w:val="71CE6746"/>
    <w:rsid w:val="71D10718"/>
    <w:rsid w:val="71DD5FD7"/>
    <w:rsid w:val="71EE4C47"/>
    <w:rsid w:val="71F24B41"/>
    <w:rsid w:val="71FD29D5"/>
    <w:rsid w:val="71FF5B31"/>
    <w:rsid w:val="720753ED"/>
    <w:rsid w:val="720A114A"/>
    <w:rsid w:val="72185743"/>
    <w:rsid w:val="721A4208"/>
    <w:rsid w:val="72212765"/>
    <w:rsid w:val="722C2A2B"/>
    <w:rsid w:val="72332E93"/>
    <w:rsid w:val="72353514"/>
    <w:rsid w:val="723A241E"/>
    <w:rsid w:val="72421F01"/>
    <w:rsid w:val="72431997"/>
    <w:rsid w:val="724D1107"/>
    <w:rsid w:val="725324C2"/>
    <w:rsid w:val="725400DF"/>
    <w:rsid w:val="7258416A"/>
    <w:rsid w:val="725E1ED9"/>
    <w:rsid w:val="72635703"/>
    <w:rsid w:val="72671B3E"/>
    <w:rsid w:val="72685C56"/>
    <w:rsid w:val="72691595"/>
    <w:rsid w:val="727464FF"/>
    <w:rsid w:val="7275116B"/>
    <w:rsid w:val="727521BA"/>
    <w:rsid w:val="72847C23"/>
    <w:rsid w:val="7289422C"/>
    <w:rsid w:val="728A4658"/>
    <w:rsid w:val="728C3FF7"/>
    <w:rsid w:val="728E3854"/>
    <w:rsid w:val="72932669"/>
    <w:rsid w:val="72A77324"/>
    <w:rsid w:val="72AD097C"/>
    <w:rsid w:val="72B60761"/>
    <w:rsid w:val="72B8292C"/>
    <w:rsid w:val="72BE7342"/>
    <w:rsid w:val="72BF265D"/>
    <w:rsid w:val="72C1331D"/>
    <w:rsid w:val="72CC3FB4"/>
    <w:rsid w:val="72D027B4"/>
    <w:rsid w:val="72D10108"/>
    <w:rsid w:val="72D3008E"/>
    <w:rsid w:val="72D341E1"/>
    <w:rsid w:val="72DB1BDA"/>
    <w:rsid w:val="72E810A9"/>
    <w:rsid w:val="72E946C6"/>
    <w:rsid w:val="72EB4EF5"/>
    <w:rsid w:val="72EE23A5"/>
    <w:rsid w:val="72F17E54"/>
    <w:rsid w:val="72F94F07"/>
    <w:rsid w:val="72FF004B"/>
    <w:rsid w:val="73002B4A"/>
    <w:rsid w:val="73041A30"/>
    <w:rsid w:val="73085335"/>
    <w:rsid w:val="731E2BC7"/>
    <w:rsid w:val="73225C7A"/>
    <w:rsid w:val="73243F55"/>
    <w:rsid w:val="73257351"/>
    <w:rsid w:val="73306F6C"/>
    <w:rsid w:val="7337589F"/>
    <w:rsid w:val="73380D80"/>
    <w:rsid w:val="733B2A56"/>
    <w:rsid w:val="734357EA"/>
    <w:rsid w:val="73480340"/>
    <w:rsid w:val="734873FD"/>
    <w:rsid w:val="73487BBA"/>
    <w:rsid w:val="734939BC"/>
    <w:rsid w:val="734E64C0"/>
    <w:rsid w:val="73532ACA"/>
    <w:rsid w:val="7358234B"/>
    <w:rsid w:val="73645854"/>
    <w:rsid w:val="736C4BBB"/>
    <w:rsid w:val="736E5323"/>
    <w:rsid w:val="73754AE7"/>
    <w:rsid w:val="73773AD5"/>
    <w:rsid w:val="737A5BF2"/>
    <w:rsid w:val="738C71DC"/>
    <w:rsid w:val="738D53C5"/>
    <w:rsid w:val="73A50389"/>
    <w:rsid w:val="73A6730C"/>
    <w:rsid w:val="73A868AC"/>
    <w:rsid w:val="73AB5CD8"/>
    <w:rsid w:val="73AD5CF9"/>
    <w:rsid w:val="73AF6DAD"/>
    <w:rsid w:val="73B503E9"/>
    <w:rsid w:val="73B94F56"/>
    <w:rsid w:val="73B9586A"/>
    <w:rsid w:val="73BF216A"/>
    <w:rsid w:val="73C043F9"/>
    <w:rsid w:val="73CA1A4F"/>
    <w:rsid w:val="73DB460F"/>
    <w:rsid w:val="73E41DA0"/>
    <w:rsid w:val="73E5056C"/>
    <w:rsid w:val="73EB686F"/>
    <w:rsid w:val="73EE31D0"/>
    <w:rsid w:val="73F85799"/>
    <w:rsid w:val="73FC02E5"/>
    <w:rsid w:val="740018F2"/>
    <w:rsid w:val="7407611E"/>
    <w:rsid w:val="740A5F5D"/>
    <w:rsid w:val="74152268"/>
    <w:rsid w:val="74165DD5"/>
    <w:rsid w:val="741D2E7E"/>
    <w:rsid w:val="742D5B94"/>
    <w:rsid w:val="742E0EF1"/>
    <w:rsid w:val="743E0CE9"/>
    <w:rsid w:val="744659F8"/>
    <w:rsid w:val="744D719A"/>
    <w:rsid w:val="745011EF"/>
    <w:rsid w:val="7450324C"/>
    <w:rsid w:val="74600D1E"/>
    <w:rsid w:val="74617B54"/>
    <w:rsid w:val="746607EB"/>
    <w:rsid w:val="7469274D"/>
    <w:rsid w:val="74694DCB"/>
    <w:rsid w:val="74752ADC"/>
    <w:rsid w:val="74835824"/>
    <w:rsid w:val="748A520F"/>
    <w:rsid w:val="748B24F6"/>
    <w:rsid w:val="748D2F76"/>
    <w:rsid w:val="748D4D09"/>
    <w:rsid w:val="74960341"/>
    <w:rsid w:val="74A24942"/>
    <w:rsid w:val="74B12BC9"/>
    <w:rsid w:val="74B73F2E"/>
    <w:rsid w:val="74B9480F"/>
    <w:rsid w:val="74B97A40"/>
    <w:rsid w:val="74CF51B4"/>
    <w:rsid w:val="74D62E2A"/>
    <w:rsid w:val="74DB71D0"/>
    <w:rsid w:val="74DD00C9"/>
    <w:rsid w:val="74E14CE6"/>
    <w:rsid w:val="74F907AE"/>
    <w:rsid w:val="74FE3FF3"/>
    <w:rsid w:val="75070FC5"/>
    <w:rsid w:val="750822FF"/>
    <w:rsid w:val="750F49C7"/>
    <w:rsid w:val="7510064F"/>
    <w:rsid w:val="75145563"/>
    <w:rsid w:val="751D2A0A"/>
    <w:rsid w:val="752948F3"/>
    <w:rsid w:val="75361388"/>
    <w:rsid w:val="753A4CDB"/>
    <w:rsid w:val="753B72B1"/>
    <w:rsid w:val="753D1E39"/>
    <w:rsid w:val="753F0F2E"/>
    <w:rsid w:val="753F43A6"/>
    <w:rsid w:val="75406BCB"/>
    <w:rsid w:val="7542675B"/>
    <w:rsid w:val="754348D3"/>
    <w:rsid w:val="754B46BC"/>
    <w:rsid w:val="75502DDF"/>
    <w:rsid w:val="755D0FB0"/>
    <w:rsid w:val="755F6FA4"/>
    <w:rsid w:val="75612737"/>
    <w:rsid w:val="75691EBD"/>
    <w:rsid w:val="756F149C"/>
    <w:rsid w:val="75731438"/>
    <w:rsid w:val="757C5EA0"/>
    <w:rsid w:val="757D6E87"/>
    <w:rsid w:val="758306C1"/>
    <w:rsid w:val="758E7F4B"/>
    <w:rsid w:val="75921035"/>
    <w:rsid w:val="75923943"/>
    <w:rsid w:val="75993311"/>
    <w:rsid w:val="759A405B"/>
    <w:rsid w:val="759B6E5E"/>
    <w:rsid w:val="759F30E3"/>
    <w:rsid w:val="75A52AE1"/>
    <w:rsid w:val="75AB281A"/>
    <w:rsid w:val="75AB2CE0"/>
    <w:rsid w:val="75AE200F"/>
    <w:rsid w:val="75AF6792"/>
    <w:rsid w:val="75B03F87"/>
    <w:rsid w:val="75BA5F45"/>
    <w:rsid w:val="75C0577E"/>
    <w:rsid w:val="75C62C1B"/>
    <w:rsid w:val="75CA20AA"/>
    <w:rsid w:val="75CD5603"/>
    <w:rsid w:val="75CD5E65"/>
    <w:rsid w:val="75D37EB4"/>
    <w:rsid w:val="75DC4E4E"/>
    <w:rsid w:val="75DF0EBA"/>
    <w:rsid w:val="75E37409"/>
    <w:rsid w:val="75E76E60"/>
    <w:rsid w:val="75E840CF"/>
    <w:rsid w:val="75E9497A"/>
    <w:rsid w:val="75EE3DE9"/>
    <w:rsid w:val="75EF708E"/>
    <w:rsid w:val="75F12252"/>
    <w:rsid w:val="75F87907"/>
    <w:rsid w:val="75F92B35"/>
    <w:rsid w:val="76013A8C"/>
    <w:rsid w:val="7606583F"/>
    <w:rsid w:val="760C5360"/>
    <w:rsid w:val="7612331F"/>
    <w:rsid w:val="761245C7"/>
    <w:rsid w:val="76144115"/>
    <w:rsid w:val="76155DFB"/>
    <w:rsid w:val="76182424"/>
    <w:rsid w:val="761C0595"/>
    <w:rsid w:val="761D1FD6"/>
    <w:rsid w:val="762D01A4"/>
    <w:rsid w:val="763D7808"/>
    <w:rsid w:val="763F764C"/>
    <w:rsid w:val="764171F3"/>
    <w:rsid w:val="7657262E"/>
    <w:rsid w:val="765D5ADB"/>
    <w:rsid w:val="766B70F0"/>
    <w:rsid w:val="766F4106"/>
    <w:rsid w:val="767074AE"/>
    <w:rsid w:val="7672732D"/>
    <w:rsid w:val="767353FC"/>
    <w:rsid w:val="76757EEE"/>
    <w:rsid w:val="767B4BA8"/>
    <w:rsid w:val="767C7BD2"/>
    <w:rsid w:val="767F20B9"/>
    <w:rsid w:val="768002AF"/>
    <w:rsid w:val="76862D87"/>
    <w:rsid w:val="76867411"/>
    <w:rsid w:val="768E301E"/>
    <w:rsid w:val="769833A6"/>
    <w:rsid w:val="76983579"/>
    <w:rsid w:val="76AA2387"/>
    <w:rsid w:val="76B05AAE"/>
    <w:rsid w:val="76B30BDA"/>
    <w:rsid w:val="76B904ED"/>
    <w:rsid w:val="76BD73F0"/>
    <w:rsid w:val="76C43FE0"/>
    <w:rsid w:val="76C60A4B"/>
    <w:rsid w:val="76D51599"/>
    <w:rsid w:val="76D53DA3"/>
    <w:rsid w:val="76DD7F68"/>
    <w:rsid w:val="76DE7F3C"/>
    <w:rsid w:val="76DF06AC"/>
    <w:rsid w:val="76E8512C"/>
    <w:rsid w:val="76F6245B"/>
    <w:rsid w:val="76F63B70"/>
    <w:rsid w:val="76FE6937"/>
    <w:rsid w:val="77062A42"/>
    <w:rsid w:val="770F0CBA"/>
    <w:rsid w:val="77185996"/>
    <w:rsid w:val="77307C1A"/>
    <w:rsid w:val="773504DF"/>
    <w:rsid w:val="77360407"/>
    <w:rsid w:val="77371CE1"/>
    <w:rsid w:val="77396EC3"/>
    <w:rsid w:val="77417511"/>
    <w:rsid w:val="77465EDF"/>
    <w:rsid w:val="77497F62"/>
    <w:rsid w:val="774A4B86"/>
    <w:rsid w:val="774D0359"/>
    <w:rsid w:val="77504C08"/>
    <w:rsid w:val="775F113F"/>
    <w:rsid w:val="77625C8A"/>
    <w:rsid w:val="77692950"/>
    <w:rsid w:val="776A1DED"/>
    <w:rsid w:val="777B5C3F"/>
    <w:rsid w:val="777C610E"/>
    <w:rsid w:val="778547E6"/>
    <w:rsid w:val="77892900"/>
    <w:rsid w:val="778B6D15"/>
    <w:rsid w:val="7792058C"/>
    <w:rsid w:val="77921744"/>
    <w:rsid w:val="77967594"/>
    <w:rsid w:val="779A4C08"/>
    <w:rsid w:val="779C4B7D"/>
    <w:rsid w:val="77A02803"/>
    <w:rsid w:val="77A13495"/>
    <w:rsid w:val="77A61C12"/>
    <w:rsid w:val="77AA5CF6"/>
    <w:rsid w:val="77B358A8"/>
    <w:rsid w:val="77BF5FFA"/>
    <w:rsid w:val="77C026D2"/>
    <w:rsid w:val="77D06D79"/>
    <w:rsid w:val="77D84856"/>
    <w:rsid w:val="77E66914"/>
    <w:rsid w:val="77FA205E"/>
    <w:rsid w:val="77FB6D57"/>
    <w:rsid w:val="77FF5C6D"/>
    <w:rsid w:val="780654C9"/>
    <w:rsid w:val="78071006"/>
    <w:rsid w:val="780822B8"/>
    <w:rsid w:val="780C70CC"/>
    <w:rsid w:val="78140659"/>
    <w:rsid w:val="781B3883"/>
    <w:rsid w:val="781F18B1"/>
    <w:rsid w:val="781F615A"/>
    <w:rsid w:val="78217277"/>
    <w:rsid w:val="784113AE"/>
    <w:rsid w:val="78474AA4"/>
    <w:rsid w:val="78474CF0"/>
    <w:rsid w:val="78475F0F"/>
    <w:rsid w:val="784A17B9"/>
    <w:rsid w:val="78541CFA"/>
    <w:rsid w:val="785D2D53"/>
    <w:rsid w:val="785F5B4E"/>
    <w:rsid w:val="786448B8"/>
    <w:rsid w:val="786B1968"/>
    <w:rsid w:val="786C7C03"/>
    <w:rsid w:val="787640E0"/>
    <w:rsid w:val="787C09B4"/>
    <w:rsid w:val="787F1F9A"/>
    <w:rsid w:val="7882263E"/>
    <w:rsid w:val="78847DF0"/>
    <w:rsid w:val="78857244"/>
    <w:rsid w:val="788A3F5E"/>
    <w:rsid w:val="789B739E"/>
    <w:rsid w:val="789C22EE"/>
    <w:rsid w:val="789D1D08"/>
    <w:rsid w:val="78A30118"/>
    <w:rsid w:val="78AA507B"/>
    <w:rsid w:val="78B538D6"/>
    <w:rsid w:val="78B60E74"/>
    <w:rsid w:val="78BB4E05"/>
    <w:rsid w:val="78C31E32"/>
    <w:rsid w:val="78C87131"/>
    <w:rsid w:val="78C96064"/>
    <w:rsid w:val="78CD48D3"/>
    <w:rsid w:val="78D12F30"/>
    <w:rsid w:val="78D53544"/>
    <w:rsid w:val="78DF4426"/>
    <w:rsid w:val="78EE2893"/>
    <w:rsid w:val="78EF207D"/>
    <w:rsid w:val="78F75557"/>
    <w:rsid w:val="79000D64"/>
    <w:rsid w:val="790C6B53"/>
    <w:rsid w:val="79101A72"/>
    <w:rsid w:val="791C338B"/>
    <w:rsid w:val="791D359B"/>
    <w:rsid w:val="79295AF4"/>
    <w:rsid w:val="79333E02"/>
    <w:rsid w:val="79443E97"/>
    <w:rsid w:val="79475917"/>
    <w:rsid w:val="79477DD7"/>
    <w:rsid w:val="79490307"/>
    <w:rsid w:val="794E169F"/>
    <w:rsid w:val="79557157"/>
    <w:rsid w:val="795D1806"/>
    <w:rsid w:val="795D6215"/>
    <w:rsid w:val="79607369"/>
    <w:rsid w:val="796E67E1"/>
    <w:rsid w:val="797C4859"/>
    <w:rsid w:val="797D616D"/>
    <w:rsid w:val="79807949"/>
    <w:rsid w:val="7987049F"/>
    <w:rsid w:val="798F205B"/>
    <w:rsid w:val="7993435B"/>
    <w:rsid w:val="79A708D8"/>
    <w:rsid w:val="79BE1F5C"/>
    <w:rsid w:val="79BF22E2"/>
    <w:rsid w:val="79C1402B"/>
    <w:rsid w:val="79C70918"/>
    <w:rsid w:val="79D35AC0"/>
    <w:rsid w:val="79DA2DBD"/>
    <w:rsid w:val="79DC0C72"/>
    <w:rsid w:val="79DF5429"/>
    <w:rsid w:val="79E17065"/>
    <w:rsid w:val="79E45726"/>
    <w:rsid w:val="79EF435C"/>
    <w:rsid w:val="79F17661"/>
    <w:rsid w:val="79F715FE"/>
    <w:rsid w:val="79FC457E"/>
    <w:rsid w:val="7A001FA2"/>
    <w:rsid w:val="7A010B37"/>
    <w:rsid w:val="7A0E5FCE"/>
    <w:rsid w:val="7A1106CF"/>
    <w:rsid w:val="7A122F34"/>
    <w:rsid w:val="7A153620"/>
    <w:rsid w:val="7A172FAA"/>
    <w:rsid w:val="7A1A043C"/>
    <w:rsid w:val="7A1F3ED7"/>
    <w:rsid w:val="7A231B5B"/>
    <w:rsid w:val="7A2528D9"/>
    <w:rsid w:val="7A26586C"/>
    <w:rsid w:val="7A2E61D0"/>
    <w:rsid w:val="7A2F428A"/>
    <w:rsid w:val="7A32134D"/>
    <w:rsid w:val="7A342BA2"/>
    <w:rsid w:val="7A364D66"/>
    <w:rsid w:val="7A414293"/>
    <w:rsid w:val="7A420297"/>
    <w:rsid w:val="7A49191A"/>
    <w:rsid w:val="7A4A1825"/>
    <w:rsid w:val="7A4E4644"/>
    <w:rsid w:val="7A554231"/>
    <w:rsid w:val="7A5C690A"/>
    <w:rsid w:val="7A693221"/>
    <w:rsid w:val="7A812789"/>
    <w:rsid w:val="7A841668"/>
    <w:rsid w:val="7A8C32BD"/>
    <w:rsid w:val="7A8D418E"/>
    <w:rsid w:val="7A8F5017"/>
    <w:rsid w:val="7A933BB6"/>
    <w:rsid w:val="7A997E53"/>
    <w:rsid w:val="7A9D14DC"/>
    <w:rsid w:val="7AA25CE2"/>
    <w:rsid w:val="7AA35FF4"/>
    <w:rsid w:val="7AA76657"/>
    <w:rsid w:val="7AAB1405"/>
    <w:rsid w:val="7AB03669"/>
    <w:rsid w:val="7AB14A87"/>
    <w:rsid w:val="7AB4796D"/>
    <w:rsid w:val="7AB90823"/>
    <w:rsid w:val="7ABB519F"/>
    <w:rsid w:val="7ABD397C"/>
    <w:rsid w:val="7ABE32DF"/>
    <w:rsid w:val="7AC32807"/>
    <w:rsid w:val="7ACB41FD"/>
    <w:rsid w:val="7ACD00CD"/>
    <w:rsid w:val="7AD54757"/>
    <w:rsid w:val="7ADB58FD"/>
    <w:rsid w:val="7AE53BB1"/>
    <w:rsid w:val="7AEB4686"/>
    <w:rsid w:val="7B0F6249"/>
    <w:rsid w:val="7B104161"/>
    <w:rsid w:val="7B104C96"/>
    <w:rsid w:val="7B167A21"/>
    <w:rsid w:val="7B1975E6"/>
    <w:rsid w:val="7B1F78B3"/>
    <w:rsid w:val="7B292E7C"/>
    <w:rsid w:val="7B360837"/>
    <w:rsid w:val="7B450F0D"/>
    <w:rsid w:val="7B481FEF"/>
    <w:rsid w:val="7B585252"/>
    <w:rsid w:val="7B5D69B0"/>
    <w:rsid w:val="7B5E2180"/>
    <w:rsid w:val="7B61014D"/>
    <w:rsid w:val="7B6451DA"/>
    <w:rsid w:val="7B6A4A95"/>
    <w:rsid w:val="7B6B5252"/>
    <w:rsid w:val="7B6B5882"/>
    <w:rsid w:val="7B703C65"/>
    <w:rsid w:val="7B7D3EED"/>
    <w:rsid w:val="7B811F45"/>
    <w:rsid w:val="7B841933"/>
    <w:rsid w:val="7B8A76FE"/>
    <w:rsid w:val="7B8D0AB9"/>
    <w:rsid w:val="7B9B4F67"/>
    <w:rsid w:val="7BB178C8"/>
    <w:rsid w:val="7BB86EAB"/>
    <w:rsid w:val="7BBA2092"/>
    <w:rsid w:val="7BCA1E27"/>
    <w:rsid w:val="7BCF0701"/>
    <w:rsid w:val="7BD27FE6"/>
    <w:rsid w:val="7BE266EE"/>
    <w:rsid w:val="7BE9578E"/>
    <w:rsid w:val="7BF04735"/>
    <w:rsid w:val="7BF92C36"/>
    <w:rsid w:val="7C0673CB"/>
    <w:rsid w:val="7C0B3F04"/>
    <w:rsid w:val="7C0F60C1"/>
    <w:rsid w:val="7C10151B"/>
    <w:rsid w:val="7C1059A0"/>
    <w:rsid w:val="7C112C77"/>
    <w:rsid w:val="7C2B3E25"/>
    <w:rsid w:val="7C3200DA"/>
    <w:rsid w:val="7C33164A"/>
    <w:rsid w:val="7C3931AE"/>
    <w:rsid w:val="7C3B3F95"/>
    <w:rsid w:val="7C4941DB"/>
    <w:rsid w:val="7C570B9F"/>
    <w:rsid w:val="7C5B6D85"/>
    <w:rsid w:val="7C6072CD"/>
    <w:rsid w:val="7C6158D2"/>
    <w:rsid w:val="7C645576"/>
    <w:rsid w:val="7C6478EB"/>
    <w:rsid w:val="7C7B466F"/>
    <w:rsid w:val="7C84158F"/>
    <w:rsid w:val="7C8645F1"/>
    <w:rsid w:val="7C865830"/>
    <w:rsid w:val="7C8A7B34"/>
    <w:rsid w:val="7C8F0D2A"/>
    <w:rsid w:val="7C967288"/>
    <w:rsid w:val="7C9858B3"/>
    <w:rsid w:val="7C9C46F6"/>
    <w:rsid w:val="7C9C5C7D"/>
    <w:rsid w:val="7CA0185C"/>
    <w:rsid w:val="7CA46E82"/>
    <w:rsid w:val="7CAF1A9E"/>
    <w:rsid w:val="7CB53556"/>
    <w:rsid w:val="7CB9777E"/>
    <w:rsid w:val="7CBE0F77"/>
    <w:rsid w:val="7CC86F59"/>
    <w:rsid w:val="7CC958B3"/>
    <w:rsid w:val="7CD6521B"/>
    <w:rsid w:val="7CDD7B09"/>
    <w:rsid w:val="7CE53E9F"/>
    <w:rsid w:val="7CE9125C"/>
    <w:rsid w:val="7CED11E6"/>
    <w:rsid w:val="7CEF602B"/>
    <w:rsid w:val="7CF25A8D"/>
    <w:rsid w:val="7CF65A5F"/>
    <w:rsid w:val="7D084433"/>
    <w:rsid w:val="7D150698"/>
    <w:rsid w:val="7D1A4E6C"/>
    <w:rsid w:val="7D1C5D5F"/>
    <w:rsid w:val="7D2109C3"/>
    <w:rsid w:val="7D225D18"/>
    <w:rsid w:val="7D246D1F"/>
    <w:rsid w:val="7D251A83"/>
    <w:rsid w:val="7D27550B"/>
    <w:rsid w:val="7D28479B"/>
    <w:rsid w:val="7D294F2C"/>
    <w:rsid w:val="7D2C3EB8"/>
    <w:rsid w:val="7D306EF0"/>
    <w:rsid w:val="7D356BD2"/>
    <w:rsid w:val="7D3827B6"/>
    <w:rsid w:val="7D3D4246"/>
    <w:rsid w:val="7D4274B2"/>
    <w:rsid w:val="7D4B4365"/>
    <w:rsid w:val="7D5F5A7F"/>
    <w:rsid w:val="7D6140F7"/>
    <w:rsid w:val="7D626F1A"/>
    <w:rsid w:val="7D6B3726"/>
    <w:rsid w:val="7D6E38E5"/>
    <w:rsid w:val="7D7916AA"/>
    <w:rsid w:val="7D7C6613"/>
    <w:rsid w:val="7D811781"/>
    <w:rsid w:val="7D9C573E"/>
    <w:rsid w:val="7D9F1868"/>
    <w:rsid w:val="7D9F4D83"/>
    <w:rsid w:val="7DA37DB4"/>
    <w:rsid w:val="7DA42327"/>
    <w:rsid w:val="7DA8522E"/>
    <w:rsid w:val="7DAC1149"/>
    <w:rsid w:val="7DB54128"/>
    <w:rsid w:val="7DC50538"/>
    <w:rsid w:val="7DC720AD"/>
    <w:rsid w:val="7DCB72B9"/>
    <w:rsid w:val="7DD308F9"/>
    <w:rsid w:val="7DD32B47"/>
    <w:rsid w:val="7DD706F6"/>
    <w:rsid w:val="7DDA4461"/>
    <w:rsid w:val="7DE36997"/>
    <w:rsid w:val="7DE43BA2"/>
    <w:rsid w:val="7DEC142F"/>
    <w:rsid w:val="7DEC7907"/>
    <w:rsid w:val="7DED0ADA"/>
    <w:rsid w:val="7DF13618"/>
    <w:rsid w:val="7DF26A78"/>
    <w:rsid w:val="7DF52776"/>
    <w:rsid w:val="7DFC5680"/>
    <w:rsid w:val="7DFC74B7"/>
    <w:rsid w:val="7DFD6251"/>
    <w:rsid w:val="7E026C41"/>
    <w:rsid w:val="7E046E5D"/>
    <w:rsid w:val="7E0A34B4"/>
    <w:rsid w:val="7E0B2D79"/>
    <w:rsid w:val="7E0D7CEB"/>
    <w:rsid w:val="7E12009E"/>
    <w:rsid w:val="7E131227"/>
    <w:rsid w:val="7E15008C"/>
    <w:rsid w:val="7E1556B2"/>
    <w:rsid w:val="7E175442"/>
    <w:rsid w:val="7E1E3D4A"/>
    <w:rsid w:val="7E20037D"/>
    <w:rsid w:val="7E261F19"/>
    <w:rsid w:val="7E2B4867"/>
    <w:rsid w:val="7E2F4658"/>
    <w:rsid w:val="7E333A34"/>
    <w:rsid w:val="7E3E6C40"/>
    <w:rsid w:val="7E48012E"/>
    <w:rsid w:val="7E502367"/>
    <w:rsid w:val="7E591E8C"/>
    <w:rsid w:val="7E5D0F66"/>
    <w:rsid w:val="7E604EAB"/>
    <w:rsid w:val="7E6436D9"/>
    <w:rsid w:val="7E645D1F"/>
    <w:rsid w:val="7E66496E"/>
    <w:rsid w:val="7E6712B9"/>
    <w:rsid w:val="7E6818D0"/>
    <w:rsid w:val="7E6B746E"/>
    <w:rsid w:val="7E6C5AF4"/>
    <w:rsid w:val="7E714749"/>
    <w:rsid w:val="7E722019"/>
    <w:rsid w:val="7E736D77"/>
    <w:rsid w:val="7E851755"/>
    <w:rsid w:val="7E8F71DD"/>
    <w:rsid w:val="7E9006F1"/>
    <w:rsid w:val="7EA475EB"/>
    <w:rsid w:val="7EA50F1F"/>
    <w:rsid w:val="7EA5419C"/>
    <w:rsid w:val="7EA61839"/>
    <w:rsid w:val="7EAC2109"/>
    <w:rsid w:val="7EB06A44"/>
    <w:rsid w:val="7EB423A0"/>
    <w:rsid w:val="7EC42623"/>
    <w:rsid w:val="7EC42E50"/>
    <w:rsid w:val="7EC761DE"/>
    <w:rsid w:val="7EC7671E"/>
    <w:rsid w:val="7EC9775F"/>
    <w:rsid w:val="7ED12F69"/>
    <w:rsid w:val="7ED86ABB"/>
    <w:rsid w:val="7EDD7FCC"/>
    <w:rsid w:val="7EE8763B"/>
    <w:rsid w:val="7EEB692F"/>
    <w:rsid w:val="7EEC7C14"/>
    <w:rsid w:val="7EF2690C"/>
    <w:rsid w:val="7EF41353"/>
    <w:rsid w:val="7EF67910"/>
    <w:rsid w:val="7EFD6526"/>
    <w:rsid w:val="7F023750"/>
    <w:rsid w:val="7F032E80"/>
    <w:rsid w:val="7F0744C6"/>
    <w:rsid w:val="7F0A59FF"/>
    <w:rsid w:val="7F1629A1"/>
    <w:rsid w:val="7F180E39"/>
    <w:rsid w:val="7F1D43A7"/>
    <w:rsid w:val="7F25708B"/>
    <w:rsid w:val="7F257C12"/>
    <w:rsid w:val="7F2B7D50"/>
    <w:rsid w:val="7F2C0419"/>
    <w:rsid w:val="7F2C65EC"/>
    <w:rsid w:val="7F2F5774"/>
    <w:rsid w:val="7F3D27A1"/>
    <w:rsid w:val="7F3E14BF"/>
    <w:rsid w:val="7F4A6AF1"/>
    <w:rsid w:val="7F4D38DF"/>
    <w:rsid w:val="7F4F161C"/>
    <w:rsid w:val="7F50650B"/>
    <w:rsid w:val="7F583739"/>
    <w:rsid w:val="7F5B5D33"/>
    <w:rsid w:val="7F665E45"/>
    <w:rsid w:val="7F694F03"/>
    <w:rsid w:val="7F7C5289"/>
    <w:rsid w:val="7F846D22"/>
    <w:rsid w:val="7F850111"/>
    <w:rsid w:val="7F8830BD"/>
    <w:rsid w:val="7F8B1F0B"/>
    <w:rsid w:val="7F8E7E48"/>
    <w:rsid w:val="7F970D61"/>
    <w:rsid w:val="7F986B3B"/>
    <w:rsid w:val="7F9B559F"/>
    <w:rsid w:val="7FA749A7"/>
    <w:rsid w:val="7FA94B27"/>
    <w:rsid w:val="7FB02BC9"/>
    <w:rsid w:val="7FB1700B"/>
    <w:rsid w:val="7FB4708E"/>
    <w:rsid w:val="7FB816ED"/>
    <w:rsid w:val="7FBB7145"/>
    <w:rsid w:val="7FBF7EF1"/>
    <w:rsid w:val="7FC40F73"/>
    <w:rsid w:val="7FD02C91"/>
    <w:rsid w:val="7FDB7EC5"/>
    <w:rsid w:val="7FE24F7C"/>
    <w:rsid w:val="7FE717B3"/>
    <w:rsid w:val="7FEB3640"/>
    <w:rsid w:val="7FF60A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name="HTML Acronym"/>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ocked="1"/>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49"/>
    <w:autoRedefine/>
    <w:qFormat/>
    <w:uiPriority w:val="99"/>
    <w:pPr>
      <w:keepNext/>
      <w:keepLines/>
      <w:outlineLvl w:val="1"/>
    </w:pPr>
    <w:rPr>
      <w:rFonts w:ascii="Cambria" w:hAnsi="Cambria"/>
      <w:b/>
      <w:bCs/>
      <w:sz w:val="30"/>
      <w:szCs w:val="32"/>
    </w:rPr>
  </w:style>
  <w:style w:type="paragraph" w:styleId="5">
    <w:name w:val="heading 3"/>
    <w:basedOn w:val="1"/>
    <w:next w:val="1"/>
    <w:link w:val="50"/>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51"/>
    <w:autoRedefine/>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autoRedefine/>
    <w:qFormat/>
    <w:uiPriority w:val="99"/>
    <w:pPr>
      <w:keepNext/>
      <w:keepLines/>
      <w:spacing w:before="280" w:after="290" w:line="376" w:lineRule="auto"/>
      <w:outlineLvl w:val="4"/>
    </w:pPr>
    <w:rPr>
      <w:b/>
      <w:bCs/>
      <w:sz w:val="28"/>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89"/>
    <w:autoRedefine/>
    <w:qFormat/>
    <w:uiPriority w:val="99"/>
    <w:pPr>
      <w:adjustRightInd w:val="0"/>
      <w:spacing w:line="315" w:lineRule="atLeast"/>
      <w:ind w:firstLine="420"/>
      <w:jc w:val="left"/>
    </w:pPr>
    <w:rPr>
      <w:rFonts w:ascii="宋体"/>
      <w:kern w:val="0"/>
      <w:sz w:val="24"/>
      <w:szCs w:val="20"/>
    </w:rPr>
  </w:style>
  <w:style w:type="paragraph" w:styleId="8">
    <w:name w:val="toc 7"/>
    <w:basedOn w:val="1"/>
    <w:next w:val="1"/>
    <w:autoRedefine/>
    <w:qFormat/>
    <w:uiPriority w:val="99"/>
    <w:pPr>
      <w:ind w:left="2520" w:leftChars="1200"/>
    </w:pPr>
    <w:rPr>
      <w:rFonts w:ascii="Calibri" w:hAnsi="Calibri"/>
      <w:szCs w:val="22"/>
    </w:rPr>
  </w:style>
  <w:style w:type="paragraph" w:styleId="9">
    <w:name w:val="Body Text"/>
    <w:basedOn w:val="1"/>
    <w:link w:val="53"/>
    <w:autoRedefine/>
    <w:qFormat/>
    <w:uiPriority w:val="99"/>
    <w:pPr>
      <w:spacing w:line="240" w:lineRule="atLeast"/>
    </w:pPr>
    <w:rPr>
      <w:b/>
      <w:sz w:val="30"/>
      <w:szCs w:val="20"/>
    </w:rPr>
  </w:style>
  <w:style w:type="paragraph" w:styleId="10">
    <w:name w:val="Body Text Indent"/>
    <w:basedOn w:val="1"/>
    <w:next w:val="1"/>
    <w:autoRedefine/>
    <w:qFormat/>
    <w:locked/>
    <w:uiPriority w:val="0"/>
    <w:pPr>
      <w:ind w:left="420" w:leftChars="200"/>
    </w:pPr>
    <w:rPr>
      <w:rFonts w:ascii="Calibri" w:hAnsi="Calibri" w:eastAsia="宋体"/>
      <w:sz w:val="21"/>
    </w:rPr>
  </w:style>
  <w:style w:type="paragraph" w:styleId="11">
    <w:name w:val="toc 5"/>
    <w:basedOn w:val="1"/>
    <w:next w:val="1"/>
    <w:autoRedefine/>
    <w:qFormat/>
    <w:uiPriority w:val="99"/>
    <w:pPr>
      <w:ind w:left="1680" w:leftChars="800"/>
    </w:pPr>
    <w:rPr>
      <w:rFonts w:ascii="Calibri" w:hAnsi="Calibri"/>
      <w:szCs w:val="22"/>
    </w:rPr>
  </w:style>
  <w:style w:type="paragraph" w:styleId="12">
    <w:name w:val="toc 3"/>
    <w:basedOn w:val="1"/>
    <w:next w:val="1"/>
    <w:autoRedefine/>
    <w:qFormat/>
    <w:uiPriority w:val="99"/>
    <w:pPr>
      <w:ind w:left="840" w:leftChars="400"/>
    </w:pPr>
  </w:style>
  <w:style w:type="paragraph" w:styleId="13">
    <w:name w:val="Plain Text"/>
    <w:basedOn w:val="1"/>
    <w:link w:val="54"/>
    <w:autoRedefine/>
    <w:qFormat/>
    <w:uiPriority w:val="99"/>
    <w:rPr>
      <w:rFonts w:ascii="宋体" w:hAnsi="Courier New"/>
      <w:szCs w:val="21"/>
    </w:rPr>
  </w:style>
  <w:style w:type="paragraph" w:styleId="14">
    <w:name w:val="toc 8"/>
    <w:basedOn w:val="1"/>
    <w:next w:val="1"/>
    <w:autoRedefine/>
    <w:qFormat/>
    <w:uiPriority w:val="99"/>
    <w:pPr>
      <w:ind w:left="2940" w:leftChars="1400"/>
    </w:pPr>
    <w:rPr>
      <w:rFonts w:ascii="Calibri" w:hAnsi="Calibri"/>
      <w:szCs w:val="22"/>
    </w:rPr>
  </w:style>
  <w:style w:type="paragraph" w:styleId="15">
    <w:name w:val="Date"/>
    <w:basedOn w:val="1"/>
    <w:next w:val="1"/>
    <w:link w:val="55"/>
    <w:autoRedefine/>
    <w:qFormat/>
    <w:uiPriority w:val="99"/>
    <w:rPr>
      <w:b/>
      <w:sz w:val="24"/>
      <w:szCs w:val="20"/>
    </w:rPr>
  </w:style>
  <w:style w:type="paragraph" w:styleId="16">
    <w:name w:val="Body Text Indent 2"/>
    <w:basedOn w:val="1"/>
    <w:link w:val="56"/>
    <w:autoRedefine/>
    <w:semiHidden/>
    <w:qFormat/>
    <w:uiPriority w:val="99"/>
    <w:pPr>
      <w:spacing w:after="120" w:line="480" w:lineRule="auto"/>
      <w:ind w:left="420" w:leftChars="200"/>
    </w:pPr>
  </w:style>
  <w:style w:type="paragraph" w:styleId="17">
    <w:name w:val="Balloon Text"/>
    <w:basedOn w:val="1"/>
    <w:link w:val="57"/>
    <w:autoRedefine/>
    <w:semiHidden/>
    <w:qFormat/>
    <w:uiPriority w:val="99"/>
    <w:rPr>
      <w:sz w:val="18"/>
      <w:szCs w:val="18"/>
    </w:rPr>
  </w:style>
  <w:style w:type="paragraph" w:styleId="18">
    <w:name w:val="footer"/>
    <w:basedOn w:val="1"/>
    <w:link w:val="58"/>
    <w:autoRedefine/>
    <w:qFormat/>
    <w:uiPriority w:val="99"/>
    <w:pPr>
      <w:tabs>
        <w:tab w:val="center" w:pos="4153"/>
        <w:tab w:val="right" w:pos="8306"/>
      </w:tabs>
      <w:snapToGrid w:val="0"/>
      <w:jc w:val="left"/>
    </w:pPr>
    <w:rPr>
      <w:sz w:val="18"/>
      <w:szCs w:val="18"/>
    </w:rPr>
  </w:style>
  <w:style w:type="paragraph" w:styleId="19">
    <w:name w:val="header"/>
    <w:basedOn w:val="1"/>
    <w:link w:val="59"/>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99"/>
    <w:pPr>
      <w:widowControl/>
      <w:autoSpaceDE w:val="0"/>
      <w:autoSpaceDN w:val="0"/>
      <w:adjustRightInd w:val="0"/>
      <w:spacing w:line="400" w:lineRule="exact"/>
      <w:jc w:val="left"/>
    </w:pPr>
    <w:rPr>
      <w:b/>
      <w:bCs/>
      <w:caps/>
      <w:kern w:val="0"/>
      <w:sz w:val="28"/>
      <w:lang w:val="zh-CN"/>
    </w:rPr>
  </w:style>
  <w:style w:type="paragraph" w:styleId="21">
    <w:name w:val="toc 4"/>
    <w:basedOn w:val="1"/>
    <w:next w:val="1"/>
    <w:autoRedefine/>
    <w:qFormat/>
    <w:uiPriority w:val="99"/>
    <w:pPr>
      <w:ind w:left="1260" w:leftChars="600"/>
    </w:pPr>
    <w:rPr>
      <w:rFonts w:ascii="Calibri" w:hAnsi="Calibri"/>
      <w:szCs w:val="22"/>
    </w:rPr>
  </w:style>
  <w:style w:type="paragraph" w:styleId="22">
    <w:name w:val="Subtitle"/>
    <w:basedOn w:val="1"/>
    <w:next w:val="1"/>
    <w:link w:val="60"/>
    <w:autoRedefine/>
    <w:qFormat/>
    <w:uiPriority w:val="99"/>
    <w:pPr>
      <w:spacing w:before="240" w:after="60" w:line="312" w:lineRule="auto"/>
      <w:jc w:val="center"/>
      <w:outlineLvl w:val="1"/>
    </w:pPr>
    <w:rPr>
      <w:rFonts w:ascii="Cambria" w:hAnsi="Cambria"/>
      <w:b/>
      <w:bCs/>
      <w:kern w:val="28"/>
      <w:sz w:val="32"/>
      <w:szCs w:val="32"/>
    </w:rPr>
  </w:style>
  <w:style w:type="paragraph" w:styleId="23">
    <w:name w:val="List"/>
    <w:basedOn w:val="1"/>
    <w:autoRedefine/>
    <w:qFormat/>
    <w:uiPriority w:val="99"/>
    <w:pPr>
      <w:ind w:left="420" w:hanging="420"/>
    </w:pPr>
    <w:rPr>
      <w:rFonts w:ascii="Arial" w:hAnsi="Arial" w:eastAsia="楷体_GB2312"/>
      <w:sz w:val="28"/>
      <w:szCs w:val="20"/>
    </w:rPr>
  </w:style>
  <w:style w:type="paragraph" w:styleId="24">
    <w:name w:val="toc 6"/>
    <w:basedOn w:val="1"/>
    <w:next w:val="1"/>
    <w:autoRedefine/>
    <w:qFormat/>
    <w:uiPriority w:val="99"/>
    <w:pPr>
      <w:ind w:left="2100" w:leftChars="1000"/>
    </w:pPr>
    <w:rPr>
      <w:rFonts w:ascii="Calibri" w:hAnsi="Calibri"/>
      <w:szCs w:val="22"/>
    </w:rPr>
  </w:style>
  <w:style w:type="paragraph" w:styleId="25">
    <w:name w:val="Body Text Indent 3"/>
    <w:basedOn w:val="1"/>
    <w:link w:val="61"/>
    <w:autoRedefine/>
    <w:qFormat/>
    <w:uiPriority w:val="99"/>
    <w:pPr>
      <w:ind w:firstLine="570"/>
      <w:outlineLvl w:val="0"/>
    </w:pPr>
    <w:rPr>
      <w:rFonts w:ascii="宋体"/>
      <w:sz w:val="28"/>
      <w:szCs w:val="20"/>
    </w:rPr>
  </w:style>
  <w:style w:type="paragraph" w:styleId="26">
    <w:name w:val="toc 2"/>
    <w:basedOn w:val="1"/>
    <w:next w:val="1"/>
    <w:autoRedefine/>
    <w:qFormat/>
    <w:uiPriority w:val="99"/>
    <w:pPr>
      <w:ind w:left="420" w:leftChars="200"/>
    </w:pPr>
  </w:style>
  <w:style w:type="paragraph" w:styleId="27">
    <w:name w:val="toc 9"/>
    <w:basedOn w:val="1"/>
    <w:next w:val="1"/>
    <w:autoRedefine/>
    <w:qFormat/>
    <w:uiPriority w:val="99"/>
    <w:pPr>
      <w:ind w:left="3360" w:leftChars="1600"/>
    </w:pPr>
    <w:rPr>
      <w:rFonts w:ascii="Calibri" w:hAnsi="Calibri"/>
      <w:szCs w:val="22"/>
    </w:rPr>
  </w:style>
  <w:style w:type="paragraph" w:styleId="28">
    <w:name w:val="Normal (Web)"/>
    <w:basedOn w:val="1"/>
    <w:autoRedefine/>
    <w:qFormat/>
    <w:uiPriority w:val="99"/>
    <w:pPr>
      <w:spacing w:beforeAutospacing="1" w:afterAutospacing="1"/>
      <w:jc w:val="left"/>
    </w:pPr>
    <w:rPr>
      <w:kern w:val="0"/>
      <w:sz w:val="24"/>
    </w:rPr>
  </w:style>
  <w:style w:type="paragraph" w:styleId="29">
    <w:name w:val="Title"/>
    <w:basedOn w:val="1"/>
    <w:next w:val="1"/>
    <w:link w:val="62"/>
    <w:autoRedefine/>
    <w:qFormat/>
    <w:uiPriority w:val="99"/>
    <w:pPr>
      <w:widowControl/>
      <w:spacing w:before="240" w:after="60"/>
      <w:jc w:val="center"/>
      <w:outlineLvl w:val="0"/>
    </w:pPr>
    <w:rPr>
      <w:rFonts w:ascii="Arial" w:hAnsi="Arial" w:cs="Arial"/>
      <w:b/>
      <w:bCs/>
      <w:kern w:val="0"/>
      <w:sz w:val="44"/>
      <w:szCs w:val="32"/>
    </w:rPr>
  </w:style>
  <w:style w:type="paragraph" w:styleId="30">
    <w:name w:val="Body Text First Indent"/>
    <w:basedOn w:val="9"/>
    <w:next w:val="31"/>
    <w:autoRedefine/>
    <w:qFormat/>
    <w:locked/>
    <w:uiPriority w:val="0"/>
    <w:pPr>
      <w:ind w:firstLine="420" w:firstLineChars="100"/>
    </w:pPr>
  </w:style>
  <w:style w:type="paragraph" w:styleId="31">
    <w:name w:val="Body Text First Indent 2"/>
    <w:basedOn w:val="10"/>
    <w:next w:val="1"/>
    <w:autoRedefine/>
    <w:qFormat/>
    <w:locked/>
    <w:uiPriority w:val="0"/>
    <w:pPr>
      <w:ind w:firstLine="420" w:firstLineChars="200"/>
    </w:pPr>
  </w:style>
  <w:style w:type="table" w:styleId="33">
    <w:name w:val="Table Grid"/>
    <w:basedOn w:val="32"/>
    <w:autoRedefine/>
    <w:qFormat/>
    <w:uiPriority w:val="99"/>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99"/>
    <w:rPr>
      <w:rFonts w:cs="Times New Roman"/>
      <w:b/>
    </w:rPr>
  </w:style>
  <w:style w:type="character" w:styleId="36">
    <w:name w:val="page number"/>
    <w:basedOn w:val="34"/>
    <w:autoRedefine/>
    <w:qFormat/>
    <w:uiPriority w:val="99"/>
    <w:rPr>
      <w:rFonts w:cs="Times New Roman"/>
    </w:rPr>
  </w:style>
  <w:style w:type="character" w:styleId="37">
    <w:name w:val="FollowedHyperlink"/>
    <w:basedOn w:val="34"/>
    <w:autoRedefine/>
    <w:semiHidden/>
    <w:qFormat/>
    <w:uiPriority w:val="99"/>
    <w:rPr>
      <w:rFonts w:cs="Times New Roman"/>
      <w:color w:val="800080"/>
      <w:u w:val="none"/>
    </w:rPr>
  </w:style>
  <w:style w:type="character" w:styleId="38">
    <w:name w:val="Emphasis"/>
    <w:basedOn w:val="34"/>
    <w:autoRedefine/>
    <w:qFormat/>
    <w:uiPriority w:val="99"/>
    <w:rPr>
      <w:rFonts w:cs="Times New Roman"/>
      <w:b/>
    </w:rPr>
  </w:style>
  <w:style w:type="character" w:styleId="39">
    <w:name w:val="HTML Definition"/>
    <w:basedOn w:val="34"/>
    <w:autoRedefine/>
    <w:semiHidden/>
    <w:qFormat/>
    <w:uiPriority w:val="99"/>
    <w:rPr>
      <w:rFonts w:cs="Times New Roman"/>
    </w:rPr>
  </w:style>
  <w:style w:type="character" w:styleId="40">
    <w:name w:val="HTML Typewriter"/>
    <w:basedOn w:val="34"/>
    <w:autoRedefine/>
    <w:semiHidden/>
    <w:qFormat/>
    <w:uiPriority w:val="99"/>
    <w:rPr>
      <w:rFonts w:ascii="monospace" w:hAnsi="monospace" w:cs="monospace"/>
      <w:sz w:val="20"/>
    </w:rPr>
  </w:style>
  <w:style w:type="character" w:styleId="41">
    <w:name w:val="HTML Acronym"/>
    <w:basedOn w:val="34"/>
    <w:autoRedefine/>
    <w:semiHidden/>
    <w:qFormat/>
    <w:uiPriority w:val="99"/>
    <w:rPr>
      <w:rFonts w:cs="Times New Roman"/>
    </w:rPr>
  </w:style>
  <w:style w:type="character" w:styleId="42">
    <w:name w:val="HTML Variable"/>
    <w:basedOn w:val="34"/>
    <w:autoRedefine/>
    <w:semiHidden/>
    <w:qFormat/>
    <w:uiPriority w:val="99"/>
    <w:rPr>
      <w:rFonts w:cs="Times New Roman"/>
    </w:rPr>
  </w:style>
  <w:style w:type="character" w:styleId="43">
    <w:name w:val="Hyperlink"/>
    <w:basedOn w:val="34"/>
    <w:autoRedefine/>
    <w:qFormat/>
    <w:uiPriority w:val="99"/>
    <w:rPr>
      <w:rFonts w:cs="Times New Roman"/>
      <w:color w:val="0000FF"/>
      <w:u w:val="none"/>
    </w:rPr>
  </w:style>
  <w:style w:type="character" w:styleId="44">
    <w:name w:val="HTML Code"/>
    <w:basedOn w:val="34"/>
    <w:autoRedefine/>
    <w:semiHidden/>
    <w:qFormat/>
    <w:uiPriority w:val="99"/>
    <w:rPr>
      <w:rFonts w:ascii="monospace" w:hAnsi="monospace" w:cs="monospace"/>
      <w:sz w:val="20"/>
    </w:rPr>
  </w:style>
  <w:style w:type="character" w:styleId="45">
    <w:name w:val="HTML Cite"/>
    <w:basedOn w:val="34"/>
    <w:autoRedefine/>
    <w:semiHidden/>
    <w:qFormat/>
    <w:uiPriority w:val="99"/>
    <w:rPr>
      <w:rFonts w:cs="Times New Roman"/>
    </w:rPr>
  </w:style>
  <w:style w:type="character" w:styleId="46">
    <w:name w:val="HTML Keyboard"/>
    <w:basedOn w:val="34"/>
    <w:autoRedefine/>
    <w:semiHidden/>
    <w:qFormat/>
    <w:uiPriority w:val="99"/>
    <w:rPr>
      <w:rFonts w:ascii="monospace" w:hAnsi="monospace" w:cs="monospace"/>
      <w:sz w:val="20"/>
    </w:rPr>
  </w:style>
  <w:style w:type="character" w:styleId="47">
    <w:name w:val="HTML Sample"/>
    <w:basedOn w:val="34"/>
    <w:autoRedefine/>
    <w:semiHidden/>
    <w:qFormat/>
    <w:uiPriority w:val="99"/>
    <w:rPr>
      <w:rFonts w:ascii="monospace" w:hAnsi="monospace" w:cs="monospace"/>
    </w:rPr>
  </w:style>
  <w:style w:type="character" w:customStyle="1" w:styleId="48">
    <w:name w:val="标题 1 Char"/>
    <w:basedOn w:val="34"/>
    <w:link w:val="2"/>
    <w:autoRedefine/>
    <w:qFormat/>
    <w:locked/>
    <w:uiPriority w:val="99"/>
    <w:rPr>
      <w:rFonts w:ascii="Times New Roman" w:hAnsi="Times New Roman" w:eastAsia="宋体" w:cs="Times New Roman"/>
      <w:b/>
      <w:bCs/>
      <w:kern w:val="44"/>
      <w:sz w:val="44"/>
      <w:szCs w:val="44"/>
    </w:rPr>
  </w:style>
  <w:style w:type="character" w:customStyle="1" w:styleId="49">
    <w:name w:val="标题 2 Char"/>
    <w:basedOn w:val="34"/>
    <w:link w:val="3"/>
    <w:autoRedefine/>
    <w:qFormat/>
    <w:locked/>
    <w:uiPriority w:val="99"/>
    <w:rPr>
      <w:rFonts w:ascii="Cambria" w:hAnsi="Cambria" w:eastAsia="宋体" w:cs="Times New Roman"/>
      <w:b/>
      <w:bCs/>
      <w:sz w:val="32"/>
      <w:szCs w:val="32"/>
    </w:rPr>
  </w:style>
  <w:style w:type="character" w:customStyle="1" w:styleId="50">
    <w:name w:val="标题 3 Char"/>
    <w:basedOn w:val="34"/>
    <w:link w:val="5"/>
    <w:autoRedefine/>
    <w:qFormat/>
    <w:locked/>
    <w:uiPriority w:val="99"/>
    <w:rPr>
      <w:rFonts w:ascii="Times New Roman" w:hAnsi="Times New Roman" w:eastAsia="宋体" w:cs="Times New Roman"/>
      <w:b/>
      <w:bCs/>
      <w:sz w:val="32"/>
      <w:szCs w:val="32"/>
    </w:rPr>
  </w:style>
  <w:style w:type="character" w:customStyle="1" w:styleId="51">
    <w:name w:val="标题 4 Char"/>
    <w:basedOn w:val="34"/>
    <w:link w:val="6"/>
    <w:autoRedefine/>
    <w:semiHidden/>
    <w:qFormat/>
    <w:locked/>
    <w:uiPriority w:val="99"/>
    <w:rPr>
      <w:rFonts w:ascii="Cambria" w:hAnsi="Cambria" w:eastAsia="宋体" w:cs="Times New Roman"/>
      <w:b/>
      <w:bCs/>
      <w:sz w:val="28"/>
      <w:szCs w:val="28"/>
    </w:rPr>
  </w:style>
  <w:style w:type="character" w:customStyle="1" w:styleId="52">
    <w:name w:val="标题 5 Char"/>
    <w:basedOn w:val="34"/>
    <w:link w:val="7"/>
    <w:autoRedefine/>
    <w:semiHidden/>
    <w:qFormat/>
    <w:locked/>
    <w:uiPriority w:val="99"/>
    <w:rPr>
      <w:rFonts w:ascii="Times New Roman" w:hAnsi="Times New Roman" w:eastAsia="宋体" w:cs="Times New Roman"/>
      <w:b/>
      <w:bCs/>
      <w:sz w:val="28"/>
      <w:szCs w:val="28"/>
    </w:rPr>
  </w:style>
  <w:style w:type="character" w:customStyle="1" w:styleId="53">
    <w:name w:val="正文文本 Char1"/>
    <w:basedOn w:val="34"/>
    <w:link w:val="9"/>
    <w:autoRedefine/>
    <w:qFormat/>
    <w:locked/>
    <w:uiPriority w:val="99"/>
    <w:rPr>
      <w:rFonts w:ascii="Times New Roman" w:hAnsi="Times New Roman" w:eastAsia="宋体" w:cs="Times New Roman"/>
      <w:b/>
      <w:sz w:val="20"/>
      <w:szCs w:val="20"/>
    </w:rPr>
  </w:style>
  <w:style w:type="character" w:customStyle="1" w:styleId="54">
    <w:name w:val="纯文本 Char"/>
    <w:basedOn w:val="34"/>
    <w:link w:val="13"/>
    <w:autoRedefine/>
    <w:qFormat/>
    <w:locked/>
    <w:uiPriority w:val="99"/>
    <w:rPr>
      <w:rFonts w:ascii="宋体" w:hAnsi="Courier New" w:eastAsia="宋体" w:cs="Times New Roman"/>
      <w:sz w:val="21"/>
      <w:szCs w:val="21"/>
    </w:rPr>
  </w:style>
  <w:style w:type="character" w:customStyle="1" w:styleId="55">
    <w:name w:val="日期 Char1"/>
    <w:basedOn w:val="34"/>
    <w:link w:val="15"/>
    <w:autoRedefine/>
    <w:qFormat/>
    <w:locked/>
    <w:uiPriority w:val="99"/>
    <w:rPr>
      <w:rFonts w:ascii="Times New Roman" w:hAnsi="Times New Roman" w:eastAsia="宋体" w:cs="Times New Roman"/>
      <w:b/>
      <w:sz w:val="20"/>
      <w:szCs w:val="20"/>
    </w:rPr>
  </w:style>
  <w:style w:type="character" w:customStyle="1" w:styleId="56">
    <w:name w:val="正文文本缩进 2 Char"/>
    <w:basedOn w:val="34"/>
    <w:link w:val="16"/>
    <w:autoRedefine/>
    <w:semiHidden/>
    <w:qFormat/>
    <w:locked/>
    <w:uiPriority w:val="99"/>
    <w:rPr>
      <w:rFonts w:ascii="Times New Roman" w:hAnsi="Times New Roman" w:eastAsia="宋体" w:cs="Times New Roman"/>
      <w:sz w:val="24"/>
      <w:szCs w:val="24"/>
    </w:rPr>
  </w:style>
  <w:style w:type="character" w:customStyle="1" w:styleId="57">
    <w:name w:val="批注框文本 Char"/>
    <w:basedOn w:val="34"/>
    <w:link w:val="17"/>
    <w:autoRedefine/>
    <w:semiHidden/>
    <w:qFormat/>
    <w:locked/>
    <w:uiPriority w:val="99"/>
    <w:rPr>
      <w:rFonts w:ascii="Times New Roman" w:hAnsi="Times New Roman" w:eastAsia="宋体" w:cs="Times New Roman"/>
      <w:sz w:val="18"/>
      <w:szCs w:val="18"/>
    </w:rPr>
  </w:style>
  <w:style w:type="character" w:customStyle="1" w:styleId="58">
    <w:name w:val="页脚 Char"/>
    <w:basedOn w:val="34"/>
    <w:link w:val="18"/>
    <w:autoRedefine/>
    <w:qFormat/>
    <w:locked/>
    <w:uiPriority w:val="99"/>
    <w:rPr>
      <w:rFonts w:ascii="Times New Roman" w:hAnsi="Times New Roman" w:eastAsia="宋体" w:cs="Times New Roman"/>
      <w:sz w:val="18"/>
      <w:szCs w:val="18"/>
    </w:rPr>
  </w:style>
  <w:style w:type="character" w:customStyle="1" w:styleId="59">
    <w:name w:val="页眉 Char"/>
    <w:basedOn w:val="34"/>
    <w:link w:val="19"/>
    <w:autoRedefine/>
    <w:qFormat/>
    <w:locked/>
    <w:uiPriority w:val="99"/>
    <w:rPr>
      <w:rFonts w:ascii="Times New Roman" w:hAnsi="Times New Roman" w:eastAsia="宋体" w:cs="Times New Roman"/>
      <w:sz w:val="18"/>
      <w:szCs w:val="18"/>
    </w:rPr>
  </w:style>
  <w:style w:type="character" w:customStyle="1" w:styleId="60">
    <w:name w:val="副标题 Char"/>
    <w:basedOn w:val="34"/>
    <w:link w:val="22"/>
    <w:autoRedefine/>
    <w:qFormat/>
    <w:locked/>
    <w:uiPriority w:val="99"/>
    <w:rPr>
      <w:rFonts w:ascii="Cambria" w:hAnsi="Cambria" w:eastAsia="宋体" w:cs="Times New Roman"/>
      <w:b/>
      <w:bCs/>
      <w:kern w:val="28"/>
      <w:sz w:val="32"/>
      <w:szCs w:val="32"/>
    </w:rPr>
  </w:style>
  <w:style w:type="character" w:customStyle="1" w:styleId="61">
    <w:name w:val="正文文本缩进 3 Char"/>
    <w:basedOn w:val="34"/>
    <w:link w:val="25"/>
    <w:autoRedefine/>
    <w:semiHidden/>
    <w:qFormat/>
    <w:locked/>
    <w:uiPriority w:val="99"/>
    <w:rPr>
      <w:rFonts w:cs="Times New Roman"/>
      <w:sz w:val="16"/>
      <w:szCs w:val="16"/>
    </w:rPr>
  </w:style>
  <w:style w:type="character" w:customStyle="1" w:styleId="62">
    <w:name w:val="标题 Char1"/>
    <w:basedOn w:val="34"/>
    <w:link w:val="29"/>
    <w:autoRedefine/>
    <w:qFormat/>
    <w:locked/>
    <w:uiPriority w:val="99"/>
    <w:rPr>
      <w:rFonts w:ascii="Arial" w:hAnsi="Arial" w:eastAsia="宋体" w:cs="Arial"/>
      <w:b/>
      <w:bCs/>
      <w:kern w:val="0"/>
      <w:sz w:val="32"/>
      <w:szCs w:val="32"/>
    </w:rPr>
  </w:style>
  <w:style w:type="character" w:customStyle="1" w:styleId="63">
    <w:name w:val="正文文本 Char"/>
    <w:basedOn w:val="34"/>
    <w:autoRedefine/>
    <w:qFormat/>
    <w:uiPriority w:val="99"/>
    <w:rPr>
      <w:rFonts w:ascii="Times New Roman" w:hAnsi="Times New Roman" w:eastAsia="宋体" w:cs="Times New Roman"/>
      <w:sz w:val="24"/>
      <w:szCs w:val="24"/>
    </w:rPr>
  </w:style>
  <w:style w:type="character" w:customStyle="1" w:styleId="64">
    <w:name w:val="日期 Char"/>
    <w:basedOn w:val="34"/>
    <w:autoRedefine/>
    <w:qFormat/>
    <w:uiPriority w:val="99"/>
    <w:rPr>
      <w:rFonts w:ascii="Times New Roman" w:hAnsi="Times New Roman" w:eastAsia="宋体" w:cs="Times New Roman"/>
      <w:sz w:val="24"/>
      <w:szCs w:val="24"/>
    </w:rPr>
  </w:style>
  <w:style w:type="character" w:customStyle="1" w:styleId="65">
    <w:name w:val="标题 Char"/>
    <w:basedOn w:val="34"/>
    <w:autoRedefine/>
    <w:qFormat/>
    <w:uiPriority w:val="99"/>
    <w:rPr>
      <w:rFonts w:ascii="Cambria" w:hAnsi="Cambria" w:eastAsia="宋体" w:cs="Times New Roman"/>
      <w:b/>
      <w:bCs/>
      <w:sz w:val="32"/>
      <w:szCs w:val="32"/>
    </w:rPr>
  </w:style>
  <w:style w:type="paragraph" w:customStyle="1" w:styleId="66">
    <w:name w:val="p16"/>
    <w:basedOn w:val="1"/>
    <w:autoRedefine/>
    <w:qFormat/>
    <w:uiPriority w:val="99"/>
    <w:pPr>
      <w:widowControl/>
    </w:pPr>
    <w:rPr>
      <w:rFonts w:ascii="宋体" w:hAnsi="宋体" w:cs="宋体"/>
      <w:kern w:val="0"/>
      <w:szCs w:val="21"/>
    </w:rPr>
  </w:style>
  <w:style w:type="paragraph" w:customStyle="1" w:styleId="67">
    <w:name w:val="p15"/>
    <w:basedOn w:val="1"/>
    <w:autoRedefine/>
    <w:qFormat/>
    <w:uiPriority w:val="99"/>
    <w:pPr>
      <w:widowControl/>
    </w:pPr>
    <w:rPr>
      <w:rFonts w:ascii="宋体" w:hAnsi="宋体" w:cs="宋体"/>
      <w:kern w:val="0"/>
      <w:szCs w:val="21"/>
    </w:rPr>
  </w:style>
  <w:style w:type="paragraph" w:customStyle="1" w:styleId="68">
    <w:name w:val="p17"/>
    <w:basedOn w:val="1"/>
    <w:autoRedefine/>
    <w:qFormat/>
    <w:uiPriority w:val="99"/>
    <w:pPr>
      <w:widowControl/>
    </w:pPr>
    <w:rPr>
      <w:kern w:val="0"/>
      <w:szCs w:val="21"/>
    </w:rPr>
  </w:style>
  <w:style w:type="paragraph" w:customStyle="1" w:styleId="69">
    <w:name w:val="p0"/>
    <w:basedOn w:val="1"/>
    <w:autoRedefine/>
    <w:qFormat/>
    <w:uiPriority w:val="99"/>
    <w:pPr>
      <w:widowControl/>
    </w:pPr>
  </w:style>
  <w:style w:type="paragraph" w:customStyle="1" w:styleId="70">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列出段落1"/>
    <w:basedOn w:val="1"/>
    <w:autoRedefine/>
    <w:qFormat/>
    <w:uiPriority w:val="99"/>
    <w:pPr>
      <w:ind w:firstLine="420" w:firstLineChars="200"/>
    </w:pPr>
    <w:rPr>
      <w:rFonts w:ascii="Calibri" w:hAnsi="Calibri"/>
      <w:szCs w:val="22"/>
    </w:rPr>
  </w:style>
  <w:style w:type="character" w:customStyle="1" w:styleId="72">
    <w:name w:val="Footer Char1"/>
    <w:autoRedefine/>
    <w:semiHidden/>
    <w:qFormat/>
    <w:locked/>
    <w:uiPriority w:val="99"/>
    <w:rPr>
      <w:kern w:val="2"/>
      <w:sz w:val="18"/>
    </w:rPr>
  </w:style>
  <w:style w:type="character" w:customStyle="1" w:styleId="73">
    <w:name w:val="Header Char1"/>
    <w:autoRedefine/>
    <w:semiHidden/>
    <w:qFormat/>
    <w:locked/>
    <w:uiPriority w:val="99"/>
    <w:rPr>
      <w:kern w:val="2"/>
      <w:sz w:val="18"/>
    </w:rPr>
  </w:style>
  <w:style w:type="character" w:customStyle="1" w:styleId="74">
    <w:name w:val="Plain Text Char1"/>
    <w:autoRedefine/>
    <w:semiHidden/>
    <w:qFormat/>
    <w:locked/>
    <w:uiPriority w:val="99"/>
    <w:rPr>
      <w:rFonts w:ascii="宋体" w:hAnsi="Courier New"/>
      <w:kern w:val="2"/>
      <w:sz w:val="21"/>
    </w:rPr>
  </w:style>
  <w:style w:type="character" w:customStyle="1" w:styleId="75">
    <w:name w:val="ca-01"/>
    <w:autoRedefine/>
    <w:qFormat/>
    <w:uiPriority w:val="99"/>
    <w:rPr>
      <w:rFonts w:ascii="宋体" w:hAnsi="宋体" w:eastAsia="宋体"/>
      <w:sz w:val="21"/>
    </w:rPr>
  </w:style>
  <w:style w:type="paragraph" w:styleId="76">
    <w:name w:val="List Paragraph"/>
    <w:basedOn w:val="1"/>
    <w:autoRedefine/>
    <w:qFormat/>
    <w:uiPriority w:val="99"/>
    <w:pPr>
      <w:ind w:firstLine="420" w:firstLineChars="200"/>
    </w:pPr>
    <w:rPr>
      <w:rFonts w:ascii="Calibri" w:hAnsi="Calibri"/>
      <w:szCs w:val="22"/>
    </w:rPr>
  </w:style>
  <w:style w:type="paragraph" w:customStyle="1" w:styleId="77">
    <w:name w:val="_Style 2"/>
    <w:basedOn w:val="1"/>
    <w:autoRedefine/>
    <w:qFormat/>
    <w:uiPriority w:val="99"/>
    <w:pPr>
      <w:ind w:firstLine="420" w:firstLineChars="200"/>
    </w:pPr>
    <w:rPr>
      <w:szCs w:val="20"/>
    </w:rPr>
  </w:style>
  <w:style w:type="paragraph" w:customStyle="1" w:styleId="78">
    <w:name w:val="列出段落2"/>
    <w:basedOn w:val="1"/>
    <w:autoRedefine/>
    <w:qFormat/>
    <w:uiPriority w:val="99"/>
    <w:pPr>
      <w:ind w:firstLine="420" w:firstLineChars="200"/>
    </w:pPr>
    <w:rPr>
      <w:rFonts w:ascii="Calibri" w:hAnsi="Calibri"/>
      <w:szCs w:val="22"/>
    </w:rPr>
  </w:style>
  <w:style w:type="character" w:customStyle="1" w:styleId="79">
    <w:name w:val="font41"/>
    <w:basedOn w:val="34"/>
    <w:autoRedefine/>
    <w:qFormat/>
    <w:uiPriority w:val="99"/>
    <w:rPr>
      <w:rFonts w:ascii="宋体" w:hAnsi="宋体" w:eastAsia="宋体" w:cs="宋体"/>
      <w:b/>
      <w:color w:val="000000"/>
      <w:sz w:val="24"/>
      <w:szCs w:val="24"/>
      <w:u w:val="none"/>
    </w:rPr>
  </w:style>
  <w:style w:type="character" w:customStyle="1" w:styleId="80">
    <w:name w:val="font21"/>
    <w:basedOn w:val="34"/>
    <w:autoRedefine/>
    <w:qFormat/>
    <w:uiPriority w:val="99"/>
    <w:rPr>
      <w:rFonts w:ascii="宋体" w:hAnsi="宋体" w:eastAsia="宋体" w:cs="宋体"/>
      <w:color w:val="000000"/>
      <w:sz w:val="21"/>
      <w:szCs w:val="21"/>
      <w:u w:val="none"/>
    </w:rPr>
  </w:style>
  <w:style w:type="character" w:customStyle="1" w:styleId="81">
    <w:name w:val="font81"/>
    <w:basedOn w:val="34"/>
    <w:autoRedefine/>
    <w:qFormat/>
    <w:uiPriority w:val="99"/>
    <w:rPr>
      <w:rFonts w:ascii="Times New Roman" w:hAnsi="Times New Roman" w:cs="Times New Roman"/>
      <w:color w:val="000000"/>
      <w:sz w:val="21"/>
      <w:szCs w:val="21"/>
      <w:u w:val="none"/>
    </w:rPr>
  </w:style>
  <w:style w:type="character" w:customStyle="1" w:styleId="82">
    <w:name w:val="font11"/>
    <w:basedOn w:val="34"/>
    <w:autoRedefine/>
    <w:qFormat/>
    <w:uiPriority w:val="99"/>
    <w:rPr>
      <w:rFonts w:ascii="宋体" w:hAnsi="宋体" w:eastAsia="宋体" w:cs="宋体"/>
      <w:b/>
      <w:color w:val="000000"/>
      <w:sz w:val="21"/>
      <w:szCs w:val="21"/>
      <w:u w:val="none"/>
    </w:rPr>
  </w:style>
  <w:style w:type="character" w:customStyle="1" w:styleId="83">
    <w:name w:val="font91"/>
    <w:basedOn w:val="34"/>
    <w:autoRedefine/>
    <w:qFormat/>
    <w:uiPriority w:val="99"/>
    <w:rPr>
      <w:rFonts w:ascii="Calibri" w:hAnsi="Calibri" w:cs="Calibri"/>
      <w:color w:val="000000"/>
      <w:sz w:val="21"/>
      <w:szCs w:val="21"/>
      <w:u w:val="none"/>
    </w:rPr>
  </w:style>
  <w:style w:type="character" w:customStyle="1" w:styleId="84">
    <w:name w:val="font31"/>
    <w:basedOn w:val="34"/>
    <w:autoRedefine/>
    <w:qFormat/>
    <w:uiPriority w:val="99"/>
    <w:rPr>
      <w:rFonts w:ascii="宋体" w:hAnsi="宋体" w:eastAsia="宋体" w:cs="宋体"/>
      <w:color w:val="000000"/>
      <w:sz w:val="21"/>
      <w:szCs w:val="21"/>
      <w:u w:val="none"/>
    </w:rPr>
  </w:style>
  <w:style w:type="character" w:customStyle="1" w:styleId="85">
    <w:name w:val="font71"/>
    <w:basedOn w:val="34"/>
    <w:autoRedefine/>
    <w:qFormat/>
    <w:uiPriority w:val="99"/>
    <w:rPr>
      <w:rFonts w:ascii="Times New Roman" w:hAnsi="Times New Roman" w:cs="Times New Roman"/>
      <w:color w:val="000000"/>
      <w:sz w:val="21"/>
      <w:szCs w:val="21"/>
      <w:u w:val="none"/>
    </w:rPr>
  </w:style>
  <w:style w:type="paragraph" w:customStyle="1" w:styleId="86">
    <w:name w:val="样式 标题 2 + Times New Roman 四号 非加粗 段前: 5 磅 段后: 0 磅 行距: 固定值 20..."/>
    <w:basedOn w:val="3"/>
    <w:autoRedefine/>
    <w:qFormat/>
    <w:uiPriority w:val="99"/>
    <w:pPr>
      <w:spacing w:before="100" w:line="400" w:lineRule="exact"/>
    </w:pPr>
    <w:rPr>
      <w:rFonts w:ascii="Times New Roman" w:hAnsi="Times New Roman" w:eastAsia="黑体" w:cs="宋体"/>
      <w:b w:val="0"/>
      <w:bCs w:val="0"/>
      <w:sz w:val="28"/>
      <w:szCs w:val="20"/>
    </w:rPr>
  </w:style>
  <w:style w:type="paragraph" w:customStyle="1" w:styleId="87">
    <w:name w:val="样式 标题 3 + (中文) 黑体 小四 非加粗 段前: 7.8 磅 段后: 0 磅 行距: 固定值 20 磅"/>
    <w:basedOn w:val="5"/>
    <w:autoRedefine/>
    <w:qFormat/>
    <w:uiPriority w:val="99"/>
    <w:pPr>
      <w:tabs>
        <w:tab w:val="left" w:pos="720"/>
      </w:tabs>
      <w:spacing w:before="0" w:after="0" w:line="400" w:lineRule="exact"/>
    </w:pPr>
    <w:rPr>
      <w:rFonts w:eastAsia="黑体" w:cs="宋体"/>
      <w:b w:val="0"/>
      <w:bCs w:val="0"/>
      <w:sz w:val="24"/>
      <w:szCs w:val="20"/>
    </w:rPr>
  </w:style>
  <w:style w:type="paragraph" w:customStyle="1" w:styleId="88">
    <w:name w:val="表格"/>
    <w:basedOn w:val="1"/>
    <w:autoRedefine/>
    <w:qFormat/>
    <w:uiPriority w:val="99"/>
    <w:pPr>
      <w:jc w:val="center"/>
    </w:pPr>
    <w:rPr>
      <w:rFonts w:cs="仿宋"/>
      <w:szCs w:val="30"/>
    </w:rPr>
  </w:style>
  <w:style w:type="character" w:customStyle="1" w:styleId="89">
    <w:name w:val="正文缩进 Char"/>
    <w:link w:val="4"/>
    <w:autoRedefine/>
    <w:qFormat/>
    <w:locked/>
    <w:uiPriority w:val="99"/>
    <w:rPr>
      <w:rFonts w:ascii="宋体" w:hAnsi="Times New Roman" w:eastAsia="宋体"/>
      <w:kern w:val="0"/>
      <w:sz w:val="24"/>
    </w:rPr>
  </w:style>
  <w:style w:type="paragraph" w:customStyle="1" w:styleId="90">
    <w:name w:val="È¡ÀÊ¡ÎÄ¡À¾"/>
    <w:basedOn w:val="1"/>
    <w:autoRedefine/>
    <w:qFormat/>
    <w:uiPriority w:val="99"/>
    <w:pPr>
      <w:widowControl/>
      <w:overflowPunct w:val="0"/>
      <w:autoSpaceDE w:val="0"/>
      <w:autoSpaceDN w:val="0"/>
      <w:adjustRightInd w:val="0"/>
      <w:jc w:val="left"/>
      <w:textAlignment w:val="baseline"/>
    </w:pPr>
    <w:rPr>
      <w:kern w:val="0"/>
      <w:sz w:val="24"/>
      <w:szCs w:val="20"/>
    </w:rPr>
  </w:style>
  <w:style w:type="character" w:customStyle="1" w:styleId="91">
    <w:name w:val="param-name"/>
    <w:basedOn w:val="34"/>
    <w:autoRedefine/>
    <w:qFormat/>
    <w:uiPriority w:val="99"/>
    <w:rPr>
      <w:rFonts w:cs="Times New Roman"/>
    </w:rPr>
  </w:style>
  <w:style w:type="paragraph" w:customStyle="1" w:styleId="92">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character" w:customStyle="1" w:styleId="93">
    <w:name w:val="font01"/>
    <w:basedOn w:val="34"/>
    <w:autoRedefine/>
    <w:qFormat/>
    <w:uiPriority w:val="99"/>
    <w:rPr>
      <w:rFonts w:ascii="Arial" w:hAnsi="Arial" w:cs="Arial"/>
      <w:color w:val="000000"/>
      <w:sz w:val="22"/>
      <w:szCs w:val="22"/>
      <w:u w:val="none"/>
    </w:rPr>
  </w:style>
  <w:style w:type="paragraph" w:customStyle="1" w:styleId="94">
    <w:name w:val="样式3"/>
    <w:basedOn w:val="13"/>
    <w:autoRedefine/>
    <w:qFormat/>
    <w:uiPriority w:val="99"/>
    <w:pPr>
      <w:spacing w:line="240" w:lineRule="atLeast"/>
      <w:outlineLvl w:val="0"/>
    </w:pPr>
    <w:rPr>
      <w:rFonts w:cs="宋体"/>
      <w:sz w:val="28"/>
      <w:szCs w:val="28"/>
    </w:rPr>
  </w:style>
  <w:style w:type="paragraph" w:customStyle="1" w:styleId="95">
    <w:name w:val="Table Paragraph"/>
    <w:basedOn w:val="1"/>
    <w:autoRedefine/>
    <w:qFormat/>
    <w:uiPriority w:val="99"/>
  </w:style>
  <w:style w:type="character" w:customStyle="1" w:styleId="96">
    <w:name w:val="font141"/>
    <w:basedOn w:val="34"/>
    <w:autoRedefine/>
    <w:qFormat/>
    <w:uiPriority w:val="0"/>
    <w:rPr>
      <w:rFonts w:hint="eastAsia" w:ascii="宋体" w:hAnsi="宋体" w:eastAsia="宋体" w:cs="宋体"/>
      <w:color w:val="000000"/>
      <w:sz w:val="16"/>
      <w:szCs w:val="16"/>
      <w:u w:val="none"/>
    </w:rPr>
  </w:style>
  <w:style w:type="character" w:customStyle="1" w:styleId="97">
    <w:name w:val="font101"/>
    <w:basedOn w:val="34"/>
    <w:autoRedefine/>
    <w:qFormat/>
    <w:uiPriority w:val="0"/>
    <w:rPr>
      <w:rFonts w:hint="default" w:ascii="Symbol" w:hAnsi="Symbol" w:cs="Symbol"/>
      <w:color w:val="000000"/>
      <w:sz w:val="16"/>
      <w:szCs w:val="16"/>
      <w:u w:val="none"/>
    </w:rPr>
  </w:style>
  <w:style w:type="paragraph" w:customStyle="1" w:styleId="9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53</Pages>
  <Words>4290</Words>
  <Characters>4953</Characters>
  <Lines>66</Lines>
  <Paragraphs>81</Paragraphs>
  <TotalTime>46</TotalTime>
  <ScaleCrop>false</ScaleCrop>
  <LinksUpToDate>false</LinksUpToDate>
  <CharactersWithSpaces>5044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2019-06-27T09:11:00Z</dcterms:created>
  <dc:creator>xb21cn</dc:creator>
  <cp:lastModifiedBy>毕晓琦</cp:lastModifiedBy>
  <cp:lastPrinted>2020-09-01T03:30:00Z</cp:lastPrinted>
  <dcterms:modified xsi:type="dcterms:W3CDTF">2025-07-07T07:22:21Z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C28F311420BB4B7E8A9C3402180F5614</vt:lpwstr>
  </property>
  <property fmtid="{D5CDD505-2E9C-101B-9397-08002B2CF9AE}" pid="4" name="KSOTemplateDocerSaveRecord">
    <vt:lpwstr>eyJoZGlkIjoiNzQxMTVjZjBjMjQ5NDQzM2M0ZGVhOGFkNDdhZjgzZDAiLCJ1c2VySWQiOiIyNzYzMjk1NzkifQ==</vt:lpwstr>
  </property>
</Properties>
</file>