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0D6C8">
      <w:pPr>
        <w:autoSpaceDE w:val="0"/>
        <w:autoSpaceDN w:val="0"/>
        <w:adjustRightInd w:val="0"/>
        <w:spacing w:line="312" w:lineRule="auto"/>
        <w:jc w:val="center"/>
        <w:rPr>
          <w:rFonts w:hint="eastAsia" w:ascii="宋体" w:hAnsi="宋体"/>
          <w:b/>
          <w:sz w:val="48"/>
          <w:szCs w:val="48"/>
          <w:lang w:eastAsia="zh-CN"/>
        </w:rPr>
      </w:pPr>
    </w:p>
    <w:p w14:paraId="12AF4A4C">
      <w:pPr>
        <w:autoSpaceDE w:val="0"/>
        <w:autoSpaceDN w:val="0"/>
        <w:adjustRightInd w:val="0"/>
        <w:spacing w:line="312" w:lineRule="auto"/>
        <w:jc w:val="center"/>
        <w:rPr>
          <w:rFonts w:hint="eastAsia" w:ascii="宋体" w:hAnsi="宋体" w:cs="宋体-18030"/>
          <w:b/>
          <w:color w:val="0C0C0C"/>
          <w:spacing w:val="100"/>
          <w:kern w:val="0"/>
          <w:sz w:val="72"/>
          <w:szCs w:val="72"/>
        </w:rPr>
      </w:pPr>
      <w:r>
        <w:rPr>
          <w:rFonts w:hint="eastAsia" w:ascii="宋体" w:hAnsi="宋体"/>
          <w:b/>
          <w:sz w:val="44"/>
          <w:szCs w:val="44"/>
          <w:lang w:eastAsia="zh-CN"/>
        </w:rPr>
        <w:t>石人血泪山罹难矿工纪念馆馆藏文物预防性保护项目</w:t>
      </w:r>
    </w:p>
    <w:p w14:paraId="7FD8DEC4">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宋体" w:hAnsi="宋体" w:cs="宋体-18030"/>
          <w:b/>
          <w:color w:val="0C0C0C"/>
          <w:spacing w:val="100"/>
          <w:kern w:val="0"/>
          <w:sz w:val="72"/>
          <w:szCs w:val="72"/>
          <w:highlight w:val="none"/>
        </w:rPr>
      </w:pPr>
    </w:p>
    <w:p w14:paraId="4489016E">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ascii="宋体" w:hAnsi="宋体" w:cs="宋体-18030"/>
          <w:b/>
          <w:color w:val="0C0C0C"/>
          <w:spacing w:val="100"/>
          <w:kern w:val="0"/>
          <w:sz w:val="72"/>
          <w:szCs w:val="72"/>
          <w:highlight w:val="none"/>
        </w:rPr>
      </w:pPr>
      <w:r>
        <w:rPr>
          <w:rFonts w:hint="eastAsia" w:ascii="宋体" w:hAnsi="宋体" w:cs="宋体-18030"/>
          <w:b/>
          <w:color w:val="0C0C0C"/>
          <w:spacing w:val="100"/>
          <w:kern w:val="0"/>
          <w:sz w:val="72"/>
          <w:szCs w:val="72"/>
          <w:highlight w:val="none"/>
        </w:rPr>
        <w:t>招标文件</w:t>
      </w:r>
    </w:p>
    <w:p w14:paraId="479760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18030"/>
          <w:b/>
          <w:bCs/>
          <w:color w:val="0C0C0C"/>
          <w:kern w:val="0"/>
          <w:sz w:val="30"/>
          <w:szCs w:val="30"/>
          <w:highlight w:val="none"/>
        </w:rPr>
      </w:pPr>
      <w:bookmarkStart w:id="0" w:name="_Toc7973"/>
    </w:p>
    <w:p w14:paraId="2840BC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18030"/>
          <w:b/>
          <w:bCs/>
          <w:sz w:val="30"/>
          <w:szCs w:val="30"/>
          <w:highlight w:val="none"/>
          <w:lang w:val="en-US" w:eastAsia="zh-CN"/>
        </w:rPr>
      </w:pPr>
      <w:r>
        <w:rPr>
          <w:rFonts w:hint="eastAsia" w:ascii="宋体" w:hAnsi="宋体" w:cs="宋体-18030"/>
          <w:b/>
          <w:bCs/>
          <w:color w:val="0C0C0C"/>
          <w:kern w:val="0"/>
          <w:sz w:val="30"/>
          <w:szCs w:val="30"/>
          <w:highlight w:val="none"/>
        </w:rPr>
        <w:t>项目编号：</w:t>
      </w:r>
      <w:bookmarkEnd w:id="0"/>
      <w:r>
        <w:rPr>
          <w:rFonts w:hint="eastAsia" w:ascii="宋体" w:hAnsi="宋体" w:cs="宋体"/>
          <w:b/>
          <w:sz w:val="30"/>
          <w:szCs w:val="30"/>
          <w:highlight w:val="none"/>
          <w:lang w:eastAsia="zh-CN"/>
        </w:rPr>
        <w:t>采购计划-[2025]-00043号-ZYCG-2025-11号</w:t>
      </w:r>
    </w:p>
    <w:p w14:paraId="6E3D0FEE">
      <w:pPr>
        <w:pStyle w:val="2"/>
        <w:jc w:val="both"/>
        <w:outlineLvl w:val="9"/>
        <w:rPr>
          <w:rFonts w:ascii="宋体" w:hAnsi="宋体" w:cs="宋体-18030"/>
          <w:b/>
          <w:bCs/>
          <w:sz w:val="30"/>
          <w:szCs w:val="30"/>
        </w:rPr>
      </w:pPr>
    </w:p>
    <w:p w14:paraId="5440C354">
      <w:pPr>
        <w:rPr>
          <w:rFonts w:ascii="宋体" w:hAnsi="宋体" w:cs="宋体-18030"/>
          <w:b/>
          <w:bCs/>
          <w:sz w:val="30"/>
          <w:szCs w:val="30"/>
        </w:rPr>
      </w:pPr>
    </w:p>
    <w:p w14:paraId="6024042A">
      <w:pPr>
        <w:pStyle w:val="2"/>
        <w:outlineLvl w:val="9"/>
        <w:rPr>
          <w:rFonts w:ascii="宋体" w:hAnsi="宋体" w:cs="宋体-18030"/>
          <w:b/>
          <w:bCs/>
          <w:sz w:val="30"/>
          <w:szCs w:val="30"/>
        </w:rPr>
      </w:pPr>
    </w:p>
    <w:p w14:paraId="633D8575">
      <w:pPr>
        <w:rPr>
          <w:rFonts w:ascii="宋体" w:hAnsi="宋体" w:cs="宋体-18030"/>
          <w:b/>
          <w:bCs/>
          <w:sz w:val="30"/>
          <w:szCs w:val="30"/>
        </w:rPr>
      </w:pPr>
    </w:p>
    <w:p w14:paraId="7528BE51">
      <w:pPr>
        <w:pStyle w:val="2"/>
        <w:outlineLvl w:val="9"/>
        <w:rPr>
          <w:rFonts w:ascii="宋体" w:hAnsi="宋体" w:cs="宋体-18030"/>
          <w:b/>
          <w:bCs/>
          <w:sz w:val="30"/>
          <w:szCs w:val="30"/>
        </w:rPr>
      </w:pPr>
    </w:p>
    <w:p w14:paraId="7EE90407">
      <w:pPr>
        <w:rPr>
          <w:rFonts w:ascii="宋体" w:hAnsi="宋体" w:cs="宋体-18030"/>
          <w:b/>
          <w:bCs/>
          <w:sz w:val="30"/>
          <w:szCs w:val="30"/>
        </w:rPr>
      </w:pPr>
    </w:p>
    <w:p w14:paraId="09919C34">
      <w:pPr>
        <w:pStyle w:val="2"/>
        <w:outlineLvl w:val="9"/>
        <w:rPr>
          <w:rFonts w:ascii="宋体" w:hAnsi="宋体" w:cs="宋体-18030"/>
          <w:b/>
          <w:bCs/>
          <w:sz w:val="30"/>
          <w:szCs w:val="30"/>
        </w:rPr>
      </w:pPr>
    </w:p>
    <w:p w14:paraId="5E0E375C"/>
    <w:p w14:paraId="5A5FF7A4"/>
    <w:p w14:paraId="5FC79C7A"/>
    <w:p w14:paraId="27BACB3C">
      <w:pPr>
        <w:spacing w:line="360" w:lineRule="auto"/>
        <w:ind w:firstLine="1205" w:firstLineChars="400"/>
        <w:jc w:val="left"/>
        <w:outlineLvl w:val="0"/>
        <w:rPr>
          <w:rFonts w:ascii="宋体" w:hAnsi="宋体" w:cs="宋体-18030"/>
          <w:b/>
          <w:bCs/>
          <w:sz w:val="30"/>
          <w:szCs w:val="30"/>
          <w:u w:val="none"/>
        </w:rPr>
      </w:pPr>
      <w:bookmarkStart w:id="1" w:name="_Toc9084"/>
      <w:r>
        <w:rPr>
          <w:rFonts w:hint="eastAsia" w:ascii="宋体" w:hAnsi="宋体" w:cs="宋体-18030"/>
          <w:b/>
          <w:bCs/>
          <w:sz w:val="30"/>
          <w:szCs w:val="30"/>
          <w:u w:val="none"/>
          <w:lang w:eastAsia="zh-CN"/>
        </w:rPr>
        <w:t>招标人</w:t>
      </w:r>
      <w:r>
        <w:rPr>
          <w:rFonts w:hint="eastAsia" w:ascii="宋体" w:hAnsi="宋体" w:cs="宋体-18030"/>
          <w:b/>
          <w:bCs/>
          <w:sz w:val="30"/>
          <w:szCs w:val="30"/>
          <w:u w:val="none"/>
        </w:rPr>
        <w:t>：</w:t>
      </w:r>
      <w:bookmarkEnd w:id="1"/>
      <w:r>
        <w:rPr>
          <w:rFonts w:hint="eastAsia" w:ascii="宋体" w:hAnsi="宋体" w:cs="宋体-18030"/>
          <w:b/>
          <w:bCs/>
          <w:sz w:val="30"/>
          <w:szCs w:val="30"/>
          <w:u w:val="none"/>
          <w:lang w:eastAsia="zh-CN"/>
        </w:rPr>
        <w:t>白山市江源区石人血泪山罹难矿工纪念馆</w:t>
      </w:r>
    </w:p>
    <w:p w14:paraId="5AD12599">
      <w:pPr>
        <w:spacing w:line="360" w:lineRule="auto"/>
        <w:jc w:val="left"/>
        <w:rPr>
          <w:rFonts w:ascii="宋体" w:hAnsi="宋体" w:cs="宋体-18030"/>
          <w:b/>
          <w:bCs/>
          <w:sz w:val="30"/>
          <w:szCs w:val="30"/>
          <w:u w:val="none"/>
        </w:rPr>
      </w:pPr>
    </w:p>
    <w:p w14:paraId="69AD342C">
      <w:pPr>
        <w:spacing w:line="360" w:lineRule="auto"/>
        <w:ind w:firstLine="1807" w:firstLineChars="600"/>
        <w:jc w:val="both"/>
        <w:rPr>
          <w:rFonts w:hint="eastAsia" w:ascii="宋体" w:hAnsi="宋体" w:cs="宋体-18030"/>
          <w:b/>
          <w:bCs/>
          <w:kern w:val="0"/>
          <w:sz w:val="30"/>
          <w:szCs w:val="30"/>
        </w:rPr>
      </w:pPr>
      <w:bookmarkStart w:id="2" w:name="_Toc4180"/>
      <w:r>
        <w:rPr>
          <w:rFonts w:hint="eastAsia" w:ascii="宋体" w:hAnsi="宋体" w:cs="宋体-18030"/>
          <w:b/>
          <w:bCs/>
          <w:sz w:val="30"/>
          <w:szCs w:val="30"/>
          <w:u w:val="none"/>
          <w:lang w:eastAsia="zh-CN"/>
        </w:rPr>
        <w:t>招标代理机构</w:t>
      </w:r>
      <w:r>
        <w:rPr>
          <w:rFonts w:hint="eastAsia" w:ascii="宋体" w:hAnsi="宋体" w:cs="宋体-18030"/>
          <w:b/>
          <w:bCs/>
          <w:sz w:val="30"/>
          <w:szCs w:val="30"/>
          <w:u w:val="none"/>
        </w:rPr>
        <w:t>：</w:t>
      </w:r>
      <w:bookmarkEnd w:id="2"/>
      <w:r>
        <w:rPr>
          <w:rFonts w:hint="eastAsia" w:ascii="宋体" w:hAnsi="宋体" w:cs="宋体-18030"/>
          <w:b/>
          <w:bCs/>
          <w:sz w:val="30"/>
          <w:szCs w:val="30"/>
          <w:u w:val="none"/>
          <w:lang w:eastAsia="zh-CN"/>
        </w:rPr>
        <w:t>白山市中源建设咨询有限公司</w:t>
      </w:r>
    </w:p>
    <w:p w14:paraId="1013C6C5">
      <w:pPr>
        <w:spacing w:line="360" w:lineRule="auto"/>
        <w:jc w:val="center"/>
        <w:rPr>
          <w:rFonts w:ascii="宋体" w:hAnsi="宋体" w:cs="宋体-18030"/>
          <w:b/>
          <w:bCs/>
          <w:kern w:val="0"/>
          <w:sz w:val="30"/>
          <w:szCs w:val="30"/>
        </w:rPr>
      </w:pPr>
      <w:r>
        <w:rPr>
          <w:rFonts w:hint="eastAsia" w:ascii="宋体" w:hAnsi="宋体" w:cs="宋体-18030"/>
          <w:b/>
          <w:bCs/>
          <w:kern w:val="0"/>
          <w:sz w:val="30"/>
          <w:szCs w:val="30"/>
        </w:rPr>
        <w:t>二〇二</w:t>
      </w:r>
      <w:r>
        <w:rPr>
          <w:rFonts w:hint="eastAsia" w:ascii="宋体" w:hAnsi="宋体" w:cs="宋体-18030"/>
          <w:b/>
          <w:bCs/>
          <w:kern w:val="0"/>
          <w:sz w:val="30"/>
          <w:szCs w:val="30"/>
          <w:lang w:val="en-US" w:eastAsia="zh-CN"/>
        </w:rPr>
        <w:t>五</w:t>
      </w:r>
      <w:r>
        <w:rPr>
          <w:rFonts w:hint="eastAsia" w:ascii="宋体" w:hAnsi="宋体" w:cs="宋体-18030"/>
          <w:b/>
          <w:bCs/>
          <w:kern w:val="0"/>
          <w:sz w:val="30"/>
          <w:szCs w:val="30"/>
        </w:rPr>
        <w:t>年</w:t>
      </w:r>
      <w:r>
        <w:rPr>
          <w:rFonts w:hint="eastAsia" w:ascii="宋体" w:hAnsi="宋体" w:cs="宋体-18030"/>
          <w:b/>
          <w:bCs/>
          <w:kern w:val="0"/>
          <w:sz w:val="30"/>
          <w:szCs w:val="30"/>
          <w:lang w:val="en-US" w:eastAsia="zh-CN"/>
        </w:rPr>
        <w:t>六</w:t>
      </w:r>
      <w:r>
        <w:rPr>
          <w:rFonts w:hint="eastAsia" w:ascii="宋体" w:hAnsi="宋体" w:cs="宋体-18030"/>
          <w:b/>
          <w:bCs/>
          <w:kern w:val="0"/>
          <w:sz w:val="30"/>
          <w:szCs w:val="30"/>
        </w:rPr>
        <w:t>月</w:t>
      </w:r>
    </w:p>
    <w:p w14:paraId="3C820F66">
      <w:pPr>
        <w:spacing w:line="312" w:lineRule="auto"/>
        <w:jc w:val="center"/>
        <w:rPr>
          <w:rFonts w:asciiTheme="minorEastAsia" w:hAnsiTheme="minorEastAsia" w:eastAsiaTheme="minorEastAsia"/>
          <w:b/>
          <w:sz w:val="43"/>
        </w:rPr>
        <w:sectPr>
          <w:pgSz w:w="11905" w:h="16838"/>
          <w:pgMar w:top="1417" w:right="1701" w:bottom="1417" w:left="1701" w:header="850" w:footer="992" w:gutter="0"/>
          <w:cols w:space="0" w:num="1"/>
          <w:rtlGutter w:val="0"/>
          <w:docGrid w:linePitch="0" w:charSpace="0"/>
        </w:sectPr>
      </w:pPr>
    </w:p>
    <w:sdt>
      <w:sdtPr>
        <w:rPr>
          <w:rFonts w:ascii="宋体" w:hAnsi="宋体" w:eastAsia="宋体" w:cs="Times New Roman"/>
          <w:b/>
          <w:bCs/>
          <w:kern w:val="2"/>
          <w:sz w:val="28"/>
          <w:szCs w:val="28"/>
          <w:lang w:val="en-US" w:eastAsia="zh-CN" w:bidi="ar-SA"/>
        </w:rPr>
        <w:id w:val="147460500"/>
        <w15:color w:val="DBDBDB"/>
        <w:docPartObj>
          <w:docPartGallery w:val="Table of Contents"/>
          <w:docPartUnique/>
        </w:docPartObj>
      </w:sdtPr>
      <w:sdtEndPr>
        <w:rPr>
          <w:rFonts w:ascii="宋体" w:hAnsi="Times New Roman" w:eastAsia="宋体" w:cs="Times New Roman"/>
          <w:b/>
          <w:bCs/>
          <w:kern w:val="2"/>
          <w:sz w:val="21"/>
          <w:szCs w:val="28"/>
          <w:lang w:val="zh-CN" w:eastAsia="zh-CN" w:bidi="ar-SA"/>
        </w:rPr>
      </w:sdtEndPr>
      <w:sdtContent>
        <w:p w14:paraId="7CBBFCEF">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7DA639E2">
          <w:pPr>
            <w:pStyle w:val="70"/>
            <w:tabs>
              <w:tab w:val="right" w:leader="dot" w:pos="8503"/>
            </w:tabs>
            <w:rPr>
              <w:sz w:val="28"/>
              <w:szCs w:val="28"/>
            </w:rPr>
          </w:pPr>
          <w:r>
            <w:rPr>
              <w:rFonts w:ascii="宋体"/>
              <w:b/>
              <w:sz w:val="28"/>
              <w:szCs w:val="28"/>
              <w:lang w:val="zh-CN"/>
            </w:rPr>
            <w:fldChar w:fldCharType="begin"/>
          </w:r>
          <w:r>
            <w:rPr>
              <w:rFonts w:ascii="宋体"/>
              <w:b/>
              <w:sz w:val="28"/>
              <w:szCs w:val="28"/>
              <w:lang w:val="zh-CN"/>
            </w:rPr>
            <w:instrText xml:space="preserve">TOC \o "1-1" \h \u </w:instrText>
          </w:r>
          <w:r>
            <w:rPr>
              <w:rFonts w:ascii="宋体"/>
              <w:b/>
              <w:sz w:val="28"/>
              <w:szCs w:val="28"/>
              <w:lang w:val="zh-CN"/>
            </w:rPr>
            <w:fldChar w:fldCharType="separate"/>
          </w:r>
        </w:p>
        <w:p w14:paraId="332D3CFD">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_Toc32747 </w:instrText>
          </w:r>
          <w:r>
            <w:rPr>
              <w:rFonts w:ascii="宋体"/>
              <w:sz w:val="28"/>
              <w:szCs w:val="28"/>
              <w:highlight w:val="none"/>
              <w:lang w:val="zh-CN"/>
            </w:rPr>
            <w:fldChar w:fldCharType="separate"/>
          </w:r>
          <w:r>
            <w:rPr>
              <w:rFonts w:hint="eastAsia"/>
              <w:sz w:val="28"/>
              <w:szCs w:val="28"/>
              <w:highlight w:val="none"/>
              <w:lang w:val="zh-CN" w:eastAsia="zh-CN"/>
            </w:rPr>
            <w:t>第一章</w:t>
          </w:r>
          <w:r>
            <w:rPr>
              <w:rFonts w:hint="eastAsia"/>
              <w:sz w:val="28"/>
              <w:szCs w:val="28"/>
              <w:highlight w:val="none"/>
              <w:lang w:val="en-US" w:eastAsia="zh-CN"/>
            </w:rPr>
            <w:t xml:space="preserve">  </w:t>
          </w:r>
          <w:r>
            <w:rPr>
              <w:rFonts w:hint="eastAsia"/>
              <w:sz w:val="28"/>
              <w:szCs w:val="28"/>
              <w:highlight w:val="none"/>
              <w:lang w:val="zh-CN"/>
            </w:rPr>
            <w:t>招标公告</w:t>
          </w:r>
          <w:r>
            <w:rPr>
              <w:sz w:val="28"/>
              <w:szCs w:val="28"/>
              <w:highlight w:val="none"/>
            </w:rPr>
            <w:tab/>
          </w:r>
          <w:r>
            <w:rPr>
              <w:sz w:val="28"/>
              <w:szCs w:val="28"/>
              <w:highlight w:val="none"/>
            </w:rPr>
            <w:fldChar w:fldCharType="begin"/>
          </w:r>
          <w:r>
            <w:rPr>
              <w:sz w:val="28"/>
              <w:szCs w:val="28"/>
              <w:highlight w:val="none"/>
            </w:rPr>
            <w:instrText xml:space="preserve"> PAGEREF _Toc32747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sz w:val="28"/>
              <w:szCs w:val="28"/>
              <w:highlight w:val="none"/>
              <w:lang w:val="zh-CN"/>
            </w:rPr>
            <w:fldChar w:fldCharType="end"/>
          </w:r>
        </w:p>
        <w:p w14:paraId="313D222B">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_Toc8172 </w:instrText>
          </w:r>
          <w:r>
            <w:rPr>
              <w:rFonts w:ascii="宋体"/>
              <w:sz w:val="28"/>
              <w:szCs w:val="28"/>
              <w:highlight w:val="none"/>
              <w:lang w:val="zh-CN"/>
            </w:rPr>
            <w:fldChar w:fldCharType="separate"/>
          </w:r>
          <w:r>
            <w:rPr>
              <w:rFonts w:hint="eastAsia"/>
              <w:sz w:val="28"/>
              <w:szCs w:val="28"/>
              <w:highlight w:val="none"/>
              <w:lang w:val="zh-CN"/>
            </w:rPr>
            <w:t>第二章  投标人须知前附表</w:t>
          </w:r>
          <w:r>
            <w:rPr>
              <w:sz w:val="28"/>
              <w:szCs w:val="28"/>
              <w:highlight w:val="none"/>
            </w:rPr>
            <w:tab/>
          </w:r>
          <w:r>
            <w:rPr>
              <w:sz w:val="28"/>
              <w:szCs w:val="28"/>
              <w:highlight w:val="none"/>
            </w:rPr>
            <w:fldChar w:fldCharType="begin"/>
          </w:r>
          <w:r>
            <w:rPr>
              <w:sz w:val="28"/>
              <w:szCs w:val="28"/>
              <w:highlight w:val="none"/>
            </w:rPr>
            <w:instrText xml:space="preserve"> PAGEREF _Toc8172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宋体"/>
              <w:sz w:val="28"/>
              <w:szCs w:val="28"/>
              <w:highlight w:val="none"/>
              <w:lang w:val="zh-CN"/>
            </w:rPr>
            <w:fldChar w:fldCharType="end"/>
          </w:r>
        </w:p>
        <w:p w14:paraId="285BF663">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_Toc31487 </w:instrText>
          </w:r>
          <w:r>
            <w:rPr>
              <w:rFonts w:ascii="宋体"/>
              <w:sz w:val="28"/>
              <w:szCs w:val="28"/>
              <w:highlight w:val="none"/>
              <w:lang w:val="zh-CN"/>
            </w:rPr>
            <w:fldChar w:fldCharType="separate"/>
          </w:r>
          <w:r>
            <w:rPr>
              <w:rFonts w:hint="eastAsia" w:cs="Times New Roman"/>
              <w:sz w:val="28"/>
              <w:szCs w:val="28"/>
              <w:highlight w:val="none"/>
              <w:lang w:val="zh-CN"/>
            </w:rPr>
            <w:t xml:space="preserve">第三章  </w:t>
          </w:r>
          <w:r>
            <w:rPr>
              <w:rFonts w:hint="eastAsia" w:cs="Times New Roman"/>
              <w:sz w:val="28"/>
              <w:szCs w:val="28"/>
              <w:highlight w:val="none"/>
              <w:lang w:val="en-GB"/>
            </w:rPr>
            <w:t>评标办法</w:t>
          </w:r>
          <w:r>
            <w:rPr>
              <w:sz w:val="28"/>
              <w:szCs w:val="28"/>
              <w:highlight w:val="none"/>
            </w:rPr>
            <w:tab/>
          </w:r>
          <w:r>
            <w:rPr>
              <w:sz w:val="28"/>
              <w:szCs w:val="28"/>
              <w:highlight w:val="none"/>
            </w:rPr>
            <w:fldChar w:fldCharType="begin"/>
          </w:r>
          <w:r>
            <w:rPr>
              <w:sz w:val="28"/>
              <w:szCs w:val="28"/>
              <w:highlight w:val="none"/>
            </w:rPr>
            <w:instrText xml:space="preserve"> PAGEREF _Toc31487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3</w:t>
          </w:r>
          <w:r>
            <w:rPr>
              <w:sz w:val="28"/>
              <w:szCs w:val="28"/>
              <w:highlight w:val="none"/>
            </w:rPr>
            <w:fldChar w:fldCharType="end"/>
          </w:r>
          <w:r>
            <w:rPr>
              <w:rFonts w:ascii="宋体"/>
              <w:sz w:val="28"/>
              <w:szCs w:val="28"/>
              <w:highlight w:val="none"/>
              <w:lang w:val="zh-CN"/>
            </w:rPr>
            <w:fldChar w:fldCharType="end"/>
          </w:r>
        </w:p>
        <w:p w14:paraId="77FCC40A">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_Toc14258 </w:instrText>
          </w:r>
          <w:r>
            <w:rPr>
              <w:rFonts w:ascii="宋体"/>
              <w:sz w:val="28"/>
              <w:szCs w:val="28"/>
              <w:highlight w:val="none"/>
              <w:lang w:val="zh-CN"/>
            </w:rPr>
            <w:fldChar w:fldCharType="separate"/>
          </w:r>
          <w:r>
            <w:rPr>
              <w:rFonts w:hint="eastAsia" w:cs="Times New Roman"/>
              <w:sz w:val="28"/>
              <w:szCs w:val="28"/>
              <w:highlight w:val="none"/>
              <w:lang w:val="zh-CN"/>
            </w:rPr>
            <w:t>第四章</w:t>
          </w:r>
          <w:r>
            <w:rPr>
              <w:rFonts w:hint="eastAsia" w:cs="Times New Roman"/>
              <w:sz w:val="28"/>
              <w:szCs w:val="28"/>
              <w:highlight w:val="none"/>
              <w:lang w:val="en-US" w:eastAsia="zh-CN"/>
            </w:rPr>
            <w:t xml:space="preserve">  </w:t>
          </w:r>
          <w:r>
            <w:rPr>
              <w:rFonts w:hint="eastAsia" w:cs="Times New Roman"/>
              <w:sz w:val="28"/>
              <w:szCs w:val="28"/>
              <w:highlight w:val="none"/>
              <w:lang w:val="zh-CN"/>
            </w:rPr>
            <w:t>合同条款</w:t>
          </w:r>
          <w:r>
            <w:rPr>
              <w:sz w:val="28"/>
              <w:szCs w:val="28"/>
              <w:highlight w:val="none"/>
            </w:rPr>
            <w:tab/>
          </w:r>
          <w:r>
            <w:rPr>
              <w:sz w:val="28"/>
              <w:szCs w:val="28"/>
              <w:highlight w:val="none"/>
            </w:rPr>
            <w:fldChar w:fldCharType="begin"/>
          </w:r>
          <w:r>
            <w:rPr>
              <w:sz w:val="28"/>
              <w:szCs w:val="28"/>
              <w:highlight w:val="none"/>
            </w:rPr>
            <w:instrText xml:space="preserve"> PAGEREF _Toc14258 \h </w:instrText>
          </w:r>
          <w:r>
            <w:rPr>
              <w:sz w:val="28"/>
              <w:szCs w:val="28"/>
              <w:highlight w:val="none"/>
            </w:rPr>
            <w:fldChar w:fldCharType="separate"/>
          </w:r>
          <w:r>
            <w:rPr>
              <w:sz w:val="28"/>
              <w:szCs w:val="28"/>
              <w:highlight w:val="none"/>
            </w:rPr>
            <w:t>18</w:t>
          </w:r>
          <w:r>
            <w:rPr>
              <w:sz w:val="28"/>
              <w:szCs w:val="28"/>
              <w:highlight w:val="none"/>
            </w:rPr>
            <w:fldChar w:fldCharType="end"/>
          </w:r>
          <w:r>
            <w:rPr>
              <w:rFonts w:ascii="宋体"/>
              <w:sz w:val="28"/>
              <w:szCs w:val="28"/>
              <w:highlight w:val="none"/>
              <w:lang w:val="zh-CN"/>
            </w:rPr>
            <w:fldChar w:fldCharType="end"/>
          </w:r>
        </w:p>
        <w:p w14:paraId="5F2A683E">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_Toc23103 </w:instrText>
          </w:r>
          <w:r>
            <w:rPr>
              <w:rFonts w:ascii="宋体"/>
              <w:sz w:val="28"/>
              <w:szCs w:val="28"/>
              <w:highlight w:val="none"/>
              <w:lang w:val="zh-CN"/>
            </w:rPr>
            <w:fldChar w:fldCharType="separate"/>
          </w:r>
          <w:r>
            <w:rPr>
              <w:rFonts w:hint="eastAsia" w:cs="Times New Roman"/>
              <w:sz w:val="28"/>
              <w:szCs w:val="28"/>
              <w:highlight w:val="none"/>
              <w:lang w:val="zh-CN"/>
            </w:rPr>
            <w:t>第</w:t>
          </w:r>
          <w:r>
            <w:rPr>
              <w:rFonts w:hint="eastAsia" w:cs="Times New Roman"/>
              <w:sz w:val="28"/>
              <w:szCs w:val="28"/>
              <w:highlight w:val="none"/>
              <w:lang w:val="en-US" w:eastAsia="zh-CN"/>
            </w:rPr>
            <w:t>五</w:t>
          </w:r>
          <w:r>
            <w:rPr>
              <w:rFonts w:hint="eastAsia" w:cs="Times New Roman"/>
              <w:sz w:val="28"/>
              <w:szCs w:val="28"/>
              <w:highlight w:val="none"/>
              <w:lang w:val="zh-CN"/>
            </w:rPr>
            <w:t>章</w:t>
          </w:r>
          <w:r>
            <w:rPr>
              <w:rFonts w:hint="eastAsia" w:cs="Times New Roman"/>
              <w:sz w:val="28"/>
              <w:szCs w:val="28"/>
              <w:highlight w:val="none"/>
              <w:lang w:val="en-US" w:eastAsia="zh-CN"/>
            </w:rPr>
            <w:t xml:space="preserve"> </w:t>
          </w:r>
          <w:r>
            <w:rPr>
              <w:rFonts w:hint="eastAsia" w:cs="Times New Roman"/>
              <w:sz w:val="28"/>
              <w:szCs w:val="28"/>
              <w:highlight w:val="none"/>
              <w:lang w:val="zh-CN"/>
            </w:rPr>
            <w:t xml:space="preserve"> </w:t>
          </w:r>
          <w:r>
            <w:rPr>
              <w:rFonts w:hint="eastAsia" w:cs="Times New Roman"/>
              <w:sz w:val="28"/>
              <w:szCs w:val="28"/>
              <w:highlight w:val="none"/>
              <w:lang w:val="en-US" w:eastAsia="zh-CN"/>
            </w:rPr>
            <w:t>采购需</w:t>
          </w:r>
          <w:r>
            <w:rPr>
              <w:rFonts w:hint="eastAsia" w:cs="Times New Roman"/>
              <w:sz w:val="28"/>
              <w:szCs w:val="28"/>
              <w:highlight w:val="none"/>
              <w:lang w:val="zh-CN"/>
            </w:rPr>
            <w:t>求</w:t>
          </w:r>
          <w:r>
            <w:rPr>
              <w:sz w:val="28"/>
              <w:szCs w:val="28"/>
              <w:highlight w:val="none"/>
            </w:rPr>
            <w:tab/>
          </w:r>
          <w:r>
            <w:rPr>
              <w:sz w:val="28"/>
              <w:szCs w:val="28"/>
              <w:highlight w:val="none"/>
            </w:rPr>
            <w:fldChar w:fldCharType="begin"/>
          </w:r>
          <w:r>
            <w:rPr>
              <w:sz w:val="28"/>
              <w:szCs w:val="28"/>
              <w:highlight w:val="none"/>
            </w:rPr>
            <w:instrText xml:space="preserve"> PAGEREF _Toc23103 \h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sz w:val="28"/>
              <w:szCs w:val="28"/>
              <w:highlight w:val="none"/>
              <w:lang w:val="zh-CN"/>
            </w:rPr>
            <w:fldChar w:fldCharType="end"/>
          </w:r>
        </w:p>
        <w:p w14:paraId="00F5FD21">
          <w:pPr>
            <w:pStyle w:val="70"/>
            <w:keepNext w:val="0"/>
            <w:keepLines w:val="0"/>
            <w:pageBreakBefore w:val="0"/>
            <w:widowControl/>
            <w:tabs>
              <w:tab w:val="right" w:leader="dot" w:pos="8503"/>
            </w:tabs>
            <w:kinsoku/>
            <w:wordWrap/>
            <w:overflowPunct/>
            <w:topLinePunct w:val="0"/>
            <w:autoSpaceDE/>
            <w:autoSpaceDN/>
            <w:bidi w:val="0"/>
            <w:adjustRightInd/>
            <w:snapToGrid/>
            <w:spacing w:line="288" w:lineRule="auto"/>
            <w:textAlignment w:val="auto"/>
            <w:rPr>
              <w:sz w:val="28"/>
              <w:szCs w:val="28"/>
              <w:highlight w:val="none"/>
            </w:rPr>
          </w:pPr>
          <w:r>
            <w:rPr>
              <w:rFonts w:ascii="宋体"/>
              <w:sz w:val="28"/>
              <w:szCs w:val="28"/>
              <w:highlight w:val="none"/>
              <w:lang w:val="zh-CN"/>
            </w:rPr>
            <w:fldChar w:fldCharType="begin"/>
          </w:r>
          <w:r>
            <w:rPr>
              <w:rFonts w:ascii="宋体"/>
              <w:sz w:val="28"/>
              <w:szCs w:val="28"/>
              <w:highlight w:val="none"/>
              <w:lang w:val="zh-CN"/>
            </w:rPr>
            <w:instrText xml:space="preserve"> HYPERLINK \l _Toc24918 </w:instrText>
          </w:r>
          <w:r>
            <w:rPr>
              <w:rFonts w:ascii="宋体"/>
              <w:sz w:val="28"/>
              <w:szCs w:val="28"/>
              <w:highlight w:val="none"/>
              <w:lang w:val="zh-CN"/>
            </w:rPr>
            <w:fldChar w:fldCharType="separate"/>
          </w:r>
          <w:r>
            <w:rPr>
              <w:rFonts w:hint="eastAsia" w:cs="Times New Roman"/>
              <w:sz w:val="28"/>
              <w:szCs w:val="28"/>
              <w:highlight w:val="none"/>
              <w:lang w:val="zh-CN"/>
            </w:rPr>
            <w:t>第</w:t>
          </w:r>
          <w:r>
            <w:rPr>
              <w:rFonts w:hint="eastAsia" w:cs="Times New Roman"/>
              <w:sz w:val="28"/>
              <w:szCs w:val="28"/>
              <w:highlight w:val="none"/>
              <w:lang w:val="en-US" w:eastAsia="zh-CN"/>
            </w:rPr>
            <w:t>六</w:t>
          </w:r>
          <w:r>
            <w:rPr>
              <w:rFonts w:hint="eastAsia" w:cs="Times New Roman"/>
              <w:sz w:val="28"/>
              <w:szCs w:val="28"/>
              <w:highlight w:val="none"/>
              <w:lang w:val="zh-CN"/>
            </w:rPr>
            <w:t>章  投标文件格式</w:t>
          </w:r>
          <w:r>
            <w:rPr>
              <w:sz w:val="28"/>
              <w:szCs w:val="28"/>
              <w:highlight w:val="none"/>
            </w:rPr>
            <w:tab/>
          </w:r>
          <w:r>
            <w:rPr>
              <w:sz w:val="28"/>
              <w:szCs w:val="28"/>
              <w:highlight w:val="none"/>
            </w:rPr>
            <w:fldChar w:fldCharType="begin"/>
          </w:r>
          <w:r>
            <w:rPr>
              <w:sz w:val="28"/>
              <w:szCs w:val="28"/>
              <w:highlight w:val="none"/>
            </w:rPr>
            <w:instrText xml:space="preserve"> PAGEREF _Toc24918 \h </w:instrText>
          </w:r>
          <w:r>
            <w:rPr>
              <w:sz w:val="28"/>
              <w:szCs w:val="28"/>
              <w:highlight w:val="none"/>
            </w:rPr>
            <w:fldChar w:fldCharType="separate"/>
          </w:r>
          <w:r>
            <w:rPr>
              <w:sz w:val="28"/>
              <w:szCs w:val="28"/>
              <w:highlight w:val="none"/>
            </w:rPr>
            <w:t>2</w:t>
          </w:r>
          <w:r>
            <w:rPr>
              <w:rFonts w:hint="eastAsia"/>
              <w:sz w:val="28"/>
              <w:szCs w:val="28"/>
              <w:highlight w:val="none"/>
              <w:lang w:val="en-US" w:eastAsia="zh-CN"/>
            </w:rPr>
            <w:t>9</w:t>
          </w:r>
          <w:r>
            <w:rPr>
              <w:sz w:val="28"/>
              <w:szCs w:val="28"/>
              <w:highlight w:val="none"/>
            </w:rPr>
            <w:fldChar w:fldCharType="end"/>
          </w:r>
          <w:r>
            <w:rPr>
              <w:rFonts w:ascii="宋体"/>
              <w:sz w:val="28"/>
              <w:szCs w:val="28"/>
              <w:highlight w:val="none"/>
              <w:lang w:val="zh-CN"/>
            </w:rPr>
            <w:fldChar w:fldCharType="end"/>
          </w:r>
        </w:p>
        <w:p w14:paraId="43586653">
          <w:pPr>
            <w:autoSpaceDE w:val="0"/>
            <w:autoSpaceDN w:val="0"/>
            <w:adjustRightInd w:val="0"/>
            <w:spacing w:line="520" w:lineRule="exact"/>
            <w:jc w:val="center"/>
            <w:rPr>
              <w:rFonts w:ascii="宋体"/>
              <w:b/>
              <w:sz w:val="44"/>
              <w:lang w:val="zh-CN"/>
            </w:rPr>
          </w:pPr>
          <w:r>
            <w:rPr>
              <w:rFonts w:ascii="宋体"/>
              <w:sz w:val="28"/>
              <w:szCs w:val="28"/>
              <w:lang w:val="zh-CN"/>
            </w:rPr>
            <w:fldChar w:fldCharType="end"/>
          </w:r>
        </w:p>
      </w:sdtContent>
    </w:sdt>
    <w:p w14:paraId="63FCFA61">
      <w:pPr>
        <w:autoSpaceDE w:val="0"/>
        <w:autoSpaceDN w:val="0"/>
        <w:adjustRightInd w:val="0"/>
        <w:spacing w:line="600" w:lineRule="auto"/>
        <w:ind w:firstLine="480" w:firstLineChars="200"/>
        <w:jc w:val="center"/>
        <w:rPr>
          <w:rFonts w:ascii="宋体"/>
          <w:sz w:val="24"/>
          <w:szCs w:val="24"/>
          <w:lang w:val="zh-CN"/>
        </w:rPr>
      </w:pPr>
    </w:p>
    <w:p w14:paraId="7413F7D6">
      <w:pPr>
        <w:autoSpaceDE w:val="0"/>
        <w:autoSpaceDN w:val="0"/>
        <w:adjustRightInd w:val="0"/>
        <w:spacing w:line="520" w:lineRule="exact"/>
        <w:rPr>
          <w:rFonts w:ascii="宋体"/>
          <w:b/>
          <w:sz w:val="24"/>
          <w:szCs w:val="24"/>
          <w:lang w:val="zh-CN"/>
        </w:rPr>
      </w:pPr>
    </w:p>
    <w:p w14:paraId="481DCC36">
      <w:pPr>
        <w:autoSpaceDE w:val="0"/>
        <w:autoSpaceDN w:val="0"/>
        <w:adjustRightInd w:val="0"/>
        <w:spacing w:line="520" w:lineRule="exact"/>
        <w:rPr>
          <w:rFonts w:ascii="宋体"/>
          <w:b/>
          <w:sz w:val="24"/>
          <w:szCs w:val="24"/>
          <w:lang w:val="zh-CN"/>
        </w:rPr>
      </w:pPr>
    </w:p>
    <w:p w14:paraId="5B56DD13">
      <w:pPr>
        <w:autoSpaceDE w:val="0"/>
        <w:autoSpaceDN w:val="0"/>
        <w:adjustRightInd w:val="0"/>
        <w:spacing w:line="520" w:lineRule="exact"/>
        <w:rPr>
          <w:rFonts w:ascii="宋体"/>
          <w:b/>
          <w:sz w:val="24"/>
          <w:szCs w:val="24"/>
          <w:lang w:val="zh-CN"/>
        </w:rPr>
      </w:pPr>
    </w:p>
    <w:p w14:paraId="061D394B">
      <w:pPr>
        <w:autoSpaceDE w:val="0"/>
        <w:autoSpaceDN w:val="0"/>
        <w:adjustRightInd w:val="0"/>
        <w:spacing w:line="520" w:lineRule="exact"/>
        <w:rPr>
          <w:rFonts w:ascii="宋体"/>
          <w:b/>
          <w:sz w:val="24"/>
          <w:szCs w:val="24"/>
          <w:lang w:val="zh-CN"/>
        </w:rPr>
      </w:pPr>
    </w:p>
    <w:p w14:paraId="1B5D3DA2">
      <w:pPr>
        <w:autoSpaceDE w:val="0"/>
        <w:autoSpaceDN w:val="0"/>
        <w:adjustRightInd w:val="0"/>
        <w:spacing w:line="520" w:lineRule="exact"/>
        <w:rPr>
          <w:rFonts w:ascii="宋体"/>
          <w:b/>
          <w:sz w:val="24"/>
          <w:szCs w:val="24"/>
          <w:lang w:val="zh-CN"/>
        </w:rPr>
      </w:pPr>
    </w:p>
    <w:p w14:paraId="381E7AF8">
      <w:pPr>
        <w:autoSpaceDE w:val="0"/>
        <w:autoSpaceDN w:val="0"/>
        <w:adjustRightInd w:val="0"/>
        <w:spacing w:line="520" w:lineRule="exact"/>
        <w:rPr>
          <w:rFonts w:ascii="宋体"/>
          <w:b/>
          <w:sz w:val="24"/>
          <w:szCs w:val="24"/>
          <w:lang w:val="zh-CN"/>
        </w:rPr>
      </w:pPr>
    </w:p>
    <w:p w14:paraId="79FC214F">
      <w:pPr>
        <w:autoSpaceDE w:val="0"/>
        <w:autoSpaceDN w:val="0"/>
        <w:adjustRightInd w:val="0"/>
        <w:spacing w:line="520" w:lineRule="exact"/>
        <w:rPr>
          <w:rFonts w:ascii="宋体"/>
          <w:b/>
          <w:sz w:val="24"/>
          <w:szCs w:val="24"/>
          <w:lang w:val="zh-CN"/>
        </w:rPr>
      </w:pPr>
    </w:p>
    <w:p w14:paraId="680C4E3E">
      <w:pPr>
        <w:autoSpaceDE w:val="0"/>
        <w:autoSpaceDN w:val="0"/>
        <w:adjustRightInd w:val="0"/>
        <w:spacing w:line="520" w:lineRule="exact"/>
        <w:rPr>
          <w:rFonts w:ascii="宋体"/>
          <w:b/>
          <w:sz w:val="24"/>
          <w:szCs w:val="24"/>
          <w:lang w:val="zh-CN"/>
        </w:rPr>
      </w:pPr>
    </w:p>
    <w:p w14:paraId="51B58683">
      <w:pPr>
        <w:autoSpaceDE w:val="0"/>
        <w:autoSpaceDN w:val="0"/>
        <w:adjustRightInd w:val="0"/>
        <w:spacing w:line="520" w:lineRule="exact"/>
        <w:rPr>
          <w:rFonts w:ascii="宋体"/>
          <w:b/>
          <w:sz w:val="24"/>
          <w:szCs w:val="24"/>
          <w:lang w:val="zh-CN"/>
        </w:rPr>
      </w:pPr>
    </w:p>
    <w:p w14:paraId="3E076563">
      <w:pPr>
        <w:autoSpaceDE w:val="0"/>
        <w:autoSpaceDN w:val="0"/>
        <w:adjustRightInd w:val="0"/>
        <w:spacing w:line="520" w:lineRule="exact"/>
        <w:rPr>
          <w:rFonts w:ascii="宋体"/>
          <w:b/>
          <w:sz w:val="24"/>
          <w:szCs w:val="24"/>
          <w:lang w:val="zh-CN"/>
        </w:rPr>
      </w:pPr>
    </w:p>
    <w:p w14:paraId="283EC27C">
      <w:pPr>
        <w:autoSpaceDE w:val="0"/>
        <w:autoSpaceDN w:val="0"/>
        <w:adjustRightInd w:val="0"/>
        <w:spacing w:line="520" w:lineRule="exact"/>
        <w:rPr>
          <w:rFonts w:ascii="宋体"/>
          <w:b/>
          <w:sz w:val="24"/>
          <w:szCs w:val="24"/>
          <w:lang w:val="zh-CN"/>
        </w:rPr>
      </w:pPr>
    </w:p>
    <w:p w14:paraId="6B3B4D4F">
      <w:pPr>
        <w:autoSpaceDE w:val="0"/>
        <w:autoSpaceDN w:val="0"/>
        <w:adjustRightInd w:val="0"/>
        <w:spacing w:line="520" w:lineRule="exact"/>
        <w:rPr>
          <w:rFonts w:ascii="宋体"/>
          <w:b/>
          <w:sz w:val="24"/>
          <w:szCs w:val="24"/>
          <w:lang w:val="zh-CN"/>
        </w:rPr>
      </w:pPr>
    </w:p>
    <w:p w14:paraId="5EC0ADB5">
      <w:pPr>
        <w:pStyle w:val="3"/>
        <w:numPr>
          <w:ilvl w:val="0"/>
          <w:numId w:val="2"/>
        </w:numPr>
        <w:spacing w:before="120" w:beforeLines="50" w:after="0" w:line="360" w:lineRule="auto"/>
        <w:sectPr>
          <w:headerReference r:id="rId3" w:type="default"/>
          <w:footerReference r:id="rId4" w:type="default"/>
          <w:pgSz w:w="11905" w:h="16838"/>
          <w:pgMar w:top="1417" w:right="1701" w:bottom="1417" w:left="1701" w:header="850" w:footer="992" w:gutter="0"/>
          <w:pgNumType w:start="1"/>
          <w:cols w:space="0" w:num="1"/>
          <w:rtlGutter w:val="0"/>
          <w:docGrid w:linePitch="0" w:charSpace="0"/>
        </w:sectPr>
      </w:pPr>
      <w:bookmarkStart w:id="3" w:name="_Toc495651137"/>
    </w:p>
    <w:bookmarkEnd w:id="3"/>
    <w:p w14:paraId="135846D8">
      <w:pPr>
        <w:pStyle w:val="6"/>
        <w:bidi w:val="0"/>
        <w:jc w:val="center"/>
        <w:outlineLvl w:val="0"/>
        <w:rPr>
          <w:rFonts w:hint="eastAsia" w:ascii="宋体" w:hAnsi="宋体" w:eastAsia="宋体" w:cs="宋体"/>
          <w:lang w:val="zh-CN"/>
        </w:rPr>
      </w:pPr>
      <w:bookmarkStart w:id="4" w:name="_Toc35393789"/>
      <w:bookmarkStart w:id="5" w:name="_Toc32747"/>
      <w:bookmarkStart w:id="6" w:name="_Toc28359001"/>
      <w:bookmarkStart w:id="7" w:name="_Toc495651138"/>
      <w:r>
        <w:rPr>
          <w:rFonts w:hint="eastAsia" w:ascii="宋体" w:hAnsi="宋体" w:eastAsia="宋体" w:cs="宋体"/>
          <w:lang w:val="zh-CN" w:eastAsia="zh-CN"/>
        </w:rPr>
        <w:t>第一章</w:t>
      </w:r>
      <w:r>
        <w:rPr>
          <w:rFonts w:hint="eastAsia" w:ascii="宋体" w:hAnsi="宋体" w:eastAsia="宋体" w:cs="宋体"/>
          <w:lang w:val="en-US" w:eastAsia="zh-CN"/>
        </w:rPr>
        <w:t xml:space="preserve"> </w:t>
      </w:r>
      <w:r>
        <w:rPr>
          <w:rFonts w:hint="eastAsia" w:ascii="宋体" w:hAnsi="宋体" w:eastAsia="宋体" w:cs="宋体"/>
          <w:lang w:val="zh-CN"/>
        </w:rPr>
        <w:t>招标公告</w:t>
      </w:r>
      <w:bookmarkEnd w:id="4"/>
      <w:bookmarkEnd w:id="5"/>
      <w:bookmarkEnd w:id="6"/>
    </w:p>
    <w:p w14:paraId="4CA654F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bookmarkStart w:id="8" w:name="_Toc28359002"/>
      <w:bookmarkStart w:id="9" w:name="_Toc35393790"/>
      <w:bookmarkStart w:id="10" w:name="_Toc28359079"/>
      <w:bookmarkStart w:id="11" w:name="_Toc35393621"/>
      <w:bookmarkStart w:id="12" w:name="_Hlk24379207"/>
    </w:p>
    <w:p w14:paraId="03C62BD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rPr>
      </w:pPr>
      <w:r>
        <w:rPr>
          <w:rFonts w:hint="eastAsia" w:ascii="宋体" w:hAnsi="宋体" w:cs="宋体"/>
          <w:sz w:val="24"/>
          <w:szCs w:val="24"/>
          <w:u w:val="single"/>
          <w:lang w:val="en-US" w:eastAsia="zh-CN"/>
        </w:rPr>
        <w:t>石人血泪山</w:t>
      </w:r>
      <w:r>
        <w:rPr>
          <w:rFonts w:hint="eastAsia" w:ascii="宋体" w:hAnsi="宋体" w:cs="宋体"/>
          <w:color w:val="auto"/>
          <w:sz w:val="24"/>
          <w:szCs w:val="24"/>
          <w:u w:val="single"/>
          <w:lang w:val="en-US" w:eastAsia="zh-CN"/>
        </w:rPr>
        <w:t>罹难矿工纪念馆馆藏文物预防性保护项目</w:t>
      </w:r>
      <w:r>
        <w:rPr>
          <w:rFonts w:hint="eastAsia" w:ascii="宋体" w:hAnsi="宋体" w:eastAsia="宋体" w:cs="宋体"/>
          <w:color w:val="auto"/>
          <w:sz w:val="24"/>
          <w:szCs w:val="24"/>
          <w:lang w:val="en-US" w:eastAsia="zh-CN"/>
        </w:rPr>
        <w:t>的潜在投标人应在</w:t>
      </w:r>
      <w:r>
        <w:rPr>
          <w:rFonts w:hint="eastAsia" w:ascii="宋体" w:hAnsi="宋体" w:eastAsia="宋体" w:cs="宋体"/>
          <w:b w:val="0"/>
          <w:bCs/>
          <w:color w:val="auto"/>
          <w:sz w:val="24"/>
          <w:szCs w:val="24"/>
          <w:highlight w:val="none"/>
        </w:rPr>
        <w:t>政府采购云平台</w:t>
      </w:r>
      <w:r>
        <w:rPr>
          <w:rFonts w:hint="eastAsia" w:ascii="宋体" w:hAnsi="宋体" w:eastAsia="宋体" w:cs="宋体"/>
          <w:color w:val="auto"/>
          <w:sz w:val="24"/>
          <w:szCs w:val="24"/>
          <w:lang w:val="en-US" w:eastAsia="zh-CN"/>
        </w:rPr>
        <w:t>获取招标文件。并于2025年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color w:val="auto"/>
          <w:sz w:val="24"/>
          <w:szCs w:val="24"/>
          <w:lang w:val="en-US" w:eastAsia="zh-CN"/>
        </w:rPr>
        <w:t>北京时间）前递交投标文件。</w:t>
      </w:r>
    </w:p>
    <w:p w14:paraId="0BEDD8F5">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8"/>
      <w:bookmarkEnd w:id="9"/>
      <w:bookmarkEnd w:id="10"/>
      <w:bookmarkEnd w:id="11"/>
    </w:p>
    <w:p w14:paraId="34C5D19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采购计划-[2025]-00043号-ZYCG-2025-11号</w:t>
      </w:r>
    </w:p>
    <w:p w14:paraId="327CC44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sz w:val="24"/>
          <w:szCs w:val="24"/>
          <w:highlight w:val="none"/>
          <w:lang w:eastAsia="zh-CN"/>
        </w:rPr>
        <w:t>项目名</w:t>
      </w:r>
      <w:r>
        <w:rPr>
          <w:rFonts w:hint="eastAsia" w:ascii="宋体" w:hAnsi="宋体" w:eastAsia="宋体" w:cs="宋体"/>
          <w:color w:val="auto"/>
          <w:sz w:val="24"/>
          <w:szCs w:val="24"/>
          <w:highlight w:val="none"/>
          <w:lang w:eastAsia="zh-CN"/>
        </w:rPr>
        <w:t>称：</w:t>
      </w:r>
      <w:bookmarkEnd w:id="12"/>
      <w:r>
        <w:rPr>
          <w:rFonts w:hint="eastAsia" w:ascii="宋体" w:hAnsi="宋体" w:cs="宋体"/>
          <w:color w:val="auto"/>
          <w:sz w:val="24"/>
          <w:szCs w:val="24"/>
          <w:highlight w:val="none"/>
          <w:lang w:eastAsia="zh-CN"/>
        </w:rPr>
        <w:t>石人血泪山罹难矿工纪念馆馆藏文物预防性保护项目</w:t>
      </w:r>
    </w:p>
    <w:p w14:paraId="1593C12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80000</w:t>
      </w:r>
      <w:r>
        <w:rPr>
          <w:rFonts w:hint="eastAsia" w:ascii="宋体" w:hAnsi="宋体" w:eastAsia="宋体" w:cs="宋体"/>
          <w:color w:val="auto"/>
          <w:sz w:val="24"/>
          <w:szCs w:val="24"/>
          <w:highlight w:val="none"/>
          <w:lang w:eastAsia="zh-CN"/>
        </w:rPr>
        <w:t>元</w:t>
      </w:r>
    </w:p>
    <w:p w14:paraId="4F2161C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采购需求：</w:t>
      </w:r>
      <w:r>
        <w:rPr>
          <w:rFonts w:hint="eastAsia" w:ascii="宋体" w:hAnsi="宋体" w:cs="宋体"/>
          <w:color w:val="auto"/>
          <w:sz w:val="24"/>
          <w:szCs w:val="24"/>
          <w:highlight w:val="none"/>
          <w:lang w:eastAsia="zh-CN"/>
        </w:rPr>
        <w:t>石人血泪山罹难矿工纪念馆馆藏文物预防性保护项目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具体内容详见</w:t>
      </w:r>
      <w:r>
        <w:rPr>
          <w:rFonts w:hint="eastAsia" w:ascii="宋体" w:hAnsi="宋体" w:eastAsia="宋体" w:cs="宋体"/>
          <w:color w:val="auto"/>
          <w:sz w:val="24"/>
          <w:szCs w:val="24"/>
          <w:highlight w:val="none"/>
          <w:lang w:val="en-US" w:eastAsia="zh-CN"/>
        </w:rPr>
        <w:t>第五章采购要求</w:t>
      </w:r>
    </w:p>
    <w:p w14:paraId="5A049F3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sz w:val="24"/>
          <w:szCs w:val="24"/>
          <w:highlight w:val="none"/>
          <w:lang w:eastAsia="zh-CN"/>
        </w:rPr>
        <w:t>供货</w:t>
      </w:r>
      <w:r>
        <w:rPr>
          <w:rFonts w:hint="eastAsia" w:ascii="宋体" w:hAnsi="宋体" w:eastAsia="宋体" w:cs="宋体"/>
          <w:color w:val="auto"/>
          <w:sz w:val="24"/>
          <w:szCs w:val="24"/>
          <w:highlight w:val="none"/>
          <w:lang w:eastAsia="zh-CN"/>
        </w:rPr>
        <w:t>期：自合同签订之日起</w:t>
      </w:r>
      <w:r>
        <w:rPr>
          <w:rFonts w:hint="eastAsia" w:ascii="宋体" w:hAnsi="宋体" w:cs="宋体"/>
          <w:color w:val="auto"/>
          <w:sz w:val="24"/>
          <w:szCs w:val="24"/>
          <w:highlight w:val="none"/>
          <w:lang w:val="en-US" w:eastAsia="zh-CN"/>
        </w:rPr>
        <w:t>60日</w:t>
      </w:r>
      <w:r>
        <w:rPr>
          <w:rFonts w:hint="eastAsia" w:ascii="宋体" w:hAnsi="宋体" w:eastAsia="宋体" w:cs="宋体"/>
          <w:color w:val="auto"/>
          <w:sz w:val="24"/>
          <w:szCs w:val="24"/>
          <w:highlight w:val="none"/>
          <w:lang w:eastAsia="zh-CN"/>
        </w:rPr>
        <w:t>内完成</w:t>
      </w:r>
      <w:r>
        <w:rPr>
          <w:rFonts w:hint="eastAsia" w:ascii="宋体" w:hAnsi="宋体" w:eastAsia="宋体" w:cs="宋体"/>
          <w:color w:val="auto"/>
          <w:sz w:val="24"/>
          <w:szCs w:val="24"/>
          <w:highlight w:val="none"/>
          <w:lang w:val="en-US" w:eastAsia="zh-CN"/>
        </w:rPr>
        <w:t>供货。</w:t>
      </w:r>
    </w:p>
    <w:p w14:paraId="30F3EF2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供货地点：</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人指定地点</w:t>
      </w:r>
    </w:p>
    <w:p w14:paraId="14B7604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标准：</w:t>
      </w:r>
      <w:r>
        <w:rPr>
          <w:rFonts w:hint="eastAsia" w:ascii="宋体" w:hAnsi="宋体" w:cs="宋体"/>
          <w:color w:val="auto"/>
          <w:sz w:val="24"/>
          <w:szCs w:val="24"/>
          <w:highlight w:val="none"/>
          <w:lang w:val="en-US" w:eastAsia="zh-CN"/>
        </w:rPr>
        <w:t>服务质量达到行业标准及采购人要求</w:t>
      </w:r>
    </w:p>
    <w:p w14:paraId="45F5368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本项目（是/否）接受联合体</w:t>
      </w:r>
      <w:r>
        <w:rPr>
          <w:rFonts w:hint="eastAsia" w:ascii="宋体" w:hAnsi="宋体" w:eastAsia="宋体" w:cs="宋体"/>
          <w:sz w:val="24"/>
          <w:szCs w:val="24"/>
          <w:lang w:eastAsia="zh-CN"/>
        </w:rPr>
        <w:t>投标：</w:t>
      </w:r>
      <w:r>
        <w:rPr>
          <w:rFonts w:hint="eastAsia" w:ascii="宋体" w:hAnsi="宋体" w:eastAsia="宋体" w:cs="宋体"/>
          <w:sz w:val="24"/>
          <w:szCs w:val="24"/>
          <w:lang w:val="en-US" w:eastAsia="zh-CN"/>
        </w:rPr>
        <w:t>否</w:t>
      </w:r>
    </w:p>
    <w:p w14:paraId="3D019BE7">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rPr>
      </w:pPr>
      <w:bookmarkStart w:id="13" w:name="_Toc35393622"/>
      <w:bookmarkStart w:id="14" w:name="_Toc28359080"/>
      <w:bookmarkStart w:id="15" w:name="_Toc35393791"/>
      <w:bookmarkStart w:id="16" w:name="_Toc28359003"/>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申请人的资格要求</w:t>
      </w:r>
      <w:bookmarkEnd w:id="13"/>
      <w:bookmarkEnd w:id="14"/>
      <w:bookmarkEnd w:id="15"/>
      <w:bookmarkEnd w:id="16"/>
    </w:p>
    <w:p w14:paraId="7276B3CA">
      <w:pPr>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A5E6A50">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本项目非专门面向中小微企业采购</w:t>
      </w:r>
      <w:r>
        <w:rPr>
          <w:rFonts w:hint="eastAsia" w:ascii="宋体" w:hAnsi="宋体" w:eastAsia="宋体" w:cs="宋体"/>
          <w:sz w:val="24"/>
          <w:szCs w:val="24"/>
        </w:rPr>
        <w:t>。</w:t>
      </w:r>
    </w:p>
    <w:p w14:paraId="70514551">
      <w:pPr>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A14EE6B">
      <w:pPr>
        <w:ind w:firstLine="480" w:firstLineChars="200"/>
        <w:rPr>
          <w:rFonts w:hint="eastAsia" w:ascii="宋体" w:hAnsi="宋体" w:eastAsia="宋体" w:cs="宋体"/>
          <w:b w:val="0"/>
          <w:bCs w:val="0"/>
          <w:kern w:val="2"/>
          <w:sz w:val="24"/>
          <w:szCs w:val="24"/>
          <w:lang w:val="en-US" w:eastAsia="zh-CN" w:bidi="ar-SA"/>
        </w:rPr>
      </w:pPr>
      <w:bookmarkStart w:id="17" w:name="_Toc28359081"/>
      <w:bookmarkStart w:id="18" w:name="_Toc28359004"/>
      <w:bookmarkStart w:id="19" w:name="_Toc35393792"/>
      <w:bookmarkStart w:id="20" w:name="_Toc35393623"/>
      <w:r>
        <w:rPr>
          <w:rFonts w:hint="eastAsia" w:ascii="宋体" w:hAnsi="宋体" w:eastAsia="宋体" w:cs="宋体"/>
          <w:b w:val="0"/>
          <w:bCs w:val="0"/>
          <w:kern w:val="2"/>
          <w:sz w:val="24"/>
          <w:szCs w:val="24"/>
          <w:lang w:val="en-US" w:eastAsia="zh-CN" w:bidi="ar-SA"/>
        </w:rPr>
        <w:t>3.1.在中华人民共和国境内注册，能够独立承担民事责任的法人或其他组织形式，具有有效的营业执照；</w:t>
      </w:r>
    </w:p>
    <w:p w14:paraId="504C8C45">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3.2财务要求：近一年（202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年）财务审计报告或财务报表，202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年1月1日之后成立企业提供财务状况良好承诺书；</w:t>
      </w:r>
    </w:p>
    <w:p w14:paraId="45CD74DF">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3.3投标人须提供</w:t>
      </w:r>
      <w:r>
        <w:rPr>
          <w:rFonts w:hint="eastAsia" w:ascii="宋体" w:hAnsi="宋体" w:eastAsia="宋体" w:cs="宋体"/>
          <w:b w:val="0"/>
          <w:bCs w:val="0"/>
          <w:color w:val="auto"/>
          <w:sz w:val="24"/>
          <w:szCs w:val="24"/>
          <w:highlight w:val="none"/>
          <w:lang w:val="en-US" w:eastAsia="zh-CN"/>
        </w:rPr>
        <w:t>投标截止日期前六个月内任意一个月的依法缴纳税收和社会保障资金相关证明材料</w:t>
      </w:r>
      <w:r>
        <w:rPr>
          <w:rFonts w:hint="eastAsia" w:ascii="宋体" w:hAnsi="宋体" w:eastAsia="宋体" w:cs="宋体"/>
          <w:b w:val="0"/>
          <w:bCs w:val="0"/>
          <w:kern w:val="2"/>
          <w:sz w:val="24"/>
          <w:szCs w:val="24"/>
          <w:lang w:val="en-US" w:eastAsia="zh-CN" w:bidi="ar-SA"/>
        </w:rPr>
        <w:t>（无需缴纳的投标人应提供相应有效证明文件）。</w:t>
      </w:r>
    </w:p>
    <w:p w14:paraId="12BEF9F5">
      <w:p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3.4信誉要求：拒绝列入政府取消投标资格记录期间的企业或个人投标。不接受被列入失信被执行人、重大税收违法案件当事人名单、政府采购严重违法失信行为记录名单的投标人参与投标。</w:t>
      </w:r>
    </w:p>
    <w:p w14:paraId="0D56E106">
      <w:p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3.5与招标人存在利害关系可能影响招标公正性的法人、其他组织或者个人，不得参加投标。具有投资参股关系的关联企业，或具有直接管理和被管理关系的母子公司，或同一母公司的子公司，或法定代表人为同一人的</w:t>
      </w:r>
      <w:r>
        <w:rPr>
          <w:rFonts w:hint="eastAsia" w:ascii="宋体" w:hAnsi="宋体" w:eastAsia="宋体" w:cs="宋体"/>
          <w:b w:val="0"/>
          <w:bCs w:val="0"/>
          <w:color w:val="auto"/>
          <w:kern w:val="2"/>
          <w:sz w:val="24"/>
          <w:szCs w:val="24"/>
          <w:lang w:val="en-US" w:eastAsia="zh-CN" w:bidi="ar-SA"/>
        </w:rPr>
        <w:t>两个及两个以上法人不得同时对同一标段投标，否则均按废标处理。</w:t>
      </w:r>
    </w:p>
    <w:p w14:paraId="03468219">
      <w:p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4.整个招标过程不能随意更换授权委托人。</w:t>
      </w:r>
    </w:p>
    <w:p w14:paraId="095F23A4">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三、获取招标文件</w:t>
      </w:r>
      <w:bookmarkEnd w:id="17"/>
      <w:bookmarkEnd w:id="18"/>
      <w:bookmarkEnd w:id="19"/>
      <w:bookmarkEnd w:id="20"/>
    </w:p>
    <w:p w14:paraId="5B1B31EB">
      <w:pPr>
        <w:spacing w:line="360" w:lineRule="auto"/>
        <w:ind w:firstLine="540"/>
        <w:jc w:val="left"/>
        <w:rPr>
          <w:rFonts w:hint="eastAsia" w:ascii="宋体" w:hAnsi="宋体" w:eastAsia="宋体" w:cs="宋体"/>
          <w:color w:val="auto"/>
          <w:sz w:val="24"/>
          <w:szCs w:val="24"/>
          <w:lang w:val="en-US" w:eastAsia="zh-CN"/>
        </w:rPr>
      </w:pPr>
      <w:bookmarkStart w:id="21" w:name="_Toc28359082"/>
      <w:bookmarkStart w:id="22" w:name="_Toc28359005"/>
      <w:bookmarkStart w:id="23" w:name="_Toc35393793"/>
      <w:bookmarkStart w:id="24" w:name="_Toc35393624"/>
      <w:r>
        <w:rPr>
          <w:rFonts w:hint="eastAsia" w:ascii="宋体" w:hAnsi="宋体" w:eastAsia="宋体" w:cs="宋体"/>
          <w:color w:val="auto"/>
          <w:sz w:val="24"/>
          <w:szCs w:val="24"/>
          <w:lang w:val="en-US" w:eastAsia="zh-CN"/>
        </w:rPr>
        <w:t>3.1时间：获取采购文件时间：2025年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日至2025年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lang w:val="en-US" w:eastAsia="zh-CN"/>
        </w:rPr>
        <w:t>，每天08:30至17:00（北京时间，法定节假日除外）；</w:t>
      </w:r>
    </w:p>
    <w:p w14:paraId="5AAB4979">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3.2地点：政府采购云平台（http：//www.zcygov.cn）；</w:t>
      </w:r>
    </w:p>
    <w:p w14:paraId="71F44C58">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方式：供应商自行登录政府采购云平台，网上注册并下载采购文件。采购文件下载操作路径：登录政府采购云平台-项目采购-获取采购文件-本次采购项目-申请获取采购文件。电子投标文件制作应基于政府采购云平台获取的采购文件编制，其他途径获取的采购文件一律按无效处理。</w:t>
      </w:r>
    </w:p>
    <w:p w14:paraId="083AE430">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3.4售价：免费。</w:t>
      </w:r>
    </w:p>
    <w:p w14:paraId="3D6D5C50">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四、提交投标文件</w:t>
      </w:r>
      <w:bookmarkEnd w:id="21"/>
      <w:bookmarkEnd w:id="22"/>
      <w:r>
        <w:rPr>
          <w:rFonts w:hint="eastAsia" w:ascii="宋体" w:hAnsi="宋体" w:eastAsia="宋体" w:cs="宋体"/>
          <w:b/>
          <w:bCs/>
          <w:sz w:val="24"/>
          <w:szCs w:val="24"/>
          <w:lang w:val="en-US" w:eastAsia="zh-CN"/>
        </w:rPr>
        <w:t>截止时间、开标时间和地点</w:t>
      </w:r>
      <w:bookmarkEnd w:id="23"/>
      <w:bookmarkEnd w:id="24"/>
    </w:p>
    <w:p w14:paraId="2D0D3FF9">
      <w:pPr>
        <w:spacing w:line="400" w:lineRule="exact"/>
        <w:ind w:firstLine="480" w:firstLineChars="200"/>
        <w:jc w:val="left"/>
        <w:rPr>
          <w:rFonts w:hint="eastAsia" w:ascii="宋体" w:hAnsi="宋体" w:eastAsia="宋体" w:cs="宋体"/>
          <w:color w:val="auto"/>
          <w:sz w:val="24"/>
          <w:szCs w:val="24"/>
          <w:highlight w:val="none"/>
          <w:lang w:val="zh-CN"/>
        </w:rPr>
      </w:pPr>
      <w:bookmarkStart w:id="25" w:name="_Toc28359084"/>
      <w:bookmarkStart w:id="26" w:name="_Toc35393794"/>
      <w:bookmarkStart w:id="27" w:name="_Toc35393625"/>
      <w:bookmarkStart w:id="28" w:name="_Toc28359007"/>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.1 投标文件递交的截止时间（同开标时间）为202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rPr>
        <w:t>（北京时间）；</w:t>
      </w:r>
    </w:p>
    <w:p w14:paraId="42EC0219">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4.2投标文件提交方式：在提交截止时间前通过政府采购云平台在线提交。</w:t>
      </w:r>
    </w:p>
    <w:p w14:paraId="62B6E15B">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4.3本项目采取网上直播形式进行开标，现场参加开标人员：采购人代表、采购代理机构项目负责人。响应单位在网上同步收看开标直播，直至开标结束。</w:t>
      </w:r>
    </w:p>
    <w:p w14:paraId="45A7F318">
      <w:pPr>
        <w:spacing w:line="360" w:lineRule="auto"/>
        <w:ind w:firstLine="5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4.4投标文件开启地点：白山市浑江区红旗街 578号国投大厦3楼。</w:t>
      </w:r>
    </w:p>
    <w:p w14:paraId="5B63E325">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bookmarkEnd w:id="25"/>
      <w:bookmarkEnd w:id="26"/>
      <w:bookmarkEnd w:id="27"/>
      <w:bookmarkEnd w:id="28"/>
    </w:p>
    <w:p w14:paraId="4EA5FA36">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bookmarkStart w:id="29" w:name="_Toc35393626"/>
      <w:bookmarkStart w:id="30" w:name="_Toc35393795"/>
    </w:p>
    <w:p w14:paraId="5A154078">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sz w:val="24"/>
          <w:szCs w:val="24"/>
          <w:lang w:val="en-US" w:eastAsia="zh-CN"/>
        </w:rPr>
        <w:t>六、其他补充事宜</w:t>
      </w:r>
      <w:bookmarkEnd w:id="29"/>
      <w:bookmarkEnd w:id="30"/>
      <w:bookmarkStart w:id="31" w:name="_Toc28359008"/>
      <w:bookmarkStart w:id="32" w:name="_Toc28359085"/>
      <w:bookmarkStart w:id="33" w:name="_Toc35393796"/>
      <w:bookmarkStart w:id="34" w:name="_Toc35393627"/>
    </w:p>
    <w:p w14:paraId="24752280">
      <w:pPr>
        <w:numPr>
          <w:ilvl w:val="0"/>
          <w:numId w:val="0"/>
        </w:numPr>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本公告同时在《中国政府采购网》、《</w:t>
      </w:r>
      <w:r>
        <w:rPr>
          <w:rFonts w:hint="eastAsia" w:ascii="宋体" w:hAnsi="宋体" w:eastAsia="宋体" w:cs="宋体"/>
          <w:color w:val="auto"/>
          <w:sz w:val="24"/>
          <w:szCs w:val="24"/>
          <w:lang w:val="en-US" w:eastAsia="zh-CN"/>
        </w:rPr>
        <w:t>政府采购云平台</w:t>
      </w:r>
      <w:r>
        <w:rPr>
          <w:rFonts w:hint="eastAsia" w:ascii="宋体" w:hAnsi="宋体" w:eastAsia="宋体" w:cs="宋体"/>
          <w:b w:val="0"/>
          <w:bCs w:val="0"/>
          <w:kern w:val="0"/>
          <w:sz w:val="24"/>
          <w:szCs w:val="24"/>
          <w:lang w:val="en-US" w:eastAsia="zh-CN" w:bidi="ar-SA"/>
        </w:rPr>
        <w:t>》上发布</w:t>
      </w:r>
    </w:p>
    <w:p w14:paraId="28BBA75A">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七、对本次招标提出询问，请按以下方式联系</w:t>
      </w:r>
      <w:bookmarkEnd w:id="31"/>
      <w:bookmarkEnd w:id="32"/>
      <w:bookmarkEnd w:id="33"/>
      <w:bookmarkEnd w:id="34"/>
    </w:p>
    <w:p w14:paraId="531FE91D">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EC7703B">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cs="宋体"/>
          <w:sz w:val="24"/>
          <w:szCs w:val="24"/>
          <w:lang w:eastAsia="zh-CN"/>
        </w:rPr>
        <w:t>白山市江源区石人血泪山罹难矿工纪念馆</w:t>
      </w:r>
    </w:p>
    <w:p w14:paraId="4C0B810A">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地址：</w:t>
      </w:r>
      <w:r>
        <w:rPr>
          <w:rFonts w:hint="eastAsia" w:ascii="宋体" w:hAnsi="宋体" w:eastAsia="宋体" w:cs="宋体"/>
          <w:sz w:val="24"/>
          <w:szCs w:val="24"/>
          <w:highlight w:val="none"/>
        </w:rPr>
        <w:t>白山</w:t>
      </w:r>
      <w:r>
        <w:rPr>
          <w:rFonts w:hint="eastAsia" w:ascii="宋体" w:hAnsi="宋体" w:eastAsia="宋体" w:cs="宋体"/>
          <w:color w:val="auto"/>
          <w:sz w:val="24"/>
          <w:szCs w:val="24"/>
          <w:highlight w:val="none"/>
        </w:rPr>
        <w:t>市江源区</w:t>
      </w:r>
    </w:p>
    <w:p w14:paraId="09360609">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bookmarkStart w:id="35" w:name="_Toc28359086"/>
      <w:bookmarkStart w:id="36" w:name="_Toc28359009"/>
      <w:r>
        <w:rPr>
          <w:rFonts w:hint="eastAsia" w:ascii="宋体" w:hAnsi="宋体" w:cs="宋体"/>
          <w:color w:val="auto"/>
          <w:sz w:val="24"/>
          <w:szCs w:val="24"/>
          <w:highlight w:val="none"/>
          <w:lang w:val="en-US" w:eastAsia="zh-CN"/>
        </w:rPr>
        <w:t>李明珅 18304396966</w:t>
      </w:r>
    </w:p>
    <w:p w14:paraId="62B662F7">
      <w:pPr>
        <w:bidi w:val="0"/>
        <w:rPr>
          <w:rFonts w:hint="eastAsia" w:ascii="宋体" w:hAnsi="宋体" w:eastAsia="宋体" w:cs="宋体"/>
          <w:sz w:val="24"/>
          <w:szCs w:val="24"/>
          <w:lang w:val="en-US" w:eastAsia="zh-CN"/>
        </w:rPr>
      </w:pPr>
    </w:p>
    <w:bookmarkEnd w:id="35"/>
    <w:bookmarkEnd w:id="36"/>
    <w:p w14:paraId="331F1370">
      <w:pPr>
        <w:keepNext w:val="0"/>
        <w:keepLines w:val="0"/>
        <w:pageBreakBefore w:val="0"/>
        <w:widowControl w:val="0"/>
        <w:kinsoku/>
        <w:wordWrap/>
        <w:overflowPunct/>
        <w:topLinePunct w:val="0"/>
        <w:autoSpaceDE/>
        <w:autoSpaceDN/>
        <w:bidi w:val="0"/>
        <w:adjustRightInd/>
        <w:snapToGrid/>
        <w:spacing w:line="240" w:lineRule="auto"/>
        <w:ind w:left="480" w:lef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9BD2D87">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白山市中源建设咨询有限公司</w:t>
      </w:r>
      <w:r>
        <w:rPr>
          <w:rFonts w:hint="eastAsia" w:ascii="宋体" w:hAnsi="宋体" w:eastAsia="宋体" w:cs="宋体"/>
          <w:sz w:val="24"/>
          <w:szCs w:val="24"/>
          <w:u w:val="single"/>
        </w:rPr>
        <w:t>　</w:t>
      </w:r>
    </w:p>
    <w:p w14:paraId="26322D7C">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白山市江源区孙家堡子镇一委金鼎商铺216号</w:t>
      </w:r>
      <w:r>
        <w:rPr>
          <w:rFonts w:hint="eastAsia" w:ascii="宋体" w:hAnsi="宋体" w:eastAsia="宋体" w:cs="宋体"/>
          <w:sz w:val="24"/>
          <w:szCs w:val="24"/>
          <w:u w:val="single"/>
        </w:rPr>
        <w:t>　</w:t>
      </w:r>
    </w:p>
    <w:p w14:paraId="2DF002AA">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胡玉亭</w:t>
      </w:r>
      <w:r>
        <w:rPr>
          <w:rFonts w:hint="eastAsia" w:ascii="宋体" w:hAnsi="宋体" w:eastAsia="宋体" w:cs="宋体"/>
          <w:sz w:val="24"/>
          <w:szCs w:val="24"/>
          <w:u w:val="single"/>
          <w:lang w:val="en-US" w:eastAsia="zh-CN"/>
        </w:rPr>
        <w:t xml:space="preserve">   18643939781</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14:paraId="5050F1F3">
      <w:pPr>
        <w:pStyle w:val="4"/>
        <w:pageBreakBefore w:val="0"/>
        <w:kinsoku/>
        <w:wordWrap/>
        <w:overflowPunct/>
        <w:topLinePunct w:val="0"/>
        <w:bidi w:val="0"/>
        <w:snapToGrid/>
        <w:spacing w:before="0" w:after="0" w:line="360" w:lineRule="auto"/>
        <w:jc w:val="left"/>
        <w:textAlignment w:val="auto"/>
        <w:rPr>
          <w:rFonts w:hint="eastAsia" w:ascii="宋体" w:hAnsi="宋体" w:eastAsia="宋体" w:cs="宋体"/>
          <w:b w:val="0"/>
          <w:sz w:val="24"/>
          <w:szCs w:val="24"/>
        </w:rPr>
      </w:pPr>
      <w:bookmarkStart w:id="37" w:name="_Toc28359021"/>
      <w:bookmarkStart w:id="38" w:name="_Toc35393639"/>
      <w:bookmarkStart w:id="39" w:name="_Toc35393808"/>
      <w:bookmarkStart w:id="40" w:name="_Toc28359098"/>
      <w:r>
        <w:rPr>
          <w:rFonts w:hint="eastAsia" w:ascii="宋体" w:hAnsi="宋体" w:eastAsia="宋体" w:cs="宋体"/>
          <w:b w:val="0"/>
          <w:sz w:val="24"/>
          <w:szCs w:val="24"/>
        </w:rPr>
        <w:t>3.项目联系方式</w:t>
      </w:r>
      <w:bookmarkEnd w:id="37"/>
      <w:bookmarkEnd w:id="38"/>
      <w:bookmarkEnd w:id="39"/>
      <w:bookmarkEnd w:id="40"/>
    </w:p>
    <w:p w14:paraId="0EAED8F8">
      <w:pPr>
        <w:pStyle w:val="15"/>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lang w:eastAsia="zh-CN"/>
        </w:rPr>
        <w:t>胡玉亭</w:t>
      </w:r>
    </w:p>
    <w:p w14:paraId="40D8E756">
      <w:pPr>
        <w:pageBreakBefore w:val="0"/>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18643939781</w:t>
      </w:r>
      <w:r>
        <w:rPr>
          <w:rFonts w:hint="eastAsia" w:ascii="宋体" w:hAnsi="宋体" w:eastAsia="宋体" w:cs="宋体"/>
          <w:sz w:val="24"/>
          <w:szCs w:val="24"/>
          <w:u w:val="single"/>
        </w:rPr>
        <w:t>　　</w:t>
      </w:r>
    </w:p>
    <w:p w14:paraId="0CEB2D74">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0194820A">
      <w:pPr>
        <w:pStyle w:val="6"/>
        <w:bidi w:val="0"/>
        <w:jc w:val="center"/>
        <w:outlineLvl w:val="0"/>
        <w:rPr>
          <w:lang w:val="zh-CN"/>
        </w:rPr>
      </w:pPr>
      <w:bookmarkStart w:id="41" w:name="_Toc8172"/>
      <w:r>
        <w:rPr>
          <w:rFonts w:hint="eastAsia"/>
          <w:lang w:val="zh-CN"/>
        </w:rPr>
        <w:t>第二章  投标人须知前附表</w:t>
      </w:r>
      <w:bookmarkEnd w:id="7"/>
      <w:bookmarkEnd w:id="41"/>
    </w:p>
    <w:tbl>
      <w:tblPr>
        <w:tblStyle w:val="28"/>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699"/>
        <w:gridCol w:w="7352"/>
      </w:tblGrid>
      <w:tr w14:paraId="52F7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21" w:type="dxa"/>
            <w:tcBorders>
              <w:top w:val="single" w:color="auto" w:sz="4" w:space="0"/>
              <w:left w:val="single" w:color="auto" w:sz="4" w:space="0"/>
              <w:bottom w:val="single" w:color="auto" w:sz="4" w:space="0"/>
              <w:right w:val="single" w:color="auto" w:sz="4" w:space="0"/>
            </w:tcBorders>
            <w:vAlign w:val="center"/>
          </w:tcPr>
          <w:p w14:paraId="015BAE32">
            <w:pPr>
              <w:autoSpaceDE w:val="0"/>
              <w:autoSpaceDN w:val="0"/>
              <w:adjustRightInd w:val="0"/>
              <w:spacing w:line="240" w:lineRule="auto"/>
              <w:jc w:val="center"/>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en-US" w:eastAsia="zh-CN" w:bidi="ar-SA"/>
              </w:rPr>
              <w:t>序</w:t>
            </w:r>
            <w:r>
              <w:rPr>
                <w:rFonts w:hint="eastAsia" w:ascii="宋体" w:hAnsi="宋体" w:eastAsia="宋体" w:cs="宋体"/>
                <w:b/>
                <w:kern w:val="2"/>
                <w:sz w:val="24"/>
                <w:szCs w:val="24"/>
                <w:lang w:val="zh-CN" w:eastAsia="zh-CN" w:bidi="ar-SA"/>
              </w:rPr>
              <w:t>号</w:t>
            </w:r>
          </w:p>
        </w:tc>
        <w:tc>
          <w:tcPr>
            <w:tcW w:w="1699" w:type="dxa"/>
            <w:tcBorders>
              <w:top w:val="single" w:color="auto" w:sz="4" w:space="0"/>
              <w:left w:val="single" w:color="auto" w:sz="4" w:space="0"/>
              <w:bottom w:val="single" w:color="auto" w:sz="4" w:space="0"/>
              <w:right w:val="single" w:color="auto" w:sz="4" w:space="0"/>
            </w:tcBorders>
            <w:vAlign w:val="center"/>
          </w:tcPr>
          <w:p w14:paraId="350EC38B">
            <w:pPr>
              <w:pStyle w:val="20"/>
              <w:pBdr>
                <w:bottom w:val="none" w:color="auto" w:sz="0" w:space="0"/>
              </w:pBdr>
              <w:tabs>
                <w:tab w:val="left" w:pos="420"/>
              </w:tabs>
              <w:autoSpaceDE w:val="0"/>
              <w:autoSpaceDN w:val="0"/>
              <w:adjustRightInd w:val="0"/>
              <w:snapToGrid/>
              <w:spacing w:line="240" w:lineRule="auto"/>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条款名称</w:t>
            </w:r>
          </w:p>
        </w:tc>
        <w:tc>
          <w:tcPr>
            <w:tcW w:w="7352" w:type="dxa"/>
            <w:tcBorders>
              <w:top w:val="single" w:color="auto" w:sz="4" w:space="0"/>
              <w:left w:val="single" w:color="auto" w:sz="4" w:space="0"/>
              <w:bottom w:val="single" w:color="auto" w:sz="4" w:space="0"/>
              <w:right w:val="single" w:color="auto" w:sz="4" w:space="0"/>
            </w:tcBorders>
            <w:vAlign w:val="center"/>
          </w:tcPr>
          <w:p w14:paraId="17C648C8">
            <w:pPr>
              <w:pStyle w:val="20"/>
              <w:pBdr>
                <w:bottom w:val="none" w:color="auto" w:sz="0" w:space="0"/>
              </w:pBdr>
              <w:tabs>
                <w:tab w:val="left" w:pos="420"/>
              </w:tabs>
              <w:autoSpaceDE w:val="0"/>
              <w:autoSpaceDN w:val="0"/>
              <w:adjustRightInd w:val="0"/>
              <w:snapToGrid/>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编列内容</w:t>
            </w:r>
          </w:p>
        </w:tc>
      </w:tr>
      <w:tr w14:paraId="2F1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1D7BA7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w:t>
            </w:r>
          </w:p>
        </w:tc>
        <w:tc>
          <w:tcPr>
            <w:tcW w:w="1699" w:type="dxa"/>
            <w:tcBorders>
              <w:top w:val="single" w:color="auto" w:sz="4" w:space="0"/>
              <w:left w:val="single" w:color="auto" w:sz="4" w:space="0"/>
              <w:bottom w:val="single" w:color="auto" w:sz="4" w:space="0"/>
              <w:right w:val="single" w:color="auto" w:sz="4" w:space="0"/>
            </w:tcBorders>
            <w:vAlign w:val="center"/>
          </w:tcPr>
          <w:p w14:paraId="09ED983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招标人</w:t>
            </w:r>
          </w:p>
        </w:tc>
        <w:tc>
          <w:tcPr>
            <w:tcW w:w="7352" w:type="dxa"/>
            <w:tcBorders>
              <w:top w:val="single" w:color="auto" w:sz="4" w:space="0"/>
              <w:left w:val="single" w:color="auto" w:sz="4" w:space="0"/>
              <w:bottom w:val="single" w:color="auto" w:sz="4" w:space="0"/>
              <w:right w:val="single" w:color="auto" w:sz="4" w:space="0"/>
            </w:tcBorders>
            <w:vAlign w:val="center"/>
          </w:tcPr>
          <w:p w14:paraId="2537A73F">
            <w:pPr>
              <w:autoSpaceDE w:val="0"/>
              <w:autoSpaceDN w:val="0"/>
              <w:adjustRightInd w:val="0"/>
              <w:spacing w:line="360" w:lineRule="auto"/>
              <w:jc w:val="left"/>
              <w:rPr>
                <w:rFonts w:hint="eastAsia" w:ascii="宋体" w:hAnsi="宋体" w:cs="宋体"/>
                <w:bCs/>
                <w:sz w:val="21"/>
                <w:szCs w:val="21"/>
                <w:lang w:val="zh-CN" w:eastAsia="zh-CN"/>
              </w:rPr>
            </w:pPr>
            <w:r>
              <w:rPr>
                <w:rFonts w:hint="eastAsia" w:ascii="宋体" w:hAnsi="宋体" w:eastAsia="宋体" w:cs="宋体"/>
                <w:bCs/>
                <w:sz w:val="21"/>
                <w:szCs w:val="21"/>
                <w:lang w:val="zh-CN" w:eastAsia="zh-CN"/>
              </w:rPr>
              <w:t>招标人：</w:t>
            </w:r>
            <w:r>
              <w:rPr>
                <w:rFonts w:hint="eastAsia" w:ascii="宋体" w:hAnsi="宋体" w:cs="宋体"/>
                <w:bCs/>
                <w:sz w:val="21"/>
                <w:szCs w:val="21"/>
                <w:lang w:val="zh-CN" w:eastAsia="zh-CN"/>
              </w:rPr>
              <w:t>白山市江源区石人血泪山罹难矿工纪念馆</w:t>
            </w:r>
          </w:p>
          <w:p w14:paraId="36F1918B">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zh-CN" w:eastAsia="zh-CN"/>
              </w:rPr>
              <w:t>地址：</w:t>
            </w:r>
            <w:r>
              <w:rPr>
                <w:rFonts w:hint="eastAsia" w:ascii="宋体" w:hAnsi="宋体" w:cs="宋体"/>
                <w:bCs/>
                <w:sz w:val="21"/>
                <w:szCs w:val="21"/>
                <w:lang w:val="zh-CN" w:eastAsia="zh-CN"/>
              </w:rPr>
              <w:t>白山市</w:t>
            </w:r>
            <w:r>
              <w:rPr>
                <w:rFonts w:hint="eastAsia" w:ascii="宋体" w:hAnsi="宋体" w:cs="宋体"/>
                <w:bCs/>
                <w:sz w:val="21"/>
                <w:szCs w:val="21"/>
                <w:lang w:val="en-US" w:eastAsia="zh-CN"/>
              </w:rPr>
              <w:t>江源区</w:t>
            </w:r>
          </w:p>
          <w:p w14:paraId="4B5E10DE">
            <w:pPr>
              <w:autoSpaceDE w:val="0"/>
              <w:autoSpaceDN w:val="0"/>
              <w:adjustRightInd w:val="0"/>
              <w:spacing w:line="360" w:lineRule="auto"/>
              <w:jc w:val="left"/>
              <w:rPr>
                <w:rFonts w:hint="eastAsia" w:ascii="宋体" w:hAnsi="宋体" w:eastAsia="宋体" w:cs="宋体"/>
                <w:bCs/>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val="zh-CN" w:eastAsia="zh-CN"/>
                <w14:textFill>
                  <w14:solidFill>
                    <w14:schemeClr w14:val="tx1"/>
                  </w14:solidFill>
                </w14:textFill>
              </w:rPr>
              <w:t>联系人：</w:t>
            </w:r>
            <w:r>
              <w:rPr>
                <w:rFonts w:hint="eastAsia" w:ascii="宋体" w:hAnsi="宋体" w:cs="宋体"/>
                <w:color w:val="auto"/>
                <w:sz w:val="21"/>
                <w:szCs w:val="21"/>
                <w:highlight w:val="none"/>
                <w:lang w:val="en-US" w:eastAsia="zh-CN"/>
              </w:rPr>
              <w:t>李明珅</w:t>
            </w:r>
          </w:p>
          <w:p w14:paraId="2A47AB5E">
            <w:pPr>
              <w:autoSpaceDE w:val="0"/>
              <w:autoSpaceDN w:val="0"/>
              <w:adjustRightInd w:val="0"/>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color w:val="000000" w:themeColor="text1"/>
                <w:sz w:val="21"/>
                <w:szCs w:val="21"/>
                <w:lang w:val="zh-CN" w:eastAsia="zh-CN"/>
                <w14:textFill>
                  <w14:solidFill>
                    <w14:schemeClr w14:val="tx1"/>
                  </w14:solidFill>
                </w14:textFill>
              </w:rPr>
              <w:t>联系电话：</w:t>
            </w:r>
            <w:r>
              <w:rPr>
                <w:rFonts w:hint="eastAsia" w:ascii="宋体" w:hAnsi="宋体" w:cs="宋体"/>
                <w:color w:val="auto"/>
                <w:sz w:val="21"/>
                <w:szCs w:val="21"/>
                <w:highlight w:val="none"/>
                <w:lang w:val="en-US" w:eastAsia="zh-CN"/>
              </w:rPr>
              <w:t xml:space="preserve"> 18304396966</w:t>
            </w:r>
          </w:p>
        </w:tc>
      </w:tr>
      <w:tr w14:paraId="0639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8C8A49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2</w:t>
            </w:r>
          </w:p>
        </w:tc>
        <w:tc>
          <w:tcPr>
            <w:tcW w:w="1699" w:type="dxa"/>
            <w:tcBorders>
              <w:top w:val="single" w:color="auto" w:sz="4" w:space="0"/>
              <w:left w:val="single" w:color="auto" w:sz="4" w:space="0"/>
              <w:bottom w:val="single" w:color="auto" w:sz="4" w:space="0"/>
              <w:right w:val="single" w:color="auto" w:sz="4" w:space="0"/>
            </w:tcBorders>
            <w:vAlign w:val="center"/>
          </w:tcPr>
          <w:p w14:paraId="5BE753B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招标代理机构</w:t>
            </w:r>
          </w:p>
        </w:tc>
        <w:tc>
          <w:tcPr>
            <w:tcW w:w="7352" w:type="dxa"/>
            <w:tcBorders>
              <w:top w:val="single" w:color="auto" w:sz="4" w:space="0"/>
              <w:left w:val="single" w:color="auto" w:sz="4" w:space="0"/>
              <w:bottom w:val="single" w:color="auto" w:sz="4" w:space="0"/>
              <w:right w:val="single" w:color="auto" w:sz="4" w:space="0"/>
            </w:tcBorders>
          </w:tcPr>
          <w:p w14:paraId="198A7976">
            <w:pPr>
              <w:autoSpaceDE w:val="0"/>
              <w:autoSpaceDN w:val="0"/>
              <w:adjustRightInd w:val="0"/>
              <w:spacing w:line="360" w:lineRule="auto"/>
              <w:jc w:val="both"/>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rPr>
              <w:t>采购代理机构：白山市中源建设咨询有限公司</w:t>
            </w:r>
          </w:p>
          <w:p w14:paraId="0FCB181E">
            <w:pPr>
              <w:spacing w:line="360" w:lineRule="auto"/>
              <w:rPr>
                <w:rFonts w:hint="eastAsia" w:ascii="宋体" w:hAnsi="宋体" w:eastAsia="宋体" w:cs="宋体"/>
                <w:b w:val="0"/>
                <w:kern w:val="2"/>
                <w:sz w:val="21"/>
                <w:szCs w:val="21"/>
                <w:highlight w:val="none"/>
                <w:lang w:val="zh-CN" w:eastAsia="zh-CN" w:bidi="ar"/>
              </w:rPr>
            </w:pPr>
            <w:r>
              <w:rPr>
                <w:rFonts w:hint="eastAsia" w:ascii="宋体" w:hAnsi="宋体" w:eastAsia="宋体" w:cs="宋体"/>
                <w:b w:val="0"/>
                <w:kern w:val="2"/>
                <w:sz w:val="21"/>
                <w:szCs w:val="21"/>
                <w:highlight w:val="none"/>
                <w:lang w:eastAsia="zh-CN" w:bidi="ar"/>
              </w:rPr>
              <w:t>地</w:t>
            </w:r>
            <w:r>
              <w:rPr>
                <w:rFonts w:hint="eastAsia" w:ascii="宋体" w:hAnsi="宋体" w:eastAsia="宋体" w:cs="宋体"/>
                <w:b w:val="0"/>
                <w:kern w:val="2"/>
                <w:sz w:val="21"/>
                <w:szCs w:val="21"/>
                <w:highlight w:val="none"/>
                <w:lang w:val="en-US" w:eastAsia="zh-CN" w:bidi="ar"/>
              </w:rPr>
              <w:t xml:space="preserve">  </w:t>
            </w:r>
            <w:r>
              <w:rPr>
                <w:rFonts w:hint="eastAsia" w:ascii="宋体" w:hAnsi="宋体" w:eastAsia="宋体" w:cs="宋体"/>
                <w:b w:val="0"/>
                <w:kern w:val="2"/>
                <w:sz w:val="21"/>
                <w:szCs w:val="21"/>
                <w:highlight w:val="none"/>
                <w:lang w:eastAsia="zh-CN" w:bidi="ar"/>
              </w:rPr>
              <w:t>址：白山市江源区孙家堡子镇一委金鼎商铺216号</w:t>
            </w:r>
          </w:p>
          <w:p w14:paraId="68435EEB">
            <w:pPr>
              <w:spacing w:line="360"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联系人：胡玉亭</w:t>
            </w:r>
          </w:p>
          <w:p w14:paraId="54C97D99">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b w:val="0"/>
                <w:bCs/>
                <w:sz w:val="21"/>
                <w:szCs w:val="21"/>
                <w:highlight w:val="none"/>
                <w:lang w:val="zh-CN"/>
              </w:rPr>
              <w:t>联系电话：</w:t>
            </w:r>
            <w:r>
              <w:rPr>
                <w:rFonts w:hint="eastAsia" w:ascii="宋体" w:hAnsi="宋体" w:eastAsia="宋体" w:cs="宋体"/>
                <w:b w:val="0"/>
                <w:bCs/>
                <w:sz w:val="21"/>
                <w:szCs w:val="21"/>
                <w:highlight w:val="none"/>
                <w:lang w:val="en-US" w:eastAsia="zh-CN"/>
              </w:rPr>
              <w:t>18643939781</w:t>
            </w:r>
          </w:p>
        </w:tc>
      </w:tr>
      <w:tr w14:paraId="358B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DF220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3</w:t>
            </w:r>
          </w:p>
        </w:tc>
        <w:tc>
          <w:tcPr>
            <w:tcW w:w="1699" w:type="dxa"/>
            <w:tcBorders>
              <w:top w:val="single" w:color="auto" w:sz="4" w:space="0"/>
              <w:left w:val="single" w:color="auto" w:sz="4" w:space="0"/>
              <w:bottom w:val="single" w:color="auto" w:sz="4" w:space="0"/>
              <w:right w:val="single" w:color="auto" w:sz="4" w:space="0"/>
            </w:tcBorders>
            <w:vAlign w:val="center"/>
          </w:tcPr>
          <w:p w14:paraId="115EBAC2">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项目名称</w:t>
            </w:r>
          </w:p>
        </w:tc>
        <w:tc>
          <w:tcPr>
            <w:tcW w:w="7352" w:type="dxa"/>
            <w:tcBorders>
              <w:top w:val="single" w:color="auto" w:sz="4" w:space="0"/>
              <w:left w:val="single" w:color="auto" w:sz="4" w:space="0"/>
              <w:bottom w:val="single" w:color="auto" w:sz="4" w:space="0"/>
              <w:right w:val="single" w:color="auto" w:sz="4" w:space="0"/>
            </w:tcBorders>
            <w:shd w:val="clear" w:color="auto" w:fill="FFFFFF"/>
            <w:vAlign w:val="center"/>
          </w:tcPr>
          <w:p w14:paraId="5A86D725">
            <w:pPr>
              <w:autoSpaceDE w:val="0"/>
              <w:autoSpaceDN w:val="0"/>
              <w:adjustRightInd w:val="0"/>
              <w:spacing w:line="240" w:lineRule="auto"/>
              <w:jc w:val="both"/>
              <w:rPr>
                <w:rFonts w:hint="eastAsia" w:ascii="宋体" w:hAnsi="宋体" w:eastAsia="宋体" w:cs="宋体"/>
                <w:bCs/>
                <w:sz w:val="21"/>
                <w:szCs w:val="21"/>
                <w:lang w:val="zh-CN"/>
              </w:rPr>
            </w:pPr>
          </w:p>
          <w:p w14:paraId="469E8813">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石人血泪山罹难矿工纪念馆馆藏文物预防性保护项目</w:t>
            </w:r>
          </w:p>
        </w:tc>
      </w:tr>
      <w:tr w14:paraId="1F25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88995D">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4</w:t>
            </w:r>
          </w:p>
        </w:tc>
        <w:tc>
          <w:tcPr>
            <w:tcW w:w="1699" w:type="dxa"/>
            <w:tcBorders>
              <w:top w:val="single" w:color="auto" w:sz="4" w:space="0"/>
              <w:left w:val="single" w:color="auto" w:sz="4" w:space="0"/>
              <w:bottom w:val="single" w:color="auto" w:sz="4" w:space="0"/>
              <w:right w:val="single" w:color="auto" w:sz="4" w:space="0"/>
            </w:tcBorders>
            <w:vAlign w:val="center"/>
          </w:tcPr>
          <w:p w14:paraId="192E1C9A">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项目编号</w:t>
            </w:r>
          </w:p>
        </w:tc>
        <w:tc>
          <w:tcPr>
            <w:tcW w:w="7352" w:type="dxa"/>
            <w:tcBorders>
              <w:top w:val="single" w:color="auto" w:sz="4" w:space="0"/>
              <w:left w:val="single" w:color="auto" w:sz="4" w:space="0"/>
              <w:bottom w:val="single" w:color="auto" w:sz="4" w:space="0"/>
              <w:right w:val="single" w:color="auto" w:sz="4" w:space="0"/>
            </w:tcBorders>
            <w:shd w:val="clear" w:color="auto" w:fill="FFFFFF"/>
            <w:vAlign w:val="center"/>
          </w:tcPr>
          <w:p w14:paraId="4C3FA9EE">
            <w:pPr>
              <w:autoSpaceDE w:val="0"/>
              <w:autoSpaceDN w:val="0"/>
              <w:adjustRightInd w:val="0"/>
              <w:spacing w:line="240" w:lineRule="auto"/>
              <w:jc w:val="both"/>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采购计划-[2025]-00043号-ZYCG-2025-11号</w:t>
            </w:r>
          </w:p>
        </w:tc>
      </w:tr>
      <w:tr w14:paraId="3016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B4CD95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5</w:t>
            </w:r>
          </w:p>
        </w:tc>
        <w:tc>
          <w:tcPr>
            <w:tcW w:w="1699" w:type="dxa"/>
            <w:tcBorders>
              <w:top w:val="single" w:color="auto" w:sz="4" w:space="0"/>
              <w:left w:val="single" w:color="auto" w:sz="4" w:space="0"/>
              <w:bottom w:val="single" w:color="auto" w:sz="4" w:space="0"/>
              <w:right w:val="single" w:color="auto" w:sz="4" w:space="0"/>
            </w:tcBorders>
            <w:vAlign w:val="center"/>
          </w:tcPr>
          <w:p w14:paraId="24115BE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资金来源</w:t>
            </w:r>
          </w:p>
        </w:tc>
        <w:tc>
          <w:tcPr>
            <w:tcW w:w="7352" w:type="dxa"/>
            <w:tcBorders>
              <w:top w:val="single" w:color="auto" w:sz="4" w:space="0"/>
              <w:left w:val="single" w:color="auto" w:sz="4" w:space="0"/>
              <w:bottom w:val="single" w:color="auto" w:sz="4" w:space="0"/>
              <w:right w:val="single" w:color="auto" w:sz="4" w:space="0"/>
            </w:tcBorders>
            <w:vAlign w:val="center"/>
          </w:tcPr>
          <w:p w14:paraId="29F7F68D">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highlight w:val="none"/>
                <w:lang w:val="zh-CN"/>
              </w:rPr>
              <w:t>财政资金</w:t>
            </w:r>
          </w:p>
        </w:tc>
      </w:tr>
      <w:tr w14:paraId="3E1C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D9E2A2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6</w:t>
            </w:r>
          </w:p>
        </w:tc>
        <w:tc>
          <w:tcPr>
            <w:tcW w:w="1699" w:type="dxa"/>
            <w:tcBorders>
              <w:top w:val="single" w:color="auto" w:sz="4" w:space="0"/>
              <w:left w:val="single" w:color="auto" w:sz="4" w:space="0"/>
              <w:bottom w:val="single" w:color="auto" w:sz="4" w:space="0"/>
              <w:right w:val="single" w:color="auto" w:sz="4" w:space="0"/>
            </w:tcBorders>
            <w:vAlign w:val="center"/>
          </w:tcPr>
          <w:p w14:paraId="340C4212">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出资比例</w:t>
            </w:r>
          </w:p>
        </w:tc>
        <w:tc>
          <w:tcPr>
            <w:tcW w:w="7352" w:type="dxa"/>
            <w:tcBorders>
              <w:top w:val="single" w:color="auto" w:sz="4" w:space="0"/>
              <w:left w:val="single" w:color="auto" w:sz="4" w:space="0"/>
              <w:bottom w:val="single" w:color="auto" w:sz="4" w:space="0"/>
              <w:right w:val="single" w:color="auto" w:sz="4" w:space="0"/>
            </w:tcBorders>
            <w:vAlign w:val="center"/>
          </w:tcPr>
          <w:p w14:paraId="0C819AC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100%</w:t>
            </w:r>
          </w:p>
        </w:tc>
      </w:tr>
      <w:tr w14:paraId="5ABC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5519E49">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7</w:t>
            </w:r>
          </w:p>
        </w:tc>
        <w:tc>
          <w:tcPr>
            <w:tcW w:w="1699" w:type="dxa"/>
            <w:tcBorders>
              <w:top w:val="single" w:color="auto" w:sz="4" w:space="0"/>
              <w:left w:val="single" w:color="auto" w:sz="4" w:space="0"/>
              <w:bottom w:val="single" w:color="auto" w:sz="4" w:space="0"/>
              <w:right w:val="single" w:color="auto" w:sz="4" w:space="0"/>
            </w:tcBorders>
            <w:vAlign w:val="center"/>
          </w:tcPr>
          <w:p w14:paraId="60B035C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资金落实情况</w:t>
            </w:r>
          </w:p>
        </w:tc>
        <w:tc>
          <w:tcPr>
            <w:tcW w:w="7352" w:type="dxa"/>
            <w:tcBorders>
              <w:top w:val="single" w:color="auto" w:sz="4" w:space="0"/>
              <w:left w:val="single" w:color="auto" w:sz="4" w:space="0"/>
              <w:bottom w:val="single" w:color="auto" w:sz="4" w:space="0"/>
              <w:right w:val="single" w:color="auto" w:sz="4" w:space="0"/>
            </w:tcBorders>
            <w:vAlign w:val="center"/>
          </w:tcPr>
          <w:p w14:paraId="5AB9925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已落实</w:t>
            </w:r>
          </w:p>
        </w:tc>
      </w:tr>
      <w:tr w14:paraId="7090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10765AE">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8</w:t>
            </w:r>
          </w:p>
        </w:tc>
        <w:tc>
          <w:tcPr>
            <w:tcW w:w="1699" w:type="dxa"/>
            <w:tcBorders>
              <w:top w:val="single" w:color="auto" w:sz="4" w:space="0"/>
              <w:left w:val="single" w:color="auto" w:sz="4" w:space="0"/>
              <w:bottom w:val="single" w:color="auto" w:sz="4" w:space="0"/>
              <w:right w:val="single" w:color="auto" w:sz="4" w:space="0"/>
            </w:tcBorders>
            <w:vAlign w:val="center"/>
          </w:tcPr>
          <w:p w14:paraId="7BF232CD">
            <w:pPr>
              <w:autoSpaceDE w:val="0"/>
              <w:autoSpaceDN w:val="0"/>
              <w:adjustRightInd w:val="0"/>
              <w:spacing w:line="240" w:lineRule="auto"/>
              <w:jc w:val="center"/>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采购需求</w:t>
            </w:r>
          </w:p>
        </w:tc>
        <w:tc>
          <w:tcPr>
            <w:tcW w:w="7352" w:type="dxa"/>
            <w:tcBorders>
              <w:top w:val="single" w:color="auto" w:sz="4" w:space="0"/>
              <w:left w:val="single" w:color="auto" w:sz="4" w:space="0"/>
              <w:bottom w:val="single" w:color="auto" w:sz="4" w:space="0"/>
              <w:right w:val="single" w:color="auto" w:sz="4" w:space="0"/>
            </w:tcBorders>
            <w:vAlign w:val="center"/>
          </w:tcPr>
          <w:p w14:paraId="3391C4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1"/>
                <w:szCs w:val="21"/>
                <w:lang w:val="zh-CN"/>
              </w:rPr>
            </w:pPr>
            <w:r>
              <w:rPr>
                <w:rFonts w:hint="eastAsia" w:ascii="宋体" w:hAnsi="宋体" w:eastAsia="宋体" w:cs="宋体"/>
                <w:color w:val="auto"/>
                <w:sz w:val="21"/>
                <w:szCs w:val="21"/>
                <w:highlight w:val="none"/>
                <w:lang w:eastAsia="zh-CN"/>
              </w:rPr>
              <w:t>石人血泪山罹难矿工纪念馆馆藏文物预防性保护项目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具体内容详见</w:t>
            </w:r>
            <w:r>
              <w:rPr>
                <w:rFonts w:hint="eastAsia" w:ascii="宋体" w:hAnsi="宋体" w:eastAsia="宋体" w:cs="宋体"/>
                <w:color w:val="auto"/>
                <w:sz w:val="21"/>
                <w:szCs w:val="21"/>
                <w:highlight w:val="none"/>
                <w:lang w:val="en-US" w:eastAsia="zh-CN"/>
              </w:rPr>
              <w:t>第五章采购要求</w:t>
            </w:r>
          </w:p>
        </w:tc>
      </w:tr>
      <w:tr w14:paraId="5528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FBCD00">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w:t>
            </w:r>
          </w:p>
        </w:tc>
        <w:tc>
          <w:tcPr>
            <w:tcW w:w="1699" w:type="dxa"/>
            <w:tcBorders>
              <w:top w:val="single" w:color="auto" w:sz="4" w:space="0"/>
              <w:left w:val="single" w:color="auto" w:sz="4" w:space="0"/>
              <w:bottom w:val="single" w:color="auto" w:sz="4" w:space="0"/>
              <w:right w:val="single" w:color="auto" w:sz="4" w:space="0"/>
            </w:tcBorders>
            <w:vAlign w:val="center"/>
          </w:tcPr>
          <w:p w14:paraId="456ABA02">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供货期</w:t>
            </w:r>
          </w:p>
        </w:tc>
        <w:tc>
          <w:tcPr>
            <w:tcW w:w="7352" w:type="dxa"/>
            <w:tcBorders>
              <w:top w:val="single" w:color="auto" w:sz="4" w:space="0"/>
              <w:left w:val="single" w:color="auto" w:sz="4" w:space="0"/>
              <w:bottom w:val="single" w:color="auto" w:sz="4" w:space="0"/>
              <w:right w:val="single" w:color="auto" w:sz="4" w:space="0"/>
            </w:tcBorders>
            <w:vAlign w:val="center"/>
          </w:tcPr>
          <w:p w14:paraId="7F94882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eastAsia="zh-CN"/>
              </w:rPr>
              <w:t>自合同签订之日起</w:t>
            </w:r>
            <w:r>
              <w:rPr>
                <w:rFonts w:hint="eastAsia" w:ascii="宋体" w:hAnsi="宋体" w:eastAsia="宋体" w:cs="宋体"/>
                <w:bCs/>
                <w:color w:val="auto"/>
                <w:sz w:val="21"/>
                <w:szCs w:val="21"/>
                <w:lang w:val="en-US" w:eastAsia="zh-CN"/>
              </w:rPr>
              <w:t>60日内</w:t>
            </w:r>
            <w:r>
              <w:rPr>
                <w:rFonts w:hint="eastAsia" w:ascii="宋体" w:hAnsi="宋体" w:eastAsia="宋体" w:cs="宋体"/>
                <w:bCs/>
                <w:color w:val="auto"/>
                <w:sz w:val="21"/>
                <w:szCs w:val="21"/>
                <w:lang w:val="zh-CN" w:eastAsia="zh-CN"/>
              </w:rPr>
              <w:t>完成</w:t>
            </w:r>
          </w:p>
        </w:tc>
      </w:tr>
      <w:tr w14:paraId="7FA6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7851AD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699" w:type="dxa"/>
            <w:tcBorders>
              <w:top w:val="single" w:color="auto" w:sz="4" w:space="0"/>
              <w:left w:val="single" w:color="auto" w:sz="4" w:space="0"/>
              <w:bottom w:val="single" w:color="auto" w:sz="4" w:space="0"/>
              <w:right w:val="single" w:color="auto" w:sz="4" w:space="0"/>
            </w:tcBorders>
            <w:vAlign w:val="center"/>
          </w:tcPr>
          <w:p w14:paraId="6AA3D53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项目地点</w:t>
            </w:r>
          </w:p>
        </w:tc>
        <w:tc>
          <w:tcPr>
            <w:tcW w:w="7352" w:type="dxa"/>
            <w:tcBorders>
              <w:top w:val="single" w:color="auto" w:sz="4" w:space="0"/>
              <w:left w:val="single" w:color="auto" w:sz="4" w:space="0"/>
              <w:bottom w:val="single" w:color="auto" w:sz="4" w:space="0"/>
              <w:right w:val="single" w:color="auto" w:sz="4" w:space="0"/>
            </w:tcBorders>
            <w:vAlign w:val="center"/>
          </w:tcPr>
          <w:p w14:paraId="4139DF5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采购</w:t>
            </w:r>
            <w:r>
              <w:rPr>
                <w:rFonts w:hint="eastAsia" w:ascii="宋体" w:hAnsi="宋体" w:cs="宋体"/>
                <w:bCs/>
                <w:sz w:val="21"/>
                <w:szCs w:val="21"/>
                <w:highlight w:val="none"/>
                <w:lang w:val="zh-CN" w:eastAsia="zh-CN"/>
              </w:rPr>
              <w:t>人指定地点</w:t>
            </w:r>
          </w:p>
        </w:tc>
      </w:tr>
      <w:tr w14:paraId="3B9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521F0B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1699" w:type="dxa"/>
            <w:tcBorders>
              <w:top w:val="single" w:color="auto" w:sz="4" w:space="0"/>
              <w:left w:val="single" w:color="auto" w:sz="4" w:space="0"/>
              <w:bottom w:val="single" w:color="auto" w:sz="4" w:space="0"/>
              <w:right w:val="single" w:color="auto" w:sz="4" w:space="0"/>
            </w:tcBorders>
            <w:vAlign w:val="center"/>
          </w:tcPr>
          <w:p w14:paraId="0EBB7213">
            <w:pPr>
              <w:autoSpaceDE w:val="0"/>
              <w:autoSpaceDN w:val="0"/>
              <w:adjustRightInd w:val="0"/>
              <w:spacing w:line="360" w:lineRule="exact"/>
              <w:jc w:val="center"/>
              <w:rPr>
                <w:rFonts w:hint="eastAsia" w:ascii="宋体" w:hAnsi="宋体" w:eastAsia="宋体" w:cs="宋体"/>
                <w:bCs/>
                <w:sz w:val="21"/>
                <w:szCs w:val="21"/>
                <w:lang w:val="zh-CN"/>
              </w:rPr>
            </w:pPr>
            <w:r>
              <w:rPr>
                <w:rFonts w:hint="eastAsia" w:ascii="宋体" w:hAnsi="宋体" w:cs="宋体"/>
                <w:color w:val="auto"/>
                <w:szCs w:val="21"/>
                <w:highlight w:val="none"/>
              </w:rPr>
              <w:t>服务标准</w:t>
            </w:r>
          </w:p>
        </w:tc>
        <w:tc>
          <w:tcPr>
            <w:tcW w:w="7352" w:type="dxa"/>
            <w:tcBorders>
              <w:top w:val="single" w:color="auto" w:sz="4" w:space="0"/>
              <w:left w:val="single" w:color="auto" w:sz="4" w:space="0"/>
              <w:bottom w:val="single" w:color="auto" w:sz="4" w:space="0"/>
              <w:right w:val="single" w:color="auto" w:sz="4" w:space="0"/>
            </w:tcBorders>
            <w:vAlign w:val="center"/>
          </w:tcPr>
          <w:p w14:paraId="6A69920E">
            <w:pPr>
              <w:tabs>
                <w:tab w:val="left" w:pos="-3675"/>
              </w:tabs>
              <w:autoSpaceDE w:val="0"/>
              <w:autoSpaceDN w:val="0"/>
              <w:adjustRightInd w:val="0"/>
              <w:spacing w:line="360" w:lineRule="exact"/>
              <w:jc w:val="both"/>
              <w:rPr>
                <w:rFonts w:hint="eastAsia" w:ascii="宋体" w:hAnsi="宋体" w:eastAsia="宋体" w:cs="宋体"/>
                <w:bCs/>
                <w:sz w:val="21"/>
                <w:szCs w:val="21"/>
                <w:lang w:val="zh-CN"/>
              </w:rPr>
            </w:pPr>
            <w:r>
              <w:rPr>
                <w:rFonts w:hint="eastAsia" w:ascii="宋体" w:hAnsi="宋体" w:cs="宋体"/>
                <w:color w:val="auto"/>
                <w:szCs w:val="21"/>
                <w:highlight w:val="none"/>
                <w:lang w:val="en-US" w:eastAsia="zh-CN"/>
              </w:rPr>
              <w:t>服务质量达到行业标准及采购人要求</w:t>
            </w:r>
          </w:p>
        </w:tc>
      </w:tr>
      <w:tr w14:paraId="4D69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D31494">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1699" w:type="dxa"/>
            <w:tcBorders>
              <w:top w:val="single" w:color="auto" w:sz="4" w:space="0"/>
              <w:left w:val="single" w:color="auto" w:sz="4" w:space="0"/>
              <w:bottom w:val="single" w:color="auto" w:sz="4" w:space="0"/>
              <w:right w:val="single" w:color="auto" w:sz="4" w:space="0"/>
            </w:tcBorders>
            <w:vAlign w:val="center"/>
          </w:tcPr>
          <w:p w14:paraId="2C9C88C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投标人资质条件、能力和信誉</w:t>
            </w:r>
          </w:p>
        </w:tc>
        <w:tc>
          <w:tcPr>
            <w:tcW w:w="7352" w:type="dxa"/>
            <w:tcBorders>
              <w:top w:val="single" w:color="auto" w:sz="4" w:space="0"/>
              <w:left w:val="single" w:color="auto" w:sz="4" w:space="0"/>
              <w:bottom w:val="single" w:color="auto" w:sz="4" w:space="0"/>
              <w:right w:val="single" w:color="auto" w:sz="4" w:space="0"/>
            </w:tcBorders>
          </w:tcPr>
          <w:p w14:paraId="4D4E17E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1.满足《中华人民共和国政府采购法》第二十二条规定；</w:t>
            </w:r>
          </w:p>
          <w:p w14:paraId="7828BA0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2.落实政府采购政策需满足的资格要求：本项目</w:t>
            </w:r>
            <w:r>
              <w:rPr>
                <w:rFonts w:hint="eastAsia" w:ascii="宋体" w:hAnsi="宋体" w:cs="宋体"/>
                <w:bCs/>
                <w:sz w:val="21"/>
                <w:szCs w:val="21"/>
                <w:lang w:val="en-US" w:eastAsia="zh-CN"/>
              </w:rPr>
              <w:t>非</w:t>
            </w:r>
            <w:r>
              <w:rPr>
                <w:rFonts w:hint="eastAsia" w:ascii="宋体" w:hAnsi="宋体" w:eastAsia="宋体" w:cs="宋体"/>
                <w:bCs/>
                <w:sz w:val="21"/>
                <w:szCs w:val="21"/>
                <w:lang w:val="zh-CN" w:eastAsia="zh-CN"/>
              </w:rPr>
              <w:t>专门面向中小微企业采购。</w:t>
            </w:r>
          </w:p>
          <w:p w14:paraId="6ADE808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3.本项目的特定资格要求：</w:t>
            </w:r>
          </w:p>
          <w:p w14:paraId="7376072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3.1.在中华人民共和国境内注册，能够独立承担民事责任的法人或其他组织形式，具有有效的营业执照；</w:t>
            </w:r>
          </w:p>
          <w:p w14:paraId="2942512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3.2财务要求：近一年（202</w:t>
            </w:r>
            <w:r>
              <w:rPr>
                <w:rFonts w:hint="eastAsia" w:ascii="宋体" w:hAnsi="宋体" w:cs="宋体"/>
                <w:bCs/>
                <w:sz w:val="21"/>
                <w:szCs w:val="21"/>
                <w:lang w:val="en-US" w:eastAsia="zh-CN"/>
              </w:rPr>
              <w:t>4</w:t>
            </w:r>
            <w:r>
              <w:rPr>
                <w:rFonts w:hint="eastAsia" w:ascii="宋体" w:hAnsi="宋体" w:eastAsia="宋体" w:cs="宋体"/>
                <w:bCs/>
                <w:sz w:val="21"/>
                <w:szCs w:val="21"/>
                <w:lang w:val="zh-CN" w:eastAsia="zh-CN"/>
              </w:rPr>
              <w:t>年）财务审计报告或财务报表，202</w:t>
            </w:r>
            <w:r>
              <w:rPr>
                <w:rFonts w:hint="eastAsia" w:ascii="宋体" w:hAnsi="宋体" w:cs="宋体"/>
                <w:bCs/>
                <w:sz w:val="21"/>
                <w:szCs w:val="21"/>
                <w:lang w:val="en-US" w:eastAsia="zh-CN"/>
              </w:rPr>
              <w:t>5</w:t>
            </w:r>
            <w:r>
              <w:rPr>
                <w:rFonts w:hint="eastAsia" w:ascii="宋体" w:hAnsi="宋体" w:eastAsia="宋体" w:cs="宋体"/>
                <w:bCs/>
                <w:sz w:val="21"/>
                <w:szCs w:val="21"/>
                <w:lang w:val="zh-CN" w:eastAsia="zh-CN"/>
              </w:rPr>
              <w:t>年1月1日之后成立企业提供财务状况良好承诺书；</w:t>
            </w:r>
          </w:p>
          <w:p w14:paraId="2C03B5A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3.3投标人须提供</w:t>
            </w:r>
            <w:r>
              <w:rPr>
                <w:rFonts w:hint="eastAsia" w:ascii="宋体" w:hAnsi="宋体" w:eastAsia="宋体" w:cs="宋体"/>
                <w:b w:val="0"/>
                <w:bCs w:val="0"/>
                <w:color w:val="auto"/>
                <w:sz w:val="21"/>
                <w:szCs w:val="21"/>
                <w:highlight w:val="none"/>
                <w:lang w:val="en-US" w:eastAsia="zh-CN"/>
              </w:rPr>
              <w:t>投标截止日期前六个月内任意一个月的依法缴纳税收和社会保障资金相关证明材料</w:t>
            </w:r>
            <w:r>
              <w:rPr>
                <w:rFonts w:hint="eastAsia" w:ascii="宋体" w:hAnsi="宋体" w:eastAsia="宋体" w:cs="宋体"/>
                <w:bCs/>
                <w:sz w:val="21"/>
                <w:szCs w:val="21"/>
                <w:lang w:val="zh-CN" w:eastAsia="zh-CN"/>
              </w:rPr>
              <w:t>（无需缴纳的投标人应提供相应有效证明文件）。</w:t>
            </w:r>
          </w:p>
          <w:p w14:paraId="5FCD7FA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3.4信誉要求：拒绝列入政府取消投标资格记录期间的企业或个人投标。不接受被列入失信被执行人、重大税收违法案件当事人名单、政府采购严重违法失信行为记录名单的投标人参与投标。</w:t>
            </w:r>
          </w:p>
          <w:p w14:paraId="4C3E390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3.5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3D12FEC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sz w:val="21"/>
                <w:szCs w:val="21"/>
                <w:lang w:val="zh-CN" w:eastAsia="zh-CN"/>
              </w:rPr>
            </w:pPr>
            <w:r>
              <w:rPr>
                <w:rFonts w:hint="eastAsia" w:ascii="宋体" w:hAnsi="宋体" w:cs="宋体"/>
                <w:bCs/>
                <w:sz w:val="21"/>
                <w:szCs w:val="21"/>
                <w:lang w:val="en-US" w:eastAsia="zh-CN"/>
              </w:rPr>
              <w:t>4.</w:t>
            </w:r>
            <w:r>
              <w:rPr>
                <w:rFonts w:hint="eastAsia" w:ascii="宋体" w:hAnsi="宋体" w:eastAsia="宋体" w:cs="宋体"/>
                <w:bCs/>
                <w:sz w:val="21"/>
                <w:szCs w:val="21"/>
                <w:lang w:val="zh-CN" w:eastAsia="zh-CN"/>
              </w:rPr>
              <w:t>整个招标过程不能随意更换授权委托人。</w:t>
            </w:r>
          </w:p>
        </w:tc>
      </w:tr>
      <w:tr w14:paraId="3841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0605983">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1699" w:type="dxa"/>
            <w:tcBorders>
              <w:top w:val="single" w:color="auto" w:sz="4" w:space="0"/>
              <w:left w:val="single" w:color="auto" w:sz="4" w:space="0"/>
              <w:bottom w:val="single" w:color="auto" w:sz="4" w:space="0"/>
              <w:right w:val="single" w:color="auto" w:sz="4" w:space="0"/>
            </w:tcBorders>
            <w:vAlign w:val="center"/>
          </w:tcPr>
          <w:p w14:paraId="3B426A2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是否接受联合体投标</w:t>
            </w:r>
          </w:p>
        </w:tc>
        <w:tc>
          <w:tcPr>
            <w:tcW w:w="7352" w:type="dxa"/>
            <w:tcBorders>
              <w:top w:val="single" w:color="auto" w:sz="4" w:space="0"/>
              <w:left w:val="single" w:color="auto" w:sz="4" w:space="0"/>
              <w:bottom w:val="single" w:color="auto" w:sz="4" w:space="0"/>
              <w:right w:val="single" w:color="auto" w:sz="4" w:space="0"/>
            </w:tcBorders>
            <w:vAlign w:val="center"/>
          </w:tcPr>
          <w:p w14:paraId="51E7D0FC">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不接受</w:t>
            </w:r>
          </w:p>
        </w:tc>
      </w:tr>
      <w:tr w14:paraId="1569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62C3EEE">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1699" w:type="dxa"/>
            <w:tcBorders>
              <w:top w:val="single" w:color="auto" w:sz="4" w:space="0"/>
              <w:left w:val="single" w:color="auto" w:sz="4" w:space="0"/>
              <w:bottom w:val="single" w:color="auto" w:sz="4" w:space="0"/>
              <w:right w:val="single" w:color="auto" w:sz="4" w:space="0"/>
            </w:tcBorders>
            <w:vAlign w:val="center"/>
          </w:tcPr>
          <w:p w14:paraId="3E5DCC68">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踏勘现场</w:t>
            </w:r>
          </w:p>
        </w:tc>
        <w:tc>
          <w:tcPr>
            <w:tcW w:w="7352" w:type="dxa"/>
            <w:tcBorders>
              <w:top w:val="single" w:color="auto" w:sz="4" w:space="0"/>
              <w:left w:val="single" w:color="auto" w:sz="4" w:space="0"/>
              <w:bottom w:val="single" w:color="auto" w:sz="4" w:space="0"/>
              <w:right w:val="single" w:color="auto" w:sz="4" w:space="0"/>
            </w:tcBorders>
            <w:vAlign w:val="center"/>
          </w:tcPr>
          <w:p w14:paraId="3A99E6AE">
            <w:pPr>
              <w:numPr>
                <w:ilvl w:val="0"/>
                <w:numId w:val="0"/>
              </w:numPr>
              <w:autoSpaceDE w:val="0"/>
              <w:autoSpaceDN w:val="0"/>
              <w:adjustRightInd w:val="0"/>
              <w:spacing w:line="360" w:lineRule="auto"/>
              <w:ind w:leftChars="0"/>
              <w:jc w:val="left"/>
              <w:rPr>
                <w:rFonts w:hint="eastAsia" w:eastAsia="宋体"/>
                <w:sz w:val="21"/>
                <w:szCs w:val="21"/>
                <w:lang w:val="en-US" w:eastAsia="zh-CN"/>
              </w:rPr>
            </w:pPr>
            <w:r>
              <w:rPr>
                <w:rFonts w:hint="eastAsia"/>
                <w:sz w:val="21"/>
                <w:szCs w:val="21"/>
                <w:lang w:val="en-US" w:eastAsia="zh-CN"/>
              </w:rPr>
              <w:t>不组织</w:t>
            </w:r>
          </w:p>
        </w:tc>
      </w:tr>
      <w:tr w14:paraId="238C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5CC5506">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15</w:t>
            </w:r>
          </w:p>
        </w:tc>
        <w:tc>
          <w:tcPr>
            <w:tcW w:w="1699" w:type="dxa"/>
            <w:tcBorders>
              <w:top w:val="single" w:color="auto" w:sz="4" w:space="0"/>
              <w:left w:val="single" w:color="auto" w:sz="4" w:space="0"/>
              <w:bottom w:val="single" w:color="auto" w:sz="4" w:space="0"/>
              <w:right w:val="single" w:color="auto" w:sz="4" w:space="0"/>
            </w:tcBorders>
            <w:vAlign w:val="center"/>
          </w:tcPr>
          <w:p w14:paraId="68550BD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投标预备会</w:t>
            </w:r>
          </w:p>
        </w:tc>
        <w:tc>
          <w:tcPr>
            <w:tcW w:w="7352" w:type="dxa"/>
            <w:tcBorders>
              <w:top w:val="single" w:color="auto" w:sz="4" w:space="0"/>
              <w:left w:val="single" w:color="auto" w:sz="4" w:space="0"/>
              <w:bottom w:val="single" w:color="auto" w:sz="4" w:space="0"/>
              <w:right w:val="single" w:color="auto" w:sz="4" w:space="0"/>
            </w:tcBorders>
            <w:vAlign w:val="center"/>
          </w:tcPr>
          <w:p w14:paraId="3AB3F213">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不召开</w:t>
            </w:r>
          </w:p>
        </w:tc>
      </w:tr>
      <w:tr w14:paraId="72B1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695C11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16</w:t>
            </w:r>
          </w:p>
        </w:tc>
        <w:tc>
          <w:tcPr>
            <w:tcW w:w="1699" w:type="dxa"/>
            <w:tcBorders>
              <w:top w:val="single" w:color="auto" w:sz="4" w:space="0"/>
              <w:left w:val="single" w:color="auto" w:sz="4" w:space="0"/>
              <w:bottom w:val="single" w:color="auto" w:sz="4" w:space="0"/>
              <w:right w:val="single" w:color="auto" w:sz="4" w:space="0"/>
            </w:tcBorders>
            <w:vAlign w:val="center"/>
          </w:tcPr>
          <w:p w14:paraId="3A98CFC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投标人提出问题的截止时间</w:t>
            </w:r>
          </w:p>
        </w:tc>
        <w:tc>
          <w:tcPr>
            <w:tcW w:w="7352" w:type="dxa"/>
            <w:tcBorders>
              <w:top w:val="single" w:color="auto" w:sz="4" w:space="0"/>
              <w:left w:val="single" w:color="auto" w:sz="4" w:space="0"/>
              <w:bottom w:val="single" w:color="auto" w:sz="4" w:space="0"/>
              <w:right w:val="single" w:color="auto" w:sz="4" w:space="0"/>
            </w:tcBorders>
          </w:tcPr>
          <w:p w14:paraId="6A0E4B67">
            <w:pPr>
              <w:autoSpaceDE w:val="0"/>
              <w:autoSpaceDN w:val="0"/>
              <w:adjustRightInd w:val="0"/>
              <w:spacing w:line="360" w:lineRule="auto"/>
              <w:jc w:val="left"/>
              <w:rPr>
                <w:rStyle w:val="38"/>
                <w:rFonts w:hint="eastAsia" w:ascii="宋体" w:hAnsi="宋体" w:eastAsia="宋体" w:cs="宋体"/>
                <w:bCs/>
                <w:sz w:val="21"/>
                <w:szCs w:val="21"/>
                <w:lang w:val="en-US" w:eastAsia="zh-CN"/>
              </w:rPr>
            </w:pPr>
            <w:r>
              <w:rPr>
                <w:rFonts w:hint="eastAsia" w:ascii="宋体" w:hAnsi="宋体" w:eastAsia="宋体" w:cs="宋体"/>
                <w:bCs/>
                <w:sz w:val="21"/>
                <w:szCs w:val="21"/>
                <w:lang w:val="zh-CN"/>
              </w:rPr>
              <w:t>时间：投标截止时间前1</w:t>
            </w:r>
            <w:r>
              <w:rPr>
                <w:rFonts w:hint="eastAsia" w:ascii="宋体" w:hAnsi="宋体" w:eastAsia="宋体" w:cs="宋体"/>
                <w:bCs/>
                <w:sz w:val="21"/>
                <w:szCs w:val="21"/>
              </w:rPr>
              <w:t>5</w:t>
            </w:r>
            <w:r>
              <w:rPr>
                <w:rFonts w:hint="eastAsia" w:ascii="宋体" w:hAnsi="宋体" w:eastAsia="宋体" w:cs="宋体"/>
                <w:bCs/>
                <w:sz w:val="21"/>
                <w:szCs w:val="21"/>
                <w:lang w:val="zh-CN"/>
              </w:rPr>
              <w:t>天投标人以书面形式加盖公章递交至招标代理机构公司。同时将电子档疑问发至我公司</w:t>
            </w:r>
            <w:r>
              <w:rPr>
                <w:rFonts w:hint="eastAsia" w:ascii="宋体" w:hAnsi="宋体" w:cs="宋体"/>
                <w:bCs/>
                <w:sz w:val="21"/>
                <w:szCs w:val="21"/>
                <w:lang w:val="en-US" w:eastAsia="zh-CN"/>
              </w:rPr>
              <w:t>邮箱1043906574@qq.com。</w:t>
            </w:r>
          </w:p>
          <w:p w14:paraId="6058379B">
            <w:pPr>
              <w:autoSpaceDE w:val="0"/>
              <w:autoSpaceDN w:val="0"/>
              <w:adjustRightInd w:val="0"/>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联系人：</w:t>
            </w:r>
            <w:r>
              <w:rPr>
                <w:rFonts w:hint="eastAsia" w:ascii="宋体" w:hAnsi="宋体" w:cs="宋体"/>
                <w:bCs/>
                <w:sz w:val="21"/>
                <w:szCs w:val="21"/>
                <w:lang w:val="zh-CN"/>
              </w:rPr>
              <w:t>胡</w:t>
            </w:r>
            <w:r>
              <w:rPr>
                <w:rFonts w:hint="eastAsia" w:ascii="宋体" w:hAnsi="宋体" w:cs="宋体"/>
                <w:bCs/>
                <w:sz w:val="21"/>
                <w:szCs w:val="21"/>
                <w:lang w:val="en-US" w:eastAsia="zh-CN"/>
              </w:rPr>
              <w:t>先生</w:t>
            </w:r>
          </w:p>
          <w:p w14:paraId="13A652A2">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zh-CN"/>
              </w:rPr>
              <w:t>电话：</w:t>
            </w:r>
            <w:r>
              <w:rPr>
                <w:rFonts w:hint="eastAsia" w:ascii="宋体" w:hAnsi="宋体" w:cs="宋体"/>
                <w:bCs/>
                <w:sz w:val="21"/>
                <w:szCs w:val="21"/>
                <w:lang w:val="en-US" w:eastAsia="zh-CN"/>
              </w:rPr>
              <w:t>18643939781</w:t>
            </w:r>
          </w:p>
        </w:tc>
      </w:tr>
      <w:tr w14:paraId="4CD0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82D9E6A">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17</w:t>
            </w:r>
          </w:p>
        </w:tc>
        <w:tc>
          <w:tcPr>
            <w:tcW w:w="1699" w:type="dxa"/>
            <w:tcBorders>
              <w:top w:val="single" w:color="auto" w:sz="4" w:space="0"/>
              <w:left w:val="single" w:color="auto" w:sz="4" w:space="0"/>
              <w:bottom w:val="single" w:color="auto" w:sz="4" w:space="0"/>
              <w:right w:val="single" w:color="auto" w:sz="4" w:space="0"/>
            </w:tcBorders>
            <w:vAlign w:val="center"/>
          </w:tcPr>
          <w:p w14:paraId="4207E7DD">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招标代理机构书面澄清的时间</w:t>
            </w:r>
          </w:p>
        </w:tc>
        <w:tc>
          <w:tcPr>
            <w:tcW w:w="7352" w:type="dxa"/>
            <w:tcBorders>
              <w:top w:val="single" w:color="auto" w:sz="4" w:space="0"/>
              <w:left w:val="single" w:color="auto" w:sz="4" w:space="0"/>
              <w:bottom w:val="single" w:color="auto" w:sz="4" w:space="0"/>
              <w:right w:val="single" w:color="auto" w:sz="4" w:space="0"/>
            </w:tcBorders>
            <w:vAlign w:val="center"/>
          </w:tcPr>
          <w:p w14:paraId="4CFC9510">
            <w:pPr>
              <w:autoSpaceDE w:val="0"/>
              <w:autoSpaceDN w:val="0"/>
              <w:adjustRightInd w:val="0"/>
              <w:spacing w:line="24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投标截止时间前15天</w:t>
            </w:r>
          </w:p>
        </w:tc>
      </w:tr>
      <w:tr w14:paraId="7F06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52F3D5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zh-CN"/>
              </w:rPr>
              <w:t>1</w:t>
            </w:r>
            <w:r>
              <w:rPr>
                <w:rFonts w:hint="eastAsia" w:ascii="宋体" w:hAnsi="宋体" w:eastAsia="宋体" w:cs="宋体"/>
                <w:bCs/>
                <w:sz w:val="21"/>
                <w:szCs w:val="21"/>
              </w:rPr>
              <w:t>8</w:t>
            </w:r>
          </w:p>
        </w:tc>
        <w:tc>
          <w:tcPr>
            <w:tcW w:w="1699" w:type="dxa"/>
            <w:tcBorders>
              <w:top w:val="single" w:color="auto" w:sz="4" w:space="0"/>
              <w:left w:val="single" w:color="auto" w:sz="4" w:space="0"/>
              <w:bottom w:val="single" w:color="auto" w:sz="4" w:space="0"/>
              <w:right w:val="single" w:color="auto" w:sz="4" w:space="0"/>
            </w:tcBorders>
            <w:vAlign w:val="center"/>
          </w:tcPr>
          <w:p w14:paraId="29C33BF7">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分包</w:t>
            </w:r>
          </w:p>
        </w:tc>
        <w:tc>
          <w:tcPr>
            <w:tcW w:w="7352" w:type="dxa"/>
            <w:tcBorders>
              <w:top w:val="single" w:color="auto" w:sz="4" w:space="0"/>
              <w:left w:val="single" w:color="auto" w:sz="4" w:space="0"/>
              <w:bottom w:val="single" w:color="auto" w:sz="4" w:space="0"/>
              <w:right w:val="single" w:color="auto" w:sz="4" w:space="0"/>
            </w:tcBorders>
            <w:vAlign w:val="center"/>
          </w:tcPr>
          <w:p w14:paraId="42334FBE">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不允许</w:t>
            </w:r>
          </w:p>
        </w:tc>
      </w:tr>
      <w:tr w14:paraId="49A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7802D4">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zh-CN"/>
              </w:rPr>
              <w:t>1</w:t>
            </w:r>
            <w:r>
              <w:rPr>
                <w:rFonts w:hint="eastAsia" w:ascii="宋体" w:hAnsi="宋体" w:eastAsia="宋体" w:cs="宋体"/>
                <w:bCs/>
                <w:sz w:val="21"/>
                <w:szCs w:val="21"/>
              </w:rPr>
              <w:t>9</w:t>
            </w:r>
          </w:p>
        </w:tc>
        <w:tc>
          <w:tcPr>
            <w:tcW w:w="1699" w:type="dxa"/>
            <w:tcBorders>
              <w:top w:val="single" w:color="auto" w:sz="4" w:space="0"/>
              <w:left w:val="single" w:color="auto" w:sz="4" w:space="0"/>
              <w:bottom w:val="single" w:color="auto" w:sz="4" w:space="0"/>
              <w:right w:val="single" w:color="auto" w:sz="4" w:space="0"/>
            </w:tcBorders>
            <w:vAlign w:val="center"/>
          </w:tcPr>
          <w:p w14:paraId="297E39EE">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偏离</w:t>
            </w:r>
          </w:p>
        </w:tc>
        <w:tc>
          <w:tcPr>
            <w:tcW w:w="7352" w:type="dxa"/>
            <w:tcBorders>
              <w:top w:val="single" w:color="auto" w:sz="4" w:space="0"/>
              <w:left w:val="single" w:color="auto" w:sz="4" w:space="0"/>
              <w:bottom w:val="single" w:color="auto" w:sz="4" w:space="0"/>
              <w:right w:val="single" w:color="auto" w:sz="4" w:space="0"/>
            </w:tcBorders>
            <w:vAlign w:val="center"/>
          </w:tcPr>
          <w:p w14:paraId="0C06B690">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不允许</w:t>
            </w:r>
          </w:p>
        </w:tc>
      </w:tr>
      <w:tr w14:paraId="3E9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C822E5F">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20</w:t>
            </w:r>
          </w:p>
        </w:tc>
        <w:tc>
          <w:tcPr>
            <w:tcW w:w="1699" w:type="dxa"/>
            <w:tcBorders>
              <w:top w:val="single" w:color="auto" w:sz="4" w:space="0"/>
              <w:left w:val="single" w:color="auto" w:sz="4" w:space="0"/>
              <w:bottom w:val="single" w:color="auto" w:sz="4" w:space="0"/>
              <w:right w:val="single" w:color="auto" w:sz="4" w:space="0"/>
            </w:tcBorders>
            <w:vAlign w:val="center"/>
          </w:tcPr>
          <w:p w14:paraId="2B661518">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构成招标文件的其他材料</w:t>
            </w:r>
          </w:p>
        </w:tc>
        <w:tc>
          <w:tcPr>
            <w:tcW w:w="7352" w:type="dxa"/>
            <w:tcBorders>
              <w:top w:val="single" w:color="auto" w:sz="4" w:space="0"/>
              <w:left w:val="single" w:color="auto" w:sz="4" w:space="0"/>
              <w:bottom w:val="single" w:color="auto" w:sz="4" w:space="0"/>
              <w:right w:val="single" w:color="auto" w:sz="4" w:space="0"/>
            </w:tcBorders>
            <w:vAlign w:val="center"/>
          </w:tcPr>
          <w:p w14:paraId="0516732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技术要求</w:t>
            </w:r>
          </w:p>
        </w:tc>
      </w:tr>
      <w:tr w14:paraId="77D2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6D4DB49">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1699" w:type="dxa"/>
            <w:tcBorders>
              <w:top w:val="single" w:color="auto" w:sz="4" w:space="0"/>
              <w:left w:val="single" w:color="auto" w:sz="4" w:space="0"/>
              <w:bottom w:val="single" w:color="auto" w:sz="4" w:space="0"/>
              <w:right w:val="single" w:color="auto" w:sz="4" w:space="0"/>
            </w:tcBorders>
            <w:vAlign w:val="center"/>
          </w:tcPr>
          <w:p w14:paraId="67CE7DD5">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投标人要求澄清招标文件的截止时间</w:t>
            </w:r>
          </w:p>
        </w:tc>
        <w:tc>
          <w:tcPr>
            <w:tcW w:w="7352" w:type="dxa"/>
            <w:tcBorders>
              <w:top w:val="single" w:color="auto" w:sz="4" w:space="0"/>
              <w:left w:val="single" w:color="auto" w:sz="4" w:space="0"/>
              <w:bottom w:val="single" w:color="auto" w:sz="4" w:space="0"/>
              <w:right w:val="single" w:color="auto" w:sz="4" w:space="0"/>
            </w:tcBorders>
            <w:vAlign w:val="center"/>
          </w:tcPr>
          <w:p w14:paraId="43B8D152">
            <w:pPr>
              <w:autoSpaceDE w:val="0"/>
              <w:autoSpaceDN w:val="0"/>
              <w:adjustRightInd w:val="0"/>
              <w:spacing w:line="240" w:lineRule="auto"/>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在收到相应澄清文件后24小时内</w:t>
            </w:r>
          </w:p>
        </w:tc>
      </w:tr>
      <w:tr w14:paraId="1245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02978A1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1699" w:type="dxa"/>
            <w:tcBorders>
              <w:top w:val="single" w:color="auto" w:sz="4" w:space="0"/>
              <w:left w:val="single" w:color="auto" w:sz="4" w:space="0"/>
              <w:bottom w:val="single" w:color="auto" w:sz="4" w:space="0"/>
              <w:right w:val="single" w:color="auto" w:sz="4" w:space="0"/>
            </w:tcBorders>
            <w:vAlign w:val="center"/>
          </w:tcPr>
          <w:p w14:paraId="10EFC96E">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投标截止时间</w:t>
            </w:r>
          </w:p>
        </w:tc>
        <w:tc>
          <w:tcPr>
            <w:tcW w:w="7352" w:type="dxa"/>
            <w:tcBorders>
              <w:top w:val="single" w:color="auto" w:sz="4" w:space="0"/>
              <w:left w:val="single" w:color="auto" w:sz="4" w:space="0"/>
              <w:bottom w:val="single" w:color="auto" w:sz="4" w:space="0"/>
              <w:right w:val="single" w:color="auto" w:sz="4" w:space="0"/>
            </w:tcBorders>
            <w:vAlign w:val="center"/>
          </w:tcPr>
          <w:p w14:paraId="208DE4D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cs="宋体"/>
                <w:bCs/>
                <w:color w:val="auto"/>
                <w:sz w:val="21"/>
                <w:szCs w:val="21"/>
                <w:lang w:val="en-US" w:eastAsia="zh-CN"/>
              </w:rPr>
              <w:t>2025年7月14日13时30分</w:t>
            </w:r>
          </w:p>
        </w:tc>
      </w:tr>
      <w:tr w14:paraId="74D4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F00DBB2">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1699" w:type="dxa"/>
            <w:tcBorders>
              <w:top w:val="single" w:color="auto" w:sz="4" w:space="0"/>
              <w:left w:val="single" w:color="auto" w:sz="4" w:space="0"/>
              <w:bottom w:val="single" w:color="auto" w:sz="4" w:space="0"/>
              <w:right w:val="single" w:color="auto" w:sz="4" w:space="0"/>
            </w:tcBorders>
            <w:vAlign w:val="center"/>
          </w:tcPr>
          <w:p w14:paraId="6DF2FB4D">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投标人确认收到招标文件澄清的时间</w:t>
            </w:r>
          </w:p>
        </w:tc>
        <w:tc>
          <w:tcPr>
            <w:tcW w:w="7352" w:type="dxa"/>
            <w:tcBorders>
              <w:top w:val="single" w:color="auto" w:sz="4" w:space="0"/>
              <w:left w:val="single" w:color="auto" w:sz="4" w:space="0"/>
              <w:bottom w:val="single" w:color="auto" w:sz="4" w:space="0"/>
              <w:right w:val="single" w:color="auto" w:sz="4" w:space="0"/>
            </w:tcBorders>
            <w:vAlign w:val="center"/>
          </w:tcPr>
          <w:p w14:paraId="20A63E1B">
            <w:pPr>
              <w:autoSpaceDE w:val="0"/>
              <w:autoSpaceDN w:val="0"/>
              <w:adjustRightInd w:val="0"/>
              <w:spacing w:line="240" w:lineRule="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24小时以内</w:t>
            </w:r>
          </w:p>
        </w:tc>
      </w:tr>
      <w:tr w14:paraId="50BC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01B149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1699" w:type="dxa"/>
            <w:tcBorders>
              <w:top w:val="single" w:color="auto" w:sz="4" w:space="0"/>
              <w:left w:val="single" w:color="auto" w:sz="4" w:space="0"/>
              <w:bottom w:val="single" w:color="auto" w:sz="4" w:space="0"/>
              <w:right w:val="single" w:color="auto" w:sz="4" w:space="0"/>
            </w:tcBorders>
            <w:vAlign w:val="center"/>
          </w:tcPr>
          <w:p w14:paraId="5C636FB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投标人确认收到招标文件修改的时间</w:t>
            </w:r>
          </w:p>
        </w:tc>
        <w:tc>
          <w:tcPr>
            <w:tcW w:w="7352" w:type="dxa"/>
            <w:tcBorders>
              <w:top w:val="single" w:color="auto" w:sz="4" w:space="0"/>
              <w:left w:val="single" w:color="auto" w:sz="4" w:space="0"/>
              <w:bottom w:val="single" w:color="auto" w:sz="4" w:space="0"/>
              <w:right w:val="single" w:color="auto" w:sz="4" w:space="0"/>
            </w:tcBorders>
            <w:vAlign w:val="center"/>
          </w:tcPr>
          <w:p w14:paraId="20D5C768">
            <w:pPr>
              <w:autoSpaceDE w:val="0"/>
              <w:autoSpaceDN w:val="0"/>
              <w:adjustRightInd w:val="0"/>
              <w:spacing w:line="24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24小时以内</w:t>
            </w:r>
          </w:p>
        </w:tc>
      </w:tr>
      <w:tr w14:paraId="3637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7DE2B2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1699" w:type="dxa"/>
            <w:tcBorders>
              <w:top w:val="single" w:color="auto" w:sz="4" w:space="0"/>
              <w:left w:val="single" w:color="auto" w:sz="4" w:space="0"/>
              <w:bottom w:val="single" w:color="auto" w:sz="4" w:space="0"/>
              <w:right w:val="single" w:color="auto" w:sz="4" w:space="0"/>
            </w:tcBorders>
            <w:vAlign w:val="center"/>
          </w:tcPr>
          <w:p w14:paraId="27B037EF">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构成投标文件的其他材料</w:t>
            </w:r>
          </w:p>
        </w:tc>
        <w:tc>
          <w:tcPr>
            <w:tcW w:w="7352" w:type="dxa"/>
            <w:tcBorders>
              <w:top w:val="single" w:color="auto" w:sz="4" w:space="0"/>
              <w:left w:val="single" w:color="auto" w:sz="4" w:space="0"/>
              <w:bottom w:val="single" w:color="auto" w:sz="4" w:space="0"/>
              <w:right w:val="single" w:color="auto" w:sz="4" w:space="0"/>
            </w:tcBorders>
            <w:vAlign w:val="center"/>
          </w:tcPr>
          <w:p w14:paraId="1C4E3943">
            <w:pPr>
              <w:autoSpaceDE w:val="0"/>
              <w:autoSpaceDN w:val="0"/>
              <w:adjustRightInd w:val="0"/>
              <w:spacing w:line="360" w:lineRule="auto"/>
              <w:rPr>
                <w:rFonts w:hint="eastAsia" w:ascii="宋体" w:hAnsi="宋体" w:eastAsia="宋体" w:cs="宋体"/>
                <w:bCs/>
                <w:sz w:val="21"/>
                <w:szCs w:val="21"/>
                <w:lang w:val="zh-CN" w:eastAsia="zh-CN"/>
              </w:rPr>
            </w:pPr>
            <w:r>
              <w:rPr>
                <w:rFonts w:hint="eastAsia" w:ascii="宋体" w:hAnsi="宋体" w:cs="宋体"/>
                <w:b w:val="0"/>
                <w:bCs/>
                <w:sz w:val="21"/>
                <w:szCs w:val="21"/>
                <w:lang w:val="en-US" w:eastAsia="zh-CN"/>
              </w:rPr>
              <w:t>无</w:t>
            </w:r>
          </w:p>
        </w:tc>
      </w:tr>
      <w:tr w14:paraId="5D5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4450B9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1699" w:type="dxa"/>
            <w:tcBorders>
              <w:top w:val="single" w:color="auto" w:sz="4" w:space="0"/>
              <w:left w:val="single" w:color="auto" w:sz="4" w:space="0"/>
              <w:bottom w:val="single" w:color="auto" w:sz="4" w:space="0"/>
              <w:right w:val="single" w:color="auto" w:sz="4" w:space="0"/>
            </w:tcBorders>
            <w:vAlign w:val="center"/>
          </w:tcPr>
          <w:p w14:paraId="778BC481">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投标有效期</w:t>
            </w:r>
          </w:p>
        </w:tc>
        <w:tc>
          <w:tcPr>
            <w:tcW w:w="7352" w:type="dxa"/>
            <w:tcBorders>
              <w:top w:val="single" w:color="auto" w:sz="4" w:space="0"/>
              <w:left w:val="single" w:color="auto" w:sz="4" w:space="0"/>
              <w:bottom w:val="single" w:color="auto" w:sz="4" w:space="0"/>
              <w:right w:val="single" w:color="auto" w:sz="4" w:space="0"/>
            </w:tcBorders>
            <w:vAlign w:val="center"/>
          </w:tcPr>
          <w:p w14:paraId="0C12454E">
            <w:pPr>
              <w:autoSpaceDE w:val="0"/>
              <w:autoSpaceDN w:val="0"/>
              <w:adjustRightInd w:val="0"/>
              <w:spacing w:line="240" w:lineRule="auto"/>
              <w:jc w:val="both"/>
              <w:rPr>
                <w:rFonts w:hint="eastAsia" w:ascii="宋体" w:hAnsi="宋体" w:eastAsia="宋体" w:cs="宋体"/>
                <w:bCs/>
                <w:sz w:val="21"/>
                <w:szCs w:val="21"/>
                <w:lang w:val="zh-CN"/>
              </w:rPr>
            </w:pPr>
            <w:r>
              <w:rPr>
                <w:rFonts w:hint="eastAsia" w:ascii="宋体" w:hAnsi="宋体" w:cs="宋体"/>
                <w:b w:val="0"/>
                <w:bCs w:val="0"/>
                <w:color w:val="auto"/>
                <w:kern w:val="0"/>
                <w:szCs w:val="21"/>
                <w:highlight w:val="none"/>
                <w:lang w:val="en-US" w:eastAsia="zh-CN"/>
              </w:rPr>
              <w:t>投标</w:t>
            </w:r>
            <w:r>
              <w:rPr>
                <w:rFonts w:hint="eastAsia" w:ascii="宋体" w:hAnsi="宋体" w:cs="宋体"/>
                <w:b w:val="0"/>
                <w:bCs w:val="0"/>
                <w:color w:val="auto"/>
                <w:kern w:val="0"/>
                <w:szCs w:val="21"/>
                <w:highlight w:val="none"/>
                <w:lang w:val="zh-CN"/>
              </w:rPr>
              <w:t>文件提交截止之日起90日历天</w:t>
            </w:r>
          </w:p>
        </w:tc>
      </w:tr>
      <w:tr w14:paraId="36A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7A02E2C">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1699" w:type="dxa"/>
            <w:tcBorders>
              <w:top w:val="single" w:color="auto" w:sz="4" w:space="0"/>
              <w:left w:val="single" w:color="auto" w:sz="4" w:space="0"/>
              <w:bottom w:val="single" w:color="auto" w:sz="4" w:space="0"/>
              <w:right w:val="single" w:color="auto" w:sz="4" w:space="0"/>
            </w:tcBorders>
            <w:vAlign w:val="center"/>
          </w:tcPr>
          <w:p w14:paraId="512AC55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投标保证金</w:t>
            </w:r>
          </w:p>
        </w:tc>
        <w:tc>
          <w:tcPr>
            <w:tcW w:w="7352" w:type="dxa"/>
            <w:tcBorders>
              <w:top w:val="single" w:color="auto" w:sz="4" w:space="0"/>
              <w:left w:val="single" w:color="auto" w:sz="4" w:space="0"/>
              <w:bottom w:val="single" w:color="auto" w:sz="4" w:space="0"/>
              <w:right w:val="single" w:color="auto" w:sz="4" w:space="0"/>
            </w:tcBorders>
          </w:tcPr>
          <w:p w14:paraId="2A95EAAC">
            <w:pPr>
              <w:pStyle w:val="27"/>
              <w:ind w:left="0" w:leftChars="0" w:firstLine="210" w:firstLineChars="100"/>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不要求</w:t>
            </w:r>
          </w:p>
        </w:tc>
      </w:tr>
      <w:tr w14:paraId="300E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9B980A">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28</w:t>
            </w:r>
          </w:p>
        </w:tc>
        <w:tc>
          <w:tcPr>
            <w:tcW w:w="1699" w:type="dxa"/>
            <w:tcBorders>
              <w:top w:val="single" w:color="auto" w:sz="4" w:space="0"/>
              <w:left w:val="single" w:color="auto" w:sz="4" w:space="0"/>
              <w:bottom w:val="single" w:color="auto" w:sz="4" w:space="0"/>
              <w:right w:val="single" w:color="auto" w:sz="4" w:space="0"/>
            </w:tcBorders>
            <w:vAlign w:val="center"/>
          </w:tcPr>
          <w:p w14:paraId="31B2789B">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近年财务状况的年份要求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332A3E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w:t>
            </w:r>
            <w:r>
              <w:rPr>
                <w:rFonts w:hint="eastAsia" w:ascii="宋体" w:hAnsi="宋体" w:cs="宋体"/>
                <w:bCs/>
                <w:sz w:val="21"/>
                <w:szCs w:val="21"/>
                <w:lang w:val="zh-CN"/>
              </w:rPr>
              <w:t>一</w:t>
            </w:r>
            <w:r>
              <w:rPr>
                <w:rFonts w:hint="eastAsia" w:ascii="宋体" w:hAnsi="宋体" w:eastAsia="宋体" w:cs="宋体"/>
                <w:bCs/>
                <w:sz w:val="21"/>
                <w:szCs w:val="21"/>
                <w:lang w:val="zh-CN"/>
              </w:rPr>
              <w:t>年（</w:t>
            </w:r>
            <w:r>
              <w:rPr>
                <w:rFonts w:hint="eastAsia" w:ascii="宋体" w:hAnsi="宋体" w:eastAsia="宋体" w:cs="宋体"/>
                <w:bCs/>
                <w:sz w:val="21"/>
                <w:szCs w:val="21"/>
                <w:lang w:val="en-US" w:eastAsia="zh-CN"/>
              </w:rPr>
              <w:t>20</w:t>
            </w:r>
            <w:r>
              <w:rPr>
                <w:rFonts w:hint="eastAsia" w:ascii="宋体" w:hAnsi="宋体" w:cs="宋体"/>
                <w:bCs/>
                <w:sz w:val="21"/>
                <w:szCs w:val="21"/>
                <w:lang w:val="en-US" w:eastAsia="zh-CN"/>
              </w:rPr>
              <w:t>24</w:t>
            </w:r>
            <w:r>
              <w:rPr>
                <w:rFonts w:hint="eastAsia" w:ascii="宋体" w:hAnsi="宋体" w:eastAsia="宋体" w:cs="宋体"/>
                <w:bCs/>
                <w:sz w:val="21"/>
                <w:szCs w:val="21"/>
                <w:lang w:val="en-US" w:eastAsia="zh-CN"/>
              </w:rPr>
              <w:t>年</w:t>
            </w:r>
            <w:r>
              <w:rPr>
                <w:rFonts w:hint="eastAsia" w:ascii="宋体" w:hAnsi="宋体" w:eastAsia="宋体" w:cs="宋体"/>
                <w:bCs/>
                <w:sz w:val="21"/>
                <w:szCs w:val="21"/>
                <w:lang w:val="zh-CN"/>
              </w:rPr>
              <w:t>）</w:t>
            </w:r>
          </w:p>
        </w:tc>
      </w:tr>
      <w:tr w14:paraId="495B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489AFB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29</w:t>
            </w:r>
          </w:p>
        </w:tc>
        <w:tc>
          <w:tcPr>
            <w:tcW w:w="1699" w:type="dxa"/>
            <w:tcBorders>
              <w:top w:val="single" w:color="auto" w:sz="4" w:space="0"/>
              <w:left w:val="single" w:color="auto" w:sz="4" w:space="0"/>
              <w:bottom w:val="single" w:color="auto" w:sz="4" w:space="0"/>
              <w:right w:val="single" w:color="auto" w:sz="4" w:space="0"/>
            </w:tcBorders>
            <w:vAlign w:val="center"/>
          </w:tcPr>
          <w:p w14:paraId="32DB850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近年完成的类似项目的年份要求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1257DC4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近三年（</w:t>
            </w:r>
            <w:r>
              <w:rPr>
                <w:rFonts w:hint="eastAsia" w:ascii="宋体" w:hAnsi="宋体" w:cs="宋体"/>
                <w:bCs/>
                <w:sz w:val="21"/>
                <w:szCs w:val="21"/>
                <w:lang w:val="en-US" w:eastAsia="zh-CN"/>
              </w:rPr>
              <w:t>2022年至今</w:t>
            </w:r>
            <w:r>
              <w:rPr>
                <w:rFonts w:hint="eastAsia" w:ascii="宋体" w:hAnsi="宋体" w:eastAsia="宋体" w:cs="宋体"/>
                <w:bCs/>
                <w:sz w:val="21"/>
                <w:szCs w:val="21"/>
                <w:lang w:val="zh-CN"/>
              </w:rPr>
              <w:t>）</w:t>
            </w:r>
          </w:p>
        </w:tc>
      </w:tr>
      <w:tr w14:paraId="4A1F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72D05F8">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30</w:t>
            </w:r>
          </w:p>
        </w:tc>
        <w:tc>
          <w:tcPr>
            <w:tcW w:w="1699" w:type="dxa"/>
            <w:tcBorders>
              <w:top w:val="single" w:color="auto" w:sz="4" w:space="0"/>
              <w:left w:val="single" w:color="auto" w:sz="4" w:space="0"/>
              <w:bottom w:val="single" w:color="auto" w:sz="4" w:space="0"/>
              <w:right w:val="single" w:color="auto" w:sz="4" w:space="0"/>
            </w:tcBorders>
            <w:vAlign w:val="center"/>
          </w:tcPr>
          <w:p w14:paraId="3F5D4588">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近年发生的诉讼及仲裁情况的年份要求</w:t>
            </w:r>
          </w:p>
        </w:tc>
        <w:tc>
          <w:tcPr>
            <w:tcW w:w="7352" w:type="dxa"/>
            <w:tcBorders>
              <w:top w:val="single" w:color="auto" w:sz="4" w:space="0"/>
              <w:left w:val="single" w:color="auto" w:sz="4" w:space="0"/>
              <w:bottom w:val="single" w:color="auto" w:sz="4" w:space="0"/>
              <w:right w:val="single" w:color="auto" w:sz="4" w:space="0"/>
            </w:tcBorders>
            <w:vAlign w:val="center"/>
          </w:tcPr>
          <w:p w14:paraId="2206FDB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近三年（</w:t>
            </w:r>
            <w:r>
              <w:rPr>
                <w:rFonts w:hint="eastAsia" w:ascii="宋体" w:hAnsi="宋体" w:cs="宋体"/>
                <w:bCs/>
                <w:sz w:val="21"/>
                <w:szCs w:val="21"/>
                <w:lang w:val="en-US" w:eastAsia="zh-CN"/>
              </w:rPr>
              <w:t>2022年至今</w:t>
            </w:r>
            <w:r>
              <w:rPr>
                <w:rFonts w:hint="eastAsia" w:ascii="宋体" w:hAnsi="宋体" w:eastAsia="宋体" w:cs="宋体"/>
                <w:bCs/>
                <w:sz w:val="21"/>
                <w:szCs w:val="21"/>
                <w:lang w:val="zh-CN"/>
              </w:rPr>
              <w:t>）</w:t>
            </w:r>
          </w:p>
        </w:tc>
      </w:tr>
      <w:tr w14:paraId="1BE5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57C4130">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1699" w:type="dxa"/>
            <w:tcBorders>
              <w:top w:val="single" w:color="auto" w:sz="4" w:space="0"/>
              <w:left w:val="single" w:color="auto" w:sz="4" w:space="0"/>
              <w:bottom w:val="single" w:color="auto" w:sz="4" w:space="0"/>
              <w:right w:val="single" w:color="auto" w:sz="4" w:space="0"/>
            </w:tcBorders>
            <w:vAlign w:val="center"/>
          </w:tcPr>
          <w:p w14:paraId="75857120">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是否允许递交备选投标方案</w:t>
            </w:r>
          </w:p>
        </w:tc>
        <w:tc>
          <w:tcPr>
            <w:tcW w:w="7352" w:type="dxa"/>
            <w:tcBorders>
              <w:top w:val="single" w:color="auto" w:sz="4" w:space="0"/>
              <w:left w:val="single" w:color="auto" w:sz="4" w:space="0"/>
              <w:bottom w:val="single" w:color="auto" w:sz="4" w:space="0"/>
              <w:right w:val="single" w:color="auto" w:sz="4" w:space="0"/>
            </w:tcBorders>
            <w:vAlign w:val="center"/>
          </w:tcPr>
          <w:p w14:paraId="3BFC5CE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不允许</w:t>
            </w:r>
          </w:p>
        </w:tc>
      </w:tr>
      <w:tr w14:paraId="2173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E7CFFDB">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1699" w:type="dxa"/>
            <w:tcBorders>
              <w:top w:val="single" w:color="auto" w:sz="4" w:space="0"/>
              <w:left w:val="single" w:color="auto" w:sz="4" w:space="0"/>
              <w:bottom w:val="single" w:color="auto" w:sz="4" w:space="0"/>
              <w:right w:val="single" w:color="auto" w:sz="4" w:space="0"/>
            </w:tcBorders>
            <w:vAlign w:val="center"/>
          </w:tcPr>
          <w:p w14:paraId="447AFC35">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签字或盖章要求</w:t>
            </w:r>
          </w:p>
        </w:tc>
        <w:tc>
          <w:tcPr>
            <w:tcW w:w="7352" w:type="dxa"/>
            <w:tcBorders>
              <w:top w:val="single" w:color="auto" w:sz="4" w:space="0"/>
              <w:left w:val="single" w:color="auto" w:sz="4" w:space="0"/>
              <w:bottom w:val="single" w:color="auto" w:sz="4" w:space="0"/>
              <w:right w:val="single" w:color="auto" w:sz="4" w:space="0"/>
            </w:tcBorders>
            <w:vAlign w:val="center"/>
          </w:tcPr>
          <w:p w14:paraId="7EC9B1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投标文件须签字盖章部分均应加盖投标人单位公章，并由投标人的法定代表人或其委托代理人签字（不得使用电子版签名代替</w:t>
            </w:r>
            <w:r>
              <w:rPr>
                <w:rFonts w:hint="eastAsia" w:ascii="宋体" w:hAnsi="宋体" w:cs="宋体"/>
                <w:bCs/>
                <w:sz w:val="21"/>
                <w:szCs w:val="21"/>
                <w:lang w:val="zh-CN"/>
              </w:rPr>
              <w:t>和他人代签</w:t>
            </w:r>
            <w:r>
              <w:rPr>
                <w:rFonts w:hint="eastAsia" w:ascii="宋体" w:hAnsi="宋体" w:eastAsia="宋体" w:cs="宋体"/>
                <w:bCs/>
                <w:sz w:val="21"/>
                <w:szCs w:val="21"/>
                <w:lang w:val="zh-CN"/>
              </w:rPr>
              <w:t>）。有改动之处应加盖单位公章或由投标人法定代表人或其授权代理人盖章确认。</w:t>
            </w:r>
          </w:p>
        </w:tc>
      </w:tr>
      <w:tr w14:paraId="02C5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6454DDA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36</w:t>
            </w:r>
          </w:p>
        </w:tc>
        <w:tc>
          <w:tcPr>
            <w:tcW w:w="1699" w:type="dxa"/>
            <w:tcBorders>
              <w:top w:val="single" w:color="auto" w:sz="4" w:space="0"/>
              <w:left w:val="single" w:color="auto" w:sz="4" w:space="0"/>
              <w:bottom w:val="single" w:color="auto" w:sz="4" w:space="0"/>
              <w:right w:val="single" w:color="auto" w:sz="4" w:space="0"/>
            </w:tcBorders>
            <w:vAlign w:val="center"/>
          </w:tcPr>
          <w:p w14:paraId="386BBBCB">
            <w:pPr>
              <w:autoSpaceDE w:val="0"/>
              <w:autoSpaceDN w:val="0"/>
              <w:adjustRightInd w:val="0"/>
              <w:spacing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递交投标文件地点及时间</w:t>
            </w:r>
          </w:p>
        </w:tc>
        <w:tc>
          <w:tcPr>
            <w:tcW w:w="7352" w:type="dxa"/>
            <w:tcBorders>
              <w:top w:val="single" w:color="auto" w:sz="4" w:space="0"/>
              <w:left w:val="single" w:color="auto" w:sz="4" w:space="0"/>
              <w:bottom w:val="single" w:color="auto" w:sz="4" w:space="0"/>
              <w:right w:val="single" w:color="auto" w:sz="4" w:space="0"/>
            </w:tcBorders>
            <w:vAlign w:val="center"/>
          </w:tcPr>
          <w:p w14:paraId="4D18C7EB">
            <w:pPr>
              <w:spacing w:line="360" w:lineRule="exact"/>
              <w:jc w:val="left"/>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开标时间：202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年</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月</w:t>
            </w:r>
            <w:r>
              <w:rPr>
                <w:rFonts w:hint="eastAsia" w:ascii="宋体" w:hAnsi="宋体" w:cs="宋体"/>
                <w:b w:val="0"/>
                <w:bCs w:val="0"/>
                <w:color w:val="auto"/>
                <w:sz w:val="21"/>
                <w:szCs w:val="21"/>
                <w:lang w:val="en-US" w:eastAsia="zh-CN"/>
              </w:rPr>
              <w:t>14</w:t>
            </w:r>
            <w:r>
              <w:rPr>
                <w:rFonts w:hint="eastAsia" w:ascii="宋体" w:hAnsi="宋体" w:eastAsia="宋体" w:cs="宋体"/>
                <w:b w:val="0"/>
                <w:bCs w:val="0"/>
                <w:color w:val="auto"/>
                <w:sz w:val="21"/>
                <w:szCs w:val="21"/>
                <w:lang w:val="zh-CN" w:eastAsia="zh-CN"/>
              </w:rPr>
              <w:t>日</w:t>
            </w:r>
            <w:r>
              <w:rPr>
                <w:rFonts w:hint="eastAsia" w:ascii="宋体" w:hAnsi="宋体" w:cs="宋体"/>
                <w:b w:val="0"/>
                <w:bCs w:val="0"/>
                <w:color w:val="auto"/>
                <w:sz w:val="21"/>
                <w:szCs w:val="21"/>
                <w:lang w:val="en-US" w:eastAsia="zh-CN"/>
              </w:rPr>
              <w:t>13</w:t>
            </w:r>
            <w:r>
              <w:rPr>
                <w:rFonts w:hint="eastAsia" w:ascii="宋体" w:hAnsi="宋体" w:eastAsia="宋体" w:cs="宋体"/>
                <w:b w:val="0"/>
                <w:bCs w:val="0"/>
                <w:color w:val="auto"/>
                <w:sz w:val="21"/>
                <w:szCs w:val="21"/>
                <w:lang w:val="zh-CN" w:eastAsia="zh-CN"/>
              </w:rPr>
              <w:t>点</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0分</w:t>
            </w:r>
          </w:p>
          <w:p w14:paraId="6305D2D3">
            <w:pPr>
              <w:spacing w:line="360" w:lineRule="exact"/>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val="zh-CN" w:eastAsia="zh-CN"/>
              </w:rPr>
              <w:t>开标地点：</w:t>
            </w:r>
            <w:r>
              <w:rPr>
                <w:rFonts w:hint="eastAsia" w:ascii="宋体" w:hAnsi="宋体" w:eastAsia="宋体" w:cs="宋体"/>
                <w:b w:val="0"/>
                <w:bCs w:val="0"/>
                <w:color w:val="auto"/>
                <w:sz w:val="21"/>
                <w:szCs w:val="21"/>
                <w:lang w:val="en-US" w:eastAsia="zh-CN"/>
              </w:rPr>
              <w:t>白山市浑江区红旗街 578号国投大厦3楼</w:t>
            </w:r>
          </w:p>
          <w:p w14:paraId="08CF4750">
            <w:pPr>
              <w:spacing w:line="400" w:lineRule="exact"/>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val="0"/>
                <w:color w:val="auto"/>
                <w:kern w:val="2"/>
                <w:sz w:val="21"/>
                <w:szCs w:val="21"/>
                <w:lang w:val="en-US" w:eastAsia="zh-CN" w:bidi="ar-SA"/>
              </w:rPr>
              <w:t>开标方式：</w:t>
            </w:r>
            <w:r>
              <w:rPr>
                <w:rFonts w:hint="eastAsia" w:ascii="宋体" w:hAnsi="宋体" w:eastAsia="宋体" w:cs="宋体"/>
                <w:b w:val="0"/>
                <w:bCs/>
                <w:color w:val="auto"/>
                <w:kern w:val="2"/>
                <w:sz w:val="21"/>
                <w:szCs w:val="21"/>
                <w:highlight w:val="none"/>
                <w:lang w:val="zh-CN" w:eastAsia="zh-CN" w:bidi="ar-SA"/>
              </w:rPr>
              <w:t>注：本项目采用电子开评标方式进行，各投标人无需到达开标现场，请各投标人提前准备好投标文件解密锁，按现场指示进行文件解密</w:t>
            </w:r>
            <w:r>
              <w:rPr>
                <w:rFonts w:hint="eastAsia" w:ascii="宋体" w:hAnsi="宋体" w:eastAsia="宋体" w:cs="宋体"/>
                <w:b w:val="0"/>
                <w:bCs w:val="0"/>
                <w:color w:val="auto"/>
                <w:kern w:val="2"/>
                <w:sz w:val="21"/>
                <w:szCs w:val="21"/>
                <w:lang w:val="en-US" w:eastAsia="zh-CN" w:bidi="ar-SA"/>
              </w:rPr>
              <w:t>。因投标人自身原因未能按时完成解密的，视为逾期未提交投标文件，其投标无效。</w:t>
            </w:r>
          </w:p>
        </w:tc>
      </w:tr>
      <w:tr w14:paraId="35C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5CEBB55">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37</w:t>
            </w:r>
          </w:p>
        </w:tc>
        <w:tc>
          <w:tcPr>
            <w:tcW w:w="1699" w:type="dxa"/>
            <w:tcBorders>
              <w:top w:val="single" w:color="auto" w:sz="4" w:space="0"/>
              <w:left w:val="single" w:color="auto" w:sz="4" w:space="0"/>
              <w:bottom w:val="single" w:color="auto" w:sz="4" w:space="0"/>
              <w:right w:val="single" w:color="auto" w:sz="4" w:space="0"/>
            </w:tcBorders>
            <w:vAlign w:val="center"/>
          </w:tcPr>
          <w:p w14:paraId="0ABC5FD6">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是否退还投标文件</w:t>
            </w:r>
          </w:p>
        </w:tc>
        <w:tc>
          <w:tcPr>
            <w:tcW w:w="7352" w:type="dxa"/>
            <w:tcBorders>
              <w:top w:val="single" w:color="auto" w:sz="4" w:space="0"/>
              <w:left w:val="single" w:color="auto" w:sz="4" w:space="0"/>
              <w:bottom w:val="single" w:color="auto" w:sz="4" w:space="0"/>
              <w:right w:val="single" w:color="auto" w:sz="4" w:space="0"/>
            </w:tcBorders>
            <w:vAlign w:val="center"/>
          </w:tcPr>
          <w:p w14:paraId="6264C6EA">
            <w:pPr>
              <w:spacing w:line="400" w:lineRule="exact"/>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否</w:t>
            </w:r>
          </w:p>
        </w:tc>
      </w:tr>
      <w:tr w14:paraId="0BD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8518C2C">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38</w:t>
            </w:r>
          </w:p>
        </w:tc>
        <w:tc>
          <w:tcPr>
            <w:tcW w:w="1699" w:type="dxa"/>
            <w:tcBorders>
              <w:top w:val="single" w:color="auto" w:sz="4" w:space="0"/>
              <w:left w:val="single" w:color="auto" w:sz="4" w:space="0"/>
              <w:bottom w:val="single" w:color="auto" w:sz="4" w:space="0"/>
              <w:right w:val="single" w:color="auto" w:sz="4" w:space="0"/>
            </w:tcBorders>
            <w:vAlign w:val="center"/>
          </w:tcPr>
          <w:p w14:paraId="38F347D8">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开标时间和地点</w:t>
            </w:r>
          </w:p>
        </w:tc>
        <w:tc>
          <w:tcPr>
            <w:tcW w:w="7352" w:type="dxa"/>
            <w:tcBorders>
              <w:top w:val="single" w:color="auto" w:sz="4" w:space="0"/>
              <w:left w:val="single" w:color="auto" w:sz="4" w:space="0"/>
              <w:bottom w:val="single" w:color="auto" w:sz="4" w:space="0"/>
              <w:right w:val="single" w:color="auto" w:sz="4" w:space="0"/>
            </w:tcBorders>
          </w:tcPr>
          <w:p w14:paraId="15FF36CD">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开标时间：同投标截止时间</w:t>
            </w:r>
          </w:p>
          <w:p w14:paraId="4EEB87EA">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开标地点：同递交投标文件地点</w:t>
            </w:r>
          </w:p>
        </w:tc>
      </w:tr>
      <w:tr w14:paraId="0F7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6333E4D">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39</w:t>
            </w:r>
          </w:p>
        </w:tc>
        <w:tc>
          <w:tcPr>
            <w:tcW w:w="1699" w:type="dxa"/>
            <w:tcBorders>
              <w:top w:val="single" w:color="auto" w:sz="4" w:space="0"/>
              <w:left w:val="single" w:color="auto" w:sz="4" w:space="0"/>
              <w:bottom w:val="single" w:color="auto" w:sz="4" w:space="0"/>
              <w:right w:val="single" w:color="auto" w:sz="4" w:space="0"/>
            </w:tcBorders>
            <w:vAlign w:val="center"/>
          </w:tcPr>
          <w:p w14:paraId="68484F5C">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开标程序</w:t>
            </w:r>
          </w:p>
        </w:tc>
        <w:tc>
          <w:tcPr>
            <w:tcW w:w="7352" w:type="dxa"/>
            <w:tcBorders>
              <w:top w:val="single" w:color="auto" w:sz="4" w:space="0"/>
              <w:left w:val="single" w:color="auto" w:sz="4" w:space="0"/>
              <w:bottom w:val="single" w:color="auto" w:sz="4" w:space="0"/>
              <w:right w:val="single" w:color="auto" w:sz="4" w:space="0"/>
            </w:tcBorders>
          </w:tcPr>
          <w:p w14:paraId="1A403B43">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开标顺序：按投标文件递交顺序进行。</w:t>
            </w:r>
            <w:bookmarkStart w:id="97" w:name="_GoBack"/>
            <w:bookmarkEnd w:id="97"/>
          </w:p>
        </w:tc>
      </w:tr>
      <w:tr w14:paraId="50B2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F351AD3">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40</w:t>
            </w:r>
          </w:p>
        </w:tc>
        <w:tc>
          <w:tcPr>
            <w:tcW w:w="1699" w:type="dxa"/>
            <w:tcBorders>
              <w:top w:val="single" w:color="auto" w:sz="4" w:space="0"/>
              <w:left w:val="single" w:color="auto" w:sz="4" w:space="0"/>
              <w:bottom w:val="single" w:color="auto" w:sz="4" w:space="0"/>
              <w:right w:val="single" w:color="auto" w:sz="4" w:space="0"/>
            </w:tcBorders>
            <w:vAlign w:val="center"/>
          </w:tcPr>
          <w:p w14:paraId="513F1D33">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评标委员会的组建</w:t>
            </w:r>
          </w:p>
        </w:tc>
        <w:tc>
          <w:tcPr>
            <w:tcW w:w="7352" w:type="dxa"/>
            <w:tcBorders>
              <w:top w:val="single" w:color="auto" w:sz="4" w:space="0"/>
              <w:left w:val="single" w:color="auto" w:sz="4" w:space="0"/>
              <w:bottom w:val="single" w:color="auto" w:sz="4" w:space="0"/>
              <w:right w:val="single" w:color="auto" w:sz="4" w:space="0"/>
            </w:tcBorders>
          </w:tcPr>
          <w:p w14:paraId="647E9D5B">
            <w:pPr>
              <w:autoSpaceDE w:val="0"/>
              <w:autoSpaceDN w:val="0"/>
              <w:adjustRightInd w:val="0"/>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zh-CN"/>
              </w:rPr>
              <w:t>评标委员会构成</w:t>
            </w:r>
            <w:r>
              <w:rPr>
                <w:rFonts w:hint="eastAsia" w:ascii="宋体" w:hAnsi="宋体" w:cs="宋体"/>
                <w:bCs/>
                <w:sz w:val="21"/>
                <w:szCs w:val="21"/>
                <w:lang w:val="zh-CN"/>
              </w:rPr>
              <w:t>：</w:t>
            </w:r>
            <w:r>
              <w:rPr>
                <w:rFonts w:hint="eastAsia" w:ascii="宋体" w:hAnsi="宋体" w:eastAsia="宋体" w:cs="宋体"/>
                <w:bCs/>
                <w:sz w:val="21"/>
                <w:szCs w:val="21"/>
                <w:lang w:val="zh-CN"/>
              </w:rPr>
              <w:t>5人</w:t>
            </w:r>
            <w:r>
              <w:rPr>
                <w:rFonts w:hint="eastAsia" w:ascii="宋体" w:hAnsi="宋体" w:cs="宋体"/>
                <w:bCs/>
                <w:sz w:val="21"/>
                <w:szCs w:val="21"/>
                <w:lang w:val="zh-CN"/>
              </w:rPr>
              <w:t>，</w:t>
            </w:r>
            <w:r>
              <w:rPr>
                <w:rFonts w:hint="eastAsia" w:ascii="宋体" w:hAnsi="宋体" w:cs="宋体"/>
                <w:bCs/>
                <w:sz w:val="21"/>
                <w:szCs w:val="21"/>
                <w:lang w:val="en-US" w:eastAsia="zh-CN"/>
              </w:rPr>
              <w:t>业主代表1人，社会专家4人。</w:t>
            </w:r>
          </w:p>
          <w:p w14:paraId="651A513F">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评标专家确定方式：</w:t>
            </w:r>
            <w:r>
              <w:rPr>
                <w:rFonts w:hint="eastAsia"/>
                <w:sz w:val="21"/>
                <w:szCs w:val="21"/>
                <w:lang w:val="zh-CN"/>
              </w:rPr>
              <w:t>在监督人的监督下，由</w:t>
            </w:r>
            <w:r>
              <w:rPr>
                <w:rFonts w:hint="eastAsia"/>
                <w:sz w:val="21"/>
                <w:szCs w:val="21"/>
                <w:lang w:val="en-US" w:eastAsia="zh-CN"/>
              </w:rPr>
              <w:t>招标</w:t>
            </w:r>
            <w:r>
              <w:rPr>
                <w:rFonts w:hint="eastAsia"/>
                <w:sz w:val="21"/>
                <w:szCs w:val="21"/>
                <w:lang w:val="zh-CN"/>
              </w:rPr>
              <w:t>人从依法设立的评标专家库中随机抽取</w:t>
            </w:r>
          </w:p>
        </w:tc>
      </w:tr>
      <w:tr w14:paraId="6540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35EFAF7">
            <w:pPr>
              <w:autoSpaceDE w:val="0"/>
              <w:autoSpaceDN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41</w:t>
            </w:r>
          </w:p>
        </w:tc>
        <w:tc>
          <w:tcPr>
            <w:tcW w:w="1699" w:type="dxa"/>
            <w:tcBorders>
              <w:top w:val="single" w:color="auto" w:sz="4" w:space="0"/>
              <w:left w:val="single" w:color="auto" w:sz="4" w:space="0"/>
              <w:bottom w:val="single" w:color="auto" w:sz="4" w:space="0"/>
              <w:right w:val="single" w:color="auto" w:sz="4" w:space="0"/>
            </w:tcBorders>
            <w:vAlign w:val="center"/>
          </w:tcPr>
          <w:p w14:paraId="3464EFF4">
            <w:pPr>
              <w:autoSpaceDE w:val="0"/>
              <w:autoSpaceDN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是否授权评标委员会确定中标人</w:t>
            </w:r>
          </w:p>
        </w:tc>
        <w:tc>
          <w:tcPr>
            <w:tcW w:w="7352" w:type="dxa"/>
            <w:tcBorders>
              <w:top w:val="single" w:color="auto" w:sz="4" w:space="0"/>
              <w:left w:val="single" w:color="auto" w:sz="4" w:space="0"/>
              <w:bottom w:val="single" w:color="auto" w:sz="4" w:space="0"/>
              <w:right w:val="single" w:color="auto" w:sz="4" w:space="0"/>
            </w:tcBorders>
            <w:vAlign w:val="center"/>
          </w:tcPr>
          <w:p w14:paraId="21224B9B">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否，由评标委员会推荐中标候选人三名</w:t>
            </w:r>
          </w:p>
        </w:tc>
      </w:tr>
      <w:tr w14:paraId="1409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48DBF463">
            <w:pPr>
              <w:autoSpaceDE w:val="0"/>
              <w:autoSpaceDN w:val="0"/>
              <w:adjustRightInd w:val="0"/>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42</w:t>
            </w:r>
          </w:p>
        </w:tc>
        <w:tc>
          <w:tcPr>
            <w:tcW w:w="1699" w:type="dxa"/>
            <w:tcBorders>
              <w:top w:val="single" w:color="auto" w:sz="4" w:space="0"/>
              <w:left w:val="single" w:color="auto" w:sz="4" w:space="0"/>
              <w:bottom w:val="single" w:color="auto" w:sz="4" w:space="0"/>
              <w:right w:val="single" w:color="auto" w:sz="4" w:space="0"/>
            </w:tcBorders>
            <w:vAlign w:val="center"/>
          </w:tcPr>
          <w:p w14:paraId="422C8098">
            <w:pPr>
              <w:autoSpaceDE w:val="0"/>
              <w:autoSpaceDN w:val="0"/>
              <w:adjustRightInd w:val="0"/>
              <w:spacing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招标代理服务费</w:t>
            </w:r>
          </w:p>
        </w:tc>
        <w:tc>
          <w:tcPr>
            <w:tcW w:w="7352" w:type="dxa"/>
            <w:tcBorders>
              <w:top w:val="single" w:color="auto" w:sz="4" w:space="0"/>
              <w:left w:val="single" w:color="auto" w:sz="4" w:space="0"/>
              <w:bottom w:val="single" w:color="auto" w:sz="4" w:space="0"/>
              <w:right w:val="single" w:color="auto" w:sz="4" w:space="0"/>
            </w:tcBorders>
          </w:tcPr>
          <w:p w14:paraId="6991B5EA">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参照国家发展计划委员会计价格[2002]1980号文件收费标准和国家发展改革委员会发改价格[2011]534号文件、执行发改价格[2015]299号文件</w:t>
            </w:r>
            <w:r>
              <w:rPr>
                <w:rFonts w:hint="eastAsia" w:ascii="宋体" w:hAnsi="宋体" w:eastAsia="宋体" w:cs="宋体"/>
                <w:bCs/>
                <w:sz w:val="21"/>
                <w:szCs w:val="21"/>
                <w:lang w:val="en-US" w:eastAsia="zh-CN"/>
              </w:rPr>
              <w:t>并结合市场调节价收取</w:t>
            </w:r>
          </w:p>
        </w:tc>
      </w:tr>
      <w:tr w14:paraId="1E1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E47AA4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43</w:t>
            </w:r>
          </w:p>
        </w:tc>
        <w:tc>
          <w:tcPr>
            <w:tcW w:w="1699" w:type="dxa"/>
            <w:tcBorders>
              <w:top w:val="single" w:color="auto" w:sz="4" w:space="0"/>
              <w:left w:val="single" w:color="auto" w:sz="4" w:space="0"/>
              <w:bottom w:val="single" w:color="auto" w:sz="4" w:space="0"/>
              <w:right w:val="single" w:color="auto" w:sz="4" w:space="0"/>
            </w:tcBorders>
            <w:vAlign w:val="center"/>
          </w:tcPr>
          <w:p w14:paraId="58E72AD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lang w:val="zh-CN"/>
              </w:rPr>
            </w:pPr>
            <w:r>
              <w:rPr>
                <w:rFonts w:hint="eastAsia" w:ascii="宋体" w:hAnsi="宋体" w:cs="宋体"/>
                <w:bCs/>
                <w:sz w:val="21"/>
                <w:szCs w:val="21"/>
                <w:lang w:val="en-US" w:eastAsia="zh-CN"/>
              </w:rPr>
              <w:t>付款</w:t>
            </w:r>
            <w:r>
              <w:rPr>
                <w:rFonts w:hint="eastAsia" w:ascii="宋体" w:hAnsi="宋体" w:eastAsia="宋体" w:cs="宋体"/>
                <w:bCs/>
                <w:sz w:val="21"/>
                <w:szCs w:val="21"/>
                <w:lang w:val="en-US" w:eastAsia="zh-CN"/>
              </w:rPr>
              <w:t>方式</w:t>
            </w:r>
          </w:p>
        </w:tc>
        <w:tc>
          <w:tcPr>
            <w:tcW w:w="7352" w:type="dxa"/>
            <w:tcBorders>
              <w:top w:val="single" w:color="auto" w:sz="4" w:space="0"/>
              <w:left w:val="single" w:color="auto" w:sz="4" w:space="0"/>
              <w:bottom w:val="single" w:color="auto" w:sz="4" w:space="0"/>
              <w:right w:val="single" w:color="auto" w:sz="4" w:space="0"/>
            </w:tcBorders>
            <w:vAlign w:val="center"/>
          </w:tcPr>
          <w:p w14:paraId="3E1E21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highlight w:val="none"/>
                <w:lang w:eastAsia="zh-CN"/>
              </w:rPr>
              <w:t>按实际合同约定</w:t>
            </w:r>
          </w:p>
        </w:tc>
      </w:tr>
      <w:tr w14:paraId="5B40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3B165BF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44</w:t>
            </w:r>
          </w:p>
        </w:tc>
        <w:tc>
          <w:tcPr>
            <w:tcW w:w="1699" w:type="dxa"/>
            <w:tcBorders>
              <w:top w:val="single" w:color="auto" w:sz="4" w:space="0"/>
              <w:left w:val="single" w:color="auto" w:sz="4" w:space="0"/>
              <w:bottom w:val="single" w:color="auto" w:sz="4" w:space="0"/>
              <w:right w:val="single" w:color="auto" w:sz="4" w:space="0"/>
            </w:tcBorders>
            <w:vAlign w:val="center"/>
          </w:tcPr>
          <w:p w14:paraId="2E15168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质保期</w:t>
            </w:r>
          </w:p>
        </w:tc>
        <w:tc>
          <w:tcPr>
            <w:tcW w:w="7352" w:type="dxa"/>
            <w:tcBorders>
              <w:top w:val="single" w:color="auto" w:sz="4" w:space="0"/>
              <w:left w:val="single" w:color="auto" w:sz="4" w:space="0"/>
              <w:bottom w:val="single" w:color="auto" w:sz="4" w:space="0"/>
              <w:right w:val="single" w:color="auto" w:sz="4" w:space="0"/>
            </w:tcBorders>
            <w:vAlign w:val="center"/>
          </w:tcPr>
          <w:p w14:paraId="44251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一年，3％质保金</w:t>
            </w:r>
          </w:p>
        </w:tc>
      </w:tr>
      <w:tr w14:paraId="42DE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72" w:type="dxa"/>
            <w:gridSpan w:val="3"/>
            <w:tcBorders>
              <w:top w:val="single" w:color="auto" w:sz="4" w:space="0"/>
              <w:left w:val="single" w:color="auto" w:sz="4" w:space="0"/>
              <w:bottom w:val="single" w:color="auto" w:sz="4" w:space="0"/>
              <w:right w:val="single" w:color="auto" w:sz="4" w:space="0"/>
            </w:tcBorders>
            <w:vAlign w:val="center"/>
          </w:tcPr>
          <w:p w14:paraId="2315662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招标公告与招标文件不一致之处以招标文件为准</w:t>
            </w:r>
          </w:p>
        </w:tc>
      </w:tr>
    </w:tbl>
    <w:p w14:paraId="3B7C9FB4">
      <w:pPr>
        <w:rPr>
          <w:rFonts w:hint="eastAsia" w:ascii="宋体" w:cs="黑体"/>
          <w:b/>
          <w:bCs/>
          <w:sz w:val="36"/>
          <w:szCs w:val="36"/>
          <w:lang w:val="zh-CN"/>
        </w:rPr>
      </w:pPr>
      <w:bookmarkStart w:id="42" w:name="_Toc489517582"/>
      <w:r>
        <w:rPr>
          <w:rFonts w:hint="eastAsia" w:ascii="宋体" w:cs="黑体"/>
          <w:b/>
          <w:bCs/>
          <w:sz w:val="36"/>
          <w:szCs w:val="36"/>
          <w:lang w:val="zh-CN"/>
        </w:rPr>
        <w:br w:type="page"/>
      </w:r>
    </w:p>
    <w:p w14:paraId="53047914">
      <w:pPr>
        <w:autoSpaceDE w:val="0"/>
        <w:autoSpaceDN w:val="0"/>
        <w:adjustRightInd w:val="0"/>
        <w:spacing w:line="360" w:lineRule="auto"/>
        <w:jc w:val="center"/>
        <w:outlineLvl w:val="1"/>
        <w:rPr>
          <w:rFonts w:ascii="宋体" w:cs="黑体"/>
          <w:b/>
          <w:bCs/>
          <w:sz w:val="21"/>
          <w:szCs w:val="21"/>
          <w:lang w:val="zh-CN"/>
        </w:rPr>
      </w:pPr>
      <w:r>
        <w:rPr>
          <w:rFonts w:hint="eastAsia" w:ascii="宋体" w:cs="黑体"/>
          <w:b/>
          <w:bCs/>
          <w:sz w:val="21"/>
          <w:szCs w:val="21"/>
          <w:lang w:val="zh-CN"/>
        </w:rPr>
        <w:t>投标人须知</w:t>
      </w:r>
      <w:bookmarkEnd w:id="42"/>
    </w:p>
    <w:p w14:paraId="261A4DD5">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1．适用法律：</w:t>
      </w:r>
      <w:r>
        <w:rPr>
          <w:rFonts w:hint="eastAsia" w:ascii="宋体" w:hAnsi="宋体" w:cs="宋体"/>
          <w:sz w:val="21"/>
          <w:szCs w:val="21"/>
          <w:lang w:val="zh-CN"/>
        </w:rPr>
        <w:t>本次招标适用法律法规为《中华人民共和国政府采购法》、《中华人民共和国政府采购法实施条例》、《政府采购货物和服务招标投标管理办法》及政府采购其它相关法规。</w:t>
      </w:r>
    </w:p>
    <w:p w14:paraId="24117229">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2．定义：</w:t>
      </w:r>
    </w:p>
    <w:p w14:paraId="3B192D1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2.1招标代理机构负责采购活动的组织工作。</w:t>
      </w:r>
    </w:p>
    <w:p w14:paraId="2D7F0BD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2.2</w:t>
      </w:r>
      <w:r>
        <w:rPr>
          <w:rFonts w:hint="eastAsia" w:ascii="宋体" w:hAnsi="宋体" w:cs="宋体"/>
          <w:sz w:val="21"/>
          <w:szCs w:val="21"/>
        </w:rPr>
        <w:t>招标</w:t>
      </w:r>
      <w:r>
        <w:rPr>
          <w:rFonts w:hint="eastAsia" w:ascii="宋体" w:hAnsi="宋体" w:cs="宋体"/>
          <w:sz w:val="21"/>
          <w:szCs w:val="21"/>
          <w:lang w:val="zh-CN"/>
        </w:rPr>
        <w:t>人负责采购项目的整体规划、采购需求设计和可行性论证，作为合同的需方，承担质疑答复，合同履行、验收、评价等义务。</w:t>
      </w:r>
    </w:p>
    <w:p w14:paraId="78965C28">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2.3</w:t>
      </w:r>
      <w:r>
        <w:rPr>
          <w:rFonts w:hint="eastAsia" w:ascii="宋体" w:hAnsi="宋体" w:cs="宋体"/>
          <w:kern w:val="0"/>
          <w:sz w:val="21"/>
          <w:szCs w:val="21"/>
        </w:rPr>
        <w:t>“</w:t>
      </w:r>
      <w:r>
        <w:rPr>
          <w:rFonts w:hint="eastAsia" w:ascii="宋体" w:hAnsi="宋体" w:cs="宋体"/>
          <w:kern w:val="0"/>
          <w:sz w:val="21"/>
          <w:szCs w:val="21"/>
          <w:lang w:val="zh-CN"/>
        </w:rPr>
        <w:t>招标内容</w:t>
      </w:r>
      <w:r>
        <w:rPr>
          <w:rFonts w:hint="eastAsia" w:ascii="宋体" w:hAnsi="宋体" w:cs="宋体"/>
          <w:kern w:val="0"/>
          <w:sz w:val="21"/>
          <w:szCs w:val="21"/>
        </w:rPr>
        <w:t>”</w:t>
      </w:r>
      <w:r>
        <w:rPr>
          <w:rFonts w:hint="eastAsia" w:ascii="宋体" w:hAnsi="宋体" w:cs="宋体"/>
          <w:kern w:val="0"/>
          <w:sz w:val="21"/>
          <w:szCs w:val="21"/>
          <w:lang w:val="zh-CN"/>
        </w:rPr>
        <w:t>详见</w:t>
      </w:r>
      <w:r>
        <w:rPr>
          <w:rFonts w:hint="eastAsia" w:ascii="宋体" w:hAnsi="宋体" w:cs="宋体"/>
          <w:kern w:val="0"/>
          <w:sz w:val="21"/>
          <w:szCs w:val="21"/>
          <w:lang w:val="en-US" w:eastAsia="zh-CN"/>
        </w:rPr>
        <w:t>本采购要求</w:t>
      </w:r>
      <w:r>
        <w:rPr>
          <w:rFonts w:hint="eastAsia" w:ascii="宋体" w:hAnsi="宋体" w:cs="宋体"/>
          <w:kern w:val="0"/>
          <w:sz w:val="21"/>
          <w:szCs w:val="21"/>
          <w:lang w:val="zh-CN"/>
        </w:rPr>
        <w:t>。</w:t>
      </w:r>
    </w:p>
    <w:p w14:paraId="2DC7DA1B">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2.4</w:t>
      </w:r>
      <w:r>
        <w:rPr>
          <w:rFonts w:hint="eastAsia" w:ascii="宋体" w:hAnsi="宋体" w:cs="宋体"/>
          <w:kern w:val="0"/>
          <w:sz w:val="21"/>
          <w:szCs w:val="21"/>
        </w:rPr>
        <w:t>“</w:t>
      </w:r>
      <w:r>
        <w:rPr>
          <w:rFonts w:hint="eastAsia" w:ascii="宋体" w:hAnsi="宋体" w:cs="宋体"/>
          <w:kern w:val="0"/>
          <w:sz w:val="21"/>
          <w:szCs w:val="21"/>
          <w:lang w:val="zh-CN"/>
        </w:rPr>
        <w:t>潜在投标人</w:t>
      </w:r>
      <w:r>
        <w:rPr>
          <w:rFonts w:hint="eastAsia" w:ascii="宋体" w:hAnsi="宋体" w:cs="宋体"/>
          <w:kern w:val="0"/>
          <w:sz w:val="21"/>
          <w:szCs w:val="21"/>
        </w:rPr>
        <w:t>”</w:t>
      </w:r>
      <w:r>
        <w:rPr>
          <w:rFonts w:hint="eastAsia" w:ascii="宋体" w:hAnsi="宋体" w:cs="宋体"/>
          <w:kern w:val="0"/>
          <w:sz w:val="21"/>
          <w:szCs w:val="21"/>
          <w:lang w:val="zh-CN"/>
        </w:rPr>
        <w:t>指确认参加投标的供应商。</w:t>
      </w:r>
    </w:p>
    <w:p w14:paraId="3FA5CC7B">
      <w:pPr>
        <w:tabs>
          <w:tab w:val="left" w:pos="709"/>
        </w:tabs>
        <w:autoSpaceDE w:val="0"/>
        <w:autoSpaceDN w:val="0"/>
        <w:adjustRightInd w:val="0"/>
        <w:spacing w:line="360" w:lineRule="auto"/>
        <w:ind w:firstLine="470"/>
        <w:rPr>
          <w:rFonts w:ascii="宋体" w:hAnsi="宋体" w:cs="宋体"/>
          <w:kern w:val="0"/>
          <w:sz w:val="21"/>
          <w:szCs w:val="21"/>
          <w:lang w:val="zh-CN"/>
        </w:rPr>
      </w:pPr>
      <w:r>
        <w:rPr>
          <w:rFonts w:hint="eastAsia" w:ascii="宋体" w:hAnsi="宋体" w:cs="宋体"/>
          <w:kern w:val="0"/>
          <w:sz w:val="21"/>
          <w:szCs w:val="21"/>
          <w:lang w:val="zh-CN"/>
        </w:rPr>
        <w:t>2.5</w:t>
      </w:r>
      <w:r>
        <w:rPr>
          <w:rFonts w:hint="eastAsia" w:ascii="宋体" w:hAnsi="宋体" w:cs="宋体"/>
          <w:kern w:val="0"/>
          <w:sz w:val="21"/>
          <w:szCs w:val="21"/>
        </w:rPr>
        <w:t>“</w:t>
      </w:r>
      <w:r>
        <w:rPr>
          <w:rFonts w:hint="eastAsia" w:ascii="宋体" w:hAnsi="宋体" w:cs="宋体"/>
          <w:kern w:val="0"/>
          <w:sz w:val="21"/>
          <w:szCs w:val="21"/>
          <w:lang w:val="zh-CN"/>
        </w:rPr>
        <w:t>投标人</w:t>
      </w:r>
      <w:r>
        <w:rPr>
          <w:rFonts w:hint="eastAsia" w:ascii="宋体" w:hAnsi="宋体" w:cs="宋体"/>
          <w:kern w:val="0"/>
          <w:sz w:val="21"/>
          <w:szCs w:val="21"/>
        </w:rPr>
        <w:t>”</w:t>
      </w:r>
      <w:r>
        <w:rPr>
          <w:rFonts w:hint="eastAsia" w:ascii="宋体" w:hAnsi="宋体" w:cs="宋体"/>
          <w:kern w:val="0"/>
          <w:sz w:val="21"/>
          <w:szCs w:val="21"/>
          <w:lang w:val="zh-CN"/>
        </w:rPr>
        <w:t>指响应本招标文件参加投标的供应商。</w:t>
      </w:r>
    </w:p>
    <w:p w14:paraId="21910697">
      <w:pPr>
        <w:autoSpaceDE w:val="0"/>
        <w:autoSpaceDN w:val="0"/>
        <w:adjustRightInd w:val="0"/>
        <w:spacing w:line="360" w:lineRule="auto"/>
        <w:ind w:firstLine="482"/>
        <w:rPr>
          <w:rFonts w:ascii="宋体" w:hAnsi="宋体" w:cs="宋体"/>
          <w:bCs/>
          <w:sz w:val="21"/>
          <w:szCs w:val="21"/>
          <w:lang w:val="zh-CN"/>
        </w:rPr>
      </w:pPr>
      <w:r>
        <w:rPr>
          <w:rFonts w:hint="eastAsia" w:ascii="宋体" w:hAnsi="宋体" w:cs="宋体"/>
          <w:b/>
          <w:sz w:val="21"/>
          <w:szCs w:val="21"/>
          <w:lang w:val="zh-CN"/>
        </w:rPr>
        <w:t>3．合格投标人资格条件要求：</w:t>
      </w:r>
    </w:p>
    <w:p w14:paraId="7F6ACE2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58776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2.在中华人民共和国境内注册，能够独立承担民事责任的法人或其他组织形式，具有有效的营业执照；</w:t>
      </w:r>
    </w:p>
    <w:p w14:paraId="6221137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w:t>
      </w:r>
      <w:r>
        <w:rPr>
          <w:rFonts w:hint="eastAsia"/>
          <w:sz w:val="21"/>
          <w:szCs w:val="21"/>
          <w:lang w:val="zh-CN" w:eastAsia="zh-CN"/>
        </w:rPr>
        <w:t>3.财务要求：近一年（</w:t>
      </w:r>
      <w:r>
        <w:rPr>
          <w:rFonts w:hint="eastAsia"/>
          <w:sz w:val="21"/>
          <w:szCs w:val="21"/>
          <w:lang w:val="en-US" w:eastAsia="zh-CN"/>
        </w:rPr>
        <w:t>2022</w:t>
      </w:r>
      <w:r>
        <w:rPr>
          <w:rFonts w:hint="eastAsia"/>
          <w:sz w:val="21"/>
          <w:szCs w:val="21"/>
          <w:lang w:val="zh-CN" w:eastAsia="zh-CN"/>
        </w:rPr>
        <w:t>年）财务审计报告或财务报表。20</w:t>
      </w:r>
      <w:r>
        <w:rPr>
          <w:rFonts w:hint="eastAsia"/>
          <w:sz w:val="21"/>
          <w:szCs w:val="21"/>
          <w:lang w:val="en-US" w:eastAsia="zh-CN"/>
        </w:rPr>
        <w:t>23</w:t>
      </w:r>
      <w:r>
        <w:rPr>
          <w:rFonts w:hint="eastAsia"/>
          <w:sz w:val="21"/>
          <w:szCs w:val="21"/>
          <w:lang w:val="zh-CN" w:eastAsia="zh-CN"/>
        </w:rPr>
        <w:t>年1月1日之后成立企业提供财务状况良好承诺书；</w:t>
      </w:r>
    </w:p>
    <w:p w14:paraId="6967256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3.4</w:t>
      </w:r>
      <w:r>
        <w:rPr>
          <w:rFonts w:hint="eastAsia"/>
          <w:sz w:val="21"/>
          <w:szCs w:val="21"/>
          <w:lang w:val="zh-CN" w:eastAsia="zh-CN"/>
        </w:rPr>
        <w:t>.信誉要求：拒绝列入政府取消投标资格记录期间的企业或个人投标。</w:t>
      </w:r>
    </w:p>
    <w:p w14:paraId="5537B32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sz w:val="21"/>
          <w:szCs w:val="21"/>
          <w:lang w:val="zh-CN" w:eastAsia="zh-CN"/>
        </w:rPr>
      </w:pPr>
      <w:r>
        <w:rPr>
          <w:rFonts w:hint="eastAsia"/>
          <w:sz w:val="21"/>
          <w:szCs w:val="21"/>
          <w:lang w:val="en-US" w:eastAsia="zh-CN"/>
        </w:rPr>
        <w:t>3.5</w:t>
      </w:r>
      <w:r>
        <w:rPr>
          <w:rFonts w:hint="eastAsia"/>
          <w:sz w:val="21"/>
          <w:szCs w:val="21"/>
          <w:lang w:val="zh-CN" w:eastAsia="zh-CN"/>
        </w:rPr>
        <w:t>.与招标人存在利害关系可能影响招标公正性的法人、其他组织或者个人，不得参加投标。具有投资参股关系的关联企业，或具有直接管理和被管理关系的母子公司，或同一母公司的子公司，或法定代表人为同一人的两个及两个以上法人不得同时对同一标段投标，否则均按废标处理。</w:t>
      </w:r>
    </w:p>
    <w:p w14:paraId="1C9D081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zh-CN" w:eastAsia="zh-CN"/>
        </w:rPr>
      </w:pPr>
      <w:r>
        <w:rPr>
          <w:rFonts w:hint="eastAsia"/>
          <w:sz w:val="21"/>
          <w:szCs w:val="21"/>
          <w:lang w:val="en-US" w:eastAsia="zh-CN"/>
        </w:rPr>
        <w:t>3.6</w:t>
      </w:r>
      <w:r>
        <w:rPr>
          <w:rFonts w:hint="eastAsia"/>
          <w:sz w:val="21"/>
          <w:szCs w:val="21"/>
          <w:lang w:val="zh-CN" w:eastAsia="zh-CN"/>
        </w:rPr>
        <w:t>.参加政府采购活动前3年内在经营活动中没有重大违法记录（或者在参加政府采购活动前3年内因违法经营被禁止在一定期限内参加政府采购活动，期限已届满）。</w:t>
      </w:r>
      <w:r>
        <w:rPr>
          <w:rFonts w:hint="eastAsia" w:ascii="Times New Roman" w:hAnsi="Times New Roman" w:eastAsia="宋体" w:cs="Times New Roman"/>
          <w:sz w:val="21"/>
          <w:szCs w:val="21"/>
          <w:lang w:val="zh-CN" w:eastAsia="zh-CN"/>
        </w:rPr>
        <w:t>对列入失信被执行人、重大税收违法案件当事人名单、政府招标严重违法失信行为记录名单及其他不符合《中华人民共和国政府采购法》第二十二条规定条件的投标单位，拒绝其参与政府招标活动。</w:t>
      </w:r>
    </w:p>
    <w:p w14:paraId="66BCD88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en-US" w:eastAsia="zh-CN"/>
        </w:rPr>
      </w:pPr>
    </w:p>
    <w:p w14:paraId="1F023DD8">
      <w:pPr>
        <w:autoSpaceDE w:val="0"/>
        <w:autoSpaceDN w:val="0"/>
        <w:adjustRightInd w:val="0"/>
        <w:spacing w:line="360" w:lineRule="auto"/>
        <w:ind w:firstLine="482"/>
        <w:rPr>
          <w:rFonts w:hint="eastAsia" w:ascii="宋体" w:hAnsi="宋体" w:cs="宋体"/>
          <w:b/>
          <w:kern w:val="0"/>
          <w:sz w:val="21"/>
          <w:szCs w:val="21"/>
          <w:lang w:val="zh-CN"/>
        </w:rPr>
      </w:pPr>
      <w:r>
        <w:rPr>
          <w:rFonts w:hint="eastAsia" w:ascii="宋体" w:hAnsi="宋体" w:cs="宋体"/>
          <w:b/>
          <w:kern w:val="0"/>
          <w:sz w:val="21"/>
          <w:szCs w:val="21"/>
          <w:lang w:val="zh-CN"/>
        </w:rPr>
        <w:t>4．项目答疑会和踏勘现场</w:t>
      </w:r>
    </w:p>
    <w:p w14:paraId="20F7DEC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both"/>
        <w:textAlignment w:val="auto"/>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不</w:t>
      </w:r>
      <w:r>
        <w:rPr>
          <w:rFonts w:hint="eastAsia" w:ascii="Times New Roman" w:hAnsi="Times New Roman" w:eastAsia="宋体" w:cs="Times New Roman"/>
          <w:sz w:val="21"/>
          <w:szCs w:val="21"/>
          <w:lang w:val="zh-CN" w:eastAsia="zh-CN"/>
        </w:rPr>
        <w:t>召开</w:t>
      </w:r>
      <w:r>
        <w:rPr>
          <w:rFonts w:hint="eastAsia" w:ascii="Times New Roman" w:hAnsi="Times New Roman" w:eastAsia="宋体" w:cs="Times New Roman"/>
          <w:sz w:val="21"/>
          <w:szCs w:val="21"/>
          <w:lang w:val="en-US" w:eastAsia="zh-CN"/>
        </w:rPr>
        <w:t>不</w:t>
      </w:r>
      <w:r>
        <w:rPr>
          <w:rFonts w:hint="eastAsia" w:ascii="Times New Roman" w:hAnsi="Times New Roman" w:eastAsia="宋体" w:cs="Times New Roman"/>
          <w:sz w:val="21"/>
          <w:szCs w:val="21"/>
          <w:lang w:val="zh-CN" w:eastAsia="zh-CN"/>
        </w:rPr>
        <w:t>组织</w:t>
      </w:r>
    </w:p>
    <w:p w14:paraId="27B9EEF0">
      <w:pPr>
        <w:numPr>
          <w:ilvl w:val="0"/>
          <w:numId w:val="3"/>
        </w:numPr>
        <w:autoSpaceDE w:val="0"/>
        <w:autoSpaceDN w:val="0"/>
        <w:adjustRightInd w:val="0"/>
        <w:spacing w:line="360" w:lineRule="auto"/>
        <w:ind w:firstLine="482"/>
        <w:rPr>
          <w:rFonts w:hint="eastAsia" w:ascii="宋体" w:hAnsi="宋体" w:cs="宋体"/>
          <w:b/>
          <w:sz w:val="21"/>
          <w:szCs w:val="21"/>
          <w:lang w:val="zh-CN"/>
        </w:rPr>
      </w:pPr>
      <w:r>
        <w:rPr>
          <w:rFonts w:hint="eastAsia" w:ascii="宋体" w:hAnsi="宋体" w:cs="宋体"/>
          <w:b/>
          <w:sz w:val="21"/>
          <w:szCs w:val="21"/>
          <w:lang w:val="zh-CN"/>
        </w:rPr>
        <w:t>投标费用</w:t>
      </w:r>
    </w:p>
    <w:p w14:paraId="5BCF3BC4">
      <w:pPr>
        <w:numPr>
          <w:ilvl w:val="0"/>
          <w:numId w:val="0"/>
        </w:num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投标人应自行承担所有与编写和提交投标文件有关的费用，无论投标的结果如何，采购人在任何情况下均无义务和责任承担这些费用。</w:t>
      </w:r>
    </w:p>
    <w:p w14:paraId="020661EA">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6. 招标文件</w:t>
      </w:r>
    </w:p>
    <w:p w14:paraId="6EF921F3">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6.1 招标文件的构成：</w:t>
      </w:r>
    </w:p>
    <w:p w14:paraId="5A38E106">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第一章 招标公告</w:t>
      </w:r>
    </w:p>
    <w:p w14:paraId="68E539EA">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第二章 投标人须知前附表</w:t>
      </w:r>
    </w:p>
    <w:p w14:paraId="22D67AB0">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第三章 评标办法</w:t>
      </w:r>
    </w:p>
    <w:p w14:paraId="433D349A">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第四章 合同条款</w:t>
      </w:r>
      <w:r>
        <w:rPr>
          <w:rFonts w:hint="eastAsia" w:ascii="宋体" w:hAnsi="宋体" w:cs="宋体"/>
          <w:sz w:val="21"/>
          <w:szCs w:val="21"/>
          <w:lang w:val="en-US" w:eastAsia="zh-CN"/>
        </w:rPr>
        <w:t>及</w:t>
      </w:r>
      <w:r>
        <w:rPr>
          <w:rFonts w:hint="eastAsia" w:ascii="宋体" w:hAnsi="宋体" w:cs="宋体"/>
          <w:sz w:val="21"/>
          <w:szCs w:val="21"/>
          <w:lang w:val="zh-CN"/>
        </w:rPr>
        <w:t>格式</w:t>
      </w:r>
    </w:p>
    <w:p w14:paraId="5D5995C2">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w:t>
      </w:r>
      <w:r>
        <w:rPr>
          <w:rFonts w:hint="eastAsia" w:ascii="宋体" w:hAnsi="宋体" w:cs="宋体"/>
          <w:sz w:val="21"/>
          <w:szCs w:val="21"/>
          <w:lang w:val="en-US" w:eastAsia="zh-CN"/>
        </w:rPr>
        <w:t>五</w:t>
      </w:r>
      <w:r>
        <w:rPr>
          <w:rFonts w:hint="eastAsia" w:ascii="宋体" w:hAnsi="宋体" w:cs="宋体"/>
          <w:sz w:val="21"/>
          <w:szCs w:val="21"/>
          <w:lang w:val="zh-CN"/>
        </w:rPr>
        <w:t xml:space="preserve">章 </w:t>
      </w:r>
      <w:r>
        <w:rPr>
          <w:rFonts w:hint="eastAsia" w:ascii="宋体" w:hAnsi="宋体" w:cs="宋体"/>
          <w:sz w:val="21"/>
          <w:szCs w:val="21"/>
          <w:lang w:val="en-US" w:eastAsia="zh-CN"/>
        </w:rPr>
        <w:t>采购</w:t>
      </w:r>
      <w:r>
        <w:rPr>
          <w:rFonts w:hint="eastAsia" w:ascii="宋体" w:hAnsi="宋体" w:cs="宋体"/>
          <w:sz w:val="21"/>
          <w:szCs w:val="21"/>
          <w:lang w:val="zh-CN"/>
        </w:rPr>
        <w:t>要求</w:t>
      </w:r>
    </w:p>
    <w:p w14:paraId="333E3A72">
      <w:pPr>
        <w:autoSpaceDE w:val="0"/>
        <w:autoSpaceDN w:val="0"/>
        <w:adjustRightInd w:val="0"/>
        <w:spacing w:line="360" w:lineRule="auto"/>
        <w:ind w:firstLine="720"/>
        <w:rPr>
          <w:rFonts w:ascii="宋体" w:hAnsi="宋体" w:cs="宋体"/>
          <w:sz w:val="21"/>
          <w:szCs w:val="21"/>
          <w:lang w:val="zh-CN"/>
        </w:rPr>
      </w:pPr>
      <w:r>
        <w:rPr>
          <w:rFonts w:hint="eastAsia" w:ascii="宋体" w:hAnsi="宋体" w:cs="宋体"/>
          <w:sz w:val="21"/>
          <w:szCs w:val="21"/>
          <w:lang w:val="zh-CN"/>
        </w:rPr>
        <w:t>第六章 投标文件格式</w:t>
      </w:r>
    </w:p>
    <w:p w14:paraId="562658FA">
      <w:pPr>
        <w:autoSpaceDE w:val="0"/>
        <w:autoSpaceDN w:val="0"/>
        <w:adjustRightInd w:val="0"/>
        <w:spacing w:line="360" w:lineRule="auto"/>
        <w:ind w:firstLine="480"/>
        <w:rPr>
          <w:rFonts w:ascii="宋体" w:hAnsi="宋体" w:cs="宋体"/>
          <w:b/>
          <w:sz w:val="21"/>
          <w:szCs w:val="21"/>
          <w:lang w:val="zh-CN"/>
        </w:rPr>
      </w:pPr>
      <w:r>
        <w:rPr>
          <w:rFonts w:hint="eastAsia" w:ascii="宋体" w:hAnsi="宋体" w:cs="宋体"/>
          <w:sz w:val="21"/>
          <w:szCs w:val="21"/>
          <w:lang w:val="zh-CN"/>
        </w:rPr>
        <w:t>6.2</w:t>
      </w:r>
      <w:r>
        <w:rPr>
          <w:rFonts w:hint="eastAsia" w:ascii="宋体" w:hAnsi="宋体" w:cs="宋体"/>
          <w:sz w:val="21"/>
          <w:szCs w:val="21"/>
        </w:rPr>
        <w:t xml:space="preserve"> </w:t>
      </w:r>
      <w:r>
        <w:rPr>
          <w:rFonts w:hint="eastAsia" w:ascii="宋体" w:hAnsi="宋体" w:cs="宋体"/>
          <w:sz w:val="21"/>
          <w:szCs w:val="21"/>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13F8371E">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7. 招标文件的澄清和修改</w:t>
      </w:r>
    </w:p>
    <w:p w14:paraId="27124B85">
      <w:pPr>
        <w:autoSpaceDE w:val="0"/>
        <w:autoSpaceDN w:val="0"/>
        <w:adjustRightInd w:val="0"/>
        <w:spacing w:line="480" w:lineRule="exact"/>
        <w:ind w:firstLine="420" w:firstLineChars="200"/>
        <w:jc w:val="left"/>
        <w:rPr>
          <w:rFonts w:ascii="宋体" w:hAnsi="宋体" w:cs="宋体"/>
          <w:sz w:val="21"/>
          <w:szCs w:val="21"/>
          <w:lang w:val="zh-CN"/>
        </w:rPr>
      </w:pPr>
      <w:r>
        <w:rPr>
          <w:rFonts w:hint="eastAsia" w:ascii="宋体" w:hAnsi="宋体" w:cs="宋体"/>
          <w:sz w:val="21"/>
          <w:szCs w:val="21"/>
          <w:lang w:val="zh-CN"/>
        </w:rPr>
        <w:t>7.1</w:t>
      </w:r>
      <w:r>
        <w:rPr>
          <w:rFonts w:hint="eastAsia" w:ascii="宋体" w:hAnsi="宋体" w:cs="宋体"/>
          <w:sz w:val="21"/>
          <w:szCs w:val="21"/>
        </w:rPr>
        <w:t xml:space="preserve"> </w:t>
      </w:r>
      <w:r>
        <w:rPr>
          <w:rFonts w:hint="eastAsia" w:ascii="宋体" w:hAnsi="宋体" w:cs="宋体"/>
          <w:color w:val="000000"/>
          <w:sz w:val="21"/>
          <w:szCs w:val="21"/>
        </w:rPr>
        <w:t>任何要求对招标文件进行澄清的投标人，均应在</w:t>
      </w:r>
      <w:r>
        <w:rPr>
          <w:rFonts w:hint="eastAsia" w:ascii="宋体" w:cs="宋体"/>
          <w:bCs/>
          <w:sz w:val="21"/>
          <w:szCs w:val="21"/>
          <w:lang w:val="zh-CN"/>
        </w:rPr>
        <w:t>投标截止时间前1</w:t>
      </w:r>
      <w:r>
        <w:rPr>
          <w:rFonts w:hint="eastAsia" w:ascii="宋体" w:cs="宋体"/>
          <w:bCs/>
          <w:sz w:val="21"/>
          <w:szCs w:val="21"/>
        </w:rPr>
        <w:t>5</w:t>
      </w:r>
      <w:r>
        <w:rPr>
          <w:rFonts w:hint="eastAsia" w:ascii="宋体" w:cs="宋体"/>
          <w:bCs/>
          <w:sz w:val="21"/>
          <w:szCs w:val="21"/>
          <w:lang w:val="zh-CN"/>
        </w:rPr>
        <w:t>天将</w:t>
      </w:r>
      <w:r>
        <w:rPr>
          <w:rFonts w:hint="eastAsia" w:ascii="宋体" w:hAnsi="宋体" w:cs="宋体"/>
          <w:color w:val="000000"/>
          <w:sz w:val="21"/>
          <w:szCs w:val="21"/>
        </w:rPr>
        <w:t>需要澄清的问题</w:t>
      </w:r>
      <w:r>
        <w:rPr>
          <w:rFonts w:hint="eastAsia" w:ascii="宋体" w:cs="宋体"/>
          <w:bCs/>
          <w:sz w:val="21"/>
          <w:szCs w:val="21"/>
          <w:lang w:val="zh-CN"/>
        </w:rPr>
        <w:t>以书面形式加盖公章递交至招标代理机构公司。同时将电子档疑问发至我公司</w:t>
      </w:r>
      <w:r>
        <w:rPr>
          <w:rFonts w:hint="eastAsia" w:ascii="宋体" w:cs="宋体"/>
          <w:bCs/>
          <w:sz w:val="21"/>
          <w:szCs w:val="21"/>
          <w:lang w:val="en-US" w:eastAsia="zh-CN"/>
        </w:rPr>
        <w:t>邮箱</w:t>
      </w:r>
      <w:r>
        <w:rPr>
          <w:rFonts w:hint="eastAsia" w:ascii="宋体" w:hAnsi="宋体" w:cs="宋体"/>
          <w:color w:val="000000"/>
          <w:sz w:val="21"/>
          <w:szCs w:val="21"/>
        </w:rPr>
        <w:t>，招标方对收到的澄清要求将视所提问题具体情况以书面形式予以答复</w:t>
      </w:r>
      <w:r>
        <w:rPr>
          <w:rFonts w:hint="eastAsia" w:ascii="宋体" w:hAnsi="宋体" w:cs="宋体"/>
          <w:sz w:val="21"/>
          <w:szCs w:val="21"/>
          <w:lang w:val="zh-CN"/>
        </w:rPr>
        <w:t>澄清</w:t>
      </w:r>
      <w:r>
        <w:rPr>
          <w:rFonts w:hint="eastAsia" w:ascii="宋体" w:hAnsi="宋体" w:cs="宋体"/>
          <w:color w:val="000000"/>
          <w:sz w:val="21"/>
          <w:szCs w:val="21"/>
        </w:rPr>
        <w:t>。投标人应立即以书面形式确认已收到的答复文件。答复中包括所提的问题，但不包括问题的来源。</w:t>
      </w:r>
      <w:r>
        <w:rPr>
          <w:rFonts w:hint="eastAsia" w:ascii="宋体" w:hAnsi="宋体" w:cs="宋体"/>
          <w:sz w:val="21"/>
          <w:szCs w:val="21"/>
          <w:lang w:val="zh-CN"/>
        </w:rPr>
        <w:t>采购人对收到的供应商书面质疑，将按照政府采购法律规章的规定处理。</w:t>
      </w:r>
    </w:p>
    <w:p w14:paraId="6046BE8E">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7.2 采购人可在投标截止时间</w:t>
      </w:r>
      <w:r>
        <w:rPr>
          <w:rFonts w:hint="eastAsia" w:ascii="宋体" w:hAnsi="宋体" w:cs="宋体"/>
          <w:sz w:val="21"/>
          <w:szCs w:val="21"/>
        </w:rPr>
        <w:t>1</w:t>
      </w:r>
      <w:r>
        <w:rPr>
          <w:rFonts w:hint="eastAsia" w:ascii="宋体" w:hAnsi="宋体" w:cs="宋体"/>
          <w:sz w:val="21"/>
          <w:szCs w:val="21"/>
          <w:lang w:val="zh-CN"/>
        </w:rPr>
        <w:t>5日前（含）对招标文件进行修改、补充。招标文件的修改、补充文件将</w:t>
      </w:r>
      <w:r>
        <w:rPr>
          <w:rFonts w:hint="eastAsia" w:ascii="宋体" w:hAnsi="宋体" w:cs="宋体"/>
          <w:color w:val="000000"/>
          <w:sz w:val="21"/>
          <w:szCs w:val="21"/>
          <w:lang w:val="zh-CN"/>
        </w:rPr>
        <w:t>以当面交接、传真或电子邮件的方式向</w:t>
      </w:r>
      <w:r>
        <w:rPr>
          <w:rFonts w:hint="eastAsia" w:ascii="宋体" w:hAnsi="宋体" w:cs="宋体"/>
          <w:sz w:val="21"/>
          <w:szCs w:val="21"/>
          <w:lang w:val="zh-CN"/>
        </w:rPr>
        <w:t>潜在</w:t>
      </w:r>
      <w:r>
        <w:rPr>
          <w:rFonts w:hint="eastAsia" w:ascii="宋体" w:hAnsi="宋体" w:cs="宋体"/>
          <w:color w:val="000000"/>
          <w:sz w:val="21"/>
          <w:szCs w:val="21"/>
          <w:lang w:val="zh-CN"/>
        </w:rPr>
        <w:t>投标人发出，</w:t>
      </w:r>
      <w:r>
        <w:rPr>
          <w:rFonts w:hint="eastAsia" w:ascii="宋体" w:hAnsi="宋体" w:cs="宋体"/>
          <w:sz w:val="21"/>
          <w:szCs w:val="21"/>
          <w:lang w:val="zh-CN"/>
        </w:rPr>
        <w:t>并在发布招标公告的媒体上公告。</w:t>
      </w:r>
    </w:p>
    <w:p w14:paraId="44D21343">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7.3 招标文件的澄清、修改、补充文件</w:t>
      </w:r>
      <w:r>
        <w:rPr>
          <w:rFonts w:hint="eastAsia" w:ascii="宋体" w:hAnsi="宋体" w:cs="宋体"/>
          <w:color w:val="000000"/>
          <w:sz w:val="21"/>
          <w:szCs w:val="21"/>
          <w:lang w:val="zh-CN"/>
        </w:rPr>
        <w:t>均构成招标文件的组成部分，对所有投标人具有约束力，而无论其是否已经实际收到该澄清、</w:t>
      </w:r>
      <w:r>
        <w:rPr>
          <w:rFonts w:hint="eastAsia" w:ascii="宋体" w:hAnsi="宋体" w:cs="宋体"/>
          <w:sz w:val="21"/>
          <w:szCs w:val="21"/>
          <w:lang w:val="zh-CN"/>
        </w:rPr>
        <w:t>修改、补充文件（包括答疑会纪要）</w:t>
      </w:r>
      <w:r>
        <w:rPr>
          <w:rFonts w:hint="eastAsia" w:ascii="宋体" w:hAnsi="宋体" w:cs="宋体"/>
          <w:color w:val="000000"/>
          <w:sz w:val="21"/>
          <w:szCs w:val="21"/>
          <w:lang w:val="zh-CN"/>
        </w:rPr>
        <w:t>。投标人若收到该澄清、修改、补充文件，则应立即以书面形式回复确认已收到。</w:t>
      </w:r>
    </w:p>
    <w:p w14:paraId="012098DB">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7.4 为使投标人有充分的时间对招标文件的澄清、修改、补充部分进行研究，招标代理机构可在投标截止时间3日前（含）自行决定酌情延长投标截止时间，延长投标截止时间的公告将在发布招标公告的媒体上发布，</w:t>
      </w:r>
      <w:r>
        <w:rPr>
          <w:rFonts w:hint="eastAsia" w:ascii="宋体" w:hAnsi="宋体" w:cs="宋体"/>
          <w:color w:val="000000"/>
          <w:sz w:val="21"/>
          <w:szCs w:val="21"/>
          <w:lang w:val="zh-CN"/>
        </w:rPr>
        <w:t>并以当面交接、传真或电子邮件的方式向所有</w:t>
      </w:r>
      <w:r>
        <w:rPr>
          <w:rFonts w:hint="eastAsia" w:ascii="宋体" w:hAnsi="宋体" w:cs="宋体"/>
          <w:sz w:val="21"/>
          <w:szCs w:val="21"/>
          <w:lang w:val="zh-CN"/>
        </w:rPr>
        <w:t>潜在</w:t>
      </w:r>
      <w:r>
        <w:rPr>
          <w:rFonts w:hint="eastAsia" w:ascii="宋体" w:hAnsi="宋体" w:cs="宋体"/>
          <w:color w:val="000000"/>
          <w:sz w:val="21"/>
          <w:szCs w:val="21"/>
          <w:lang w:val="zh-CN"/>
        </w:rPr>
        <w:t>投标人发出</w:t>
      </w:r>
      <w:r>
        <w:rPr>
          <w:rFonts w:hint="eastAsia" w:ascii="宋体" w:hAnsi="宋体" w:cs="宋体"/>
          <w:sz w:val="21"/>
          <w:szCs w:val="21"/>
          <w:lang w:val="zh-CN"/>
        </w:rPr>
        <w:t>。在这种情况下，采购人和投标人受投标截止时间制约的所有权利和义务均相应延长至新的投标截止时间。</w:t>
      </w:r>
    </w:p>
    <w:p w14:paraId="0D88ED72">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8. 投标文件构成</w:t>
      </w:r>
    </w:p>
    <w:p w14:paraId="5E01DDCA">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8.1</w:t>
      </w:r>
      <w:r>
        <w:rPr>
          <w:rFonts w:hint="eastAsia" w:ascii="宋体" w:hAnsi="宋体" w:cs="宋体"/>
          <w:kern w:val="0"/>
          <w:sz w:val="21"/>
          <w:szCs w:val="21"/>
        </w:rPr>
        <w:t xml:space="preserve"> </w:t>
      </w:r>
      <w:r>
        <w:rPr>
          <w:rFonts w:hint="eastAsia" w:ascii="宋体" w:hAnsi="宋体" w:cs="宋体"/>
          <w:kern w:val="0"/>
          <w:sz w:val="21"/>
          <w:szCs w:val="21"/>
          <w:lang w:val="zh-CN"/>
        </w:rPr>
        <w:t>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2BE93051">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8.2 投标人应提交本招标文件第七章</w:t>
      </w:r>
      <w:r>
        <w:rPr>
          <w:rFonts w:hint="eastAsia" w:ascii="宋体" w:hAnsi="宋体" w:cs="宋体"/>
          <w:sz w:val="21"/>
          <w:szCs w:val="21"/>
          <w:lang w:val="zh-CN"/>
        </w:rPr>
        <w:t>《投标文件格式》</w:t>
      </w:r>
      <w:r>
        <w:rPr>
          <w:rFonts w:hint="eastAsia" w:ascii="宋体" w:hAnsi="宋体" w:cs="宋体"/>
          <w:kern w:val="0"/>
          <w:sz w:val="21"/>
          <w:szCs w:val="21"/>
          <w:lang w:val="zh-CN"/>
        </w:rPr>
        <w:t>规定的全部商务文件和技术文件，若有缺失、无效或者不符合招标文件要求，将导致其投标被拒绝。</w:t>
      </w:r>
    </w:p>
    <w:p w14:paraId="7CD2419A">
      <w:pPr>
        <w:tabs>
          <w:tab w:val="left" w:pos="709"/>
        </w:tabs>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kern w:val="0"/>
          <w:sz w:val="21"/>
          <w:szCs w:val="21"/>
          <w:lang w:val="zh-CN"/>
        </w:rPr>
        <w:t>8.3 第二章《投标人须知》要求提交的投标保证金。</w:t>
      </w:r>
    </w:p>
    <w:p w14:paraId="15295D0B">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9. 投标文件的编制</w:t>
      </w:r>
    </w:p>
    <w:p w14:paraId="7570E06F">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 xml:space="preserve">9.1 投标语言：投标文件以及投标人与采购人就有关投标的来往函电均使用中文。 </w:t>
      </w:r>
    </w:p>
    <w:p w14:paraId="188E7D8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9.2 计量单位：中华人民共和国法定计量单位。</w:t>
      </w:r>
    </w:p>
    <w:p w14:paraId="1DE3E69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9.3 投标文件规格应采用A4幅面，打印，按照招标文件规定的顺序，统一编目编码装订。为便于评标，技术文件中的各项表格应按照招标文件第七章规定的格式制作。</w:t>
      </w:r>
    </w:p>
    <w:p w14:paraId="4962EFA2">
      <w:pPr>
        <w:tabs>
          <w:tab w:val="left" w:pos="709"/>
        </w:tabs>
        <w:autoSpaceDE w:val="0"/>
        <w:autoSpaceDN w:val="0"/>
        <w:adjustRightInd w:val="0"/>
        <w:spacing w:line="360" w:lineRule="auto"/>
        <w:ind w:firstLine="480"/>
        <w:rPr>
          <w:rFonts w:ascii="宋体" w:hAnsi="宋体" w:cs="宋体"/>
          <w:color w:val="000000"/>
          <w:kern w:val="0"/>
          <w:sz w:val="21"/>
          <w:szCs w:val="21"/>
          <w:lang w:val="zh-CN"/>
        </w:rPr>
      </w:pPr>
      <w:r>
        <w:rPr>
          <w:rFonts w:hint="eastAsia" w:ascii="宋体" w:hAnsi="宋体" w:cs="宋体"/>
          <w:kern w:val="0"/>
          <w:sz w:val="21"/>
          <w:szCs w:val="21"/>
          <w:lang w:val="zh-CN"/>
        </w:rPr>
        <w:t xml:space="preserve">9.4 </w:t>
      </w:r>
      <w:r>
        <w:rPr>
          <w:rFonts w:hint="eastAsia" w:ascii="宋体" w:hAnsi="宋体" w:cs="宋体"/>
          <w:color w:val="000000"/>
          <w:kern w:val="0"/>
          <w:sz w:val="21"/>
          <w:szCs w:val="21"/>
          <w:lang w:val="zh-CN"/>
        </w:rPr>
        <w:t>投标人在投标文件以及在投标、合同签订、履行过程中所签署的相关文件中所加盖的公章，均须按照招标文件的规定加盖与投标人名称全称相一致的标准公章。</w:t>
      </w:r>
    </w:p>
    <w:p w14:paraId="255327C5">
      <w:pPr>
        <w:tabs>
          <w:tab w:val="left" w:pos="709"/>
        </w:tabs>
        <w:autoSpaceDE w:val="0"/>
        <w:autoSpaceDN w:val="0"/>
        <w:adjustRightInd w:val="0"/>
        <w:spacing w:line="360" w:lineRule="auto"/>
        <w:ind w:firstLine="480"/>
        <w:rPr>
          <w:rFonts w:ascii="宋体" w:hAnsi="宋体" w:cs="宋体"/>
          <w:color w:val="000000"/>
          <w:kern w:val="0"/>
          <w:sz w:val="21"/>
          <w:szCs w:val="21"/>
          <w:lang w:val="zh-CN"/>
        </w:rPr>
      </w:pPr>
      <w:r>
        <w:rPr>
          <w:rFonts w:hint="eastAsia" w:ascii="宋体" w:hAnsi="宋体" w:cs="宋体"/>
          <w:color w:val="000000"/>
          <w:kern w:val="0"/>
          <w:sz w:val="21"/>
          <w:szCs w:val="21"/>
          <w:lang w:val="zh-CN"/>
        </w:rPr>
        <w:t>9.5 采购人不接受采用传真方式提交的投标文件。</w:t>
      </w:r>
    </w:p>
    <w:p w14:paraId="758F9B53">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10. 投标报价</w:t>
      </w:r>
    </w:p>
    <w:p w14:paraId="32680B5D">
      <w:pPr>
        <w:autoSpaceDE w:val="0"/>
        <w:autoSpaceDN w:val="0"/>
        <w:adjustRightInd w:val="0"/>
        <w:spacing w:line="360" w:lineRule="auto"/>
        <w:ind w:firstLine="480"/>
        <w:rPr>
          <w:rFonts w:ascii="宋体" w:hAnsi="宋体" w:cs="宋体"/>
          <w:sz w:val="21"/>
          <w:szCs w:val="21"/>
          <w:u w:val="none"/>
          <w:lang w:val="zh-CN"/>
        </w:rPr>
      </w:pPr>
      <w:r>
        <w:rPr>
          <w:rFonts w:hint="eastAsia" w:ascii="宋体" w:hAnsi="宋体" w:cs="宋体"/>
          <w:sz w:val="21"/>
          <w:szCs w:val="21"/>
          <w:lang w:val="zh-CN"/>
        </w:rPr>
        <w:t>10.1</w:t>
      </w:r>
      <w:r>
        <w:rPr>
          <w:rFonts w:hint="eastAsia" w:ascii="宋体" w:hAnsi="宋体" w:cs="宋体"/>
          <w:sz w:val="21"/>
          <w:szCs w:val="21"/>
          <w:u w:val="none"/>
        </w:rPr>
        <w:t xml:space="preserve"> </w:t>
      </w:r>
      <w:r>
        <w:rPr>
          <w:rFonts w:hint="eastAsia" w:ascii="宋体" w:hAnsi="宋体" w:cs="宋体"/>
          <w:sz w:val="21"/>
          <w:szCs w:val="21"/>
          <w:u w:val="none"/>
          <w:lang w:val="zh-CN"/>
        </w:rPr>
        <w:t>投标供应商的投标报价不得超过采购预算，超出预算的投标报价为废标。</w:t>
      </w:r>
    </w:p>
    <w:p w14:paraId="7DEBECCB">
      <w:pPr>
        <w:autoSpaceDE w:val="0"/>
        <w:autoSpaceDN w:val="0"/>
        <w:adjustRightInd w:val="0"/>
        <w:spacing w:line="360" w:lineRule="auto"/>
        <w:ind w:firstLine="480"/>
        <w:rPr>
          <w:rFonts w:ascii="宋体" w:hAnsi="宋体" w:cs="宋体"/>
          <w:sz w:val="21"/>
          <w:szCs w:val="21"/>
          <w:u w:val="none"/>
          <w:lang w:val="zh-CN"/>
        </w:rPr>
      </w:pPr>
      <w:r>
        <w:rPr>
          <w:rFonts w:hint="eastAsia" w:ascii="宋体" w:hAnsi="宋体" w:cs="宋体"/>
          <w:sz w:val="21"/>
          <w:szCs w:val="21"/>
          <w:u w:val="none"/>
          <w:lang w:val="zh-CN"/>
        </w:rPr>
        <w:t>投标货币：</w:t>
      </w:r>
      <w:r>
        <w:rPr>
          <w:rFonts w:hint="eastAsia" w:ascii="宋体" w:hAnsi="宋体" w:cs="宋体"/>
          <w:color w:val="000000"/>
          <w:sz w:val="21"/>
          <w:szCs w:val="21"/>
          <w:u w:val="none"/>
          <w:lang w:val="zh-CN"/>
        </w:rPr>
        <w:t>所有投标报价均以人民币元为计算单位。</w:t>
      </w:r>
    </w:p>
    <w:p w14:paraId="1E22C5E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10.2</w:t>
      </w:r>
      <w:r>
        <w:rPr>
          <w:rFonts w:hint="eastAsia" w:ascii="宋体" w:hAnsi="宋体" w:cs="宋体"/>
          <w:sz w:val="21"/>
          <w:szCs w:val="21"/>
        </w:rPr>
        <w:t xml:space="preserve"> </w:t>
      </w:r>
      <w:r>
        <w:rPr>
          <w:rFonts w:hint="eastAsia" w:ascii="宋体" w:hAnsi="宋体" w:cs="宋体"/>
          <w:sz w:val="21"/>
          <w:szCs w:val="21"/>
          <w:lang w:val="zh-CN"/>
        </w:rPr>
        <w:t>投标人应一次性报出投标货物的综合单价和总价，每种货物只允许有一个报价，任何有选择的报价将不予接受。投标人所报价格应为在本招标文件指定地点交货、验收合格并交付的全部价格。</w:t>
      </w:r>
    </w:p>
    <w:p w14:paraId="24BDB03B">
      <w:pPr>
        <w:autoSpaceDE w:val="0"/>
        <w:autoSpaceDN w:val="0"/>
        <w:adjustRightInd w:val="0"/>
        <w:spacing w:line="360" w:lineRule="auto"/>
        <w:ind w:firstLine="480"/>
        <w:rPr>
          <w:rFonts w:ascii="宋体" w:hAnsi="宋体" w:cs="宋体"/>
          <w:b w:val="0"/>
          <w:bCs w:val="0"/>
          <w:sz w:val="21"/>
          <w:szCs w:val="21"/>
          <w:lang w:val="zh-CN"/>
        </w:rPr>
      </w:pPr>
      <w:r>
        <w:rPr>
          <w:rFonts w:hint="eastAsia" w:ascii="宋体" w:hAnsi="宋体" w:cs="宋体"/>
          <w:b w:val="0"/>
          <w:bCs w:val="0"/>
          <w:sz w:val="21"/>
          <w:szCs w:val="21"/>
          <w:lang w:val="zh-CN"/>
        </w:rPr>
        <w:t>10.3</w:t>
      </w:r>
      <w:r>
        <w:rPr>
          <w:rFonts w:hint="eastAsia" w:ascii="宋体" w:hAnsi="宋体" w:cs="宋体"/>
          <w:b w:val="0"/>
          <w:bCs w:val="0"/>
          <w:sz w:val="21"/>
          <w:szCs w:val="21"/>
        </w:rPr>
        <w:t xml:space="preserve"> </w:t>
      </w:r>
      <w:r>
        <w:rPr>
          <w:rFonts w:hint="eastAsia" w:ascii="宋体" w:hAnsi="宋体" w:cs="宋体"/>
          <w:b w:val="0"/>
          <w:bCs w:val="0"/>
          <w:sz w:val="21"/>
          <w:szCs w:val="21"/>
          <w:lang w:val="zh-CN"/>
        </w:rPr>
        <w:t>投标人所报的价格在合同执行过程中是固定不变的，不得以任何理由予以变更。以可调整的价格提交的投标将作为非响应性投标予以拒绝。</w:t>
      </w:r>
    </w:p>
    <w:p w14:paraId="3076BCF6">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b w:val="0"/>
          <w:bCs w:val="0"/>
          <w:sz w:val="21"/>
          <w:szCs w:val="21"/>
          <w:lang w:val="zh-CN"/>
        </w:rPr>
        <w:t xml:space="preserve">10.4 </w:t>
      </w:r>
      <w:r>
        <w:rPr>
          <w:rFonts w:hint="eastAsia" w:ascii="宋体" w:hAnsi="宋体" w:cs="宋体"/>
          <w:b w:val="0"/>
          <w:bCs w:val="0"/>
          <w:color w:val="000000"/>
          <w:sz w:val="21"/>
          <w:szCs w:val="21"/>
          <w:lang w:val="zh-CN"/>
        </w:rPr>
        <w:t>最低报价不能作为中标的保证</w:t>
      </w:r>
      <w:r>
        <w:rPr>
          <w:rFonts w:hint="eastAsia" w:ascii="宋体" w:hAnsi="宋体" w:cs="宋体"/>
          <w:color w:val="000000"/>
          <w:sz w:val="21"/>
          <w:szCs w:val="21"/>
          <w:lang w:val="zh-CN"/>
        </w:rPr>
        <w:t>。</w:t>
      </w:r>
    </w:p>
    <w:p w14:paraId="0FCD5FDB">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11. 投标保证金</w:t>
      </w:r>
    </w:p>
    <w:p w14:paraId="7706FD1A">
      <w:pPr>
        <w:autoSpaceDE w:val="0"/>
        <w:autoSpaceDN w:val="0"/>
        <w:adjustRightInd w:val="0"/>
        <w:spacing w:line="360" w:lineRule="auto"/>
        <w:ind w:firstLine="480"/>
        <w:rPr>
          <w:rFonts w:ascii="宋体" w:hAnsi="宋体" w:cs="宋体"/>
          <w:bCs/>
          <w:sz w:val="21"/>
          <w:szCs w:val="21"/>
          <w:lang w:val="zh-CN"/>
        </w:rPr>
      </w:pPr>
      <w:r>
        <w:rPr>
          <w:rFonts w:hint="eastAsia" w:ascii="宋体" w:hAnsi="宋体" w:cs="宋体"/>
          <w:sz w:val="21"/>
          <w:szCs w:val="21"/>
          <w:lang w:val="zh-CN"/>
        </w:rPr>
        <w:t>11.1</w:t>
      </w:r>
      <w:r>
        <w:rPr>
          <w:rFonts w:hint="eastAsia" w:ascii="宋体" w:hAnsi="宋体" w:cs="宋体"/>
          <w:sz w:val="21"/>
          <w:szCs w:val="21"/>
        </w:rPr>
        <w:t xml:space="preserve"> </w:t>
      </w:r>
      <w:r>
        <w:rPr>
          <w:rFonts w:hint="eastAsia" w:ascii="宋体" w:hAnsi="宋体" w:cs="宋体"/>
          <w:sz w:val="21"/>
          <w:szCs w:val="21"/>
          <w:lang w:val="zh-CN"/>
        </w:rPr>
        <w:t>投标人须按照投标人须知前附表标明的采购机构帐户名称、开户银行和帐号，在投标保证金递交截止时间之前，将投标保证金从基本账户足额汇入指定帐户，并必须携带汇款银行出具的汇款（存款）凭证（进帐单复印件加盖投标人公章或财务章）参加开标会。</w:t>
      </w:r>
    </w:p>
    <w:p w14:paraId="438C2DE2">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11.2</w:t>
      </w:r>
      <w:r>
        <w:rPr>
          <w:rFonts w:hint="eastAsia" w:ascii="宋体" w:hAnsi="宋体" w:cs="宋体"/>
          <w:sz w:val="21"/>
          <w:szCs w:val="21"/>
        </w:rPr>
        <w:t xml:space="preserve"> </w:t>
      </w:r>
      <w:r>
        <w:rPr>
          <w:rFonts w:hint="eastAsia" w:ascii="宋体" w:hAnsi="宋体" w:cs="宋体"/>
          <w:sz w:val="21"/>
          <w:szCs w:val="21"/>
          <w:lang w:val="zh-CN"/>
        </w:rPr>
        <w:t>投标保证金是为了弥补采购人因投标人的违规行为而蒙受的损失。采购人在因投标人的违规行为而受到损害时，将不予退还投标人的投标保证金，并作为所受损害的补偿。</w:t>
      </w:r>
    </w:p>
    <w:p w14:paraId="03F82AB8">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11.3</w:t>
      </w:r>
      <w:r>
        <w:rPr>
          <w:rFonts w:hint="eastAsia" w:ascii="宋体" w:hAnsi="宋体" w:cs="宋体"/>
          <w:sz w:val="21"/>
          <w:szCs w:val="21"/>
        </w:rPr>
        <w:t xml:space="preserve"> </w:t>
      </w:r>
      <w:r>
        <w:rPr>
          <w:rFonts w:hint="eastAsia" w:ascii="宋体" w:hAnsi="宋体" w:cs="宋体"/>
          <w:sz w:val="21"/>
          <w:szCs w:val="21"/>
          <w:lang w:val="zh-CN"/>
        </w:rPr>
        <w:t>投标保证金是投标文件的一个组成部分。在开标时，凡没有按规定提交投标保证金的投标，将被视为非响应性投标予以拒绝。</w:t>
      </w:r>
    </w:p>
    <w:p w14:paraId="54DFC70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11.4</w:t>
      </w:r>
      <w:r>
        <w:rPr>
          <w:rFonts w:hint="eastAsia" w:ascii="宋体" w:hAnsi="宋体" w:cs="宋体"/>
          <w:sz w:val="21"/>
          <w:szCs w:val="21"/>
        </w:rPr>
        <w:t xml:space="preserve"> 对于未中标单位的投标保证金，除因处理异议、投诉等原因外，招标人在公示期结束后十日内返还。</w:t>
      </w:r>
    </w:p>
    <w:p w14:paraId="01F441C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11.5</w:t>
      </w:r>
      <w:r>
        <w:rPr>
          <w:rFonts w:hint="eastAsia" w:ascii="宋体" w:hAnsi="宋体" w:cs="宋体"/>
          <w:sz w:val="21"/>
          <w:szCs w:val="21"/>
        </w:rPr>
        <w:t xml:space="preserve"> 中标人的投标保证金，在中标人书面合同签订5日内退还投标保证金。</w:t>
      </w:r>
    </w:p>
    <w:p w14:paraId="1F34F57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11.6</w:t>
      </w:r>
      <w:r>
        <w:rPr>
          <w:rFonts w:hint="eastAsia" w:ascii="宋体" w:hAnsi="宋体" w:cs="宋体"/>
          <w:sz w:val="21"/>
          <w:szCs w:val="21"/>
        </w:rPr>
        <w:t xml:space="preserve"> </w:t>
      </w:r>
      <w:r>
        <w:rPr>
          <w:rFonts w:hint="eastAsia" w:ascii="宋体" w:hAnsi="宋体" w:cs="宋体"/>
          <w:sz w:val="21"/>
          <w:szCs w:val="21"/>
          <w:lang w:val="zh-CN"/>
        </w:rPr>
        <w:t>下列情况之一发生时，投标保证金将不予退还：</w:t>
      </w:r>
    </w:p>
    <w:p w14:paraId="2C82419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(1)投标人在规定的投标有效期内撤销或修改其投标文件；</w:t>
      </w:r>
    </w:p>
    <w:p w14:paraId="51673FE1">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(2)中标人在收到中标通知书后，无正当理由拒签合同协议书。</w:t>
      </w:r>
    </w:p>
    <w:p w14:paraId="783296C4">
      <w:pPr>
        <w:autoSpaceDE w:val="0"/>
        <w:autoSpaceDN w:val="0"/>
        <w:adjustRightInd w:val="0"/>
        <w:spacing w:line="360" w:lineRule="auto"/>
        <w:ind w:firstLine="420" w:firstLineChars="200"/>
        <w:rPr>
          <w:rFonts w:ascii="宋体" w:hAnsi="宋体" w:cs="宋体"/>
          <w:b/>
          <w:sz w:val="21"/>
          <w:szCs w:val="21"/>
          <w:lang w:val="zh-CN"/>
        </w:rPr>
      </w:pPr>
      <w:r>
        <w:rPr>
          <w:rFonts w:hint="eastAsia" w:ascii="宋体" w:hAnsi="宋体" w:cs="宋体"/>
          <w:sz w:val="21"/>
          <w:szCs w:val="21"/>
          <w:lang w:val="zh-CN"/>
        </w:rPr>
        <w:t>（3）招标文件规定不予退还投标保证金的其他情形。</w:t>
      </w:r>
    </w:p>
    <w:p w14:paraId="4D995DEC">
      <w:pPr>
        <w:autoSpaceDE w:val="0"/>
        <w:autoSpaceDN w:val="0"/>
        <w:adjustRightInd w:val="0"/>
        <w:spacing w:line="360" w:lineRule="auto"/>
        <w:ind w:firstLine="482"/>
        <w:jc w:val="left"/>
        <w:rPr>
          <w:rFonts w:ascii="宋体" w:hAnsi="宋体" w:cs="宋体"/>
          <w:b/>
          <w:sz w:val="21"/>
          <w:szCs w:val="21"/>
          <w:lang w:val="zh-CN"/>
        </w:rPr>
      </w:pPr>
      <w:r>
        <w:rPr>
          <w:rFonts w:hint="eastAsia" w:ascii="宋体" w:hAnsi="宋体" w:cs="宋体"/>
          <w:b/>
          <w:sz w:val="21"/>
          <w:szCs w:val="21"/>
          <w:lang w:val="zh-CN"/>
        </w:rPr>
        <w:t>12. 投标有效期</w:t>
      </w:r>
    </w:p>
    <w:p w14:paraId="6ACF2477">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color w:val="000000"/>
          <w:sz w:val="21"/>
          <w:szCs w:val="21"/>
          <w:lang w:val="zh-CN"/>
        </w:rPr>
        <w:t>12.1</w:t>
      </w:r>
      <w:r>
        <w:rPr>
          <w:rFonts w:hint="eastAsia" w:ascii="宋体" w:hAnsi="宋体" w:cs="宋体"/>
          <w:color w:val="000000"/>
          <w:sz w:val="21"/>
          <w:szCs w:val="21"/>
        </w:rPr>
        <w:t xml:space="preserve"> </w:t>
      </w:r>
      <w:r>
        <w:rPr>
          <w:rFonts w:hint="eastAsia" w:ascii="宋体" w:hAnsi="宋体" w:cs="宋体"/>
          <w:sz w:val="21"/>
          <w:szCs w:val="21"/>
          <w:lang w:val="zh-CN"/>
        </w:rPr>
        <w:t>投标有效期为自开标之时起90天。投标文件在这个规定期限内应保持有效。</w:t>
      </w:r>
    </w:p>
    <w:p w14:paraId="24B9C0A0">
      <w:pPr>
        <w:autoSpaceDE w:val="0"/>
        <w:autoSpaceDN w:val="0"/>
        <w:adjustRightInd w:val="0"/>
        <w:spacing w:line="360" w:lineRule="auto"/>
        <w:ind w:firstLine="480"/>
        <w:jc w:val="left"/>
        <w:rPr>
          <w:rFonts w:ascii="宋体" w:hAnsi="宋体" w:cs="宋体"/>
          <w:color w:val="000000"/>
          <w:sz w:val="21"/>
          <w:szCs w:val="21"/>
          <w:lang w:val="zh-CN"/>
        </w:rPr>
      </w:pPr>
      <w:r>
        <w:rPr>
          <w:rFonts w:hint="eastAsia" w:ascii="宋体" w:hAnsi="宋体" w:cs="宋体"/>
          <w:color w:val="000000"/>
          <w:sz w:val="21"/>
          <w:szCs w:val="21"/>
          <w:lang w:val="zh-CN"/>
        </w:rPr>
        <w:t>12.2</w:t>
      </w:r>
      <w:r>
        <w:rPr>
          <w:rFonts w:hint="eastAsia" w:ascii="宋体" w:hAnsi="宋体" w:cs="宋体"/>
          <w:color w:val="000000"/>
          <w:sz w:val="21"/>
          <w:szCs w:val="21"/>
        </w:rPr>
        <w:t xml:space="preserve"> </w:t>
      </w:r>
      <w:r>
        <w:rPr>
          <w:rFonts w:hint="eastAsia" w:ascii="宋体" w:hAnsi="宋体" w:cs="宋体"/>
          <w:color w:val="000000"/>
          <w:sz w:val="21"/>
          <w:szCs w:val="21"/>
          <w:lang w:val="zh-CN"/>
        </w:rPr>
        <w:t>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3FCF9874">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color w:val="000000"/>
          <w:sz w:val="21"/>
          <w:szCs w:val="21"/>
          <w:lang w:val="zh-CN"/>
        </w:rPr>
        <w:t>12.3</w:t>
      </w:r>
      <w:r>
        <w:rPr>
          <w:rFonts w:hint="eastAsia" w:ascii="宋体" w:hAnsi="宋体" w:cs="宋体"/>
          <w:color w:val="000000"/>
          <w:sz w:val="21"/>
          <w:szCs w:val="21"/>
        </w:rPr>
        <w:t xml:space="preserve"> </w:t>
      </w:r>
      <w:r>
        <w:rPr>
          <w:rFonts w:hint="eastAsia" w:ascii="宋体" w:hAnsi="宋体" w:cs="宋体"/>
          <w:color w:val="000000"/>
          <w:sz w:val="21"/>
          <w:szCs w:val="21"/>
          <w:lang w:val="zh-CN"/>
        </w:rPr>
        <w:t>中标人的投标文件有效期等同于合同履行期。</w:t>
      </w:r>
    </w:p>
    <w:p w14:paraId="14B27490">
      <w:pPr>
        <w:autoSpaceDE w:val="0"/>
        <w:autoSpaceDN w:val="0"/>
        <w:adjustRightInd w:val="0"/>
        <w:spacing w:line="360" w:lineRule="auto"/>
        <w:ind w:firstLine="482"/>
        <w:jc w:val="left"/>
        <w:rPr>
          <w:rFonts w:ascii="宋体" w:hAnsi="宋体" w:cs="宋体"/>
          <w:b/>
          <w:sz w:val="21"/>
          <w:szCs w:val="21"/>
          <w:lang w:val="zh-CN"/>
        </w:rPr>
      </w:pPr>
      <w:r>
        <w:rPr>
          <w:rFonts w:hint="eastAsia" w:ascii="宋体" w:hAnsi="宋体" w:cs="宋体"/>
          <w:b/>
          <w:sz w:val="21"/>
          <w:szCs w:val="21"/>
          <w:lang w:val="zh-CN"/>
        </w:rPr>
        <w:t>13. 投标文件的式样和签署</w:t>
      </w:r>
    </w:p>
    <w:p w14:paraId="3C5EEB1F">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sz w:val="21"/>
          <w:szCs w:val="21"/>
          <w:lang w:val="zh-CN"/>
        </w:rPr>
        <w:t>13.1</w:t>
      </w:r>
      <w:r>
        <w:rPr>
          <w:rFonts w:hint="eastAsia" w:ascii="宋体" w:hAnsi="宋体" w:cs="宋体"/>
          <w:sz w:val="21"/>
          <w:szCs w:val="21"/>
        </w:rPr>
        <w:t xml:space="preserve"> </w:t>
      </w:r>
      <w:r>
        <w:rPr>
          <w:rFonts w:hint="eastAsia" w:ascii="宋体" w:hAnsi="宋体" w:cs="宋体"/>
          <w:sz w:val="21"/>
          <w:szCs w:val="21"/>
          <w:lang w:val="zh-CN"/>
        </w:rPr>
        <w:t>投标文件需打印或用不褪色墨水书写。第七章《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w:t>
      </w:r>
    </w:p>
    <w:p w14:paraId="0D5DFC80">
      <w:pPr>
        <w:autoSpaceDE w:val="0"/>
        <w:autoSpaceDN w:val="0"/>
        <w:adjustRightInd w:val="0"/>
        <w:spacing w:line="360" w:lineRule="auto"/>
        <w:ind w:firstLine="480"/>
        <w:jc w:val="left"/>
        <w:rPr>
          <w:rFonts w:ascii="宋体" w:hAnsi="宋体" w:cs="宋体"/>
          <w:sz w:val="21"/>
          <w:szCs w:val="21"/>
          <w:lang w:val="zh-CN"/>
        </w:rPr>
      </w:pPr>
      <w:r>
        <w:rPr>
          <w:rFonts w:hint="eastAsia" w:ascii="宋体" w:hAnsi="宋体" w:cs="宋体"/>
          <w:sz w:val="21"/>
          <w:szCs w:val="21"/>
          <w:lang w:val="zh-CN"/>
        </w:rPr>
        <w:t>13.2 投标文件中如有修改错漏处，应在修改处加盖投标人公章。</w:t>
      </w:r>
    </w:p>
    <w:p w14:paraId="793F2326">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14. 投标文件的修改和撤回</w:t>
      </w:r>
    </w:p>
    <w:p w14:paraId="606244C8">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14.1</w:t>
      </w:r>
      <w:r>
        <w:rPr>
          <w:rFonts w:hint="eastAsia" w:ascii="宋体" w:hAnsi="宋体" w:cs="宋体"/>
          <w:sz w:val="21"/>
          <w:szCs w:val="21"/>
        </w:rPr>
        <w:t xml:space="preserve"> </w:t>
      </w:r>
      <w:r>
        <w:rPr>
          <w:rFonts w:hint="eastAsia" w:ascii="宋体" w:hAnsi="宋体" w:cs="宋体"/>
          <w:sz w:val="21"/>
          <w:szCs w:val="21"/>
          <w:lang w:val="zh-CN"/>
        </w:rPr>
        <w:t>投标人在递交投标文件后，可以修改或撤回其投标文件，但采购人必须在规定的投标截止时间之前收到投标人的修改或撤回的书面通知。</w:t>
      </w:r>
    </w:p>
    <w:p w14:paraId="3FD1023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14.2</w:t>
      </w:r>
      <w:r>
        <w:rPr>
          <w:rFonts w:hint="eastAsia" w:ascii="宋体" w:hAnsi="宋体" w:cs="宋体"/>
          <w:sz w:val="21"/>
          <w:szCs w:val="21"/>
        </w:rPr>
        <w:t xml:space="preserve"> </w:t>
      </w:r>
      <w:r>
        <w:rPr>
          <w:rFonts w:hint="eastAsia" w:ascii="宋体" w:hAnsi="宋体" w:cs="宋体"/>
          <w:sz w:val="21"/>
          <w:szCs w:val="21"/>
          <w:lang w:val="zh-CN"/>
        </w:rPr>
        <w:t>投标人的修改或撤回通知书应按对投标文件的规定一样进行编制、密封、标记和递交，并标明</w:t>
      </w:r>
      <w:r>
        <w:rPr>
          <w:rFonts w:hint="eastAsia" w:ascii="宋体" w:hAnsi="宋体" w:cs="宋体"/>
          <w:sz w:val="21"/>
          <w:szCs w:val="21"/>
        </w:rPr>
        <w:t>“</w:t>
      </w:r>
      <w:r>
        <w:rPr>
          <w:rFonts w:hint="eastAsia" w:ascii="宋体" w:hAnsi="宋体" w:cs="宋体"/>
          <w:sz w:val="21"/>
          <w:szCs w:val="21"/>
          <w:lang w:val="zh-CN"/>
        </w:rPr>
        <w:t>修改</w:t>
      </w:r>
      <w:r>
        <w:rPr>
          <w:rFonts w:hint="eastAsia" w:ascii="宋体" w:hAnsi="宋体" w:cs="宋体"/>
          <w:sz w:val="21"/>
          <w:szCs w:val="21"/>
        </w:rPr>
        <w:t>”</w:t>
      </w:r>
      <w:r>
        <w:rPr>
          <w:rFonts w:hint="eastAsia" w:ascii="宋体" w:hAnsi="宋体" w:cs="宋体"/>
          <w:sz w:val="21"/>
          <w:szCs w:val="21"/>
          <w:lang w:val="zh-CN"/>
        </w:rPr>
        <w:t>或</w:t>
      </w:r>
      <w:r>
        <w:rPr>
          <w:rFonts w:hint="eastAsia" w:ascii="宋体" w:hAnsi="宋体" w:cs="宋体"/>
          <w:sz w:val="21"/>
          <w:szCs w:val="21"/>
        </w:rPr>
        <w:t>“</w:t>
      </w:r>
      <w:r>
        <w:rPr>
          <w:rFonts w:hint="eastAsia" w:ascii="宋体" w:hAnsi="宋体" w:cs="宋体"/>
          <w:sz w:val="21"/>
          <w:szCs w:val="21"/>
          <w:lang w:val="zh-CN"/>
        </w:rPr>
        <w:t>撤回</w:t>
      </w:r>
      <w:r>
        <w:rPr>
          <w:rFonts w:hint="eastAsia" w:ascii="宋体" w:hAnsi="宋体" w:cs="宋体"/>
          <w:sz w:val="21"/>
          <w:szCs w:val="21"/>
        </w:rPr>
        <w:t>”</w:t>
      </w:r>
      <w:r>
        <w:rPr>
          <w:rFonts w:hint="eastAsia" w:ascii="宋体" w:hAnsi="宋体" w:cs="宋体"/>
          <w:sz w:val="21"/>
          <w:szCs w:val="21"/>
          <w:lang w:val="zh-CN"/>
        </w:rPr>
        <w:t>字样。</w:t>
      </w:r>
    </w:p>
    <w:p w14:paraId="2792C8C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14.3 在投标截止时间（开标时间）之后，投标人不得对其投标书做任何修改（包括开标一览表的内容）。</w:t>
      </w:r>
    </w:p>
    <w:p w14:paraId="753D60F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14.4</w:t>
      </w:r>
      <w:r>
        <w:rPr>
          <w:rFonts w:hint="eastAsia" w:ascii="宋体" w:hAnsi="宋体" w:cs="宋体"/>
          <w:sz w:val="21"/>
          <w:szCs w:val="21"/>
        </w:rPr>
        <w:t xml:space="preserve"> </w:t>
      </w:r>
      <w:r>
        <w:rPr>
          <w:rFonts w:hint="eastAsia" w:ascii="宋体" w:hAnsi="宋体" w:cs="宋体"/>
          <w:sz w:val="21"/>
          <w:szCs w:val="21"/>
          <w:lang w:val="zh-CN"/>
        </w:rPr>
        <w:t>从开标时间起，至投标有效期期满，投标人不得撤回其投标，否则，其投标保证金将不予退还。</w:t>
      </w:r>
    </w:p>
    <w:p w14:paraId="67AF9308">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15. 投标</w:t>
      </w:r>
    </w:p>
    <w:p w14:paraId="1FF45A1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15.1</w:t>
      </w:r>
      <w:r>
        <w:rPr>
          <w:rFonts w:hint="eastAsia" w:ascii="宋体" w:hAnsi="宋体" w:cs="宋体"/>
          <w:sz w:val="21"/>
          <w:szCs w:val="21"/>
        </w:rPr>
        <w:t xml:space="preserve"> </w:t>
      </w:r>
      <w:r>
        <w:rPr>
          <w:rFonts w:hint="eastAsia" w:ascii="宋体" w:hAnsi="宋体" w:cs="宋体"/>
          <w:sz w:val="21"/>
          <w:szCs w:val="21"/>
          <w:lang w:val="zh-CN"/>
        </w:rPr>
        <w:t>投标人应将投标文件装订成册、胶装密封，在信封上标明招标项目名称、项目编号、投标人名称、地址，并在封口处加盖投标人公章，在招标文件规定的投标地点和投标截止时间前递交给招标代理机构。如果投标人没有按照要求密封、标记，招标代理机构对于投标人的误投、错投以及提前拆封概不负责。</w:t>
      </w:r>
    </w:p>
    <w:p w14:paraId="0280A584">
      <w:pPr>
        <w:autoSpaceDE w:val="0"/>
        <w:autoSpaceDN w:val="0"/>
        <w:adjustRightInd w:val="0"/>
        <w:spacing w:line="360" w:lineRule="auto"/>
        <w:ind w:firstLine="480"/>
        <w:rPr>
          <w:rFonts w:hint="eastAsia" w:ascii="宋体" w:hAnsi="宋体" w:cs="宋体"/>
          <w:sz w:val="21"/>
          <w:szCs w:val="21"/>
          <w:u w:val="none"/>
          <w:lang w:val="zh-CN"/>
        </w:rPr>
      </w:pPr>
      <w:r>
        <w:rPr>
          <w:rFonts w:hint="eastAsia" w:ascii="宋体" w:hAnsi="宋体" w:cs="宋体"/>
          <w:sz w:val="21"/>
          <w:szCs w:val="21"/>
          <w:u w:val="none"/>
          <w:lang w:val="zh-CN"/>
        </w:rPr>
        <w:t>15.2</w:t>
      </w:r>
      <w:r>
        <w:rPr>
          <w:rFonts w:hint="eastAsia" w:ascii="宋体" w:hAnsi="宋体" w:cs="宋体"/>
          <w:sz w:val="21"/>
          <w:szCs w:val="21"/>
          <w:u w:val="none"/>
        </w:rPr>
        <w:t xml:space="preserve"> </w:t>
      </w:r>
      <w:r>
        <w:rPr>
          <w:rFonts w:hint="eastAsia" w:ascii="宋体" w:hAnsi="宋体" w:cs="宋体"/>
          <w:sz w:val="21"/>
          <w:szCs w:val="21"/>
          <w:u w:val="none"/>
          <w:lang w:val="zh-CN"/>
        </w:rPr>
        <w:t>投标文件份数：投标人应提交投标文件正本1份、副本</w:t>
      </w:r>
      <w:r>
        <w:rPr>
          <w:rFonts w:hint="eastAsia" w:ascii="宋体" w:hAnsi="宋体" w:cs="宋体"/>
          <w:sz w:val="21"/>
          <w:szCs w:val="21"/>
          <w:u w:val="none"/>
          <w:lang w:val="en-US" w:eastAsia="zh-CN"/>
        </w:rPr>
        <w:t>2</w:t>
      </w:r>
      <w:r>
        <w:rPr>
          <w:rFonts w:hint="eastAsia" w:ascii="宋体" w:hAnsi="宋体" w:cs="宋体"/>
          <w:sz w:val="21"/>
          <w:szCs w:val="21"/>
          <w:u w:val="none"/>
          <w:lang w:val="zh-CN"/>
        </w:rPr>
        <w:t>份，</w:t>
      </w:r>
      <w:r>
        <w:rPr>
          <w:rFonts w:hint="eastAsia" w:ascii="宋体" w:hAnsi="宋体" w:cs="宋体"/>
          <w:sz w:val="21"/>
          <w:szCs w:val="21"/>
          <w:u w:val="none"/>
        </w:rPr>
        <w:t>共同封装</w:t>
      </w:r>
      <w:r>
        <w:rPr>
          <w:rFonts w:hint="eastAsia" w:ascii="宋体" w:hAnsi="宋体" w:cs="宋体"/>
          <w:sz w:val="21"/>
          <w:szCs w:val="21"/>
          <w:u w:val="none"/>
          <w:lang w:val="zh-CN"/>
        </w:rPr>
        <w:t>。</w:t>
      </w:r>
    </w:p>
    <w:p w14:paraId="610B9983">
      <w:pPr>
        <w:autoSpaceDE w:val="0"/>
        <w:autoSpaceDN w:val="0"/>
        <w:adjustRightInd w:val="0"/>
        <w:spacing w:line="360" w:lineRule="auto"/>
        <w:ind w:firstLine="480"/>
        <w:rPr>
          <w:rFonts w:ascii="宋体" w:hAnsi="宋体" w:cs="宋体"/>
          <w:color w:val="FF0000"/>
          <w:sz w:val="21"/>
          <w:szCs w:val="21"/>
          <w:lang w:val="zh-CN"/>
        </w:rPr>
      </w:pPr>
      <w:r>
        <w:rPr>
          <w:rFonts w:hint="eastAsia" w:ascii="宋体" w:hAnsi="宋体" w:cs="宋体"/>
          <w:sz w:val="21"/>
          <w:szCs w:val="21"/>
        </w:rPr>
        <w:t xml:space="preserve">15.3 </w:t>
      </w:r>
      <w:r>
        <w:rPr>
          <w:rFonts w:hint="eastAsia" w:ascii="宋体" w:hAnsi="宋体" w:cs="宋体"/>
          <w:sz w:val="21"/>
          <w:szCs w:val="21"/>
          <w:lang w:val="zh-CN"/>
        </w:rPr>
        <w:t>投标文件副本可以是正本的复印件，并标明</w:t>
      </w:r>
      <w:r>
        <w:rPr>
          <w:rFonts w:hint="eastAsia" w:ascii="宋体" w:hAnsi="宋体" w:cs="宋体"/>
          <w:sz w:val="21"/>
          <w:szCs w:val="21"/>
        </w:rPr>
        <w:t>“</w:t>
      </w:r>
      <w:r>
        <w:rPr>
          <w:rFonts w:hint="eastAsia" w:ascii="宋体" w:hAnsi="宋体" w:cs="宋体"/>
          <w:sz w:val="21"/>
          <w:szCs w:val="21"/>
          <w:lang w:val="zh-CN"/>
        </w:rPr>
        <w:t>正本</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rPr>
        <w:t>“</w:t>
      </w:r>
      <w:r>
        <w:rPr>
          <w:rFonts w:hint="eastAsia" w:ascii="宋体" w:hAnsi="宋体" w:cs="宋体"/>
          <w:sz w:val="21"/>
          <w:szCs w:val="21"/>
          <w:lang w:val="zh-CN"/>
        </w:rPr>
        <w:t>副本</w:t>
      </w:r>
      <w:r>
        <w:rPr>
          <w:rFonts w:hint="eastAsia" w:ascii="宋体" w:hAnsi="宋体" w:cs="宋体"/>
          <w:sz w:val="21"/>
          <w:szCs w:val="21"/>
        </w:rPr>
        <w:t>”</w:t>
      </w:r>
      <w:r>
        <w:rPr>
          <w:rFonts w:hint="eastAsia" w:ascii="宋体" w:hAnsi="宋体" w:cs="宋体"/>
          <w:sz w:val="21"/>
          <w:szCs w:val="21"/>
          <w:lang w:val="zh-CN"/>
        </w:rPr>
        <w:t>字样，当正本与副本内容不一致时，以正本为准。</w:t>
      </w:r>
    </w:p>
    <w:p w14:paraId="710D4D76">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15.</w:t>
      </w:r>
      <w:r>
        <w:rPr>
          <w:rFonts w:hint="eastAsia" w:ascii="宋体" w:hAnsi="宋体" w:cs="宋体"/>
          <w:sz w:val="21"/>
          <w:szCs w:val="21"/>
          <w:lang w:val="en-US" w:eastAsia="zh-CN"/>
        </w:rPr>
        <w:t>4</w:t>
      </w:r>
      <w:r>
        <w:rPr>
          <w:rFonts w:hint="eastAsia" w:ascii="宋体" w:hAnsi="宋体" w:cs="宋体"/>
          <w:sz w:val="21"/>
          <w:szCs w:val="21"/>
        </w:rPr>
        <w:t xml:space="preserve"> </w:t>
      </w:r>
      <w:r>
        <w:rPr>
          <w:rFonts w:hint="eastAsia" w:ascii="宋体" w:hAnsi="宋体" w:cs="宋体"/>
          <w:sz w:val="21"/>
          <w:szCs w:val="21"/>
          <w:lang w:val="zh-CN"/>
        </w:rPr>
        <w:t>首次招标投标截止时间结束后投标人不足三家的，将重新招标；重新招标仍出现本款前述情形的，可按本须知第19条规定办理。</w:t>
      </w:r>
    </w:p>
    <w:p w14:paraId="38F7C9EA">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16. 开标</w:t>
      </w:r>
    </w:p>
    <w:p w14:paraId="271CE3F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16.1</w:t>
      </w:r>
      <w:r>
        <w:rPr>
          <w:rFonts w:hint="eastAsia" w:ascii="宋体" w:hAnsi="宋体" w:cs="宋体"/>
          <w:sz w:val="21"/>
          <w:szCs w:val="21"/>
        </w:rPr>
        <w:t xml:space="preserve"> </w:t>
      </w:r>
      <w:r>
        <w:rPr>
          <w:rFonts w:hint="eastAsia" w:ascii="宋体" w:hAnsi="宋体" w:cs="宋体"/>
          <w:sz w:val="21"/>
          <w:szCs w:val="21"/>
          <w:lang w:val="zh-CN"/>
        </w:rPr>
        <w:t>采购代理机构将在招标公告规定的时间和地点公开开标。投标人法定代表人或其授权代理人应参加并签名报到以证明其出席，并携带有效身份证件以备审查。</w:t>
      </w:r>
    </w:p>
    <w:p w14:paraId="1A270182">
      <w:pPr>
        <w:autoSpaceDE w:val="0"/>
        <w:autoSpaceDN w:val="0"/>
        <w:adjustRightInd w:val="0"/>
        <w:spacing w:line="360" w:lineRule="auto"/>
        <w:ind w:firstLine="480"/>
        <w:rPr>
          <w:rFonts w:ascii="宋体" w:hAnsi="宋体" w:cs="宋体"/>
          <w:kern w:val="0"/>
          <w:sz w:val="21"/>
          <w:szCs w:val="21"/>
          <w:lang w:val="zh-CN"/>
        </w:rPr>
      </w:pPr>
      <w:r>
        <w:rPr>
          <w:rFonts w:hint="eastAsia" w:ascii="宋体" w:hAnsi="宋体" w:cs="宋体"/>
          <w:sz w:val="21"/>
          <w:szCs w:val="21"/>
          <w:lang w:val="zh-CN"/>
        </w:rPr>
        <w:t>16.2 开标会由采购代理机构组织并主持。开标前，</w:t>
      </w:r>
      <w:r>
        <w:rPr>
          <w:rFonts w:hint="eastAsia" w:ascii="宋体" w:hAnsi="宋体" w:cs="宋体"/>
          <w:kern w:val="0"/>
          <w:sz w:val="21"/>
          <w:szCs w:val="21"/>
          <w:lang w:val="zh-CN"/>
        </w:rPr>
        <w:t>由监督人员或者投标人代表检查投标文件的密封情况并当场宣布检查情况。</w:t>
      </w:r>
    </w:p>
    <w:p w14:paraId="08401E8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16.3 开标时，采购代理机构将按照投标人提交的</w:t>
      </w:r>
      <w:r>
        <w:rPr>
          <w:rFonts w:hint="eastAsia" w:ascii="宋体" w:hAnsi="宋体" w:cs="宋体"/>
          <w:sz w:val="21"/>
          <w:szCs w:val="21"/>
        </w:rPr>
        <w:t>“</w:t>
      </w:r>
      <w:r>
        <w:rPr>
          <w:rFonts w:hint="eastAsia" w:ascii="宋体" w:hAnsi="宋体" w:cs="宋体"/>
          <w:sz w:val="21"/>
          <w:szCs w:val="21"/>
          <w:lang w:val="zh-CN"/>
        </w:rPr>
        <w:t>开标一览表</w:t>
      </w:r>
      <w:r>
        <w:rPr>
          <w:rFonts w:hint="eastAsia" w:ascii="宋体" w:hAnsi="宋体" w:cs="宋体"/>
          <w:sz w:val="21"/>
          <w:szCs w:val="21"/>
        </w:rPr>
        <w:t>”</w:t>
      </w:r>
      <w:r>
        <w:rPr>
          <w:rFonts w:hint="eastAsia" w:ascii="宋体" w:hAnsi="宋体" w:cs="宋体"/>
          <w:sz w:val="21"/>
          <w:szCs w:val="21"/>
          <w:lang w:val="zh-CN"/>
        </w:rPr>
        <w:t>，当众宣读投标人名称、修改和撤回投标的通知、投标价格、交货时间、是否提交了投标保证金等内容。</w:t>
      </w:r>
    </w:p>
    <w:p w14:paraId="44C7403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16.4 开标时未宣读的投标价格等实质性内容，评标时不予承认。</w:t>
      </w:r>
    </w:p>
    <w:p w14:paraId="188C77D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16.5 按照投标人须知第14条的规定，提交了可接受的</w:t>
      </w:r>
      <w:r>
        <w:rPr>
          <w:rFonts w:hint="eastAsia" w:ascii="宋体" w:hAnsi="宋体" w:cs="宋体"/>
          <w:sz w:val="21"/>
          <w:szCs w:val="21"/>
        </w:rPr>
        <w:t>“</w:t>
      </w:r>
      <w:r>
        <w:rPr>
          <w:rFonts w:hint="eastAsia" w:ascii="宋体" w:hAnsi="宋体" w:cs="宋体"/>
          <w:sz w:val="21"/>
          <w:szCs w:val="21"/>
          <w:lang w:val="zh-CN"/>
        </w:rPr>
        <w:t>撤回</w:t>
      </w:r>
      <w:r>
        <w:rPr>
          <w:rFonts w:hint="eastAsia" w:ascii="宋体" w:hAnsi="宋体" w:cs="宋体"/>
          <w:sz w:val="21"/>
          <w:szCs w:val="21"/>
        </w:rPr>
        <w:t>”</w:t>
      </w:r>
      <w:r>
        <w:rPr>
          <w:rFonts w:hint="eastAsia" w:ascii="宋体" w:hAnsi="宋体" w:cs="宋体"/>
          <w:sz w:val="21"/>
          <w:szCs w:val="21"/>
          <w:lang w:val="zh-CN"/>
        </w:rPr>
        <w:t>通知的投标将不予开封。撤回的投标书将原封退回投标人。</w:t>
      </w:r>
    </w:p>
    <w:p w14:paraId="511530E0">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16.6 采购代理机构将做开标记录，开标记录包括按本须知第16.3款的规定在开标时宣读的全部内容。开标记录将在开标后由监督人员或者投标人代表签字确认。</w:t>
      </w:r>
    </w:p>
    <w:p w14:paraId="57DC8EF1">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16.7 开标时有下列情形之一的为无效投标：</w:t>
      </w:r>
    </w:p>
    <w:p w14:paraId="7E0FE3B3">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（1）投标文件在规定的投标截止时间以后送达的；</w:t>
      </w:r>
    </w:p>
    <w:p w14:paraId="2DC47E8F">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（2）未按招标文件规定提交投标保证金的；</w:t>
      </w:r>
    </w:p>
    <w:p w14:paraId="527CED09">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（3）投标文件未按招标文件规定密封的；</w:t>
      </w:r>
    </w:p>
    <w:p w14:paraId="4C041DD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（4）未提交单独密封的开标一览表或者开标一览表未按规定加盖公章和有效签署的；</w:t>
      </w:r>
    </w:p>
    <w:p w14:paraId="57AFEC44">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（5）招标文件规定开标时属于无效投标的其他情形。</w:t>
      </w:r>
    </w:p>
    <w:p w14:paraId="2A0769F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16.8 开标时有下列情形之一的，招标代理机构有权宣布本项目废标：</w:t>
      </w:r>
    </w:p>
    <w:p w14:paraId="44CA4F97">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（1）交货时间符合招标文件要求的投标人不足三家的；</w:t>
      </w:r>
    </w:p>
    <w:p w14:paraId="4F106026">
      <w:pPr>
        <w:autoSpaceDE w:val="0"/>
        <w:autoSpaceDN w:val="0"/>
        <w:adjustRightInd w:val="0"/>
        <w:spacing w:line="360" w:lineRule="auto"/>
        <w:ind w:firstLine="480"/>
        <w:rPr>
          <w:rFonts w:ascii="宋体" w:hAnsi="宋体" w:cs="宋体"/>
          <w:b/>
          <w:sz w:val="21"/>
          <w:szCs w:val="21"/>
          <w:lang w:val="zh-CN"/>
        </w:rPr>
      </w:pPr>
      <w:r>
        <w:rPr>
          <w:rFonts w:hint="eastAsia" w:ascii="宋体" w:hAnsi="宋体" w:cs="宋体"/>
          <w:sz w:val="21"/>
          <w:szCs w:val="21"/>
          <w:lang w:val="zh-CN"/>
        </w:rPr>
        <w:t>（2）所有投标人的报价均超过采购项目预算，采购人不能支付的。</w:t>
      </w:r>
    </w:p>
    <w:p w14:paraId="0CD78DE6">
      <w:pPr>
        <w:tabs>
          <w:tab w:val="left" w:pos="1920"/>
        </w:tabs>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首次招标废标后将重新招标，重新招标仍出现本款情形的，可按本须知第19条规定处理。</w:t>
      </w:r>
    </w:p>
    <w:p w14:paraId="64CCE53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17. 评标过程的保密性：</w:t>
      </w:r>
      <w:r>
        <w:rPr>
          <w:rFonts w:hint="eastAsia" w:ascii="宋体" w:hAnsi="宋体" w:cs="宋体"/>
          <w:sz w:val="21"/>
          <w:szCs w:val="21"/>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B749F5E">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18. 评标</w:t>
      </w:r>
    </w:p>
    <w:p w14:paraId="2E11BBC1">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18.1 评标工作由采购代理机构负责组织，具体评标工作由采购代理机构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w:t>
      </w:r>
      <w:r>
        <w:rPr>
          <w:rFonts w:hint="eastAsia" w:ascii="宋体" w:hAnsi="宋体" w:cs="宋体"/>
          <w:color w:val="000000"/>
          <w:sz w:val="21"/>
          <w:szCs w:val="21"/>
          <w:lang w:val="zh-CN"/>
        </w:rPr>
        <w:t>只负责评标组织工作，不参加评标。</w:t>
      </w:r>
    </w:p>
    <w:p w14:paraId="450B12A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18.2 审查是否所有投标人的报价均超过采购预算：根据《中华人民共和国政府采购法》的规定，所有投标人的报价均超过采购预算，采购人不能支付的，应予废标。</w:t>
      </w:r>
    </w:p>
    <w:p w14:paraId="1D56A91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18.3 审查投标人是否存在串通投标行为：评标委员会发现投标人有下列情形之一的，将认定属于串通投标行为，相关投标人的投标应作废标处理。评标结束后，采购代理机构将以书面形式报告监督管理部门：</w:t>
      </w:r>
    </w:p>
    <w:p w14:paraId="5E2CABA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(1)不同投标人的投标文件由同一单位或者个人编制;</w:t>
      </w:r>
    </w:p>
    <w:p w14:paraId="683D302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(2)不同投标人委托同一单位或者个人办理投标事宜;</w:t>
      </w:r>
    </w:p>
    <w:p w14:paraId="13D642E1">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(3)不同投标人的投标文件载明的项目管理成员或者联系人员为同一人;</w:t>
      </w:r>
    </w:p>
    <w:p w14:paraId="33E66102">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(4)不同投标人的投标文件异常一致或者投标报价呈规律性差异;</w:t>
      </w:r>
    </w:p>
    <w:p w14:paraId="4756C6AF">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(5)不同投标人的投标文件相互混装;</w:t>
      </w:r>
    </w:p>
    <w:p w14:paraId="218FE068">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(6)不同投标人的投标保证金从同一单位或者个人的账户转出。</w:t>
      </w:r>
    </w:p>
    <w:p w14:paraId="2CAA27BA">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18.4 对投标文件商务部分（投标人资格）进行审查：评标委员会将审查每个投标人提交的商务文件是否齐全完整，是否合法有效，是否有重大偏离和保留，是否符合招标文件要求。商务（投标人资格）审查不符合招标文件要求的投标文件将被拒绝。</w:t>
      </w:r>
    </w:p>
    <w:p w14:paraId="5AF247A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 对投标文件技术部分进行打分：</w:t>
      </w:r>
    </w:p>
    <w:p w14:paraId="63C7AF5E">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18.5.1 对于商务审查合格的投标人，评标委员会将审查其投标文件技术部分是否对招标文件规定的事项、格式、条款和技术规格等要求都做出了实质性响应。</w:t>
      </w:r>
    </w:p>
    <w:p w14:paraId="23F1CCE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18.5.2 实质性响应的投标是指与招标文件规定的事项、条款、条件和技术规格相符，没有重大偏离和保留。没有实质性响应招标文件要求的投标将被拒绝。</w:t>
      </w:r>
    </w:p>
    <w:p w14:paraId="637D326B">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18.6 重大偏离和保留是指实质上影响合同的供货范围、质量和性能，或者实质上限制了合同中采购人的权利或投标人的义务。投标文件有下列情形之一的属于重大偏离和保留，将作废标处理：</w:t>
      </w:r>
    </w:p>
    <w:p w14:paraId="60A5D341">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(1)未按照招标文件的规定提交投标保证金的;</w:t>
      </w:r>
    </w:p>
    <w:p w14:paraId="702847B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(2)投标文件未按招标文件要求签署、盖章的;</w:t>
      </w:r>
    </w:p>
    <w:p w14:paraId="5A24D84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(3)不具备招标文件中规定的资格要求的;</w:t>
      </w:r>
    </w:p>
    <w:p w14:paraId="19BE4F4C">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(4)报价超过招标文件中规定的预算金额或者最高限价的;</w:t>
      </w:r>
    </w:p>
    <w:p w14:paraId="61C340AA">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(5)投标文件含有采购人不能接受的附加条件的;</w:t>
      </w:r>
    </w:p>
    <w:p w14:paraId="36FF8A9D">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(6)法律、法规和招标文件规定的其他无效情形。</w:t>
      </w:r>
    </w:p>
    <w:p w14:paraId="678876BF">
      <w:pPr>
        <w:spacing w:line="360" w:lineRule="auto"/>
        <w:ind w:firstLine="420" w:firstLineChars="200"/>
        <w:rPr>
          <w:rFonts w:ascii="宋体" w:hAnsi="宋体" w:cs="宋体"/>
          <w:color w:val="000000"/>
          <w:sz w:val="21"/>
          <w:szCs w:val="21"/>
          <w:lang w:val="zh-CN"/>
        </w:rPr>
      </w:pPr>
      <w:r>
        <w:rPr>
          <w:rFonts w:hint="eastAsia" w:ascii="宋体" w:hAnsi="宋体" w:cs="宋体"/>
          <w:sz w:val="21"/>
          <w:szCs w:val="21"/>
          <w:lang w:val="zh-CN"/>
        </w:rPr>
        <w:t xml:space="preserve">18.7 </w:t>
      </w:r>
      <w:r>
        <w:rPr>
          <w:rFonts w:hint="eastAsia" w:ascii="宋体" w:hAnsi="宋体" w:cs="宋体"/>
          <w:color w:val="000000"/>
          <w:sz w:val="21"/>
          <w:szCs w:val="21"/>
          <w:lang w:val="zh-CN"/>
        </w:rPr>
        <w:t>评标委员会将允许修正投标文件中不构成重大偏离的细微偏离，但这些修正应不会对实质上响应招标文件要求的投标人的竞争地位（相互排序）产生不公正的影响。</w:t>
      </w:r>
    </w:p>
    <w:p w14:paraId="4F5F3997">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sz w:val="21"/>
          <w:szCs w:val="21"/>
          <w:lang w:val="zh-CN"/>
        </w:rPr>
        <w:t xml:space="preserve">18.8 </w:t>
      </w:r>
      <w:r>
        <w:rPr>
          <w:rFonts w:hint="eastAsia" w:ascii="宋体" w:hAnsi="宋体" w:cs="宋体"/>
          <w:color w:val="000000"/>
          <w:sz w:val="21"/>
          <w:szCs w:val="21"/>
          <w:lang w:val="zh-CN"/>
        </w:rPr>
        <w:t>评标委员会对投标文件的判定，只依据投标文件内容本身，不依据任何外来证明。</w:t>
      </w:r>
    </w:p>
    <w:p w14:paraId="266BE5C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18.9 投标报价的审查：评标委员会将对商务审查、技术审查合格的投标文件的报价进行审核，看其是否有计算和累加上的错误。修正错误的原则如下：</w:t>
      </w:r>
    </w:p>
    <w:p w14:paraId="3F48E8F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(1)投标文件中开标一览表(报价表)内容与投标文件中相应内容不一致的，以开标一览表(报价表)为准;</w:t>
      </w:r>
    </w:p>
    <w:p w14:paraId="01D365EF">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(2)大写金额和小写金额不一致的，以大写金额为准;</w:t>
      </w:r>
    </w:p>
    <w:p w14:paraId="16E3AD6B">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(3)单价金额小数点或者百分比有明显错位的，以开标一览表的总价为准，并修改单价;</w:t>
      </w:r>
    </w:p>
    <w:p w14:paraId="48FC9C1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(4)总价金额与按单价汇总金额不一致的，以单价金额计算结果为准。</w:t>
      </w:r>
    </w:p>
    <w:p w14:paraId="712A3EDC">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同时出现两种以上不一致的，按照前款规定的顺序修正。修正后的报价按照本办法第五十一条</w:t>
      </w:r>
      <w:r>
        <w:rPr>
          <w:rFonts w:hint="eastAsia" w:ascii="宋体" w:hAnsi="宋体" w:cs="宋体"/>
          <w:sz w:val="21"/>
          <w:szCs w:val="21"/>
        </w:rPr>
        <w:t xml:space="preserve"> </w:t>
      </w:r>
      <w:r>
        <w:rPr>
          <w:rFonts w:hint="eastAsia" w:ascii="宋体" w:hAnsi="宋体" w:cs="宋体"/>
          <w:sz w:val="21"/>
          <w:szCs w:val="21"/>
          <w:lang w:val="zh-CN"/>
        </w:rPr>
        <w:t>第二款的规定经投标人确认后产生约束力，投标人不确认的，其投标无效。</w:t>
      </w:r>
    </w:p>
    <w:p w14:paraId="062BD195">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18.10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71ECF19">
      <w:pPr>
        <w:autoSpaceDE w:val="0"/>
        <w:autoSpaceDN w:val="0"/>
        <w:adjustRightInd w:val="0"/>
        <w:spacing w:line="360" w:lineRule="auto"/>
        <w:ind w:firstLine="482"/>
        <w:rPr>
          <w:rFonts w:ascii="宋体" w:hAnsi="宋体" w:cs="宋体"/>
          <w:b/>
          <w:bCs w:val="0"/>
          <w:sz w:val="21"/>
          <w:szCs w:val="21"/>
        </w:rPr>
      </w:pPr>
      <w:r>
        <w:rPr>
          <w:rFonts w:hint="eastAsia" w:ascii="宋体" w:hAnsi="宋体" w:cs="宋体"/>
          <w:b/>
          <w:bCs w:val="0"/>
          <w:sz w:val="21"/>
          <w:szCs w:val="21"/>
          <w:lang w:val="zh-CN"/>
        </w:rPr>
        <w:t>19.接受细微偏离有利于采购成功，不应因细微偏离而废标。</w:t>
      </w:r>
    </w:p>
    <w:p w14:paraId="373BEDF7">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20. 评标方法和标准</w:t>
      </w:r>
    </w:p>
    <w:p w14:paraId="3CF85ADE">
      <w:pPr>
        <w:autoSpaceDE w:val="0"/>
        <w:autoSpaceDN w:val="0"/>
        <w:adjustRightInd w:val="0"/>
        <w:spacing w:line="360" w:lineRule="auto"/>
        <w:ind w:firstLine="480"/>
        <w:rPr>
          <w:rFonts w:ascii="宋体" w:hAnsi="宋体" w:cs="宋体"/>
          <w:sz w:val="21"/>
          <w:szCs w:val="21"/>
          <w:lang w:val="zh-CN"/>
        </w:rPr>
      </w:pPr>
      <w:r>
        <w:rPr>
          <w:rFonts w:hint="eastAsia" w:ascii="宋体" w:hAnsi="宋体" w:cs="宋体"/>
          <w:sz w:val="21"/>
          <w:szCs w:val="21"/>
          <w:lang w:val="zh-CN"/>
        </w:rPr>
        <w:t>20.1</w:t>
      </w:r>
      <w:r>
        <w:rPr>
          <w:rFonts w:hint="eastAsia" w:ascii="宋体" w:hAnsi="宋体" w:cs="宋体"/>
          <w:sz w:val="21"/>
          <w:szCs w:val="21"/>
        </w:rPr>
        <w:t xml:space="preserve"> </w:t>
      </w:r>
      <w:r>
        <w:rPr>
          <w:rFonts w:hint="eastAsia" w:ascii="宋体" w:hAnsi="宋体" w:cs="宋体"/>
          <w:sz w:val="21"/>
          <w:szCs w:val="21"/>
          <w:lang w:val="zh-CN"/>
        </w:rPr>
        <w:t>评标委员会将只对商务（投标人资格）审查和技术（符合性）审查均符合招标文件要求的投标进行详细评审。</w:t>
      </w:r>
    </w:p>
    <w:p w14:paraId="61988925">
      <w:pPr>
        <w:autoSpaceDE w:val="0"/>
        <w:autoSpaceDN w:val="0"/>
        <w:adjustRightInd w:val="0"/>
        <w:spacing w:line="360" w:lineRule="auto"/>
        <w:ind w:firstLine="480"/>
        <w:rPr>
          <w:rFonts w:ascii="宋体" w:hAnsi="宋体" w:cs="宋体"/>
          <w:bCs/>
          <w:sz w:val="21"/>
          <w:szCs w:val="21"/>
        </w:rPr>
      </w:pPr>
      <w:r>
        <w:rPr>
          <w:rFonts w:hint="eastAsia" w:ascii="宋体" w:hAnsi="宋体" w:cs="宋体"/>
          <w:b w:val="0"/>
          <w:bCs w:val="0"/>
          <w:sz w:val="21"/>
          <w:szCs w:val="21"/>
          <w:lang w:val="zh-CN"/>
        </w:rPr>
        <w:t>20.2 本项目采用</w:t>
      </w:r>
      <w:r>
        <w:rPr>
          <w:rFonts w:hint="eastAsia" w:ascii="宋体" w:hAnsi="宋体" w:cs="宋体"/>
          <w:b w:val="0"/>
          <w:bCs w:val="0"/>
          <w:sz w:val="21"/>
          <w:szCs w:val="21"/>
        </w:rPr>
        <w:t>综合评分法</w:t>
      </w:r>
      <w:r>
        <w:rPr>
          <w:rFonts w:hint="eastAsia" w:ascii="宋体" w:hAnsi="宋体" w:cs="宋体"/>
          <w:b w:val="0"/>
          <w:bCs w:val="0"/>
          <w:sz w:val="21"/>
          <w:szCs w:val="21"/>
          <w:lang w:val="zh-CN"/>
        </w:rPr>
        <w:t>，</w:t>
      </w:r>
      <w:r>
        <w:rPr>
          <w:rFonts w:hint="eastAsia" w:ascii="宋体" w:hAnsi="宋体" w:cs="宋体"/>
          <w:b w:val="0"/>
          <w:bCs w:val="0"/>
          <w:sz w:val="21"/>
          <w:szCs w:val="21"/>
        </w:rPr>
        <w:t>评</w:t>
      </w:r>
      <w:r>
        <w:rPr>
          <w:rFonts w:hint="eastAsia" w:ascii="宋体" w:hAnsi="宋体" w:cs="宋体"/>
          <w:sz w:val="21"/>
          <w:szCs w:val="21"/>
        </w:rPr>
        <w:t>标工作分初步评审和详细评审，初步评审不合格的投标单位不进入详细评审，</w:t>
      </w:r>
      <w:r>
        <w:rPr>
          <w:rFonts w:hint="eastAsia" w:ascii="宋体" w:hAnsi="宋体" w:cs="宋体"/>
          <w:bCs/>
          <w:sz w:val="21"/>
          <w:szCs w:val="21"/>
        </w:rPr>
        <w:t>对满足招标文件实质性要求的投标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E73B8">
      <w:pPr>
        <w:autoSpaceDE w:val="0"/>
        <w:autoSpaceDN w:val="0"/>
        <w:adjustRightInd w:val="0"/>
        <w:spacing w:line="360" w:lineRule="auto"/>
        <w:ind w:firstLine="482"/>
        <w:rPr>
          <w:rFonts w:ascii="宋体" w:hAnsi="宋体" w:cs="宋体"/>
          <w:b/>
          <w:sz w:val="21"/>
          <w:szCs w:val="21"/>
          <w:lang w:val="zh-CN"/>
        </w:rPr>
      </w:pPr>
      <w:r>
        <w:rPr>
          <w:rFonts w:hint="eastAsia" w:ascii="宋体" w:hAnsi="宋体" w:cs="宋体"/>
          <w:b/>
          <w:sz w:val="21"/>
          <w:szCs w:val="21"/>
          <w:lang w:val="zh-CN"/>
        </w:rPr>
        <w:t>21. 签订合同</w:t>
      </w:r>
    </w:p>
    <w:p w14:paraId="374F71D6">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21.1</w:t>
      </w:r>
      <w:r>
        <w:rPr>
          <w:rFonts w:hint="eastAsia" w:ascii="宋体" w:hAnsi="宋体" w:cs="宋体"/>
          <w:sz w:val="21"/>
          <w:szCs w:val="21"/>
        </w:rPr>
        <w:t xml:space="preserve"> </w:t>
      </w:r>
      <w:r>
        <w:rPr>
          <w:rFonts w:hint="eastAsia" w:ascii="宋体" w:hAnsi="宋体" w:cs="宋体"/>
          <w:sz w:val="21"/>
          <w:szCs w:val="21"/>
          <w:lang w:val="zh-CN"/>
        </w:rPr>
        <w:t>招标代理机构将在投标有效期期满之前向中标人发出《中标通知书》。中标通知书是合同的组成部分，对采购人和中标人均具有法律约束力。</w:t>
      </w:r>
    </w:p>
    <w:p w14:paraId="6186CD20">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21.2</w:t>
      </w:r>
      <w:r>
        <w:rPr>
          <w:rFonts w:hint="eastAsia" w:ascii="宋体" w:hAnsi="宋体" w:cs="宋体"/>
          <w:sz w:val="21"/>
          <w:szCs w:val="21"/>
        </w:rPr>
        <w:t xml:space="preserve"> </w:t>
      </w:r>
      <w:r>
        <w:rPr>
          <w:rFonts w:hint="eastAsia" w:ascii="宋体" w:hAnsi="宋体" w:cs="宋体"/>
          <w:sz w:val="21"/>
          <w:szCs w:val="21"/>
          <w:lang w:val="zh-CN"/>
        </w:rPr>
        <w:t>中标通知书发出后，采购人改变中标结果的，或者中标人放弃中标项目的，应当依法承担法律责任。</w:t>
      </w:r>
    </w:p>
    <w:p w14:paraId="64B1E09D">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sz w:val="21"/>
          <w:szCs w:val="21"/>
          <w:lang w:val="zh-CN"/>
        </w:rPr>
        <w:t>21.3</w:t>
      </w:r>
      <w:r>
        <w:rPr>
          <w:rFonts w:hint="eastAsia" w:ascii="宋体" w:hAnsi="宋体" w:cs="宋体"/>
          <w:sz w:val="21"/>
          <w:szCs w:val="21"/>
        </w:rPr>
        <w:t xml:space="preserve"> </w:t>
      </w:r>
      <w:r>
        <w:rPr>
          <w:rFonts w:hint="eastAsia" w:ascii="宋体" w:hAnsi="宋体" w:cs="宋体"/>
          <w:sz w:val="21"/>
          <w:szCs w:val="21"/>
          <w:lang w:val="zh-CN"/>
        </w:rPr>
        <w:t>中标人应按中标通知书规定的时间与采购人签订合同。如果中标人不在规定的时间内签署合同，视为自动放弃中标资格，其提交的投标保证金不予退还。投标人在被评标委员会评定为预中标人（中标人）之后、中标通知书发出之前放弃中标的，按本条规定处理。</w:t>
      </w:r>
    </w:p>
    <w:p w14:paraId="54BB7C61">
      <w:pPr>
        <w:autoSpaceDE w:val="0"/>
        <w:autoSpaceDN w:val="0"/>
        <w:adjustRightInd w:val="0"/>
        <w:spacing w:line="360" w:lineRule="auto"/>
        <w:rPr>
          <w:rFonts w:ascii="宋体" w:hAnsi="宋体" w:cs="宋体"/>
          <w:sz w:val="21"/>
          <w:szCs w:val="21"/>
          <w:lang w:val="zh-CN"/>
        </w:rPr>
      </w:pPr>
      <w:r>
        <w:rPr>
          <w:rFonts w:hint="eastAsia" w:ascii="宋体" w:hAnsi="宋体" w:cs="宋体"/>
          <w:sz w:val="21"/>
          <w:szCs w:val="21"/>
          <w:lang w:val="zh-CN"/>
        </w:rPr>
        <w:t>21.4</w:t>
      </w:r>
      <w:r>
        <w:rPr>
          <w:rFonts w:hint="eastAsia" w:ascii="宋体" w:hAnsi="宋体" w:cs="宋体"/>
          <w:sz w:val="21"/>
          <w:szCs w:val="21"/>
        </w:rPr>
        <w:t xml:space="preserve"> </w:t>
      </w:r>
      <w:r>
        <w:rPr>
          <w:rFonts w:hint="eastAsia" w:ascii="宋体" w:hAnsi="宋体" w:cs="宋体"/>
          <w:sz w:val="21"/>
          <w:szCs w:val="21"/>
          <w:lang w:val="zh-CN"/>
        </w:rPr>
        <w:t>中标结果将在发布招标公告的媒体上公告，不再以书面方式通知未中标人。</w:t>
      </w:r>
    </w:p>
    <w:p w14:paraId="24080EC7">
      <w:pPr>
        <w:autoSpaceDE w:val="0"/>
        <w:autoSpaceDN w:val="0"/>
        <w:adjustRightInd w:val="0"/>
        <w:spacing w:line="360" w:lineRule="auto"/>
        <w:ind w:firstLine="482"/>
        <w:rPr>
          <w:rFonts w:ascii="宋体" w:hAnsi="宋体" w:cs="宋体"/>
          <w:sz w:val="21"/>
          <w:szCs w:val="21"/>
          <w:lang w:val="zh-CN"/>
        </w:rPr>
      </w:pPr>
      <w:r>
        <w:rPr>
          <w:rFonts w:hint="eastAsia" w:ascii="宋体" w:hAnsi="宋体" w:cs="宋体"/>
          <w:b/>
          <w:sz w:val="21"/>
          <w:szCs w:val="21"/>
          <w:lang w:val="zh-CN"/>
        </w:rPr>
        <w:t>22.</w:t>
      </w:r>
      <w:r>
        <w:rPr>
          <w:rFonts w:hint="eastAsia" w:ascii="宋体" w:hAnsi="宋体" w:cs="宋体"/>
          <w:b/>
          <w:sz w:val="21"/>
          <w:szCs w:val="21"/>
        </w:rPr>
        <w:t xml:space="preserve"> </w:t>
      </w:r>
      <w:r>
        <w:rPr>
          <w:rFonts w:hint="eastAsia" w:ascii="宋体" w:hAnsi="宋体" w:cs="宋体"/>
          <w:b/>
          <w:sz w:val="21"/>
          <w:szCs w:val="21"/>
          <w:lang w:val="zh-CN"/>
        </w:rPr>
        <w:t xml:space="preserve">履约保证金: </w:t>
      </w:r>
      <w:r>
        <w:rPr>
          <w:rFonts w:hint="eastAsia" w:ascii="宋体" w:hAnsi="宋体" w:cs="宋体"/>
          <w:bCs/>
          <w:sz w:val="21"/>
          <w:szCs w:val="21"/>
          <w:lang w:val="zh-CN"/>
        </w:rPr>
        <w:t>按合同约定。</w:t>
      </w:r>
    </w:p>
    <w:p w14:paraId="450AA95E">
      <w:pPr>
        <w:tabs>
          <w:tab w:val="left" w:pos="709"/>
          <w:tab w:val="left" w:pos="927"/>
        </w:tabs>
        <w:autoSpaceDE w:val="0"/>
        <w:autoSpaceDN w:val="0"/>
        <w:adjustRightInd w:val="0"/>
        <w:spacing w:line="360" w:lineRule="auto"/>
        <w:ind w:firstLine="472"/>
        <w:rPr>
          <w:rFonts w:ascii="宋体" w:hAnsi="宋体" w:cs="宋体"/>
          <w:b/>
          <w:color w:val="000000"/>
          <w:kern w:val="0"/>
          <w:sz w:val="21"/>
          <w:szCs w:val="21"/>
          <w:lang w:val="zh-CN"/>
        </w:rPr>
      </w:pPr>
      <w:r>
        <w:rPr>
          <w:rFonts w:hint="eastAsia" w:ascii="宋体" w:hAnsi="宋体" w:cs="宋体"/>
          <w:b/>
          <w:kern w:val="0"/>
          <w:sz w:val="21"/>
          <w:szCs w:val="21"/>
          <w:lang w:val="zh-CN"/>
        </w:rPr>
        <w:t>23.</w:t>
      </w:r>
      <w:r>
        <w:rPr>
          <w:rFonts w:hint="eastAsia" w:ascii="宋体" w:hAnsi="宋体" w:cs="宋体"/>
          <w:b/>
          <w:kern w:val="0"/>
          <w:sz w:val="21"/>
          <w:szCs w:val="21"/>
        </w:rPr>
        <w:t xml:space="preserve"> </w:t>
      </w:r>
      <w:r>
        <w:rPr>
          <w:rFonts w:hint="eastAsia" w:ascii="宋体" w:hAnsi="宋体" w:cs="宋体"/>
          <w:b/>
          <w:kern w:val="0"/>
          <w:sz w:val="21"/>
          <w:szCs w:val="21"/>
          <w:lang w:val="zh-CN"/>
        </w:rPr>
        <w:t>保密和披露</w:t>
      </w:r>
    </w:p>
    <w:p w14:paraId="69E74467">
      <w:pPr>
        <w:tabs>
          <w:tab w:val="left" w:pos="709"/>
        </w:tabs>
        <w:autoSpaceDE w:val="0"/>
        <w:autoSpaceDN w:val="0"/>
        <w:adjustRightInd w:val="0"/>
        <w:spacing w:line="360" w:lineRule="auto"/>
        <w:ind w:firstLine="482"/>
        <w:rPr>
          <w:rFonts w:ascii="宋体" w:hAnsi="宋体" w:cs="宋体"/>
          <w:color w:val="000000"/>
          <w:kern w:val="0"/>
          <w:sz w:val="21"/>
          <w:szCs w:val="21"/>
          <w:lang w:val="zh-CN"/>
        </w:rPr>
      </w:pPr>
      <w:r>
        <w:rPr>
          <w:rFonts w:hint="eastAsia" w:ascii="宋体" w:hAnsi="宋体" w:cs="宋体"/>
          <w:color w:val="000000"/>
          <w:kern w:val="0"/>
          <w:sz w:val="21"/>
          <w:szCs w:val="21"/>
          <w:lang w:val="zh-CN"/>
        </w:rPr>
        <w:t>23.1</w:t>
      </w:r>
      <w:r>
        <w:rPr>
          <w:rFonts w:hint="eastAsia" w:ascii="宋体" w:hAnsi="宋体" w:cs="宋体"/>
          <w:color w:val="000000"/>
          <w:kern w:val="0"/>
          <w:sz w:val="21"/>
          <w:szCs w:val="21"/>
        </w:rPr>
        <w:t xml:space="preserve"> </w:t>
      </w:r>
      <w:r>
        <w:rPr>
          <w:rFonts w:hint="eastAsia" w:ascii="宋体" w:hAnsi="宋体" w:cs="宋体"/>
          <w:color w:val="000000"/>
          <w:sz w:val="21"/>
          <w:szCs w:val="21"/>
          <w:lang w:val="zh-CN"/>
        </w:rPr>
        <w:t>招标代理机构有权将投标人提供的所有资料向其他政府部门或有关的非政府机构负责评审标书的人员或与评标有关的人员披露。</w:t>
      </w:r>
    </w:p>
    <w:p w14:paraId="32CD8AB6">
      <w:pPr>
        <w:autoSpaceDE w:val="0"/>
        <w:autoSpaceDN w:val="0"/>
        <w:adjustRightInd w:val="0"/>
        <w:spacing w:line="360" w:lineRule="auto"/>
        <w:ind w:firstLine="476"/>
        <w:rPr>
          <w:rFonts w:ascii="宋体" w:hAnsi="宋体" w:cs="宋体"/>
          <w:sz w:val="21"/>
          <w:szCs w:val="21"/>
          <w:lang w:val="zh-CN"/>
        </w:rPr>
      </w:pPr>
      <w:r>
        <w:rPr>
          <w:rFonts w:hint="eastAsia" w:ascii="宋体" w:hAnsi="宋体" w:cs="宋体"/>
          <w:color w:val="000000"/>
          <w:sz w:val="21"/>
          <w:szCs w:val="21"/>
          <w:lang w:val="zh-CN"/>
        </w:rPr>
        <w:t>23.2</w:t>
      </w:r>
      <w:r>
        <w:rPr>
          <w:rFonts w:hint="eastAsia" w:ascii="宋体" w:hAnsi="宋体" w:cs="宋体"/>
          <w:color w:val="000000"/>
          <w:sz w:val="21"/>
          <w:szCs w:val="21"/>
        </w:rPr>
        <w:t xml:space="preserve"> </w:t>
      </w:r>
      <w:r>
        <w:rPr>
          <w:rFonts w:hint="eastAsia" w:ascii="宋体" w:hAnsi="宋体" w:cs="宋体"/>
          <w:sz w:val="21"/>
          <w:szCs w:val="21"/>
          <w:lang w:val="zh-CN"/>
        </w:rPr>
        <w:t>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3EF85D57">
      <w:pPr>
        <w:spacing w:line="360" w:lineRule="auto"/>
        <w:ind w:firstLine="422" w:firstLineChars="200"/>
        <w:rPr>
          <w:rFonts w:ascii="宋体" w:hAnsi="宋体" w:cs="宋体"/>
          <w:b/>
          <w:sz w:val="21"/>
          <w:szCs w:val="21"/>
          <w:lang w:val="zh-CN"/>
        </w:rPr>
      </w:pPr>
      <w:r>
        <w:rPr>
          <w:rFonts w:hint="eastAsia" w:ascii="宋体" w:hAnsi="宋体" w:cs="宋体"/>
          <w:b/>
          <w:sz w:val="21"/>
          <w:szCs w:val="21"/>
          <w:lang w:val="zh-CN"/>
        </w:rPr>
        <w:t>24</w:t>
      </w:r>
      <w:r>
        <w:rPr>
          <w:rFonts w:hint="eastAsia" w:ascii="宋体" w:hAnsi="宋体" w:cs="宋体"/>
          <w:b/>
          <w:sz w:val="21"/>
          <w:szCs w:val="21"/>
        </w:rPr>
        <w:t xml:space="preserve">. </w:t>
      </w:r>
      <w:r>
        <w:rPr>
          <w:rFonts w:hint="eastAsia" w:ascii="宋体" w:hAnsi="宋体" w:cs="宋体"/>
          <w:b/>
          <w:sz w:val="21"/>
          <w:szCs w:val="21"/>
          <w:lang w:val="zh-CN"/>
        </w:rPr>
        <w:t>招标代理服务费</w:t>
      </w:r>
    </w:p>
    <w:p w14:paraId="38172D2E">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24.1 参照国家发展计划委员会计价格[2002]1980号文件收费标准和国家发展改革委员会发改价格[2011]534号文件、执行发改价格[2015]299号文件</w:t>
      </w:r>
      <w:r>
        <w:rPr>
          <w:rFonts w:hint="eastAsia" w:ascii="宋体" w:hAnsi="宋体" w:cs="宋体"/>
          <w:sz w:val="21"/>
          <w:szCs w:val="21"/>
          <w:lang w:val="en-US" w:eastAsia="zh-CN"/>
        </w:rPr>
        <w:t>并结合市场调节价收取</w:t>
      </w:r>
      <w:r>
        <w:rPr>
          <w:rFonts w:hint="eastAsia" w:ascii="宋体" w:hAnsi="宋体" w:cs="宋体"/>
          <w:sz w:val="21"/>
          <w:szCs w:val="21"/>
          <w:lang w:eastAsia="zh-CN"/>
        </w:rPr>
        <w:t>。</w:t>
      </w:r>
    </w:p>
    <w:p w14:paraId="40212B54">
      <w:pPr>
        <w:rPr>
          <w:rFonts w:hint="eastAsia" w:ascii="宋体" w:hAnsi="宋体" w:cs="宋体"/>
          <w:sz w:val="24"/>
          <w:szCs w:val="24"/>
          <w:lang w:eastAsia="zh-CN"/>
        </w:rPr>
      </w:pPr>
      <w:r>
        <w:rPr>
          <w:rFonts w:hint="eastAsia" w:ascii="宋体" w:hAnsi="宋体" w:cs="宋体"/>
          <w:sz w:val="24"/>
          <w:szCs w:val="24"/>
          <w:lang w:eastAsia="zh-CN"/>
        </w:rPr>
        <w:br w:type="page"/>
      </w:r>
    </w:p>
    <w:p w14:paraId="7F99F015">
      <w:pPr>
        <w:pStyle w:val="6"/>
        <w:bidi w:val="0"/>
        <w:jc w:val="center"/>
        <w:outlineLvl w:val="0"/>
        <w:rPr>
          <w:rFonts w:ascii="宋体"/>
          <w:bCs/>
          <w:sz w:val="24"/>
          <w:szCs w:val="24"/>
        </w:rPr>
      </w:pPr>
      <w:bookmarkStart w:id="43" w:name="_Toc495651139"/>
      <w:bookmarkStart w:id="44" w:name="_Toc31487"/>
      <w:r>
        <w:rPr>
          <w:rFonts w:hint="eastAsia" w:cs="Times New Roman"/>
          <w:sz w:val="24"/>
          <w:szCs w:val="24"/>
          <w:lang w:val="zh-CN"/>
        </w:rPr>
        <w:t xml:space="preserve">第三章  </w:t>
      </w:r>
      <w:bookmarkEnd w:id="43"/>
      <w:r>
        <w:rPr>
          <w:rFonts w:hint="eastAsia" w:cs="Times New Roman"/>
          <w:sz w:val="24"/>
          <w:szCs w:val="24"/>
          <w:lang w:val="en-GB"/>
        </w:rPr>
        <w:t>评标办法</w:t>
      </w:r>
      <w:bookmarkEnd w:id="44"/>
    </w:p>
    <w:p w14:paraId="1BF294A2">
      <w:pPr>
        <w:jc w:val="left"/>
        <w:rPr>
          <w:rFonts w:hint="eastAsia" w:ascii="宋体" w:hAnsi="宋体" w:cs="宋体"/>
          <w:b/>
          <w:sz w:val="24"/>
          <w:szCs w:val="24"/>
        </w:rPr>
      </w:pPr>
      <w:bookmarkStart w:id="45" w:name="_Toc497908813"/>
      <w:r>
        <w:rPr>
          <w:rFonts w:hint="eastAsia" w:ascii="宋体" w:hAnsi="宋体" w:cs="宋体"/>
          <w:b/>
          <w:sz w:val="24"/>
          <w:szCs w:val="24"/>
        </w:rPr>
        <w:t>（一）初步评审前附表</w:t>
      </w:r>
      <w:bookmarkEnd w:id="45"/>
    </w:p>
    <w:tbl>
      <w:tblPr>
        <w:tblStyle w:val="28"/>
        <w:tblpPr w:leftFromText="180" w:rightFromText="180" w:vertAnchor="text" w:horzAnchor="page" w:tblpX="1658" w:tblpY="284"/>
        <w:tblOverlap w:val="never"/>
        <w:tblW w:w="9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973"/>
        <w:gridCol w:w="1669"/>
        <w:gridCol w:w="6091"/>
      </w:tblGrid>
      <w:tr w14:paraId="6EFF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723" w:type="dxa"/>
            <w:gridSpan w:val="2"/>
            <w:tcBorders>
              <w:top w:val="single" w:color="000000" w:sz="4" w:space="0"/>
              <w:left w:val="single" w:color="000000" w:sz="4" w:space="0"/>
              <w:bottom w:val="single" w:color="000000" w:sz="4" w:space="0"/>
              <w:right w:val="single" w:color="000000" w:sz="4" w:space="0"/>
            </w:tcBorders>
            <w:vAlign w:val="center"/>
          </w:tcPr>
          <w:p w14:paraId="0B5D313F">
            <w:pPr>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669" w:type="dxa"/>
            <w:tcBorders>
              <w:top w:val="single" w:color="000000" w:sz="4" w:space="0"/>
              <w:left w:val="single" w:color="000000" w:sz="4" w:space="0"/>
              <w:bottom w:val="single" w:color="000000" w:sz="4" w:space="0"/>
              <w:right w:val="single" w:color="000000" w:sz="4" w:space="0"/>
            </w:tcBorders>
            <w:vAlign w:val="center"/>
          </w:tcPr>
          <w:p w14:paraId="4BCD8A73">
            <w:pPr>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6091" w:type="dxa"/>
            <w:tcBorders>
              <w:top w:val="single" w:color="000000" w:sz="4" w:space="0"/>
              <w:left w:val="single" w:color="000000" w:sz="4" w:space="0"/>
              <w:bottom w:val="single" w:color="000000" w:sz="4" w:space="0"/>
              <w:right w:val="single" w:color="000000" w:sz="4" w:space="0"/>
            </w:tcBorders>
            <w:vAlign w:val="center"/>
          </w:tcPr>
          <w:p w14:paraId="16E7A74F">
            <w:pPr>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0CC4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750" w:type="dxa"/>
            <w:vMerge w:val="restart"/>
            <w:tcBorders>
              <w:top w:val="single" w:color="000000" w:sz="4" w:space="0"/>
              <w:left w:val="single" w:color="000000" w:sz="4" w:space="0"/>
              <w:right w:val="single" w:color="000000" w:sz="4" w:space="0"/>
            </w:tcBorders>
            <w:vAlign w:val="center"/>
          </w:tcPr>
          <w:p w14:paraId="48FBAF15">
            <w:pPr>
              <w:jc w:val="center"/>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1</w:t>
            </w:r>
          </w:p>
        </w:tc>
        <w:tc>
          <w:tcPr>
            <w:tcW w:w="973" w:type="dxa"/>
            <w:vMerge w:val="restart"/>
            <w:tcBorders>
              <w:top w:val="single" w:color="000000" w:sz="4" w:space="0"/>
              <w:left w:val="single" w:color="000000" w:sz="4" w:space="0"/>
              <w:right w:val="single" w:color="000000" w:sz="4" w:space="0"/>
            </w:tcBorders>
            <w:vAlign w:val="center"/>
          </w:tcPr>
          <w:p w14:paraId="03FBD96F">
            <w:pPr>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1669" w:type="dxa"/>
            <w:tcBorders>
              <w:top w:val="single" w:color="000000" w:sz="4" w:space="0"/>
              <w:left w:val="single" w:color="000000" w:sz="4" w:space="0"/>
              <w:right w:val="single" w:color="000000" w:sz="4" w:space="0"/>
            </w:tcBorders>
            <w:vAlign w:val="center"/>
          </w:tcPr>
          <w:p w14:paraId="60E5DDA7">
            <w:pPr>
              <w:snapToGrid w:val="0"/>
              <w:spacing w:line="36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rPr>
              <w:t>营业执照</w:t>
            </w:r>
          </w:p>
        </w:tc>
        <w:tc>
          <w:tcPr>
            <w:tcW w:w="6091" w:type="dxa"/>
            <w:tcBorders>
              <w:top w:val="single" w:color="000000" w:sz="4" w:space="0"/>
              <w:left w:val="single" w:color="000000" w:sz="4" w:space="0"/>
              <w:bottom w:val="single" w:color="auto" w:sz="4" w:space="0"/>
              <w:right w:val="single" w:color="000000" w:sz="4" w:space="0"/>
            </w:tcBorders>
            <w:vAlign w:val="center"/>
          </w:tcPr>
          <w:p w14:paraId="5DC753AE">
            <w:pPr>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具备有效的营业执照。</w:t>
            </w:r>
          </w:p>
          <w:p w14:paraId="6A8E7476">
            <w:pPr>
              <w:snapToGrid w:val="0"/>
              <w:spacing w:line="360" w:lineRule="exact"/>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val="zh-CN"/>
              </w:rPr>
              <w:t>文件内附营业执照</w:t>
            </w:r>
            <w:r>
              <w:rPr>
                <w:rFonts w:hint="eastAsia" w:ascii="宋体" w:hAnsi="宋体" w:eastAsia="宋体" w:cs="宋体"/>
                <w:b w:val="0"/>
                <w:bCs w:val="0"/>
                <w:color w:val="auto"/>
                <w:sz w:val="24"/>
                <w:szCs w:val="24"/>
                <w:highlight w:val="none"/>
                <w:lang w:val="en-US" w:eastAsia="zh-CN"/>
              </w:rPr>
              <w:t>原件</w:t>
            </w:r>
            <w:r>
              <w:rPr>
                <w:rFonts w:hint="eastAsia" w:ascii="宋体" w:hAnsi="宋体" w:eastAsia="宋体" w:cs="宋体"/>
                <w:b w:val="0"/>
                <w:bCs w:val="0"/>
                <w:color w:val="auto"/>
                <w:sz w:val="24"/>
                <w:szCs w:val="24"/>
                <w:highlight w:val="none"/>
                <w:lang w:val="zh-CN"/>
              </w:rPr>
              <w:t>扫描件加盖供应商单位公章。</w:t>
            </w:r>
          </w:p>
        </w:tc>
      </w:tr>
      <w:tr w14:paraId="5361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750" w:type="dxa"/>
            <w:vMerge w:val="continue"/>
            <w:tcBorders>
              <w:left w:val="single" w:color="000000" w:sz="4" w:space="0"/>
              <w:right w:val="single" w:color="000000" w:sz="4" w:space="0"/>
            </w:tcBorders>
            <w:vAlign w:val="center"/>
          </w:tcPr>
          <w:p w14:paraId="3951A2EF">
            <w:pPr>
              <w:widowControl/>
              <w:jc w:val="left"/>
              <w:rPr>
                <w:rFonts w:hint="eastAsia" w:ascii="宋体" w:hAnsi="宋体" w:eastAsia="宋体" w:cs="宋体"/>
                <w:sz w:val="24"/>
                <w:szCs w:val="24"/>
              </w:rPr>
            </w:pPr>
          </w:p>
        </w:tc>
        <w:tc>
          <w:tcPr>
            <w:tcW w:w="973" w:type="dxa"/>
            <w:vMerge w:val="continue"/>
            <w:tcBorders>
              <w:left w:val="single" w:color="000000" w:sz="4" w:space="0"/>
              <w:right w:val="single" w:color="000000" w:sz="4" w:space="0"/>
            </w:tcBorders>
            <w:vAlign w:val="center"/>
          </w:tcPr>
          <w:p w14:paraId="2E30C50A">
            <w:pPr>
              <w:widowControl/>
              <w:jc w:val="left"/>
              <w:rPr>
                <w:rFonts w:hint="eastAsia" w:ascii="宋体" w:hAnsi="宋体" w:eastAsia="宋体" w:cs="宋体"/>
                <w:sz w:val="24"/>
                <w:szCs w:val="24"/>
              </w:rPr>
            </w:pPr>
          </w:p>
        </w:tc>
        <w:tc>
          <w:tcPr>
            <w:tcW w:w="1669" w:type="dxa"/>
            <w:tcBorders>
              <w:top w:val="single" w:color="auto" w:sz="4" w:space="0"/>
              <w:left w:val="single" w:color="000000" w:sz="4" w:space="0"/>
              <w:right w:val="single" w:color="000000" w:sz="4" w:space="0"/>
            </w:tcBorders>
            <w:vAlign w:val="center"/>
          </w:tcPr>
          <w:p w14:paraId="479A5A4D">
            <w:pPr>
              <w:spacing w:line="360" w:lineRule="exact"/>
              <w:jc w:val="center"/>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财务要求</w:t>
            </w:r>
          </w:p>
        </w:tc>
        <w:tc>
          <w:tcPr>
            <w:tcW w:w="6091" w:type="dxa"/>
            <w:tcBorders>
              <w:top w:val="single" w:color="auto" w:sz="4" w:space="0"/>
              <w:left w:val="single" w:color="000000" w:sz="4" w:space="0"/>
              <w:bottom w:val="single" w:color="000000" w:sz="4" w:space="0"/>
              <w:right w:val="single" w:color="000000" w:sz="4" w:space="0"/>
            </w:tcBorders>
            <w:vAlign w:val="center"/>
          </w:tcPr>
          <w:p w14:paraId="332F61BE">
            <w:pPr>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提供2024年财务审计报告或财务报表，2025年新成立企业提供当年验资报告或银行出具的公司资信证明；</w:t>
            </w:r>
          </w:p>
          <w:p w14:paraId="758C3C88">
            <w:pPr>
              <w:spacing w:line="360" w:lineRule="exact"/>
              <w:rPr>
                <w:rFonts w:hint="eastAsia" w:ascii="宋体" w:hAnsi="宋体" w:eastAsia="宋体" w:cs="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投标</w:t>
            </w:r>
            <w:r>
              <w:rPr>
                <w:rFonts w:hint="eastAsia" w:ascii="宋体" w:hAnsi="宋体" w:eastAsia="宋体" w:cs="宋体"/>
                <w:b w:val="0"/>
                <w:bCs w:val="0"/>
                <w:color w:val="auto"/>
                <w:kern w:val="2"/>
                <w:sz w:val="24"/>
                <w:szCs w:val="24"/>
                <w:highlight w:val="none"/>
                <w:lang w:val="zh-CN" w:eastAsia="zh-CN" w:bidi="ar-SA"/>
              </w:rPr>
              <w:t>文件内附上述文件</w:t>
            </w:r>
            <w:r>
              <w:rPr>
                <w:rFonts w:hint="eastAsia" w:ascii="宋体" w:hAnsi="宋体" w:eastAsia="宋体" w:cs="宋体"/>
                <w:b w:val="0"/>
                <w:bCs w:val="0"/>
                <w:color w:val="auto"/>
                <w:kern w:val="2"/>
                <w:sz w:val="24"/>
                <w:szCs w:val="24"/>
                <w:highlight w:val="none"/>
                <w:lang w:val="en-US" w:eastAsia="zh-CN" w:bidi="ar-SA"/>
              </w:rPr>
              <w:t>原件</w:t>
            </w:r>
            <w:r>
              <w:rPr>
                <w:rFonts w:hint="eastAsia" w:ascii="宋体" w:hAnsi="宋体" w:eastAsia="宋体" w:cs="宋体"/>
                <w:b w:val="0"/>
                <w:bCs w:val="0"/>
                <w:color w:val="auto"/>
                <w:kern w:val="2"/>
                <w:sz w:val="24"/>
                <w:szCs w:val="24"/>
                <w:highlight w:val="none"/>
                <w:lang w:val="zh-CN" w:eastAsia="zh-CN" w:bidi="ar-SA"/>
              </w:rPr>
              <w:t>扫描件加盖供应商单位公章。</w:t>
            </w:r>
          </w:p>
        </w:tc>
      </w:tr>
      <w:tr w14:paraId="72B6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750" w:type="dxa"/>
            <w:vMerge w:val="continue"/>
            <w:tcBorders>
              <w:left w:val="single" w:color="000000" w:sz="4" w:space="0"/>
              <w:right w:val="single" w:color="000000" w:sz="4" w:space="0"/>
            </w:tcBorders>
            <w:vAlign w:val="center"/>
          </w:tcPr>
          <w:p w14:paraId="3AE1195B">
            <w:pPr>
              <w:widowControl/>
              <w:jc w:val="left"/>
              <w:rPr>
                <w:rFonts w:hint="eastAsia" w:ascii="宋体" w:hAnsi="宋体" w:eastAsia="宋体" w:cs="宋体"/>
                <w:sz w:val="24"/>
                <w:szCs w:val="24"/>
              </w:rPr>
            </w:pPr>
          </w:p>
        </w:tc>
        <w:tc>
          <w:tcPr>
            <w:tcW w:w="973" w:type="dxa"/>
            <w:vMerge w:val="continue"/>
            <w:tcBorders>
              <w:left w:val="single" w:color="000000" w:sz="4" w:space="0"/>
              <w:right w:val="single" w:color="000000" w:sz="4" w:space="0"/>
            </w:tcBorders>
            <w:vAlign w:val="center"/>
          </w:tcPr>
          <w:p w14:paraId="7E0FE112">
            <w:pPr>
              <w:widowControl/>
              <w:jc w:val="left"/>
              <w:rPr>
                <w:rFonts w:hint="eastAsia" w:ascii="宋体" w:hAnsi="宋体" w:eastAsia="宋体" w:cs="宋体"/>
                <w:sz w:val="24"/>
                <w:szCs w:val="24"/>
              </w:rPr>
            </w:pPr>
          </w:p>
        </w:tc>
        <w:tc>
          <w:tcPr>
            <w:tcW w:w="1669" w:type="dxa"/>
            <w:tcBorders>
              <w:top w:val="single" w:color="auto" w:sz="4" w:space="0"/>
              <w:left w:val="single" w:color="000000" w:sz="4" w:space="0"/>
              <w:right w:val="single" w:color="000000" w:sz="4" w:space="0"/>
            </w:tcBorders>
            <w:vAlign w:val="center"/>
          </w:tcPr>
          <w:p w14:paraId="5C9E1C1D">
            <w:pPr>
              <w:snapToGrid w:val="0"/>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信誉要求</w:t>
            </w:r>
          </w:p>
        </w:tc>
        <w:tc>
          <w:tcPr>
            <w:tcW w:w="6091" w:type="dxa"/>
            <w:tcBorders>
              <w:top w:val="single" w:color="auto" w:sz="4" w:space="0"/>
              <w:left w:val="single" w:color="000000" w:sz="4" w:space="0"/>
              <w:bottom w:val="single" w:color="000000" w:sz="4" w:space="0"/>
              <w:right w:val="single" w:color="000000" w:sz="4" w:space="0"/>
            </w:tcBorders>
            <w:vAlign w:val="center"/>
          </w:tcPr>
          <w:p w14:paraId="554A6DAE">
            <w:pPr>
              <w:snapToGrid w:val="0"/>
              <w:spacing w:line="3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未被列入“信用中国”网站（www.creditchina.gov.cn）、中国政府采购网（www.ccgp.gov.cn）等渠道信用记录失信被执行人、重大税收违法失信主体、政府采购严重违法失信行为记录名单（须提供网络截图加盖公章）；</w:t>
            </w:r>
          </w:p>
          <w:p w14:paraId="4B52A5C5">
            <w:pPr>
              <w:snapToGrid w:val="0"/>
              <w:spacing w:line="360" w:lineRule="exact"/>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zh-CN"/>
              </w:rPr>
              <w:t>投标文件内附由法定代表人或其委托代理人签字并加盖供应商公章的承诺书</w:t>
            </w:r>
            <w:r>
              <w:rPr>
                <w:rFonts w:hint="eastAsia" w:ascii="宋体" w:hAnsi="宋体" w:eastAsia="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zh-CN"/>
              </w:rPr>
              <w:t>网页截图。</w:t>
            </w:r>
          </w:p>
        </w:tc>
      </w:tr>
      <w:tr w14:paraId="0D61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750" w:type="dxa"/>
            <w:vMerge w:val="continue"/>
            <w:tcBorders>
              <w:left w:val="single" w:color="000000" w:sz="4" w:space="0"/>
              <w:right w:val="single" w:color="000000" w:sz="4" w:space="0"/>
            </w:tcBorders>
            <w:vAlign w:val="center"/>
          </w:tcPr>
          <w:p w14:paraId="51C68B2E">
            <w:pPr>
              <w:snapToGrid w:val="0"/>
              <w:spacing w:line="360" w:lineRule="exact"/>
              <w:rPr>
                <w:rFonts w:hint="eastAsia" w:ascii="宋体" w:hAnsi="宋体" w:eastAsia="宋体" w:cs="宋体"/>
                <w:sz w:val="24"/>
                <w:szCs w:val="24"/>
              </w:rPr>
            </w:pPr>
          </w:p>
        </w:tc>
        <w:tc>
          <w:tcPr>
            <w:tcW w:w="973" w:type="dxa"/>
            <w:vMerge w:val="continue"/>
            <w:tcBorders>
              <w:left w:val="single" w:color="000000" w:sz="4" w:space="0"/>
              <w:right w:val="single" w:color="000000" w:sz="4" w:space="0"/>
            </w:tcBorders>
            <w:vAlign w:val="center"/>
          </w:tcPr>
          <w:p w14:paraId="66F0BA36">
            <w:pPr>
              <w:snapToGrid w:val="0"/>
              <w:spacing w:line="360" w:lineRule="exact"/>
              <w:rPr>
                <w:rFonts w:hint="eastAsia" w:ascii="宋体" w:hAnsi="宋体" w:eastAsia="宋体" w:cs="宋体"/>
                <w:sz w:val="24"/>
                <w:szCs w:val="24"/>
              </w:rPr>
            </w:pPr>
          </w:p>
        </w:tc>
        <w:tc>
          <w:tcPr>
            <w:tcW w:w="1669" w:type="dxa"/>
            <w:tcBorders>
              <w:top w:val="single" w:color="auto" w:sz="4" w:space="0"/>
              <w:left w:val="single" w:color="000000" w:sz="4" w:space="0"/>
              <w:right w:val="single" w:color="000000" w:sz="4" w:space="0"/>
            </w:tcBorders>
            <w:vAlign w:val="center"/>
          </w:tcPr>
          <w:p w14:paraId="31CDEBB2">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有依法缴纳税收和社会保障资金的良好记录</w:t>
            </w:r>
          </w:p>
        </w:tc>
        <w:tc>
          <w:tcPr>
            <w:tcW w:w="6091" w:type="dxa"/>
            <w:tcBorders>
              <w:top w:val="single" w:color="auto" w:sz="4" w:space="0"/>
              <w:left w:val="single" w:color="000000" w:sz="4" w:space="0"/>
              <w:bottom w:val="single" w:color="000000" w:sz="4" w:space="0"/>
              <w:right w:val="single" w:color="000000" w:sz="4" w:space="0"/>
            </w:tcBorders>
            <w:vAlign w:val="center"/>
          </w:tcPr>
          <w:p w14:paraId="76C745CF">
            <w:pPr>
              <w:snapToGrid w:val="0"/>
              <w:spacing w:line="360" w:lineRule="exact"/>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供应商具有依法缴纳税收和依法缴纳社会保障资金的良好记录，需投标人提供投标截止日期前六个月内任意一个月的依法缴纳税收和社会保障资金相关证明材料；</w:t>
            </w:r>
          </w:p>
          <w:p w14:paraId="38666C36">
            <w:pPr>
              <w:snapToGrid w:val="0"/>
              <w:spacing w:line="360" w:lineRule="exact"/>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zh-CN" w:eastAsia="zh-CN"/>
              </w:rPr>
              <w:t>投标文件内附</w:t>
            </w:r>
            <w:r>
              <w:rPr>
                <w:rFonts w:hint="eastAsia" w:ascii="宋体" w:hAnsi="宋体" w:eastAsia="宋体" w:cs="宋体"/>
                <w:b w:val="0"/>
                <w:bCs w:val="0"/>
                <w:color w:val="auto"/>
                <w:sz w:val="24"/>
                <w:szCs w:val="24"/>
                <w:highlight w:val="none"/>
                <w:lang w:val="en-US" w:eastAsia="zh-CN"/>
              </w:rPr>
              <w:t>证明材料</w:t>
            </w:r>
            <w:r>
              <w:rPr>
                <w:rFonts w:hint="eastAsia" w:ascii="宋体" w:hAnsi="宋体" w:eastAsia="宋体" w:cs="宋体"/>
                <w:b w:val="0"/>
                <w:bCs w:val="0"/>
                <w:color w:val="auto"/>
                <w:sz w:val="24"/>
                <w:szCs w:val="24"/>
                <w:highlight w:val="none"/>
                <w:lang w:val="zh-CN" w:eastAsia="zh-CN"/>
              </w:rPr>
              <w:t>扫描件加盖供应商单位公章。</w:t>
            </w:r>
          </w:p>
        </w:tc>
      </w:tr>
      <w:tr w14:paraId="5D64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750" w:type="dxa"/>
            <w:vMerge w:val="continue"/>
            <w:tcBorders>
              <w:left w:val="single" w:color="000000" w:sz="4" w:space="0"/>
              <w:right w:val="single" w:color="000000" w:sz="4" w:space="0"/>
            </w:tcBorders>
            <w:vAlign w:val="center"/>
          </w:tcPr>
          <w:p w14:paraId="1280A192">
            <w:pPr>
              <w:widowControl/>
              <w:jc w:val="left"/>
              <w:rPr>
                <w:rFonts w:hint="eastAsia" w:ascii="宋体" w:hAnsi="宋体" w:eastAsia="宋体" w:cs="宋体"/>
                <w:sz w:val="24"/>
                <w:szCs w:val="24"/>
              </w:rPr>
            </w:pPr>
          </w:p>
        </w:tc>
        <w:tc>
          <w:tcPr>
            <w:tcW w:w="973" w:type="dxa"/>
            <w:vMerge w:val="continue"/>
            <w:tcBorders>
              <w:left w:val="single" w:color="000000" w:sz="4" w:space="0"/>
              <w:right w:val="single" w:color="000000" w:sz="4" w:space="0"/>
            </w:tcBorders>
            <w:vAlign w:val="center"/>
          </w:tcPr>
          <w:p w14:paraId="5B127354">
            <w:pPr>
              <w:widowControl/>
              <w:jc w:val="left"/>
              <w:rPr>
                <w:rFonts w:hint="eastAsia" w:ascii="宋体" w:hAnsi="宋体" w:eastAsia="宋体" w:cs="宋体"/>
                <w:sz w:val="24"/>
                <w:szCs w:val="24"/>
              </w:rPr>
            </w:pPr>
          </w:p>
        </w:tc>
        <w:tc>
          <w:tcPr>
            <w:tcW w:w="1669" w:type="dxa"/>
            <w:tcBorders>
              <w:top w:val="single" w:color="000000" w:sz="4" w:space="0"/>
              <w:left w:val="single" w:color="000000" w:sz="4" w:space="0"/>
              <w:right w:val="single" w:color="000000" w:sz="4" w:space="0"/>
            </w:tcBorders>
            <w:vAlign w:val="center"/>
          </w:tcPr>
          <w:p w14:paraId="075AA3B8">
            <w:pPr>
              <w:widowControl/>
              <w:spacing w:line="360" w:lineRule="exact"/>
              <w:jc w:val="center"/>
              <w:rPr>
                <w:rFonts w:hint="eastAsia" w:ascii="宋体" w:hAnsi="宋体" w:eastAsia="宋体" w:cs="宋体"/>
                <w:sz w:val="24"/>
                <w:szCs w:val="24"/>
              </w:rPr>
            </w:pPr>
            <w:r>
              <w:rPr>
                <w:rFonts w:hint="eastAsia" w:ascii="宋体" w:hAnsi="宋体" w:eastAsia="宋体" w:cs="宋体"/>
                <w:bCs/>
                <w:color w:val="auto"/>
                <w:sz w:val="24"/>
                <w:szCs w:val="24"/>
                <w:highlight w:val="none"/>
              </w:rPr>
              <w:t>信誉良好承诺书</w:t>
            </w:r>
          </w:p>
        </w:tc>
        <w:tc>
          <w:tcPr>
            <w:tcW w:w="6091" w:type="dxa"/>
            <w:tcBorders>
              <w:top w:val="single" w:color="000000" w:sz="4" w:space="0"/>
              <w:left w:val="single" w:color="000000" w:sz="4" w:space="0"/>
              <w:right w:val="single" w:color="000000" w:sz="4" w:space="0"/>
            </w:tcBorders>
            <w:vAlign w:val="center"/>
          </w:tcPr>
          <w:p w14:paraId="717CFE84">
            <w:pPr>
              <w:spacing w:line="360" w:lineRule="exact"/>
              <w:jc w:val="left"/>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与供应商存在利害关系可能影响</w:t>
            </w:r>
            <w:r>
              <w:rPr>
                <w:rFonts w:hint="eastAsia" w:ascii="宋体" w:hAnsi="宋体" w:eastAsia="宋体" w:cs="宋体"/>
                <w:b w:val="0"/>
                <w:bCs w:val="0"/>
                <w:color w:val="auto"/>
                <w:kern w:val="0"/>
                <w:sz w:val="24"/>
                <w:szCs w:val="24"/>
                <w:highlight w:val="none"/>
              </w:rPr>
              <w:t>招标</w:t>
            </w:r>
            <w:r>
              <w:rPr>
                <w:rFonts w:hint="eastAsia" w:ascii="宋体" w:hAnsi="宋体" w:eastAsia="宋体" w:cs="宋体"/>
                <w:b w:val="0"/>
                <w:bCs w:val="0"/>
                <w:color w:val="auto"/>
                <w:kern w:val="0"/>
                <w:sz w:val="24"/>
                <w:szCs w:val="24"/>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7107A9F4">
            <w:pPr>
              <w:widowControl/>
              <w:spacing w:line="360" w:lineRule="exact"/>
              <w:jc w:val="left"/>
              <w:rPr>
                <w:rFonts w:hint="eastAsia" w:ascii="宋体" w:hAnsi="宋体" w:eastAsia="宋体" w:cs="宋体"/>
                <w:sz w:val="24"/>
                <w:szCs w:val="24"/>
              </w:rPr>
            </w:pPr>
            <w:r>
              <w:rPr>
                <w:rFonts w:hint="eastAsia" w:ascii="宋体" w:hAnsi="宋体" w:eastAsia="宋体" w:cs="宋体"/>
                <w:b w:val="0"/>
                <w:bCs w:val="0"/>
                <w:color w:val="auto"/>
                <w:sz w:val="24"/>
                <w:szCs w:val="24"/>
                <w:highlight w:val="none"/>
              </w:rPr>
              <w:t>提供法人代表或其授权委托人签字并加盖公章的承诺书。</w:t>
            </w:r>
          </w:p>
        </w:tc>
      </w:tr>
      <w:tr w14:paraId="702B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EAC8B6B">
            <w:pPr>
              <w:jc w:val="center"/>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2</w:t>
            </w:r>
          </w:p>
        </w:tc>
        <w:tc>
          <w:tcPr>
            <w:tcW w:w="973" w:type="dxa"/>
            <w:vMerge w:val="restart"/>
            <w:tcBorders>
              <w:top w:val="single" w:color="000000" w:sz="4" w:space="0"/>
              <w:left w:val="single" w:color="000000" w:sz="4" w:space="0"/>
              <w:bottom w:val="single" w:color="000000" w:sz="4" w:space="0"/>
              <w:right w:val="single" w:color="000000" w:sz="4" w:space="0"/>
            </w:tcBorders>
            <w:vAlign w:val="center"/>
          </w:tcPr>
          <w:p w14:paraId="03E0504A">
            <w:pPr>
              <w:jc w:val="center"/>
              <w:rPr>
                <w:rFonts w:hint="eastAsia" w:ascii="宋体" w:hAnsi="宋体" w:eastAsia="宋体" w:cs="宋体"/>
                <w:sz w:val="24"/>
                <w:szCs w:val="24"/>
              </w:rPr>
            </w:pPr>
            <w:r>
              <w:rPr>
                <w:rFonts w:hint="eastAsia" w:ascii="宋体" w:hAnsi="宋体" w:eastAsia="宋体" w:cs="宋体"/>
                <w:sz w:val="24"/>
                <w:szCs w:val="24"/>
                <w:lang w:val="en-US" w:eastAsia="zh-CN"/>
              </w:rPr>
              <w:t>符合</w:t>
            </w:r>
            <w:r>
              <w:rPr>
                <w:rFonts w:hint="eastAsia" w:ascii="宋体" w:hAnsi="宋体" w:eastAsia="宋体" w:cs="宋体"/>
                <w:sz w:val="24"/>
                <w:szCs w:val="24"/>
              </w:rPr>
              <w:t>性评审标准</w:t>
            </w:r>
          </w:p>
        </w:tc>
        <w:tc>
          <w:tcPr>
            <w:tcW w:w="1669" w:type="dxa"/>
            <w:tcBorders>
              <w:top w:val="single" w:color="000000" w:sz="4" w:space="0"/>
              <w:left w:val="single" w:color="000000" w:sz="4" w:space="0"/>
              <w:right w:val="single" w:color="000000" w:sz="4" w:space="0"/>
            </w:tcBorders>
            <w:vAlign w:val="center"/>
          </w:tcPr>
          <w:p w14:paraId="4CECA52B">
            <w:pPr>
              <w:snapToGrid w:val="0"/>
              <w:spacing w:line="360" w:lineRule="exact"/>
              <w:jc w:val="center"/>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报价</w:t>
            </w:r>
          </w:p>
        </w:tc>
        <w:tc>
          <w:tcPr>
            <w:tcW w:w="6091" w:type="dxa"/>
            <w:tcBorders>
              <w:top w:val="single" w:color="000000" w:sz="4" w:space="0"/>
              <w:left w:val="single" w:color="000000" w:sz="4" w:space="0"/>
              <w:bottom w:val="single" w:color="000000" w:sz="4" w:space="0"/>
              <w:right w:val="single" w:color="000000" w:sz="4" w:space="0"/>
            </w:tcBorders>
            <w:vAlign w:val="center"/>
          </w:tcPr>
          <w:p w14:paraId="06409D9D">
            <w:pPr>
              <w:snapToGrid w:val="0"/>
              <w:spacing w:line="360" w:lineRule="exact"/>
              <w:rPr>
                <w:rFonts w:hint="eastAsia" w:ascii="宋体" w:hAnsi="宋体" w:eastAsia="宋体" w:cs="宋体"/>
                <w:sz w:val="24"/>
                <w:szCs w:val="24"/>
                <w:lang w:eastAsia="zh-CN"/>
              </w:rPr>
            </w:pPr>
            <w:r>
              <w:rPr>
                <w:rFonts w:hint="eastAsia" w:ascii="宋体" w:hAnsi="宋体" w:eastAsia="宋体" w:cs="宋体"/>
                <w:b w:val="0"/>
                <w:bCs w:val="0"/>
                <w:color w:val="auto"/>
                <w:sz w:val="24"/>
                <w:szCs w:val="24"/>
                <w:highlight w:val="none"/>
              </w:rPr>
              <w:t>供应商的</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报价不得超过</w:t>
            </w:r>
            <w:r>
              <w:rPr>
                <w:rFonts w:hint="eastAsia" w:ascii="宋体" w:hAnsi="宋体" w:eastAsia="宋体" w:cs="宋体"/>
                <w:b w:val="0"/>
                <w:bCs w:val="0"/>
                <w:color w:val="auto"/>
                <w:sz w:val="24"/>
                <w:szCs w:val="24"/>
                <w:highlight w:val="none"/>
                <w:lang w:val="en-US" w:eastAsia="zh-CN"/>
              </w:rPr>
              <w:t>采购预算（</w:t>
            </w:r>
            <w:r>
              <w:rPr>
                <w:rFonts w:hint="eastAsia" w:ascii="宋体" w:hAnsi="宋体" w:eastAsia="宋体" w:cs="宋体"/>
                <w:b w:val="0"/>
                <w:bCs w:val="0"/>
                <w:color w:val="auto"/>
                <w:sz w:val="24"/>
                <w:szCs w:val="24"/>
                <w:highlight w:val="none"/>
              </w:rPr>
              <w:t>最高投标限价</w:t>
            </w:r>
            <w:r>
              <w:rPr>
                <w:rFonts w:hint="eastAsia" w:ascii="宋体" w:hAnsi="宋体" w:eastAsia="宋体" w:cs="宋体"/>
                <w:b w:val="0"/>
                <w:bCs w:val="0"/>
                <w:color w:val="auto"/>
                <w:sz w:val="24"/>
                <w:szCs w:val="24"/>
                <w:highlight w:val="none"/>
                <w:lang w:val="en-US" w:eastAsia="zh-CN"/>
              </w:rPr>
              <w:t>88万元）</w:t>
            </w:r>
            <w:r>
              <w:rPr>
                <w:rFonts w:hint="eastAsia" w:ascii="宋体" w:hAnsi="宋体" w:eastAsia="宋体" w:cs="宋体"/>
                <w:b w:val="0"/>
                <w:bCs w:val="0"/>
                <w:color w:val="auto"/>
                <w:sz w:val="24"/>
                <w:szCs w:val="24"/>
                <w:highlight w:val="none"/>
              </w:rPr>
              <w:t>。</w:t>
            </w:r>
          </w:p>
        </w:tc>
      </w:tr>
      <w:tr w14:paraId="787B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4DF2201">
            <w:pPr>
              <w:widowControl/>
              <w:jc w:val="left"/>
              <w:rPr>
                <w:rFonts w:hint="eastAsia" w:ascii="宋体" w:hAnsi="宋体" w:eastAsia="宋体" w:cs="宋体"/>
                <w:sz w:val="24"/>
                <w:szCs w:val="24"/>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312DE0A9">
            <w:pPr>
              <w:widowControl/>
              <w:jc w:val="left"/>
              <w:rPr>
                <w:rFonts w:hint="eastAsia" w:ascii="宋体" w:hAnsi="宋体" w:eastAsia="宋体" w:cs="宋体"/>
                <w:sz w:val="24"/>
                <w:szCs w:val="24"/>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1BB5AFC3">
            <w:pPr>
              <w:spacing w:line="36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有效期</w:t>
            </w:r>
          </w:p>
        </w:tc>
        <w:tc>
          <w:tcPr>
            <w:tcW w:w="6091" w:type="dxa"/>
            <w:tcBorders>
              <w:top w:val="single" w:color="000000" w:sz="4" w:space="0"/>
              <w:left w:val="single" w:color="000000" w:sz="4" w:space="0"/>
              <w:bottom w:val="single" w:color="000000" w:sz="4" w:space="0"/>
              <w:right w:val="single" w:color="000000" w:sz="4" w:space="0"/>
            </w:tcBorders>
            <w:vAlign w:val="center"/>
          </w:tcPr>
          <w:p w14:paraId="624464A3">
            <w:pPr>
              <w:spacing w:line="360" w:lineRule="exact"/>
              <w:jc w:val="left"/>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rPr>
              <w:t>文件提交截止之日起90日历天</w:t>
            </w:r>
            <w:r>
              <w:rPr>
                <w:rFonts w:hint="eastAsia" w:ascii="宋体" w:hAnsi="宋体" w:eastAsia="宋体" w:cs="宋体"/>
                <w:b w:val="0"/>
                <w:bCs w:val="0"/>
                <w:color w:val="auto"/>
                <w:kern w:val="0"/>
                <w:sz w:val="24"/>
                <w:szCs w:val="24"/>
                <w:highlight w:val="none"/>
                <w:lang w:val="zh-CN" w:eastAsia="zh-CN"/>
              </w:rPr>
              <w:t>。</w:t>
            </w:r>
          </w:p>
        </w:tc>
      </w:tr>
      <w:tr w14:paraId="0A37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CADB647">
            <w:pPr>
              <w:widowControl/>
              <w:jc w:val="left"/>
              <w:rPr>
                <w:rFonts w:hint="eastAsia" w:ascii="宋体" w:hAnsi="宋体" w:eastAsia="宋体" w:cs="宋体"/>
                <w:sz w:val="24"/>
                <w:szCs w:val="24"/>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2DDF93AD">
            <w:pPr>
              <w:widowControl/>
              <w:jc w:val="left"/>
              <w:rPr>
                <w:rFonts w:hint="eastAsia" w:ascii="宋体" w:hAnsi="宋体" w:eastAsia="宋体" w:cs="宋体"/>
                <w:sz w:val="24"/>
                <w:szCs w:val="24"/>
              </w:rPr>
            </w:pPr>
          </w:p>
        </w:tc>
        <w:tc>
          <w:tcPr>
            <w:tcW w:w="1669" w:type="dxa"/>
            <w:tcBorders>
              <w:top w:val="single" w:color="000000" w:sz="4" w:space="0"/>
              <w:left w:val="single" w:color="000000" w:sz="4" w:space="0"/>
              <w:bottom w:val="single" w:color="000000" w:sz="4" w:space="0"/>
              <w:right w:val="single" w:color="000000" w:sz="4" w:space="0"/>
            </w:tcBorders>
            <w:vAlign w:val="center"/>
          </w:tcPr>
          <w:p w14:paraId="3C59A192">
            <w:pPr>
              <w:spacing w:line="36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highlight w:val="none"/>
                <w:lang w:val="zh-CN"/>
              </w:rPr>
              <w:t>服务标准</w:t>
            </w:r>
          </w:p>
        </w:tc>
        <w:tc>
          <w:tcPr>
            <w:tcW w:w="6091" w:type="dxa"/>
            <w:tcBorders>
              <w:top w:val="single" w:color="000000" w:sz="4" w:space="0"/>
              <w:left w:val="single" w:color="000000" w:sz="4" w:space="0"/>
              <w:bottom w:val="single" w:color="000000" w:sz="4" w:space="0"/>
              <w:right w:val="single" w:color="000000" w:sz="4" w:space="0"/>
            </w:tcBorders>
            <w:vAlign w:val="center"/>
          </w:tcPr>
          <w:p w14:paraId="4CEB1970">
            <w:pPr>
              <w:spacing w:line="360" w:lineRule="exact"/>
              <w:jc w:val="left"/>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lang w:val="zh-CN"/>
              </w:rPr>
              <w:t>满足</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lang w:val="zh-CN"/>
              </w:rPr>
              <w:t>文件要求。</w:t>
            </w:r>
          </w:p>
        </w:tc>
      </w:tr>
      <w:tr w14:paraId="2D6B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37786A2">
            <w:pPr>
              <w:widowControl/>
              <w:jc w:val="left"/>
              <w:rPr>
                <w:rFonts w:hint="eastAsia" w:ascii="宋体" w:hAnsi="宋体" w:eastAsia="宋体" w:cs="宋体"/>
                <w:sz w:val="24"/>
                <w:szCs w:val="24"/>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052623CA">
            <w:pPr>
              <w:widowControl/>
              <w:jc w:val="left"/>
              <w:rPr>
                <w:rFonts w:hint="eastAsia" w:ascii="宋体" w:hAnsi="宋体" w:eastAsia="宋体" w:cs="宋体"/>
                <w:sz w:val="24"/>
                <w:szCs w:val="24"/>
              </w:rPr>
            </w:pPr>
          </w:p>
        </w:tc>
        <w:tc>
          <w:tcPr>
            <w:tcW w:w="1669" w:type="dxa"/>
            <w:tcBorders>
              <w:top w:val="single" w:color="000000" w:sz="4" w:space="0"/>
              <w:left w:val="single" w:color="000000" w:sz="4" w:space="0"/>
              <w:right w:val="single" w:color="000000" w:sz="4" w:space="0"/>
            </w:tcBorders>
            <w:vAlign w:val="center"/>
          </w:tcPr>
          <w:p w14:paraId="18722BFD">
            <w:pPr>
              <w:spacing w:line="36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highlight w:val="none"/>
                <w:lang w:val="zh-CN"/>
              </w:rPr>
              <w:t>采购需求</w:t>
            </w:r>
          </w:p>
        </w:tc>
        <w:tc>
          <w:tcPr>
            <w:tcW w:w="6091" w:type="dxa"/>
            <w:tcBorders>
              <w:top w:val="single" w:color="000000" w:sz="4" w:space="0"/>
              <w:left w:val="single" w:color="000000" w:sz="4" w:space="0"/>
              <w:bottom w:val="single" w:color="000000" w:sz="4" w:space="0"/>
              <w:right w:val="single" w:color="000000" w:sz="4" w:space="0"/>
            </w:tcBorders>
            <w:vAlign w:val="center"/>
          </w:tcPr>
          <w:p w14:paraId="6EEE8BB2">
            <w:pPr>
              <w:spacing w:line="360" w:lineRule="exact"/>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zh-CN"/>
              </w:rPr>
              <w:t>满足</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文件要求。</w:t>
            </w:r>
          </w:p>
        </w:tc>
      </w:tr>
    </w:tbl>
    <w:p w14:paraId="51FA252A">
      <w:pPr>
        <w:pStyle w:val="8"/>
        <w:rPr>
          <w:rFonts w:hint="eastAsia" w:ascii="宋体" w:hAnsi="宋体" w:eastAsia="宋体" w:cs="宋体"/>
          <w:sz w:val="24"/>
          <w:szCs w:val="24"/>
        </w:rPr>
      </w:pPr>
    </w:p>
    <w:p w14:paraId="7CD99911">
      <w:pPr>
        <w:pStyle w:val="8"/>
        <w:rPr>
          <w:rFonts w:hint="eastAsia" w:ascii="宋体" w:hAnsi="宋体" w:eastAsia="宋体" w:cs="宋体"/>
          <w:sz w:val="24"/>
          <w:szCs w:val="24"/>
        </w:rPr>
      </w:pPr>
    </w:p>
    <w:p w14:paraId="7F2D3463">
      <w:pPr>
        <w:jc w:val="left"/>
        <w:rPr>
          <w:rFonts w:hint="eastAsia" w:ascii="宋体" w:hAnsi="宋体" w:eastAsia="宋体" w:cs="宋体"/>
          <w:sz w:val="24"/>
          <w:szCs w:val="24"/>
          <w:lang w:eastAsia="zh-CN"/>
        </w:rPr>
      </w:pPr>
      <w:r>
        <w:rPr>
          <w:rFonts w:hint="eastAsia" w:ascii="宋体" w:hAnsi="宋体" w:eastAsia="宋体" w:cs="宋体"/>
          <w:sz w:val="24"/>
          <w:szCs w:val="24"/>
        </w:rPr>
        <w:t>注：评标委员会将依据上表标准对投标文件进行初步评审。有一项不符合评审标准的，评标委员会应当否决其投标。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投标人报价低于其他通过符合性审查投标人的平均报价20％时。可被视为明显低价。</w:t>
      </w:r>
      <w:r>
        <w:rPr>
          <w:rFonts w:hint="eastAsia" w:ascii="宋体" w:hAnsi="宋体" w:eastAsia="宋体" w:cs="宋体"/>
          <w:sz w:val="24"/>
          <w:szCs w:val="24"/>
          <w:lang w:eastAsia="zh-CN"/>
        </w:rPr>
        <w:t>）</w:t>
      </w:r>
    </w:p>
    <w:p w14:paraId="1CC3E9A5">
      <w:pPr>
        <w:rPr>
          <w:rFonts w:hint="eastAsia" w:ascii="宋体" w:hAnsi="宋体" w:eastAsia="宋体" w:cs="宋体"/>
          <w:b/>
          <w:bCs/>
          <w:sz w:val="24"/>
          <w:szCs w:val="24"/>
        </w:rPr>
      </w:pPr>
    </w:p>
    <w:p w14:paraId="7ACD0E4E">
      <w:pPr>
        <w:rPr>
          <w:rFonts w:hint="eastAsia" w:ascii="宋体"/>
          <w:b/>
          <w:bCs/>
          <w:sz w:val="24"/>
          <w:szCs w:val="24"/>
        </w:rPr>
      </w:pPr>
      <w:r>
        <w:rPr>
          <w:rFonts w:hint="eastAsia" w:ascii="宋体" w:hAnsi="宋体" w:eastAsia="宋体" w:cs="宋体"/>
          <w:b/>
          <w:bCs/>
          <w:sz w:val="24"/>
          <w:szCs w:val="24"/>
        </w:rPr>
        <w:br w:type="page"/>
      </w:r>
    </w:p>
    <w:p w14:paraId="2318153B">
      <w:pPr>
        <w:jc w:val="center"/>
        <w:rPr>
          <w:rFonts w:hint="eastAsia" w:ascii="宋体" w:hAnsi="宋体" w:eastAsia="宋体" w:cs="宋体"/>
          <w:b/>
          <w:sz w:val="28"/>
          <w:szCs w:val="28"/>
        </w:rPr>
      </w:pPr>
      <w:r>
        <w:rPr>
          <w:rFonts w:hint="eastAsia" w:ascii="宋体" w:hAnsi="宋体" w:eastAsia="宋体" w:cs="宋体"/>
          <w:b/>
          <w:sz w:val="28"/>
          <w:szCs w:val="28"/>
        </w:rPr>
        <w:t>（二）详 细 评 审 表</w:t>
      </w:r>
    </w:p>
    <w:p w14:paraId="3E936EFC">
      <w:pPr>
        <w:rPr>
          <w:rFonts w:hint="eastAsia" w:ascii="宋体"/>
          <w:bCs/>
          <w:sz w:val="24"/>
          <w:szCs w:val="24"/>
        </w:rPr>
      </w:pPr>
      <w:bookmarkStart w:id="46" w:name="_Toc495651140"/>
    </w:p>
    <w:tbl>
      <w:tblPr>
        <w:tblStyle w:val="28"/>
        <w:tblW w:w="5174"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68"/>
        <w:gridCol w:w="995"/>
        <w:gridCol w:w="1314"/>
        <w:gridCol w:w="6757"/>
        <w:gridCol w:w="813"/>
      </w:tblGrid>
      <w:tr w14:paraId="1828AD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404" w:type="pct"/>
            <w:tcBorders>
              <w:top w:val="single" w:color="000000" w:sz="12" w:space="0"/>
            </w:tcBorders>
            <w:noWrap w:val="0"/>
            <w:vAlign w:val="center"/>
          </w:tcPr>
          <w:p w14:paraId="2A335ACC">
            <w:pPr>
              <w:spacing w:line="380" w:lineRule="exact"/>
              <w:jc w:val="center"/>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color w:val="auto"/>
                <w:sz w:val="21"/>
                <w:szCs w:val="21"/>
                <w:highlight w:val="none"/>
              </w:rPr>
              <w:t>序号</w:t>
            </w:r>
          </w:p>
        </w:tc>
        <w:tc>
          <w:tcPr>
            <w:tcW w:w="1074" w:type="pct"/>
            <w:gridSpan w:val="2"/>
            <w:tcBorders>
              <w:top w:val="single" w:color="000000" w:sz="12" w:space="0"/>
            </w:tcBorders>
            <w:noWrap w:val="0"/>
            <w:vAlign w:val="center"/>
          </w:tcPr>
          <w:p w14:paraId="17141E5A">
            <w:pPr>
              <w:spacing w:line="380" w:lineRule="exact"/>
              <w:jc w:val="center"/>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评分内容</w:t>
            </w:r>
          </w:p>
        </w:tc>
        <w:tc>
          <w:tcPr>
            <w:tcW w:w="3143" w:type="pct"/>
            <w:tcBorders>
              <w:top w:val="single" w:color="000000" w:sz="12" w:space="0"/>
            </w:tcBorders>
            <w:noWrap w:val="0"/>
            <w:vAlign w:val="center"/>
          </w:tcPr>
          <w:p w14:paraId="56410AB4">
            <w:pPr>
              <w:shd w:val="solid" w:color="FFFFFF" w:fill="auto"/>
              <w:autoSpaceDN w:val="0"/>
              <w:spacing w:line="380" w:lineRule="exact"/>
              <w:jc w:val="center"/>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评分标准</w:t>
            </w:r>
          </w:p>
        </w:tc>
        <w:tc>
          <w:tcPr>
            <w:tcW w:w="378" w:type="pct"/>
            <w:tcBorders>
              <w:top w:val="single" w:color="000000" w:sz="12" w:space="0"/>
            </w:tcBorders>
            <w:noWrap w:val="0"/>
            <w:vAlign w:val="center"/>
          </w:tcPr>
          <w:p w14:paraId="125C685D">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7FDC8C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04" w:type="pct"/>
            <w:noWrap w:val="0"/>
            <w:vAlign w:val="center"/>
          </w:tcPr>
          <w:p w14:paraId="6C32D82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4" w:type="pct"/>
            <w:gridSpan w:val="2"/>
            <w:noWrap w:val="0"/>
            <w:vAlign w:val="center"/>
          </w:tcPr>
          <w:p w14:paraId="02F47A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628721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3143" w:type="pct"/>
            <w:noWrap w:val="0"/>
            <w:vAlign w:val="center"/>
          </w:tcPr>
          <w:p w14:paraId="42EB7B25">
            <w:pPr>
              <w:pStyle w:val="1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1、由评标委员会根据《政府采购货物和服务招标投标管理办法》 第六十条的规定，对所有通过符合性审查的投标人的投标报价是 否合理进行审查；</w:t>
            </w:r>
          </w:p>
          <w:p w14:paraId="3D5D1077">
            <w:pPr>
              <w:pStyle w:val="1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2、满足招标文件要求且合理有效的投标报价中，投标价格最低 的投标报价为评标基准价，其价格分为满分。</w:t>
            </w:r>
          </w:p>
          <w:p w14:paraId="2C3D121A">
            <w:pPr>
              <w:pStyle w:val="1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3、投标报价得分=(评标基准价/投标报价)×100%×30，超出招标控制价的投标报价为无效报价。</w:t>
            </w:r>
          </w:p>
          <w:p w14:paraId="1B05C176">
            <w:pPr>
              <w:pStyle w:val="1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78" w:type="pct"/>
            <w:noWrap w:val="0"/>
            <w:vAlign w:val="center"/>
          </w:tcPr>
          <w:p w14:paraId="62531C37">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383F8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404" w:type="pct"/>
            <w:vMerge w:val="restart"/>
            <w:noWrap w:val="0"/>
            <w:vAlign w:val="center"/>
          </w:tcPr>
          <w:p w14:paraId="47A3A2AE">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3" w:type="pct"/>
            <w:vMerge w:val="restart"/>
            <w:noWrap w:val="0"/>
            <w:vAlign w:val="center"/>
          </w:tcPr>
          <w:p w14:paraId="17465F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1" w:type="pct"/>
            <w:noWrap w:val="0"/>
            <w:vAlign w:val="center"/>
          </w:tcPr>
          <w:p w14:paraId="21487D2C">
            <w:pPr>
              <w:pStyle w:val="12"/>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类似项目业绩</w:t>
            </w:r>
          </w:p>
        </w:tc>
        <w:tc>
          <w:tcPr>
            <w:tcW w:w="3143" w:type="pct"/>
            <w:noWrap w:val="0"/>
            <w:vAlign w:val="center"/>
          </w:tcPr>
          <w:p w14:paraId="5AC1FD46">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投标人提供自2022年1月1日（以合同签订时间为准）以来的类似预防性保护项目业绩，每提供1个类似业绩得1分，最多得5分。</w:t>
            </w:r>
          </w:p>
          <w:p w14:paraId="4BA25D9A">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注：每份业绩需提供项目中标公示网址及截图、中标通知书、合同复印件、验收证明文件并加盖公章，时间以合同签订时间为准，同一项目不重复得分。</w:t>
            </w:r>
          </w:p>
        </w:tc>
        <w:tc>
          <w:tcPr>
            <w:tcW w:w="378" w:type="pct"/>
            <w:noWrap w:val="0"/>
            <w:vAlign w:val="center"/>
          </w:tcPr>
          <w:p w14:paraId="028C3B08">
            <w:pPr>
              <w:pStyle w:val="1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D1EE3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404" w:type="pct"/>
            <w:vMerge w:val="continue"/>
            <w:noWrap w:val="0"/>
            <w:vAlign w:val="center"/>
          </w:tcPr>
          <w:p w14:paraId="61BEF992">
            <w:pPr>
              <w:spacing w:line="380" w:lineRule="exact"/>
              <w:jc w:val="center"/>
              <w:rPr>
                <w:rFonts w:hint="eastAsia" w:ascii="宋体" w:hAnsi="宋体" w:eastAsia="宋体" w:cs="宋体"/>
                <w:color w:val="auto"/>
                <w:sz w:val="21"/>
                <w:szCs w:val="21"/>
                <w:highlight w:val="none"/>
                <w:lang w:val="en-US" w:eastAsia="zh-CN"/>
              </w:rPr>
            </w:pPr>
          </w:p>
        </w:tc>
        <w:tc>
          <w:tcPr>
            <w:tcW w:w="463" w:type="pct"/>
            <w:vMerge w:val="continue"/>
            <w:noWrap w:val="0"/>
            <w:vAlign w:val="center"/>
          </w:tcPr>
          <w:p w14:paraId="3B8DA9CB">
            <w:pPr>
              <w:jc w:val="center"/>
              <w:rPr>
                <w:rFonts w:hint="eastAsia" w:ascii="宋体" w:hAnsi="宋体" w:eastAsia="宋体" w:cs="宋体"/>
                <w:color w:val="auto"/>
                <w:sz w:val="21"/>
                <w:szCs w:val="21"/>
                <w:highlight w:val="none"/>
              </w:rPr>
            </w:pPr>
          </w:p>
        </w:tc>
        <w:tc>
          <w:tcPr>
            <w:tcW w:w="611" w:type="pct"/>
            <w:noWrap w:val="0"/>
            <w:vAlign w:val="center"/>
          </w:tcPr>
          <w:p w14:paraId="76E12FB2">
            <w:pPr>
              <w:pStyle w:val="12"/>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体系认证</w:t>
            </w:r>
          </w:p>
        </w:tc>
        <w:tc>
          <w:tcPr>
            <w:tcW w:w="3143" w:type="pct"/>
            <w:noWrap w:val="0"/>
            <w:vAlign w:val="top"/>
          </w:tcPr>
          <w:p w14:paraId="39A55B11">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1、投标人具有年检有效的ISO9001质量管理体系认证证书得1分；</w:t>
            </w:r>
          </w:p>
          <w:p w14:paraId="6CF359F4">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2、投标人具有年检有效的ISO14001环境管理体系认证证书得1分；、</w:t>
            </w:r>
          </w:p>
          <w:p w14:paraId="16317A30">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3、投标人具有年检有效的ISO45001职业健康安全管理体系认证证书得1分；</w:t>
            </w:r>
          </w:p>
          <w:p w14:paraId="61D1A1AD">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注：提供证书复印件、证书下面注明查询真伪网址，未提供不计分。</w:t>
            </w:r>
          </w:p>
        </w:tc>
        <w:tc>
          <w:tcPr>
            <w:tcW w:w="378" w:type="pct"/>
            <w:noWrap w:val="0"/>
            <w:vAlign w:val="center"/>
          </w:tcPr>
          <w:p w14:paraId="076D97FC">
            <w:pPr>
              <w:pStyle w:val="1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3分</w:t>
            </w:r>
          </w:p>
        </w:tc>
      </w:tr>
      <w:tr w14:paraId="3687C2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404" w:type="pct"/>
            <w:vMerge w:val="continue"/>
            <w:noWrap w:val="0"/>
            <w:vAlign w:val="center"/>
          </w:tcPr>
          <w:p w14:paraId="51F4A594">
            <w:pPr>
              <w:spacing w:line="380" w:lineRule="exact"/>
              <w:jc w:val="center"/>
              <w:rPr>
                <w:rFonts w:hint="eastAsia" w:ascii="宋体" w:hAnsi="宋体" w:eastAsia="宋体" w:cs="宋体"/>
                <w:color w:val="auto"/>
                <w:sz w:val="21"/>
                <w:szCs w:val="21"/>
                <w:highlight w:val="none"/>
                <w:lang w:val="en-US" w:eastAsia="zh-CN"/>
              </w:rPr>
            </w:pPr>
          </w:p>
        </w:tc>
        <w:tc>
          <w:tcPr>
            <w:tcW w:w="463" w:type="pct"/>
            <w:vMerge w:val="continue"/>
            <w:noWrap w:val="0"/>
            <w:vAlign w:val="center"/>
          </w:tcPr>
          <w:p w14:paraId="74BB2714">
            <w:pPr>
              <w:jc w:val="center"/>
              <w:rPr>
                <w:rFonts w:hint="eastAsia" w:ascii="宋体" w:hAnsi="宋体" w:eastAsia="宋体" w:cs="宋体"/>
                <w:color w:val="auto"/>
                <w:sz w:val="21"/>
                <w:szCs w:val="21"/>
                <w:highlight w:val="none"/>
              </w:rPr>
            </w:pPr>
          </w:p>
        </w:tc>
        <w:tc>
          <w:tcPr>
            <w:tcW w:w="611" w:type="pct"/>
            <w:noWrap w:val="0"/>
            <w:vAlign w:val="center"/>
          </w:tcPr>
          <w:p w14:paraId="51BD48CE">
            <w:pPr>
              <w:pStyle w:val="12"/>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资信</w:t>
            </w:r>
          </w:p>
        </w:tc>
        <w:tc>
          <w:tcPr>
            <w:tcW w:w="3143" w:type="pct"/>
            <w:noWrap w:val="0"/>
            <w:vAlign w:val="top"/>
          </w:tcPr>
          <w:p w14:paraId="33C02AA9">
            <w:pPr>
              <w:pStyle w:val="12"/>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投标人提供文物储藏柜架、文物展柜产品责任险保单且在有效期内的得2分。</w:t>
            </w:r>
          </w:p>
        </w:tc>
        <w:tc>
          <w:tcPr>
            <w:tcW w:w="378" w:type="pct"/>
            <w:noWrap w:val="0"/>
            <w:vAlign w:val="center"/>
          </w:tcPr>
          <w:p w14:paraId="3F020B73">
            <w:pPr>
              <w:pStyle w:val="12"/>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14:paraId="774D31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03" w:hRule="atLeast"/>
          <w:jc w:val="center"/>
        </w:trPr>
        <w:tc>
          <w:tcPr>
            <w:tcW w:w="404" w:type="pct"/>
            <w:vMerge w:val="restart"/>
            <w:noWrap w:val="0"/>
            <w:vAlign w:val="center"/>
          </w:tcPr>
          <w:p w14:paraId="178AF84B">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3" w:type="pct"/>
            <w:vMerge w:val="restart"/>
            <w:noWrap w:val="0"/>
            <w:vAlign w:val="center"/>
          </w:tcPr>
          <w:p w14:paraId="453D3D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1" w:type="pct"/>
            <w:noWrap w:val="0"/>
            <w:vAlign w:val="center"/>
          </w:tcPr>
          <w:p w14:paraId="5528CD8D">
            <w:pPr>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设计方案</w:t>
            </w:r>
          </w:p>
        </w:tc>
        <w:tc>
          <w:tcPr>
            <w:tcW w:w="3143" w:type="pct"/>
            <w:noWrap w:val="0"/>
            <w:vAlign w:val="center"/>
          </w:tcPr>
          <w:p w14:paraId="53867AA0">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需根据本项目的服务内容及要求编制设计方案，设计技术方案包括①设计说明、②设计分析、③设计方案、④设计平面图、⑤设计效果图;以上各项方案齐全完全满足需求得10分。未提供不得分；每缺少1项或内容与项目需求无关扣2分，每有1项中内容存在缺陷或不足扣1.0分。</w:t>
            </w:r>
          </w:p>
          <w:p w14:paraId="62F3252A">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注：1、缺陷或不足是指存在与项目实际情况无关、凭空编造、方案中内容前后不一致、前后逻辑错误、涉及的规范及标准错误、地点区域错误、内容缺失。</w:t>
            </w:r>
          </w:p>
        </w:tc>
        <w:tc>
          <w:tcPr>
            <w:tcW w:w="378" w:type="pct"/>
            <w:noWrap w:val="0"/>
            <w:vAlign w:val="center"/>
          </w:tcPr>
          <w:p w14:paraId="6A681C38">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r>
      <w:tr w14:paraId="4DEEAB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03" w:hRule="atLeast"/>
          <w:jc w:val="center"/>
        </w:trPr>
        <w:tc>
          <w:tcPr>
            <w:tcW w:w="404" w:type="pct"/>
            <w:vMerge w:val="continue"/>
            <w:noWrap w:val="0"/>
            <w:vAlign w:val="center"/>
          </w:tcPr>
          <w:p w14:paraId="01B05DDD">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47DEA736">
            <w:pPr>
              <w:jc w:val="center"/>
              <w:rPr>
                <w:rFonts w:hint="eastAsia" w:ascii="宋体" w:hAnsi="宋体" w:eastAsia="宋体" w:cs="宋体"/>
                <w:color w:val="auto"/>
                <w:sz w:val="21"/>
                <w:szCs w:val="21"/>
                <w:highlight w:val="none"/>
              </w:rPr>
            </w:pPr>
          </w:p>
        </w:tc>
        <w:tc>
          <w:tcPr>
            <w:tcW w:w="611" w:type="pct"/>
            <w:noWrap w:val="0"/>
            <w:vAlign w:val="center"/>
          </w:tcPr>
          <w:p w14:paraId="7C2DAEBE">
            <w:pPr>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项目安装</w:t>
            </w:r>
            <w:r>
              <w:rPr>
                <w:rFonts w:hint="default" w:ascii="宋体" w:hAnsi="宋体" w:eastAsia="宋体" w:cs="宋体"/>
                <w:snapToGrid w:val="0"/>
                <w:color w:val="auto"/>
                <w:kern w:val="0"/>
                <w:sz w:val="21"/>
                <w:szCs w:val="21"/>
                <w:highlight w:val="none"/>
                <w:lang w:val="en-US" w:eastAsia="zh-CN"/>
              </w:rPr>
              <w:t>调试</w:t>
            </w:r>
            <w:r>
              <w:rPr>
                <w:rFonts w:hint="eastAsia" w:ascii="宋体" w:hAnsi="宋体" w:eastAsia="宋体" w:cs="宋体"/>
                <w:snapToGrid w:val="0"/>
                <w:color w:val="auto"/>
                <w:kern w:val="0"/>
                <w:sz w:val="21"/>
                <w:szCs w:val="21"/>
                <w:highlight w:val="none"/>
                <w:lang w:val="en-US" w:eastAsia="zh-CN"/>
              </w:rPr>
              <w:t>验收</w:t>
            </w:r>
            <w:r>
              <w:rPr>
                <w:rFonts w:hint="default" w:ascii="宋体" w:hAnsi="宋体" w:eastAsia="宋体" w:cs="宋体"/>
                <w:snapToGrid w:val="0"/>
                <w:color w:val="auto"/>
                <w:kern w:val="0"/>
                <w:sz w:val="21"/>
                <w:szCs w:val="21"/>
                <w:highlight w:val="none"/>
                <w:lang w:val="en-US" w:eastAsia="zh-CN"/>
              </w:rPr>
              <w:t>方案</w:t>
            </w:r>
          </w:p>
        </w:tc>
        <w:tc>
          <w:tcPr>
            <w:tcW w:w="3143" w:type="pct"/>
            <w:noWrap w:val="0"/>
            <w:vAlign w:val="center"/>
          </w:tcPr>
          <w:p w14:paraId="102929A5">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根据项目实际要求制定针对性的项目安排调试方案，包括①项目所需材料、人员、设备安排计划、②安排进度安排及保障措施、③安全文明措施、④设备安装实施方案、⑤调试验收方案;以上各项齐全完全满足需求得10分。未提供不得分；每缺少1项或内容与项目需求无关扣2.0分，每有1项中内容存在缺陷或不足扣1.0分。</w:t>
            </w:r>
          </w:p>
          <w:p w14:paraId="2A1DCA7A">
            <w:pPr>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注：1、缺陷或不足是指存在与项目实际情况无关、凭空编造、方案中内容前后不一致、前后逻辑错误、涉及的规范及标准错误、地点区域错误、内容缺失。</w:t>
            </w:r>
          </w:p>
        </w:tc>
        <w:tc>
          <w:tcPr>
            <w:tcW w:w="378" w:type="pct"/>
            <w:noWrap w:val="0"/>
            <w:vAlign w:val="center"/>
          </w:tcPr>
          <w:p w14:paraId="626C5BD9">
            <w:pPr>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10分</w:t>
            </w:r>
          </w:p>
        </w:tc>
      </w:tr>
      <w:tr w14:paraId="548355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404" w:type="pct"/>
            <w:vMerge w:val="continue"/>
            <w:noWrap w:val="0"/>
            <w:vAlign w:val="center"/>
          </w:tcPr>
          <w:p w14:paraId="0C77432A">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18AC712A">
            <w:pPr>
              <w:jc w:val="center"/>
              <w:rPr>
                <w:rFonts w:hint="eastAsia" w:ascii="宋体" w:hAnsi="宋体" w:eastAsia="宋体" w:cs="宋体"/>
                <w:color w:val="auto"/>
                <w:sz w:val="21"/>
                <w:szCs w:val="21"/>
                <w:highlight w:val="none"/>
              </w:rPr>
            </w:pPr>
          </w:p>
        </w:tc>
        <w:tc>
          <w:tcPr>
            <w:tcW w:w="611" w:type="pct"/>
            <w:noWrap w:val="0"/>
            <w:vAlign w:val="center"/>
          </w:tcPr>
          <w:p w14:paraId="25F3342B">
            <w:pPr>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人员培训方案</w:t>
            </w:r>
          </w:p>
        </w:tc>
        <w:tc>
          <w:tcPr>
            <w:tcW w:w="3143" w:type="pct"/>
            <w:noWrap w:val="0"/>
            <w:vAlign w:val="center"/>
          </w:tcPr>
          <w:p w14:paraId="16BCFBDB">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投标人根据项目实际要求制定针对性的</w:t>
            </w:r>
            <w:r>
              <w:rPr>
                <w:rFonts w:hint="eastAsia" w:ascii="宋体" w:hAnsi="宋体" w:eastAsia="宋体" w:cs="宋体"/>
                <w:snapToGrid w:val="0"/>
                <w:color w:val="auto"/>
                <w:kern w:val="0"/>
                <w:sz w:val="21"/>
                <w:szCs w:val="21"/>
                <w:highlight w:val="none"/>
                <w:lang w:val="en-US" w:eastAsia="zh-CN"/>
              </w:rPr>
              <w:t>人员培训方案</w:t>
            </w:r>
            <w:r>
              <w:rPr>
                <w:rFonts w:hint="eastAsia" w:ascii="宋体" w:hAnsi="宋体" w:eastAsia="宋体" w:cs="宋体"/>
                <w:color w:val="000000"/>
                <w:sz w:val="21"/>
                <w:szCs w:val="21"/>
                <w:highlight w:val="none"/>
                <w:lang w:val="en-US" w:eastAsia="zh-CN"/>
              </w:rPr>
              <w:t>，包括①操作人员培训方案、②维护人员培训方案、③管理人员培训方案;以上各项齐全完全满足需求得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分未提供不得分；每缺少1项或内容与项目需求无关扣2.0分，每有1项中内容存在缺陷或不足扣1.0分。</w:t>
            </w:r>
          </w:p>
          <w:p w14:paraId="272EAF30">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000000"/>
                <w:sz w:val="21"/>
                <w:szCs w:val="21"/>
                <w:highlight w:val="none"/>
                <w:lang w:val="en-US" w:eastAsia="zh-CN"/>
              </w:rPr>
              <w:t>注：1、缺陷或不足是指存在与项目实际情况无关、凭空编造、方案中内容前后不一致、前后逻辑错误、涉及的规范及标准错误、地点区域错误、内容缺失。</w:t>
            </w:r>
          </w:p>
        </w:tc>
        <w:tc>
          <w:tcPr>
            <w:tcW w:w="378" w:type="pct"/>
            <w:noWrap w:val="0"/>
            <w:vAlign w:val="center"/>
          </w:tcPr>
          <w:p w14:paraId="4C4E433E">
            <w:pPr>
              <w:jc w:val="center"/>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6分</w:t>
            </w:r>
          </w:p>
        </w:tc>
      </w:tr>
      <w:tr w14:paraId="615CAC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04" w:type="pct"/>
            <w:vMerge w:val="continue"/>
            <w:noWrap w:val="0"/>
            <w:vAlign w:val="center"/>
          </w:tcPr>
          <w:p w14:paraId="3F67D175">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59C83C88">
            <w:pPr>
              <w:jc w:val="center"/>
              <w:rPr>
                <w:rFonts w:hint="eastAsia" w:ascii="宋体" w:hAnsi="宋体" w:eastAsia="宋体" w:cs="宋体"/>
                <w:color w:val="auto"/>
                <w:sz w:val="21"/>
                <w:szCs w:val="21"/>
                <w:highlight w:val="none"/>
              </w:rPr>
            </w:pPr>
          </w:p>
        </w:tc>
        <w:tc>
          <w:tcPr>
            <w:tcW w:w="611" w:type="pct"/>
            <w:noWrap w:val="0"/>
            <w:vAlign w:val="center"/>
          </w:tcPr>
          <w:p w14:paraId="0A3E489E">
            <w:pPr>
              <w:jc w:val="center"/>
              <w:rPr>
                <w:rFonts w:hint="default" w:ascii="宋体" w:hAnsi="宋体" w:eastAsia="宋体" w:cs="宋体"/>
                <w:snapToGrid w:val="0"/>
                <w:color w:val="auto"/>
                <w:kern w:val="2"/>
                <w:sz w:val="21"/>
                <w:szCs w:val="21"/>
                <w:highlight w:val="none"/>
                <w:lang w:val="en-US" w:eastAsia="zh-CN" w:bidi="ar-SA"/>
              </w:rPr>
            </w:pPr>
            <w:r>
              <w:rPr>
                <w:rFonts w:hint="default" w:ascii="宋体" w:hAnsi="宋体" w:eastAsia="宋体" w:cs="宋体"/>
                <w:snapToGrid w:val="0"/>
                <w:color w:val="auto"/>
                <w:kern w:val="2"/>
                <w:sz w:val="21"/>
                <w:szCs w:val="21"/>
                <w:highlight w:val="none"/>
                <w:lang w:val="en-US" w:eastAsia="zh-CN" w:bidi="ar-SA"/>
              </w:rPr>
              <w:t>应急预案</w:t>
            </w:r>
          </w:p>
        </w:tc>
        <w:tc>
          <w:tcPr>
            <w:tcW w:w="3143" w:type="pct"/>
            <w:noWrap w:val="0"/>
            <w:vAlign w:val="center"/>
          </w:tcPr>
          <w:p w14:paraId="14BF01B6">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根据项目实际要求制定针对性的应急预案，包括①应急运输保障、②应急程序及进度安排、③应急事故处理方案；以上各项措施齐全完全满足需求得3分。未提供不得分；每缺少1项或内容与项目需求无关扣1.0分，每有1项中内容存在缺陷或不足扣0.5分。</w:t>
            </w:r>
          </w:p>
          <w:p w14:paraId="6924ABFC">
            <w:pPr>
              <w:jc w:val="left"/>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注：1、缺陷或不足是指存在与项目实际情况无关、凭空编造、方案中内容前后不一致、前后逻辑错误、涉及的规范及标准错误、地点区域错误、内容缺失。</w:t>
            </w:r>
          </w:p>
        </w:tc>
        <w:tc>
          <w:tcPr>
            <w:tcW w:w="378" w:type="pct"/>
            <w:noWrap w:val="0"/>
            <w:vAlign w:val="center"/>
          </w:tcPr>
          <w:p w14:paraId="1E52D637">
            <w:pPr>
              <w:jc w:val="center"/>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r>
      <w:tr w14:paraId="56CC3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04" w:type="pct"/>
            <w:vMerge w:val="continue"/>
            <w:noWrap w:val="0"/>
            <w:vAlign w:val="center"/>
          </w:tcPr>
          <w:p w14:paraId="1B4EF933">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21F5EA0B">
            <w:pPr>
              <w:jc w:val="center"/>
              <w:rPr>
                <w:rFonts w:hint="eastAsia" w:ascii="宋体" w:hAnsi="宋体" w:eastAsia="宋体" w:cs="宋体"/>
                <w:color w:val="auto"/>
                <w:sz w:val="21"/>
                <w:szCs w:val="21"/>
                <w:highlight w:val="none"/>
              </w:rPr>
            </w:pPr>
          </w:p>
        </w:tc>
        <w:tc>
          <w:tcPr>
            <w:tcW w:w="611" w:type="pct"/>
            <w:noWrap w:val="0"/>
            <w:vAlign w:val="center"/>
          </w:tcPr>
          <w:p w14:paraId="69C859EA">
            <w:pPr>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售后服务方案</w:t>
            </w:r>
          </w:p>
        </w:tc>
        <w:tc>
          <w:tcPr>
            <w:tcW w:w="3143" w:type="pct"/>
            <w:noWrap w:val="0"/>
            <w:vAlign w:val="center"/>
          </w:tcPr>
          <w:p w14:paraId="3EFE5DE4">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投标人根据项目实际要求制定针对性的</w:t>
            </w:r>
            <w:r>
              <w:rPr>
                <w:rFonts w:hint="eastAsia" w:ascii="宋体" w:hAnsi="宋体" w:cs="宋体"/>
                <w:color w:val="000000"/>
                <w:sz w:val="21"/>
                <w:szCs w:val="21"/>
                <w:highlight w:val="none"/>
                <w:lang w:val="en-US" w:eastAsia="zh-CN"/>
              </w:rPr>
              <w:t>售后服务方案</w:t>
            </w:r>
            <w:r>
              <w:rPr>
                <w:rFonts w:hint="eastAsia" w:ascii="宋体" w:hAnsi="宋体" w:eastAsia="宋体" w:cs="宋体"/>
                <w:color w:val="000000"/>
                <w:sz w:val="21"/>
                <w:szCs w:val="21"/>
                <w:highlight w:val="none"/>
                <w:lang w:val="en-US" w:eastAsia="zh-CN"/>
              </w:rPr>
              <w:t>，包括①售后人员配置、②维修保养方案③零配件供应保障措施；以上各项措施齐全完全满足需求得6分。未提供不得分；每缺少1项或内容与项目需求无关扣2分，每有1项中内容存在缺陷或不足扣1.0分。</w:t>
            </w:r>
          </w:p>
          <w:p w14:paraId="3598F48C">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注：1、缺陷或不足是指存在与项目实际情况无关、凭空编造、方案中内容前后不一致、前后逻辑错误、涉及的规范及标准错误、地点区域错误、内容缺失。</w:t>
            </w:r>
          </w:p>
        </w:tc>
        <w:tc>
          <w:tcPr>
            <w:tcW w:w="378" w:type="pct"/>
            <w:noWrap w:val="0"/>
            <w:vAlign w:val="center"/>
          </w:tcPr>
          <w:p w14:paraId="2145B4B5">
            <w:pPr>
              <w:jc w:val="center"/>
              <w:rPr>
                <w:rFonts w:hint="default"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6分</w:t>
            </w:r>
          </w:p>
        </w:tc>
      </w:tr>
      <w:tr w14:paraId="172EEE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04" w:type="pct"/>
            <w:vMerge w:val="continue"/>
            <w:noWrap w:val="0"/>
            <w:vAlign w:val="center"/>
          </w:tcPr>
          <w:p w14:paraId="5FF76E0C">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542F67C1">
            <w:pPr>
              <w:jc w:val="center"/>
              <w:rPr>
                <w:rFonts w:hint="eastAsia" w:ascii="宋体" w:hAnsi="宋体" w:eastAsia="宋体" w:cs="宋体"/>
                <w:color w:val="auto"/>
                <w:sz w:val="21"/>
                <w:szCs w:val="21"/>
                <w:highlight w:val="none"/>
              </w:rPr>
            </w:pPr>
          </w:p>
        </w:tc>
        <w:tc>
          <w:tcPr>
            <w:tcW w:w="611" w:type="pct"/>
            <w:noWrap w:val="0"/>
            <w:vAlign w:val="center"/>
          </w:tcPr>
          <w:p w14:paraId="0B527677">
            <w:pPr>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产品质量</w:t>
            </w:r>
          </w:p>
        </w:tc>
        <w:tc>
          <w:tcPr>
            <w:tcW w:w="3143" w:type="pct"/>
            <w:noWrap w:val="0"/>
            <w:vAlign w:val="center"/>
          </w:tcPr>
          <w:p w14:paraId="6474F72C">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根据投标人对采购需求技术指标响应评分以逐项累计得分的方法进行得分，完全满足采购需求得15分，每有一项带“▲”符号的参数为重要技术指标不满足的扣1分，扣完为止；</w:t>
            </w:r>
          </w:p>
          <w:p w14:paraId="397287B7">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注：带“▲”符号的参数需提供国家认可的第三方专业检测机构出具的封面具有CMA标识的有效检测报告原件扫描件加盖投标单位公章进行佐证。</w:t>
            </w:r>
          </w:p>
        </w:tc>
        <w:tc>
          <w:tcPr>
            <w:tcW w:w="378" w:type="pct"/>
            <w:noWrap w:val="0"/>
            <w:vAlign w:val="center"/>
          </w:tcPr>
          <w:p w14:paraId="17B35760">
            <w:pPr>
              <w:jc w:val="center"/>
              <w:rPr>
                <w:rFonts w:hint="default"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15分</w:t>
            </w:r>
          </w:p>
        </w:tc>
      </w:tr>
      <w:tr w14:paraId="233E1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404" w:type="pct"/>
            <w:vMerge w:val="continue"/>
            <w:noWrap w:val="0"/>
            <w:vAlign w:val="center"/>
          </w:tcPr>
          <w:p w14:paraId="788C92AD">
            <w:pPr>
              <w:spacing w:line="380" w:lineRule="exact"/>
              <w:jc w:val="center"/>
              <w:rPr>
                <w:rFonts w:hint="eastAsia" w:ascii="宋体" w:hAnsi="宋体" w:eastAsia="宋体" w:cs="宋体"/>
                <w:color w:val="auto"/>
                <w:sz w:val="21"/>
                <w:szCs w:val="21"/>
                <w:highlight w:val="none"/>
              </w:rPr>
            </w:pPr>
          </w:p>
        </w:tc>
        <w:tc>
          <w:tcPr>
            <w:tcW w:w="463" w:type="pct"/>
            <w:vMerge w:val="continue"/>
            <w:noWrap w:val="0"/>
            <w:vAlign w:val="center"/>
          </w:tcPr>
          <w:p w14:paraId="634D3086">
            <w:pPr>
              <w:jc w:val="center"/>
              <w:rPr>
                <w:rFonts w:hint="eastAsia" w:ascii="宋体" w:hAnsi="宋体" w:eastAsia="宋体" w:cs="宋体"/>
                <w:color w:val="auto"/>
                <w:sz w:val="21"/>
                <w:szCs w:val="21"/>
                <w:highlight w:val="none"/>
              </w:rPr>
            </w:pPr>
          </w:p>
        </w:tc>
        <w:tc>
          <w:tcPr>
            <w:tcW w:w="611" w:type="pct"/>
            <w:noWrap w:val="0"/>
            <w:vAlign w:val="center"/>
          </w:tcPr>
          <w:p w14:paraId="0E642A44">
            <w:pPr>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技术与服务能力</w:t>
            </w:r>
          </w:p>
        </w:tc>
        <w:tc>
          <w:tcPr>
            <w:tcW w:w="3143" w:type="pct"/>
            <w:noWrap w:val="0"/>
            <w:vAlign w:val="center"/>
          </w:tcPr>
          <w:p w14:paraId="5725E47F">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投标人拟投入本项目实施的团队人员中：</w:t>
            </w:r>
          </w:p>
          <w:p w14:paraId="02034330">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1、管理团队中具有文博专业中级及以上技术职称的，得3分；</w:t>
            </w:r>
          </w:p>
          <w:p w14:paraId="7E25878F">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2、生产团队中具有自动控制技术、机械制造自动化中级及以上技术职称的技术人员的，每提供一个得2分，最高计4分。</w:t>
            </w:r>
          </w:p>
          <w:p w14:paraId="3E7F766C">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3、技术服务施工团队中具有安全管理、标准管理、设备安装有关的证书的，每提供一类得1分，最高得3分；</w:t>
            </w:r>
          </w:p>
          <w:p w14:paraId="03CDFA5F">
            <w:pPr>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注：需提供上述技术人员证书复印件及查询真伪网址的截图、需提供上述技术人员在投标人公司近半年连续3个月的社保证明材料。</w:t>
            </w:r>
          </w:p>
        </w:tc>
        <w:tc>
          <w:tcPr>
            <w:tcW w:w="378" w:type="pct"/>
            <w:noWrap w:val="0"/>
            <w:vAlign w:val="center"/>
          </w:tcPr>
          <w:p w14:paraId="55F616F9">
            <w:pPr>
              <w:jc w:val="center"/>
              <w:rPr>
                <w:rFonts w:hint="default"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10分</w:t>
            </w:r>
          </w:p>
        </w:tc>
      </w:tr>
    </w:tbl>
    <w:p w14:paraId="6C66B58A">
      <w:pPr>
        <w:pStyle w:val="2"/>
        <w:rPr>
          <w:rFonts w:hint="eastAsia" w:ascii="宋体"/>
          <w:bCs/>
          <w:sz w:val="21"/>
          <w:szCs w:val="21"/>
        </w:rPr>
      </w:pPr>
    </w:p>
    <w:p w14:paraId="519184C2">
      <w:pPr>
        <w:rPr>
          <w:rFonts w:hint="eastAsia" w:ascii="宋体"/>
          <w:bCs/>
          <w:sz w:val="21"/>
          <w:szCs w:val="21"/>
        </w:rPr>
      </w:pPr>
    </w:p>
    <w:p w14:paraId="3F5790A2">
      <w:pPr>
        <w:pStyle w:val="2"/>
        <w:rPr>
          <w:rFonts w:hint="eastAsia" w:ascii="宋体"/>
          <w:bCs/>
          <w:sz w:val="21"/>
          <w:szCs w:val="21"/>
        </w:rPr>
      </w:pPr>
    </w:p>
    <w:p w14:paraId="6AF93E87">
      <w:pPr>
        <w:rPr>
          <w:rFonts w:hint="eastAsia" w:ascii="宋体"/>
          <w:bCs/>
          <w:sz w:val="21"/>
          <w:szCs w:val="21"/>
        </w:rPr>
      </w:pPr>
    </w:p>
    <w:p w14:paraId="211E8AA5">
      <w:pPr>
        <w:pStyle w:val="2"/>
        <w:rPr>
          <w:rFonts w:hint="eastAsia" w:ascii="宋体"/>
          <w:bCs/>
          <w:sz w:val="21"/>
          <w:szCs w:val="21"/>
        </w:rPr>
      </w:pPr>
    </w:p>
    <w:p w14:paraId="1A5B4457">
      <w:pPr>
        <w:rPr>
          <w:rFonts w:hint="eastAsia" w:ascii="宋体"/>
          <w:bCs/>
          <w:sz w:val="21"/>
          <w:szCs w:val="21"/>
        </w:rPr>
      </w:pPr>
    </w:p>
    <w:p w14:paraId="2D6F8473">
      <w:pPr>
        <w:pStyle w:val="2"/>
        <w:rPr>
          <w:rFonts w:hint="eastAsia" w:ascii="宋体"/>
          <w:bCs/>
          <w:sz w:val="21"/>
          <w:szCs w:val="21"/>
        </w:rPr>
      </w:pPr>
    </w:p>
    <w:p w14:paraId="7624E36B">
      <w:pPr>
        <w:rPr>
          <w:rFonts w:hint="eastAsia" w:ascii="宋体"/>
          <w:bCs/>
          <w:sz w:val="24"/>
          <w:szCs w:val="24"/>
        </w:rPr>
      </w:pPr>
    </w:p>
    <w:p w14:paraId="7FC7D226">
      <w:pPr>
        <w:pStyle w:val="2"/>
        <w:rPr>
          <w:rFonts w:hint="eastAsia" w:ascii="宋体"/>
          <w:bCs/>
          <w:sz w:val="24"/>
          <w:szCs w:val="24"/>
        </w:rPr>
      </w:pPr>
    </w:p>
    <w:p w14:paraId="6B6DB830">
      <w:pPr>
        <w:rPr>
          <w:rFonts w:hint="eastAsia" w:ascii="宋体"/>
          <w:bCs/>
          <w:sz w:val="24"/>
          <w:szCs w:val="24"/>
        </w:rPr>
      </w:pPr>
    </w:p>
    <w:p w14:paraId="6A1BD889">
      <w:pPr>
        <w:pStyle w:val="2"/>
        <w:rPr>
          <w:rFonts w:hint="eastAsia" w:ascii="宋体"/>
          <w:bCs/>
          <w:sz w:val="24"/>
          <w:szCs w:val="24"/>
        </w:rPr>
      </w:pPr>
    </w:p>
    <w:p w14:paraId="1E113A40">
      <w:pPr>
        <w:rPr>
          <w:rFonts w:hint="eastAsia" w:ascii="宋体"/>
          <w:bCs/>
          <w:sz w:val="24"/>
          <w:szCs w:val="24"/>
        </w:rPr>
      </w:pPr>
    </w:p>
    <w:p w14:paraId="12864F17">
      <w:pPr>
        <w:rPr>
          <w:rFonts w:hint="eastAsia" w:ascii="宋体"/>
          <w:bCs/>
          <w:sz w:val="24"/>
          <w:szCs w:val="24"/>
        </w:rPr>
      </w:pPr>
    </w:p>
    <w:p w14:paraId="3961A4BC">
      <w:pPr>
        <w:rPr>
          <w:rFonts w:hint="eastAsia" w:ascii="宋体"/>
          <w:bCs/>
          <w:sz w:val="24"/>
          <w:szCs w:val="24"/>
        </w:rPr>
      </w:pPr>
    </w:p>
    <w:p w14:paraId="31037730">
      <w:pPr>
        <w:rPr>
          <w:rFonts w:hint="eastAsia" w:ascii="宋体"/>
          <w:bCs/>
          <w:sz w:val="24"/>
          <w:szCs w:val="24"/>
        </w:rPr>
      </w:pPr>
    </w:p>
    <w:p w14:paraId="7E3E6A5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评标标准及主要原则方法</w:t>
      </w:r>
    </w:p>
    <w:p w14:paraId="0CE336D7">
      <w:pPr>
        <w:bidi w:val="0"/>
        <w:rPr>
          <w:rFonts w:hint="eastAsia"/>
          <w:lang w:val="en-US" w:eastAsia="zh-CN"/>
        </w:rPr>
      </w:pPr>
    </w:p>
    <w:p w14:paraId="61EFBE2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本项目招标评标办法。</w:t>
      </w:r>
    </w:p>
    <w:p w14:paraId="593C082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一、评标程序</w:t>
      </w:r>
    </w:p>
    <w:p w14:paraId="01C2E26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（一）组成评标委员会</w:t>
      </w:r>
    </w:p>
    <w:p w14:paraId="7B4CE98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按照国家有关部委的相关规定，从专家库中随机抽取技术、经济等方面的专家，与采购人代表共同组成评标委员会（以下简称“评委会”）。评委会共有5位专家组成。</w:t>
      </w:r>
    </w:p>
    <w:p w14:paraId="394ED1A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（二）评标过程的监督</w:t>
      </w:r>
    </w:p>
    <w:p w14:paraId="4258D0F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本项目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2D79042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（三）评标工作</w:t>
      </w:r>
    </w:p>
    <w:p w14:paraId="6C3D2B6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评标工作应本着客观公正、公平竞争、择优推荐、规范合法的原则进行。本次评标采用综合评分法，评标工作分初步评审和详细评审，初步评审不合格的投标单位不进入详细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成员对需要共同认定的事项存在争议的，应当按照少数服从多数的原则作出结论。持不同意见的评标委员会成员应当在评标报告上签署不同意见及理由，否则视为同意评标报告。</w:t>
      </w:r>
    </w:p>
    <w:p w14:paraId="58E7078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（四）确定中标候选人</w:t>
      </w:r>
    </w:p>
    <w:p w14:paraId="77C4CE3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按最终得分由高到低的顺序推荐中标候选人三名。</w:t>
      </w:r>
    </w:p>
    <w:p w14:paraId="2C0C15E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（五）初步评审</w:t>
      </w:r>
    </w:p>
    <w:p w14:paraId="12F4D44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评标委员会可以根据第五章“采购需求”规定的标准对投标文件进行初步评审，有一项不符合的，评标委员会应当否决其投标。</w:t>
      </w:r>
    </w:p>
    <w:p w14:paraId="28D73213">
      <w:pPr>
        <w:jc w:val="center"/>
        <w:rPr>
          <w:rFonts w:hint="eastAsia" w:ascii="宋体" w:hAnsi="宋体" w:cs="宋体"/>
          <w:b/>
          <w:sz w:val="28"/>
          <w:szCs w:val="28"/>
        </w:rPr>
      </w:pPr>
    </w:p>
    <w:p w14:paraId="28F489AD">
      <w:pPr>
        <w:jc w:val="center"/>
        <w:rPr>
          <w:rFonts w:hint="eastAsia" w:ascii="宋体" w:hAnsi="宋体" w:cs="宋体"/>
          <w:b/>
          <w:sz w:val="28"/>
          <w:szCs w:val="28"/>
        </w:rPr>
      </w:pPr>
    </w:p>
    <w:p w14:paraId="0F40B99A">
      <w:pPr>
        <w:rPr>
          <w:rFonts w:hint="eastAsia" w:ascii="宋体" w:hAnsi="宋体" w:cs="宋体"/>
          <w:b/>
          <w:sz w:val="28"/>
          <w:szCs w:val="28"/>
        </w:rPr>
      </w:pPr>
      <w:r>
        <w:rPr>
          <w:rFonts w:hint="eastAsia" w:ascii="宋体" w:hAnsi="宋体" w:cs="宋体"/>
          <w:b/>
          <w:sz w:val="28"/>
          <w:szCs w:val="28"/>
        </w:rPr>
        <w:br w:type="page"/>
      </w:r>
    </w:p>
    <w:p w14:paraId="5C9B1332">
      <w:pPr>
        <w:pStyle w:val="6"/>
        <w:bidi w:val="0"/>
        <w:jc w:val="center"/>
        <w:outlineLvl w:val="0"/>
        <w:rPr>
          <w:rFonts w:hint="default" w:eastAsia="黑体" w:cs="Times New Roman"/>
          <w:lang w:val="en-US" w:eastAsia="zh-CN"/>
        </w:rPr>
      </w:pPr>
      <w:bookmarkStart w:id="47" w:name="_Toc14258"/>
      <w:r>
        <w:rPr>
          <w:rFonts w:hint="eastAsia" w:cs="Times New Roman"/>
          <w:lang w:val="zh-CN"/>
        </w:rPr>
        <w:t>第四章</w:t>
      </w:r>
      <w:r>
        <w:rPr>
          <w:rFonts w:hint="eastAsia" w:cs="Times New Roman"/>
          <w:lang w:val="en-US" w:eastAsia="zh-CN"/>
        </w:rPr>
        <w:t xml:space="preserve">  </w:t>
      </w:r>
      <w:r>
        <w:rPr>
          <w:rFonts w:hint="eastAsia" w:cs="Times New Roman"/>
          <w:lang w:val="zh-CN"/>
        </w:rPr>
        <w:t>合同条款</w:t>
      </w:r>
      <w:bookmarkEnd w:id="46"/>
      <w:bookmarkEnd w:id="47"/>
    </w:p>
    <w:p w14:paraId="7F76372A">
      <w:pPr>
        <w:tabs>
          <w:tab w:val="left" w:pos="720"/>
        </w:tabs>
        <w:spacing w:line="360" w:lineRule="auto"/>
        <w:rPr>
          <w:color w:val="000000"/>
          <w:szCs w:val="21"/>
        </w:rPr>
      </w:pPr>
      <w:bookmarkStart w:id="48" w:name="_Toc495651141"/>
      <w:r>
        <w:rPr>
          <w:rFonts w:hint="eastAsia"/>
          <w:color w:val="000000"/>
          <w:szCs w:val="21"/>
        </w:rPr>
        <w:t>甲    方（招标人）：</w:t>
      </w:r>
    </w:p>
    <w:p w14:paraId="556FF26B">
      <w:pPr>
        <w:spacing w:line="360" w:lineRule="auto"/>
        <w:rPr>
          <w:color w:val="000000"/>
          <w:szCs w:val="21"/>
        </w:rPr>
      </w:pPr>
      <w:r>
        <w:rPr>
          <w:rFonts w:hint="eastAsia"/>
          <w:color w:val="000000"/>
          <w:szCs w:val="21"/>
        </w:rPr>
        <w:t>电    话：              传  真：           地  址：</w:t>
      </w:r>
    </w:p>
    <w:p w14:paraId="03871063">
      <w:pPr>
        <w:spacing w:line="360" w:lineRule="auto"/>
        <w:rPr>
          <w:color w:val="000000"/>
          <w:szCs w:val="21"/>
        </w:rPr>
      </w:pPr>
      <w:r>
        <w:rPr>
          <w:rFonts w:hint="eastAsia"/>
          <w:color w:val="000000"/>
          <w:szCs w:val="21"/>
        </w:rPr>
        <w:t>乙    方（中标人）：</w:t>
      </w:r>
    </w:p>
    <w:p w14:paraId="62F22DD9">
      <w:pPr>
        <w:spacing w:line="360" w:lineRule="auto"/>
        <w:rPr>
          <w:color w:val="000000"/>
          <w:szCs w:val="21"/>
        </w:rPr>
      </w:pPr>
      <w:r>
        <w:rPr>
          <w:rFonts w:hint="eastAsia"/>
          <w:color w:val="000000"/>
          <w:szCs w:val="21"/>
        </w:rPr>
        <w:t>电    话：              传  真：           地  址：</w:t>
      </w:r>
    </w:p>
    <w:p w14:paraId="170DA5EE">
      <w:pPr>
        <w:spacing w:line="360" w:lineRule="auto"/>
        <w:rPr>
          <w:color w:val="000000"/>
          <w:szCs w:val="21"/>
        </w:rPr>
      </w:pPr>
    </w:p>
    <w:p w14:paraId="1881BFED">
      <w:pPr>
        <w:spacing w:line="360" w:lineRule="auto"/>
        <w:ind w:firstLine="420" w:firstLineChars="200"/>
        <w:rPr>
          <w:color w:val="000000"/>
          <w:szCs w:val="21"/>
        </w:rPr>
      </w:pPr>
      <w:r>
        <w:rPr>
          <w:rFonts w:hint="eastAsia"/>
          <w:color w:val="000000"/>
          <w:szCs w:val="21"/>
        </w:rPr>
        <w:t>根据</w:t>
      </w:r>
      <w:r>
        <w:rPr>
          <w:rFonts w:hint="eastAsia"/>
          <w:color w:val="000000"/>
          <w:u w:val="single"/>
        </w:rPr>
        <w:t>（项目名称）</w:t>
      </w:r>
      <w:r>
        <w:rPr>
          <w:rFonts w:hint="eastAsia"/>
          <w:color w:val="000000"/>
          <w:szCs w:val="21"/>
        </w:rPr>
        <w:t>（项目编号：）的招标结果，参照《中华人民共和国招标投标法》及其实施条例、《中华人民共和国民法典》的规定，经双方协商，本着平等互利和诚实信用的原则，一致同意签订本合同如下。</w:t>
      </w:r>
    </w:p>
    <w:p w14:paraId="6EC0C052">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b/>
          <w:color w:val="000000"/>
          <w:szCs w:val="21"/>
        </w:rPr>
      </w:pPr>
      <w:r>
        <w:rPr>
          <w:rFonts w:hint="eastAsia"/>
          <w:b/>
          <w:color w:val="000000"/>
          <w:szCs w:val="21"/>
        </w:rPr>
        <w:t>招标范围</w:t>
      </w:r>
    </w:p>
    <w:p w14:paraId="0BC00C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详见采购需求</w:t>
      </w:r>
      <w:r>
        <w:rPr>
          <w:rFonts w:hint="eastAsia" w:ascii="宋体" w:hAnsi="宋体" w:cs="宋体"/>
          <w:color w:val="000000"/>
          <w:szCs w:val="21"/>
        </w:rPr>
        <w:t>。</w:t>
      </w:r>
    </w:p>
    <w:p w14:paraId="3DE0B47A">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合同金额</w:t>
      </w:r>
    </w:p>
    <w:p w14:paraId="3E8137B1">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Ansi="宋体"/>
          <w:color w:val="000000"/>
          <w:kern w:val="0"/>
          <w:szCs w:val="21"/>
        </w:rPr>
        <w:t>合同金额为（大写）：</w:t>
      </w:r>
      <w:r>
        <w:rPr>
          <w:rFonts w:hAnsi="宋体"/>
          <w:color w:val="000000"/>
          <w:kern w:val="0"/>
          <w:szCs w:val="21"/>
          <w:u w:val="none"/>
        </w:rPr>
        <w:t>元</w:t>
      </w:r>
      <w:r>
        <w:rPr>
          <w:rFonts w:hAnsi="宋体"/>
          <w:color w:val="000000"/>
          <w:kern w:val="0"/>
          <w:szCs w:val="21"/>
          <w:u w:val="single"/>
        </w:rPr>
        <w:t>（￥ 元）</w:t>
      </w:r>
      <w:r>
        <w:rPr>
          <w:rFonts w:hint="eastAsia" w:ascii="Times New Roman" w:hAnsi="Times New Roman" w:eastAsia="宋体" w:cs="Times New Roman"/>
          <w:b/>
          <w:color w:val="000000"/>
          <w:szCs w:val="21"/>
        </w:rPr>
        <w:t>。</w:t>
      </w:r>
    </w:p>
    <w:p w14:paraId="2A236CA3">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履约担保</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lang w:val="en-US" w:eastAsia="zh-CN"/>
        </w:rPr>
        <w:t>如有</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rPr>
        <w:t>：</w:t>
      </w:r>
    </w:p>
    <w:p w14:paraId="242FED2D">
      <w:pPr>
        <w:numPr>
          <w:ilvl w:val="0"/>
          <w:numId w:val="0"/>
        </w:numPr>
        <w:tabs>
          <w:tab w:val="left" w:pos="426"/>
        </w:tabs>
        <w:spacing w:line="360" w:lineRule="auto"/>
        <w:ind w:leftChars="0" w:firstLine="420" w:firstLineChars="200"/>
        <w:outlineLvl w:val="2"/>
        <w:rPr>
          <w:rFonts w:hint="eastAsia"/>
          <w:b w:val="0"/>
          <w:bCs/>
          <w:color w:val="000000"/>
        </w:rPr>
      </w:pPr>
      <w:r>
        <w:rPr>
          <w:rFonts w:hint="eastAsia"/>
          <w:b w:val="0"/>
          <w:bCs/>
          <w:color w:val="000000"/>
          <w:lang w:val="en-US" w:eastAsia="zh-CN"/>
        </w:rPr>
        <w:t>金额：</w:t>
      </w:r>
      <w:r>
        <w:rPr>
          <w:rFonts w:hint="eastAsia"/>
          <w:b w:val="0"/>
          <w:bCs/>
          <w:color w:val="000000"/>
        </w:rPr>
        <w:t>合同价款的10%。</w:t>
      </w:r>
    </w:p>
    <w:p w14:paraId="5146B911">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形式：</w:t>
      </w:r>
      <w:r>
        <w:rPr>
          <w:rFonts w:hint="eastAsia" w:ascii="Times New Roman" w:hAnsi="Times New Roman" w:eastAsia="宋体" w:cs="Times New Roman"/>
          <w:b w:val="0"/>
          <w:bCs/>
          <w:color w:val="000000"/>
        </w:rPr>
        <w:t>银行或担保公司</w:t>
      </w:r>
      <w:r>
        <w:rPr>
          <w:rFonts w:hint="eastAsia" w:ascii="Times New Roman" w:hAnsi="Times New Roman" w:eastAsia="宋体" w:cs="Times New Roman"/>
          <w:b w:val="0"/>
          <w:bCs/>
          <w:color w:val="000000"/>
          <w:lang w:val="en-US" w:eastAsia="zh-CN"/>
        </w:rPr>
        <w:t>出具</w:t>
      </w:r>
      <w:r>
        <w:rPr>
          <w:rFonts w:hint="eastAsia" w:ascii="Times New Roman" w:hAnsi="Times New Roman" w:eastAsia="宋体" w:cs="Times New Roman"/>
          <w:b w:val="0"/>
          <w:bCs/>
          <w:color w:val="000000"/>
        </w:rPr>
        <w:t>保函</w:t>
      </w:r>
    </w:p>
    <w:p w14:paraId="52E4B807">
      <w:pPr>
        <w:numPr>
          <w:ilvl w:val="0"/>
          <w:numId w:val="0"/>
        </w:numPr>
        <w:tabs>
          <w:tab w:val="left" w:pos="426"/>
        </w:tabs>
        <w:spacing w:line="360" w:lineRule="auto"/>
        <w:ind w:leftChars="0" w:firstLine="420" w:firstLineChars="200"/>
        <w:outlineLvl w:val="2"/>
        <w:rPr>
          <w:rFonts w:hint="default"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期限：自本合同签订之日起至验收合格之日止。</w:t>
      </w:r>
    </w:p>
    <w:p w14:paraId="214128B4">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验收要求</w:t>
      </w:r>
    </w:p>
    <w:p w14:paraId="5F6D9172">
      <w:pPr>
        <w:pStyle w:val="15"/>
        <w:tabs>
          <w:tab w:val="left" w:pos="540"/>
        </w:tabs>
        <w:snapToGrid w:val="0"/>
        <w:spacing w:line="360" w:lineRule="auto"/>
        <w:ind w:left="420"/>
        <w:rPr>
          <w:rFonts w:hAnsi="宋体"/>
          <w:color w:val="000000"/>
          <w:kern w:val="0"/>
          <w:szCs w:val="21"/>
        </w:rPr>
      </w:pPr>
      <w:r>
        <w:rPr>
          <w:rFonts w:hAnsi="宋体"/>
          <w:color w:val="000000"/>
          <w:kern w:val="0"/>
          <w:szCs w:val="21"/>
        </w:rPr>
        <w:t>必须符合国家相关标准、行业标准、地方标准或者其他标准、规范。</w:t>
      </w:r>
    </w:p>
    <w:p w14:paraId="3FD064A9">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质保期及售后服务要求</w:t>
      </w:r>
    </w:p>
    <w:p w14:paraId="245B04DC">
      <w:pPr>
        <w:pStyle w:val="101"/>
        <w:spacing w:line="360" w:lineRule="auto"/>
        <w:ind w:firstLine="420" w:firstLineChars="200"/>
        <w:rPr>
          <w:rFonts w:ascii="Times New Roman" w:cs="Times New Roman"/>
          <w:kern w:val="2"/>
          <w:sz w:val="21"/>
        </w:rPr>
      </w:pPr>
      <w:r>
        <w:rPr>
          <w:rFonts w:hint="eastAsia" w:ascii="Times New Roman" w:cs="Times New Roman"/>
          <w:kern w:val="2"/>
          <w:sz w:val="21"/>
        </w:rPr>
        <w:t>售后服务期限：</w:t>
      </w:r>
      <w:r>
        <w:rPr>
          <w:rFonts w:hint="eastAsia" w:ascii="Times New Roman" w:cs="Times New Roman"/>
          <w:kern w:val="2"/>
          <w:sz w:val="21"/>
          <w:lang w:val="en-US" w:eastAsia="zh-CN"/>
        </w:rPr>
        <w:t>1</w:t>
      </w:r>
      <w:r>
        <w:rPr>
          <w:rFonts w:hint="eastAsia" w:ascii="Times New Roman" w:cs="Times New Roman"/>
          <w:kern w:val="2"/>
          <w:sz w:val="21"/>
        </w:rPr>
        <w:t>年。</w:t>
      </w:r>
    </w:p>
    <w:p w14:paraId="1704F856">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包装、保险及发运、保管要求</w:t>
      </w:r>
    </w:p>
    <w:p w14:paraId="0D914251">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设备材料的包装必须是制造商原厂包装，其包装均应有良好的防湿、防锈、防潮、防雨、防腐及防碰撞的措施。凡由于包装不良造成的损失和由此产生的费用均由乙方承担。</w:t>
      </w:r>
    </w:p>
    <w:p w14:paraId="3E0B6EF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乙方负责将设备材料货到现场过程中的全部运输，包括装卸车、货物现场的搬运。</w:t>
      </w:r>
    </w:p>
    <w:p w14:paraId="2AA517BF">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各种货物必须提供装箱清单，按装箱清单验收货物。</w:t>
      </w:r>
    </w:p>
    <w:p w14:paraId="207E793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货物在现场的保管由乙方负责。货物在交付给甲方之前，所有权属于乙方；在交付给甲方之后，所有权属于甲方。</w:t>
      </w:r>
    </w:p>
    <w:p w14:paraId="29EF190E">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货物在运输至甲方指定现场之前的运保费由乙方负责，货物在验收合格前的保险由乙方负责，乙方负责其派出的现场服务人员人身意外保险。</w:t>
      </w:r>
    </w:p>
    <w:p w14:paraId="073F6A4C">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设备至甲方指定的使用现场的包装、保险及发运等环节和费用均由乙方负责。</w:t>
      </w:r>
    </w:p>
    <w:p w14:paraId="722FBC9B">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安装</w:t>
      </w:r>
    </w:p>
    <w:p w14:paraId="28BED6D3">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无需投标单位安装。</w:t>
      </w:r>
    </w:p>
    <w:p w14:paraId="072697A9">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付款方式</w:t>
      </w:r>
    </w:p>
    <w:p w14:paraId="35F830E3">
      <w:pPr>
        <w:numPr>
          <w:ilvl w:val="0"/>
          <w:numId w:val="0"/>
        </w:numPr>
        <w:tabs>
          <w:tab w:val="left" w:pos="426"/>
        </w:tabs>
        <w:spacing w:line="360" w:lineRule="auto"/>
        <w:ind w:leftChars="0" w:firstLine="420" w:firstLineChars="200"/>
        <w:outlineLvl w:val="2"/>
        <w:rPr>
          <w:rFonts w:hint="eastAsia" w:ascii="Times New Roman" w:hAnsi="Times New Roman" w:eastAsia="宋体" w:cs="Times New Roman"/>
          <w:b w:val="0"/>
          <w:bCs/>
          <w:color w:val="000000"/>
          <w:lang w:val="en-US" w:eastAsia="zh-CN"/>
        </w:rPr>
      </w:pPr>
      <w:r>
        <w:rPr>
          <w:rFonts w:hint="eastAsia" w:ascii="Times New Roman" w:hAnsi="Times New Roman" w:eastAsia="宋体" w:cs="Times New Roman"/>
          <w:b w:val="0"/>
          <w:bCs/>
          <w:color w:val="000000"/>
          <w:lang w:val="en-US" w:eastAsia="zh-CN"/>
        </w:rPr>
        <w:t>甲乙双方自行约定。</w:t>
      </w:r>
    </w:p>
    <w:p w14:paraId="259FC12E">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违约责任与赔偿损失</w:t>
      </w:r>
    </w:p>
    <w:p w14:paraId="0DFADD8B">
      <w:pPr>
        <w:snapToGrid w:val="0"/>
        <w:spacing w:line="360" w:lineRule="auto"/>
        <w:ind w:firstLine="420" w:firstLineChars="200"/>
        <w:rPr>
          <w:color w:val="000000"/>
          <w:szCs w:val="21"/>
        </w:rPr>
      </w:pPr>
      <w:r>
        <w:rPr>
          <w:rFonts w:hint="eastAsia"/>
          <w:color w:val="000000"/>
          <w:szCs w:val="21"/>
        </w:rPr>
        <w:t>违约责任参照《中华人民共和国民法典》处理。</w:t>
      </w:r>
    </w:p>
    <w:p w14:paraId="37C26DCE">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争议的解决</w:t>
      </w:r>
    </w:p>
    <w:p w14:paraId="42734DAE">
      <w:pPr>
        <w:tabs>
          <w:tab w:val="left" w:pos="824"/>
        </w:tabs>
        <w:snapToGrid w:val="0"/>
        <w:spacing w:line="360" w:lineRule="auto"/>
        <w:ind w:left="424" w:leftChars="202"/>
        <w:rPr>
          <w:color w:val="000000"/>
          <w:szCs w:val="21"/>
        </w:rPr>
      </w:pPr>
      <w:r>
        <w:rPr>
          <w:rFonts w:hint="eastAsia"/>
          <w:color w:val="000000"/>
          <w:szCs w:val="21"/>
        </w:rPr>
        <w:t>合同执行过程中发生的任何争议，如双方不能通过友好协商解决，甲、乙双方一致同意向甲方所在地人民法院提起诉讼。</w:t>
      </w:r>
    </w:p>
    <w:p w14:paraId="5F0CCB03">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不可抗力</w:t>
      </w:r>
    </w:p>
    <w:p w14:paraId="5569FDBF">
      <w:pPr>
        <w:tabs>
          <w:tab w:val="left" w:pos="824"/>
        </w:tabs>
        <w:snapToGrid w:val="0"/>
        <w:spacing w:line="360" w:lineRule="auto"/>
        <w:ind w:left="424" w:leftChars="202"/>
        <w:rPr>
          <w:color w:val="000000"/>
          <w:szCs w:val="21"/>
        </w:rPr>
      </w:pPr>
      <w:r>
        <w:rPr>
          <w:rFonts w:hint="eastAsia"/>
          <w:color w:val="00000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C2CA04F">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税费</w:t>
      </w:r>
    </w:p>
    <w:p w14:paraId="62286164">
      <w:pPr>
        <w:snapToGrid w:val="0"/>
        <w:spacing w:line="360" w:lineRule="auto"/>
        <w:ind w:firstLine="420" w:firstLineChars="200"/>
        <w:rPr>
          <w:color w:val="000000"/>
          <w:szCs w:val="21"/>
        </w:rPr>
      </w:pPr>
      <w:r>
        <w:rPr>
          <w:rFonts w:hint="eastAsia"/>
          <w:color w:val="000000"/>
          <w:szCs w:val="21"/>
        </w:rPr>
        <w:t>在中国境内、外发生的与本合同执行有关的一切税费均由乙方负担。</w:t>
      </w:r>
    </w:p>
    <w:p w14:paraId="0F30DA00">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其它</w:t>
      </w:r>
    </w:p>
    <w:p w14:paraId="18ABA41F">
      <w:pPr>
        <w:numPr>
          <w:ilvl w:val="0"/>
          <w:numId w:val="5"/>
        </w:numPr>
        <w:snapToGrid w:val="0"/>
        <w:spacing w:line="360" w:lineRule="auto"/>
        <w:rPr>
          <w:color w:val="000000"/>
          <w:szCs w:val="21"/>
        </w:rPr>
      </w:pPr>
      <w:r>
        <w:rPr>
          <w:rFonts w:hint="eastAsia"/>
          <w:color w:val="000000"/>
          <w:szCs w:val="21"/>
        </w:rPr>
        <w:t>本合同所有附件、采购文件、</w:t>
      </w:r>
      <w:r>
        <w:rPr>
          <w:rFonts w:hint="eastAsia"/>
          <w:color w:val="000000"/>
          <w:szCs w:val="21"/>
          <w:lang w:eastAsia="zh-CN"/>
        </w:rPr>
        <w:t>投标文件</w:t>
      </w:r>
      <w:r>
        <w:rPr>
          <w:rFonts w:hint="eastAsia"/>
          <w:color w:val="000000"/>
          <w:szCs w:val="21"/>
        </w:rPr>
        <w:t>、中标通知书均为合同的有效组成部分，与本合同具有同等法律效力。</w:t>
      </w:r>
    </w:p>
    <w:p w14:paraId="394D4813">
      <w:pPr>
        <w:numPr>
          <w:ilvl w:val="0"/>
          <w:numId w:val="5"/>
        </w:numPr>
        <w:snapToGrid w:val="0"/>
        <w:spacing w:line="360" w:lineRule="auto"/>
        <w:rPr>
          <w:color w:val="000000"/>
          <w:szCs w:val="21"/>
        </w:rPr>
      </w:pPr>
      <w:r>
        <w:rPr>
          <w:rFonts w:hint="eastAsia"/>
          <w:color w:val="000000"/>
          <w:szCs w:val="21"/>
        </w:rPr>
        <w:t>在执行本合同的过程中，所有经双方签署确认的文件（包括会议纪要、补充协议、往来信函）即成为本合同的有效组成部分。</w:t>
      </w:r>
    </w:p>
    <w:p w14:paraId="59B1EF4D">
      <w:pPr>
        <w:numPr>
          <w:ilvl w:val="0"/>
          <w:numId w:val="5"/>
        </w:numPr>
        <w:snapToGrid w:val="0"/>
        <w:spacing w:line="360" w:lineRule="auto"/>
        <w:rPr>
          <w:color w:val="000000"/>
          <w:szCs w:val="21"/>
        </w:rPr>
      </w:pPr>
      <w:r>
        <w:rPr>
          <w:rFonts w:hint="eastAsia"/>
          <w:color w:val="000000"/>
          <w:szCs w:val="21"/>
        </w:rPr>
        <w:t xml:space="preserve">如一方地址、电话、传真号码有变更，应在变更当日内书面通知对方，否则，应承担相应责任。 </w:t>
      </w:r>
    </w:p>
    <w:p w14:paraId="381505C0">
      <w:pPr>
        <w:numPr>
          <w:ilvl w:val="0"/>
          <w:numId w:val="5"/>
        </w:numPr>
        <w:snapToGrid w:val="0"/>
        <w:spacing w:line="360" w:lineRule="auto"/>
        <w:rPr>
          <w:color w:val="000000"/>
          <w:szCs w:val="21"/>
        </w:rPr>
      </w:pPr>
      <w:r>
        <w:rPr>
          <w:rFonts w:hint="eastAsia"/>
          <w:color w:val="000000"/>
          <w:szCs w:val="21"/>
        </w:rPr>
        <w:t>除甲方事先书面同意外，乙方不得部分或全部转让其应履行的合同项下的义务。</w:t>
      </w:r>
    </w:p>
    <w:p w14:paraId="6335D6BD">
      <w:pPr>
        <w:keepNext w:val="0"/>
        <w:keepLines w:val="0"/>
        <w:pageBreakBefore w:val="0"/>
        <w:widowControl w:val="0"/>
        <w:numPr>
          <w:ilvl w:val="0"/>
          <w:numId w:val="4"/>
        </w:numPr>
        <w:tabs>
          <w:tab w:val="left" w:pos="426"/>
          <w:tab w:val="clear" w:pos="960"/>
        </w:tabs>
        <w:kinsoku/>
        <w:wordWrap/>
        <w:overflowPunct/>
        <w:topLinePunct w:val="0"/>
        <w:autoSpaceDE/>
        <w:autoSpaceDN/>
        <w:bidi w:val="0"/>
        <w:adjustRightInd/>
        <w:snapToGrid/>
        <w:spacing w:line="420" w:lineRule="auto"/>
        <w:ind w:left="0" w:leftChars="0" w:firstLine="0" w:firstLineChars="0"/>
        <w:jc w:val="left"/>
        <w:textAlignment w:val="auto"/>
        <w:outlineLvl w:val="2"/>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合同生效</w:t>
      </w:r>
    </w:p>
    <w:p w14:paraId="1FC6BC6A">
      <w:pPr>
        <w:numPr>
          <w:ilvl w:val="0"/>
          <w:numId w:val="6"/>
        </w:numPr>
        <w:snapToGrid w:val="0"/>
        <w:spacing w:line="360" w:lineRule="auto"/>
        <w:rPr>
          <w:szCs w:val="21"/>
        </w:rPr>
      </w:pPr>
      <w:r>
        <w:rPr>
          <w:rFonts w:hint="eastAsia"/>
          <w:szCs w:val="21"/>
        </w:rPr>
        <w:t>合同自甲乙双方</w:t>
      </w:r>
      <w:r>
        <w:rPr>
          <w:rFonts w:hint="eastAsia"/>
          <w:szCs w:val="21"/>
          <w:lang w:eastAsia="zh-CN"/>
        </w:rPr>
        <w:t>法定代表人</w:t>
      </w:r>
      <w:r>
        <w:rPr>
          <w:rFonts w:hint="eastAsia"/>
          <w:szCs w:val="21"/>
        </w:rPr>
        <w:t>或其授权代表签字盖章之日起生效。</w:t>
      </w:r>
    </w:p>
    <w:p w14:paraId="08322032">
      <w:pPr>
        <w:numPr>
          <w:ilvl w:val="0"/>
          <w:numId w:val="6"/>
        </w:numPr>
        <w:snapToGrid w:val="0"/>
        <w:spacing w:line="360" w:lineRule="auto"/>
        <w:rPr>
          <w:color w:val="000000"/>
        </w:rPr>
      </w:pPr>
      <w:r>
        <w:rPr>
          <w:rFonts w:hint="eastAsia"/>
          <w:szCs w:val="21"/>
        </w:rPr>
        <w:t>合同壹式</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份，其中甲乙双方各执</w:t>
      </w:r>
      <w:r>
        <w:rPr>
          <w:rFonts w:hint="eastAsia"/>
          <w:szCs w:val="21"/>
          <w:u w:val="single"/>
        </w:rPr>
        <w:t xml:space="preserve">   </w:t>
      </w:r>
      <w:r>
        <w:rPr>
          <w:rFonts w:hint="eastAsia"/>
          <w:szCs w:val="21"/>
        </w:rPr>
        <w:t>份。</w:t>
      </w:r>
    </w:p>
    <w:p w14:paraId="488C170C">
      <w:pPr>
        <w:pStyle w:val="12"/>
        <w:rPr>
          <w:color w:val="000000"/>
        </w:rPr>
      </w:pPr>
    </w:p>
    <w:p w14:paraId="291033A3">
      <w:pPr>
        <w:snapToGrid w:val="0"/>
        <w:spacing w:line="360" w:lineRule="auto"/>
        <w:rPr>
          <w:color w:val="000000"/>
          <w:szCs w:val="21"/>
        </w:rPr>
      </w:pPr>
      <w:r>
        <w:rPr>
          <w:rFonts w:hint="eastAsia"/>
          <w:color w:val="000000"/>
          <w:szCs w:val="21"/>
        </w:rPr>
        <w:t>甲方（盖章）：                          乙方（盖章）：</w:t>
      </w:r>
    </w:p>
    <w:p w14:paraId="4340109D">
      <w:pPr>
        <w:snapToGrid w:val="0"/>
        <w:spacing w:line="360" w:lineRule="auto"/>
        <w:rPr>
          <w:color w:val="000000"/>
          <w:szCs w:val="21"/>
        </w:rPr>
      </w:pPr>
      <w:r>
        <w:rPr>
          <w:rFonts w:hint="eastAsia"/>
          <w:color w:val="000000"/>
          <w:szCs w:val="21"/>
        </w:rPr>
        <w:t xml:space="preserve">代表：                                  代表： </w:t>
      </w:r>
    </w:p>
    <w:p w14:paraId="7372E671">
      <w:pPr>
        <w:snapToGrid w:val="0"/>
        <w:spacing w:line="360" w:lineRule="auto"/>
        <w:rPr>
          <w:color w:val="000000"/>
          <w:szCs w:val="21"/>
        </w:rPr>
      </w:pPr>
      <w:r>
        <w:rPr>
          <w:rFonts w:hint="eastAsia"/>
          <w:color w:val="000000"/>
          <w:szCs w:val="21"/>
        </w:rPr>
        <w:t>签</w:t>
      </w:r>
      <w:r>
        <w:rPr>
          <w:rFonts w:hint="eastAsia"/>
          <w:color w:val="000000"/>
          <w:szCs w:val="21"/>
          <w:lang w:val="en-US" w:eastAsia="zh-CN"/>
        </w:rPr>
        <w:t>订</w:t>
      </w:r>
      <w:r>
        <w:rPr>
          <w:rFonts w:hint="eastAsia"/>
          <w:color w:val="000000"/>
          <w:szCs w:val="21"/>
        </w:rPr>
        <w:t>地点：</w:t>
      </w:r>
    </w:p>
    <w:p w14:paraId="31D72E3F">
      <w:pPr>
        <w:snapToGrid w:val="0"/>
        <w:spacing w:line="360" w:lineRule="auto"/>
        <w:rPr>
          <w:color w:val="000000"/>
          <w:szCs w:val="21"/>
        </w:rPr>
      </w:pPr>
      <w:r>
        <w:rPr>
          <w:rFonts w:hint="eastAsia"/>
          <w:color w:val="000000"/>
          <w:szCs w:val="21"/>
        </w:rPr>
        <w:t>签</w:t>
      </w:r>
      <w:r>
        <w:rPr>
          <w:rFonts w:hint="eastAsia"/>
          <w:color w:val="000000"/>
          <w:szCs w:val="21"/>
          <w:lang w:val="en-US" w:eastAsia="zh-CN"/>
        </w:rPr>
        <w:t>订</w:t>
      </w:r>
      <w:r>
        <w:rPr>
          <w:rFonts w:hint="eastAsia"/>
          <w:color w:val="000000"/>
          <w:szCs w:val="21"/>
        </w:rPr>
        <w:t>日期：        年     月    日       签</w:t>
      </w:r>
      <w:r>
        <w:rPr>
          <w:rFonts w:hint="eastAsia"/>
          <w:color w:val="000000"/>
          <w:szCs w:val="21"/>
          <w:lang w:val="en-US" w:eastAsia="zh-CN"/>
        </w:rPr>
        <w:t>订</w:t>
      </w:r>
      <w:r>
        <w:rPr>
          <w:rFonts w:hint="eastAsia"/>
          <w:color w:val="000000"/>
          <w:szCs w:val="21"/>
        </w:rPr>
        <w:t xml:space="preserve">日期：        年     月     日    </w:t>
      </w:r>
    </w:p>
    <w:p w14:paraId="39055906">
      <w:pPr>
        <w:snapToGrid w:val="0"/>
        <w:spacing w:line="360" w:lineRule="auto"/>
        <w:rPr>
          <w:color w:val="000000"/>
          <w:szCs w:val="21"/>
        </w:rPr>
      </w:pPr>
      <w:r>
        <w:rPr>
          <w:rFonts w:hint="eastAsia"/>
          <w:color w:val="000000"/>
          <w:szCs w:val="21"/>
        </w:rPr>
        <w:t>开户名称：</w:t>
      </w:r>
      <w:r>
        <w:rPr>
          <w:rFonts w:hint="eastAsia"/>
          <w:color w:val="000000"/>
          <w:szCs w:val="21"/>
          <w:lang w:val="en-US" w:eastAsia="zh-CN"/>
        </w:rPr>
        <w:t xml:space="preserve">                              </w:t>
      </w:r>
      <w:r>
        <w:rPr>
          <w:rFonts w:hint="eastAsia"/>
          <w:color w:val="000000"/>
          <w:szCs w:val="21"/>
        </w:rPr>
        <w:t>开户名称：</w:t>
      </w:r>
    </w:p>
    <w:p w14:paraId="17D634AA">
      <w:pPr>
        <w:snapToGrid w:val="0"/>
        <w:spacing w:line="360" w:lineRule="auto"/>
        <w:rPr>
          <w:color w:val="000000"/>
          <w:szCs w:val="21"/>
        </w:rPr>
      </w:pPr>
      <w:r>
        <w:rPr>
          <w:rFonts w:hint="eastAsia"/>
          <w:color w:val="000000"/>
          <w:szCs w:val="21"/>
        </w:rPr>
        <w:t>银行账号：</w:t>
      </w:r>
      <w:r>
        <w:rPr>
          <w:rFonts w:hint="eastAsia"/>
          <w:color w:val="000000"/>
          <w:szCs w:val="21"/>
          <w:lang w:val="en-US" w:eastAsia="zh-CN"/>
        </w:rPr>
        <w:t xml:space="preserve">                              </w:t>
      </w:r>
      <w:r>
        <w:rPr>
          <w:rFonts w:hint="eastAsia"/>
          <w:color w:val="000000"/>
          <w:szCs w:val="21"/>
        </w:rPr>
        <w:t>银行账号：</w:t>
      </w:r>
    </w:p>
    <w:p w14:paraId="7CBD9374">
      <w:pPr>
        <w:snapToGrid w:val="0"/>
        <w:spacing w:line="360" w:lineRule="auto"/>
        <w:rPr>
          <w:rFonts w:ascii="黑体" w:hAnsi="黑体" w:eastAsia="黑体"/>
          <w:b/>
        </w:rPr>
      </w:pPr>
      <w:r>
        <w:rPr>
          <w:rFonts w:hint="eastAsia"/>
          <w:color w:val="000000"/>
          <w:szCs w:val="21"/>
        </w:rPr>
        <w:t>开 户 行：</w:t>
      </w:r>
      <w:r>
        <w:rPr>
          <w:rFonts w:hint="eastAsia"/>
          <w:color w:val="000000"/>
          <w:szCs w:val="21"/>
          <w:lang w:val="en-US" w:eastAsia="zh-CN"/>
        </w:rPr>
        <w:t xml:space="preserve">                              </w:t>
      </w:r>
      <w:r>
        <w:rPr>
          <w:rFonts w:hint="eastAsia"/>
          <w:color w:val="000000"/>
          <w:szCs w:val="21"/>
        </w:rPr>
        <w:t>开 户 行：</w:t>
      </w:r>
    </w:p>
    <w:p w14:paraId="30B15916">
      <w:pPr>
        <w:spacing w:line="360" w:lineRule="auto"/>
        <w:rPr>
          <w:rFonts w:hint="eastAsia"/>
        </w:rPr>
        <w:sectPr>
          <w:footerReference r:id="rId5" w:type="default"/>
          <w:pgSz w:w="11910" w:h="16840"/>
          <w:pgMar w:top="1580" w:right="720" w:bottom="1180" w:left="1020" w:header="852" w:footer="985" w:gutter="0"/>
          <w:pgNumType w:fmt="decimal" w:start="1"/>
          <w:cols w:space="720" w:num="1"/>
        </w:sectPr>
      </w:pPr>
      <w:r>
        <w:rPr>
          <w:rFonts w:hint="eastAsia"/>
          <w:bCs/>
          <w:color w:val="000000"/>
          <w:szCs w:val="21"/>
        </w:rPr>
        <w:t>注：此合同文本仅供参考,合同具体细节以成交双方协定为准，但不得对招标文件、</w:t>
      </w:r>
      <w:r>
        <w:rPr>
          <w:rFonts w:hint="eastAsia"/>
          <w:bCs/>
          <w:color w:val="000000"/>
          <w:szCs w:val="21"/>
          <w:lang w:eastAsia="zh-CN"/>
        </w:rPr>
        <w:t>投标文件</w:t>
      </w:r>
      <w:r>
        <w:rPr>
          <w:rFonts w:hint="eastAsia"/>
          <w:bCs/>
          <w:color w:val="000000"/>
          <w:szCs w:val="21"/>
        </w:rPr>
        <w:t>作实质性修改。</w:t>
      </w:r>
      <w:r>
        <w:rPr>
          <w:rFonts w:hint="eastAsia"/>
          <w:bCs/>
        </w:rPr>
        <w:t>省</w:t>
      </w:r>
      <w:r>
        <w:rPr>
          <w:rFonts w:hint="eastAsia"/>
        </w:rPr>
        <w:t>级以上政府部门或行业组织有标准的合同示范文本的，应按照其文本确定合同格式。</w:t>
      </w:r>
    </w:p>
    <w:bookmarkEnd w:id="48"/>
    <w:p w14:paraId="52778F6C">
      <w:pPr>
        <w:pStyle w:val="6"/>
        <w:numPr>
          <w:ilvl w:val="0"/>
          <w:numId w:val="7"/>
        </w:numPr>
        <w:bidi w:val="0"/>
        <w:jc w:val="center"/>
        <w:outlineLvl w:val="0"/>
        <w:rPr>
          <w:rFonts w:hint="eastAsia" w:cs="Times New Roman"/>
          <w:color w:val="auto"/>
          <w:highlight w:val="none"/>
          <w:lang w:val="zh-CN"/>
        </w:rPr>
      </w:pPr>
      <w:bookmarkStart w:id="49" w:name="_Toc23103"/>
      <w:bookmarkStart w:id="50" w:name="_Toc495651142"/>
      <w:r>
        <w:rPr>
          <w:rFonts w:hint="eastAsia" w:cs="Times New Roman"/>
          <w:color w:val="auto"/>
          <w:highlight w:val="none"/>
          <w:lang w:val="en-US" w:eastAsia="zh-CN"/>
        </w:rPr>
        <w:t>采购</w:t>
      </w:r>
      <w:r>
        <w:rPr>
          <w:rFonts w:hint="eastAsia" w:cs="Times New Roman"/>
          <w:color w:val="auto"/>
          <w:highlight w:val="none"/>
          <w:lang w:val="zh-CN"/>
        </w:rPr>
        <w:t>要求</w:t>
      </w:r>
      <w:bookmarkEnd w:id="49"/>
      <w:bookmarkEnd w:id="50"/>
    </w:p>
    <w:tbl>
      <w:tblPr>
        <w:tblStyle w:val="28"/>
        <w:tblW w:w="10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91"/>
        <w:gridCol w:w="956"/>
        <w:gridCol w:w="5250"/>
        <w:gridCol w:w="1160"/>
        <w:gridCol w:w="994"/>
        <w:gridCol w:w="731"/>
      </w:tblGrid>
      <w:tr w14:paraId="760A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11D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bookmarkStart w:id="51" w:name="_Toc353262375"/>
            <w:bookmarkStart w:id="52" w:name="_Toc493597918"/>
            <w:bookmarkStart w:id="53" w:name="_Toc493594039"/>
            <w:bookmarkStart w:id="54" w:name="_Toc495651143"/>
            <w:r>
              <w:rPr>
                <w:rFonts w:hint="eastAsia" w:ascii="宋体" w:hAnsi="宋体" w:eastAsia="宋体" w:cs="宋体"/>
                <w:b/>
                <w:bCs/>
                <w:i w:val="0"/>
                <w:iCs w:val="0"/>
                <w:color w:val="000000"/>
                <w:sz w:val="21"/>
                <w:szCs w:val="21"/>
                <w:u w:val="none"/>
                <w:lang w:val="en-US" w:eastAsia="zh-CN"/>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0F5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产品名称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D04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规格型号</w:t>
            </w:r>
          </w:p>
        </w:tc>
        <w:tc>
          <w:tcPr>
            <w:tcW w:w="5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E1F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参数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509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EA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3BC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备注</w:t>
            </w:r>
          </w:p>
        </w:tc>
      </w:tr>
      <w:tr w14:paraId="58CA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4F93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1D95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便携式温湿度检测仪</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285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5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D8BB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1、测量范围：-20～+60℃/0～100%RH</w:t>
            </w:r>
          </w:p>
          <w:p w14:paraId="68B04A1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2、测量精度：±0.5℃/2.5%RH（5～95%RH）</w:t>
            </w:r>
          </w:p>
          <w:p w14:paraId="282D2C8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3、分辨率：0.1℃/0.1%RH</w:t>
            </w:r>
          </w:p>
          <w:p w14:paraId="694DB3B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4、电池类型：3节AA</w:t>
            </w:r>
          </w:p>
          <w:p w14:paraId="4F15EC8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5、电池寿命：100h</w:t>
            </w:r>
          </w:p>
          <w:p w14:paraId="442054A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6、操作温度：-20～+50℃</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3D7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EE6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55B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4942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33A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921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496E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9DE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F9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B5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E9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68E1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902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1A3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B9F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FD7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63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67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0D6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0B03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D6A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8B0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1B2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3BE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DB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03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DC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1106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39EF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E85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全数字照度计</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A88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5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4294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1、动态范围：0.1—100,000lx</w:t>
            </w:r>
          </w:p>
          <w:p w14:paraId="4BADCD0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2、仪器精度：优于±4%</w:t>
            </w:r>
          </w:p>
          <w:p w14:paraId="6B1A336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3、分辨率：0.001lx</w:t>
            </w:r>
          </w:p>
          <w:p w14:paraId="28C2481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4、重复性：0.001lx</w:t>
            </w:r>
          </w:p>
          <w:p w14:paraId="2D26E77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5、数字V(λ)传感器V(λ)匹配误差达国家一级照度计标准，不大于6.0%</w:t>
            </w:r>
          </w:p>
          <w:p w14:paraId="686ACD1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6、温度系数：不超过±0.5%/℃</w:t>
            </w:r>
          </w:p>
          <w:p w14:paraId="56BDD16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7、刷新频率：3次/s（≥1lx），1次/2s（＜1lx）</w:t>
            </w:r>
          </w:p>
          <w:p w14:paraId="7105A07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8、RS232接口，可用于计算机远程监控（含软件）</w:t>
            </w:r>
          </w:p>
          <w:p w14:paraId="43B93A3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9、供电电源：9V电池</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5D3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FC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73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4150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977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E2A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9E3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B84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71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A0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76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1A81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9A1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9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层板式多功能文物储藏柜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C6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W4140*D600*H2500mm</w:t>
            </w:r>
          </w:p>
        </w:tc>
        <w:tc>
          <w:tcPr>
            <w:tcW w:w="5250" w:type="dxa"/>
            <w:vMerge w:val="restart"/>
            <w:tcBorders>
              <w:top w:val="single" w:color="000000" w:sz="4" w:space="0"/>
              <w:left w:val="single" w:color="000000" w:sz="4" w:space="0"/>
              <w:right w:val="single" w:color="000000" w:sz="4" w:space="0"/>
            </w:tcBorders>
            <w:shd w:val="clear" w:color="auto" w:fill="auto"/>
            <w:vAlign w:val="center"/>
          </w:tcPr>
          <w:p w14:paraId="4F55D8C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1、结构和技术要求</w:t>
            </w:r>
          </w:p>
          <w:p w14:paraId="29A13AE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（1）主体结构由底座、立柱、挂板、搁板、门面、顶板、</w:t>
            </w:r>
            <w:r>
              <w:rPr>
                <w:rFonts w:hint="eastAsia" w:ascii="宋体" w:hAnsi="宋体" w:eastAsia="宋体" w:cs="宋体"/>
                <w:i w:val="0"/>
                <w:iCs w:val="0"/>
                <w:color w:val="000000"/>
                <w:sz w:val="21"/>
                <w:szCs w:val="21"/>
                <w:u w:val="none"/>
                <w:lang w:val="en-US" w:eastAsia="zh-Hans"/>
              </w:rPr>
              <w:t>底</w:t>
            </w:r>
            <w:r>
              <w:rPr>
                <w:rFonts w:hint="eastAsia" w:ascii="宋体" w:hAnsi="宋体" w:eastAsia="宋体" w:cs="宋体"/>
                <w:i w:val="0"/>
                <w:iCs w:val="0"/>
                <w:color w:val="000000"/>
                <w:sz w:val="21"/>
                <w:szCs w:val="21"/>
                <w:u w:val="none"/>
                <w:lang w:val="en-US" w:eastAsia="zh-CN"/>
              </w:rPr>
              <w:t>板、护板等组成，采用框架整体焊接底座，各部位的安装要绝对牢固、可靠、无松动现象,确保重型文物架整个架体的稳定性。</w:t>
            </w:r>
          </w:p>
          <w:p w14:paraId="09F05EE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（2）每标准节六层文物放置隔板，层高可调整，上下两套钢制对开柜门，柜门内侧有加强板及封板，确保门面强度及美观。</w:t>
            </w:r>
          </w:p>
          <w:p w14:paraId="3BE0FC8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（3）钢制柜架体拆装结构，组合式装配，多节连排组合。</w:t>
            </w:r>
          </w:p>
          <w:p w14:paraId="627AF6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（4）外形简洁、大方美观,两端有侧板，侧护板为正面凹凸左右两边大圆角式结构（过宽架体采用竖三拼款式）,采用整块优质冷轧钢板压折成型，护板侧立柱为全封闭结构，防止藏品滑落。</w:t>
            </w:r>
          </w:p>
          <w:p w14:paraId="754627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（5）为了方便分类管理,每列柜体护板适合位置设置亚克力标签框，标签框款式醒目，容易识别，更换方便。</w:t>
            </w:r>
          </w:p>
          <w:p w14:paraId="66BB800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（6）柜体立柱宽度≥50mm，每组立柱间有横档焊接牢固。根据存放文物的不同，节与节之间、双面中间（背靠背摆放）可相通也可不相通（以柔性安全防护装置相隔），使文物可任意方式存放。</w:t>
            </w:r>
          </w:p>
          <w:p w14:paraId="0AAEE8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▲（7）柜门采用液压缓冲铰链方式连接，开关轻便、没有噪声，柜门不上锁关闭情况下也不会自行开启。</w:t>
            </w:r>
          </w:p>
          <w:p w14:paraId="0AA89A5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（8）架内每层文物放置搁板为双边六折边，前后位置分别焊有护边，使搁板正面形成凹槽；搁板上铺亚麻布及12mm松木实木板，木板为内镶式；木板表面平整，经过干燥处理。</w:t>
            </w:r>
          </w:p>
          <w:p w14:paraId="43FED7B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（9）为确保搁板承重强度，搁板底面正中间焊有加强筋。</w:t>
            </w:r>
          </w:p>
          <w:p w14:paraId="2262408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（10）文物柜架达到人性化（如开关方便、存取方便）、科学化（结构合理、符合力学原理）、细节化（尖角圆润、查询便捷）。</w:t>
            </w:r>
          </w:p>
          <w:p w14:paraId="5F959D9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2、性能</w:t>
            </w:r>
          </w:p>
          <w:p w14:paraId="37BEA2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（1）架体稳定坚固，使用灵活可靠。</w:t>
            </w:r>
          </w:p>
          <w:p w14:paraId="3358BB5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（2）组件拆装方便，所有部件外观平滑，没有外露尖角、毛刺。</w:t>
            </w:r>
          </w:p>
          <w:p w14:paraId="6A3C1A4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（3）文物放置隔板每层承重≥100kg，试验后不应开裂和断裂，固定部件、零件不应有出现松动，任何零部件不得有严重影响使用功能的磨损或变形，活动零部件的工作应能灵活自如。</w:t>
            </w:r>
          </w:p>
          <w:p w14:paraId="6AD1FD6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▲（4）每标准节的柜门可开启≥150度。</w:t>
            </w:r>
          </w:p>
          <w:p w14:paraId="75423D1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（5）柜架颜色自行选择，但整体上应符合本馆的总体设计风格，美观环保，且对文物起到一定的保护作用。</w:t>
            </w:r>
          </w:p>
          <w:p w14:paraId="746CA5D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（6）钢板表面处理：严格执行表面处理工艺要求及标准，表面亚光静电喷塑。</w:t>
            </w:r>
          </w:p>
          <w:p w14:paraId="257DADD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（7）柜门开启不小于90度，施加100kg向下正压力时，柜体无任何倾斜。</w:t>
            </w:r>
          </w:p>
          <w:p w14:paraId="53E5039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▲（8）搁板垂直加载稳定性：在最上层搁板前沿25mm的任一点，向下施加≥800N的垂直力试验,保持≥100s,关闭其的门等活动部件其他搁板不应加载，不应有倾翻且连接件无松动和损坏现象。</w:t>
            </w:r>
          </w:p>
          <w:p w14:paraId="1F29FE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3、材料标准</w:t>
            </w:r>
          </w:p>
          <w:p w14:paraId="25EA311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（1）钢制部分：底座δ=2.0mm一级冷轧钢板，立柱δ=1.5mm一级冷轧钢板，挂板δ=1.2mm一级冷轧钢板，搁板、顶板、内侧板、侧面板、门板、门框δ=1.0mm一级冷轧钢板；表面亚光静电粉末喷塑。</w:t>
            </w:r>
          </w:p>
          <w:p w14:paraId="42C5177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val="en-US" w:eastAsia="zh-Hans"/>
              </w:rPr>
              <w:t>长条</w:t>
            </w:r>
            <w:r>
              <w:rPr>
                <w:rFonts w:hint="eastAsia" w:ascii="宋体" w:hAnsi="宋体" w:eastAsia="宋体" w:cs="宋体"/>
                <w:i w:val="0"/>
                <w:iCs w:val="0"/>
                <w:color w:val="000000"/>
                <w:sz w:val="21"/>
                <w:szCs w:val="21"/>
                <w:u w:val="none"/>
                <w:lang w:val="en-US" w:eastAsia="zh-CN"/>
              </w:rPr>
              <w:t>门锁：扣手式</w:t>
            </w:r>
            <w:r>
              <w:rPr>
                <w:rFonts w:hint="eastAsia" w:ascii="宋体" w:hAnsi="宋体" w:eastAsia="宋体" w:cs="宋体"/>
                <w:i w:val="0"/>
                <w:iCs w:val="0"/>
                <w:color w:val="000000"/>
                <w:sz w:val="21"/>
                <w:szCs w:val="21"/>
                <w:u w:val="none"/>
                <w:lang w:val="en-US" w:eastAsia="zh-Hans"/>
              </w:rPr>
              <w:t>长条</w:t>
            </w:r>
            <w:r>
              <w:rPr>
                <w:rFonts w:hint="eastAsia" w:ascii="宋体" w:hAnsi="宋体" w:eastAsia="宋体" w:cs="宋体"/>
                <w:i w:val="0"/>
                <w:iCs w:val="0"/>
                <w:color w:val="000000"/>
                <w:sz w:val="21"/>
                <w:szCs w:val="21"/>
                <w:u w:val="none"/>
                <w:lang w:val="en-US" w:eastAsia="zh-CN"/>
              </w:rPr>
              <w:t>连锁，采用工程塑料（铝压铸），在锁打开状态，门也能关闭且不回弹，钥匙亦能拔出，方便统一管理。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A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0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8A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3FE7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3BC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C5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层板式多功能文物储藏柜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196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W2140*D600*H2500mm</w:t>
            </w:r>
          </w:p>
        </w:tc>
        <w:tc>
          <w:tcPr>
            <w:tcW w:w="5250" w:type="dxa"/>
            <w:vMerge w:val="continue"/>
            <w:tcBorders>
              <w:left w:val="single" w:color="000000" w:sz="4" w:space="0"/>
              <w:right w:val="single" w:color="000000" w:sz="4" w:space="0"/>
            </w:tcBorders>
            <w:shd w:val="clear" w:color="auto" w:fill="auto"/>
            <w:vAlign w:val="center"/>
          </w:tcPr>
          <w:p w14:paraId="3A9F447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E9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68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BA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5BAC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579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D6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层板式多功能文物储藏柜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6C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W3140*D600*H2500mm</w:t>
            </w:r>
          </w:p>
        </w:tc>
        <w:tc>
          <w:tcPr>
            <w:tcW w:w="5250" w:type="dxa"/>
            <w:vMerge w:val="continue"/>
            <w:tcBorders>
              <w:left w:val="single" w:color="000000" w:sz="4" w:space="0"/>
              <w:bottom w:val="single" w:color="000000" w:sz="4" w:space="0"/>
              <w:right w:val="single" w:color="000000" w:sz="4" w:space="0"/>
            </w:tcBorders>
            <w:shd w:val="clear" w:color="auto" w:fill="auto"/>
            <w:vAlign w:val="center"/>
          </w:tcPr>
          <w:p w14:paraId="142E74B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C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20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6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5A78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C8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4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悬臂式文物储藏柜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F49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W4140*D600*H2500mm</w:t>
            </w:r>
          </w:p>
        </w:tc>
        <w:tc>
          <w:tcPr>
            <w:tcW w:w="5250" w:type="dxa"/>
            <w:vMerge w:val="restart"/>
            <w:tcBorders>
              <w:top w:val="single" w:color="000000" w:sz="4" w:space="0"/>
              <w:left w:val="single" w:color="000000" w:sz="4" w:space="0"/>
              <w:right w:val="single" w:color="000000" w:sz="4" w:space="0"/>
            </w:tcBorders>
            <w:shd w:val="clear" w:color="auto" w:fill="auto"/>
            <w:vAlign w:val="center"/>
          </w:tcPr>
          <w:p w14:paraId="19C02E0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1、结构和技术要求</w:t>
            </w:r>
          </w:p>
          <w:p w14:paraId="00DB656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（1）主体结构由底座、立柱、悬臂、挂板、搁板、门面、顶板、护板等组成，采用框架整体焊接底座，各部位的安装要绝对牢固、可靠、无松动现象,确保重型文物架整个架体的稳定性。</w:t>
            </w:r>
          </w:p>
          <w:p w14:paraId="0FF5C6A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（2）每标准节七层文物放置隔板，层高可调整。（实际层板可以再根据实际情况调整）</w:t>
            </w:r>
          </w:p>
          <w:p w14:paraId="6335DA2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（3）钢制柜架体拆装结构，组合式装配，多节连排组合。</w:t>
            </w:r>
          </w:p>
          <w:p w14:paraId="2B0790A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（4）外形简洁、大方美观,两端有侧板，侧护板为正面凹凸左右两边大圆角式结构（过宽架体采用竖三拼款式）,采用整块优质冷轧钢板压折成型，护板侧立柱为全封闭结构，防止藏品滑落。</w:t>
            </w:r>
          </w:p>
          <w:p w14:paraId="15FC744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（5）为了方便分类管理,每列柜体护板适合位置设置亚克力标签框，标签框款式醒目，容易识别，更换方便。</w:t>
            </w:r>
          </w:p>
          <w:p w14:paraId="180D09B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（6）柜体立柱截面≥50×80mm，三柱+单住结构，每组立柱间有横档焊接牢固。中间节与节之间外侧无立柱，可储存超长类藏品。</w:t>
            </w:r>
          </w:p>
          <w:p w14:paraId="28C254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（7）配置钛合金边框4+4mm钢化夹胶玻璃移门（三联式），门开启后便于放置超长藏品，不影响过道空间，并且具有一定的展示功能。</w:t>
            </w:r>
          </w:p>
          <w:p w14:paraId="4CB8F78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（8）架内每层文物放置搁板为双边六折边，前后位置分别焊有护边，使搁板正面形成凹槽；搁板上铺亚麻布及12mm松木实木板（配置，如果放置纸质类藏品配置</w:t>
            </w:r>
          </w:p>
          <w:p w14:paraId="5F5BCCA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10mm厚樟木实木板），木板为内镶式；木板表面平整，经过干燥处理。</w:t>
            </w:r>
          </w:p>
          <w:p w14:paraId="094BAC2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（9）层高可调节，调节完毕后，悬臂、立柱、搁板具有安全锁止功能，防止意外发生层板脱架。</w:t>
            </w:r>
          </w:p>
          <w:p w14:paraId="2F166A2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（10）文物柜架达到人性化（如开关方便、存取方便）、科学化（结构合理、符合力学原理）、细节化（尖角圆润、查询便捷）。</w:t>
            </w:r>
          </w:p>
          <w:p w14:paraId="3B2030E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2、性能</w:t>
            </w:r>
          </w:p>
          <w:p w14:paraId="7DC8910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（1）架体稳定坚固，使用灵活可靠。</w:t>
            </w:r>
          </w:p>
          <w:p w14:paraId="515014D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（2）组件拆装方便，所有部件外观平滑，没有外露尖角、毛刺。</w:t>
            </w:r>
          </w:p>
          <w:p w14:paraId="14007DE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（3）文物放置隔板每层承重≥100kg，试验后不应开裂和断裂，固定部件、零件不应有出现松动，任何零部件不得有严重影响使用功能的磨损或变形，活动零部件的工作应能灵活自如。</w:t>
            </w:r>
          </w:p>
          <w:p w14:paraId="362C40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（4）柜架颜色自行选择，但整体上应符合本馆的总体设计风格，美观环保，且对文物起到一定的保护作用。</w:t>
            </w:r>
          </w:p>
          <w:p w14:paraId="30546B1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（5）钢板表面处理：严格执行表面处理工艺要求及标准，表面亚光静电喷塑。</w:t>
            </w:r>
          </w:p>
          <w:p w14:paraId="36D1518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▲（6）金属表面耐腐蚀盐雾试验：经中性盐雾试验后，金属表面应无锈迹、剥落、起皱、变色和失光等现象。</w:t>
            </w:r>
          </w:p>
          <w:p w14:paraId="790F9DE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▲（7）搁板垂直加载稳定性：在最上层搁板前沿 25mm 的任一点向下施加≥ 800 N的垂直力试验,保持≥100s,关闭其的门等活动部件其他搁板不应加载，不应有倾翻且连接件无松动和损坏现象。</w:t>
            </w:r>
          </w:p>
          <w:p w14:paraId="3CCD987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3、材料标准</w:t>
            </w:r>
          </w:p>
          <w:p w14:paraId="57D43E8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（1）钢制部分：底座、悬臂δ=2.0mm一级冷轧钢板，立柱δ=1.5mm一级冷轧钢板，挂板δ=1.2mm一级冷轧钢板，搁板、顶板、内侧板、侧面板、门板、门框δ</w:t>
            </w:r>
          </w:p>
          <w:p w14:paraId="5AF174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=1.0mm一级冷轧钢板；表面亚光静电粉末喷塑。</w:t>
            </w:r>
          </w:p>
          <w:p w14:paraId="40681C0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（2）门面：1.2mm钛合金边框，4+4mm钢化夹胶玻璃。</w:t>
            </w:r>
          </w:p>
          <w:p w14:paraId="0B3A420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▲（3）金属性喷漆(塑)涂层理化性能：冲击高度≥400mm，应无剥落、裂纹皱纹。</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22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4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2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1D3A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1D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C6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悬臂式文物储藏柜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4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W3140*D600*H2500mm</w:t>
            </w:r>
          </w:p>
        </w:tc>
        <w:tc>
          <w:tcPr>
            <w:tcW w:w="5250" w:type="dxa"/>
            <w:vMerge w:val="continue"/>
            <w:tcBorders>
              <w:left w:val="single" w:color="000000" w:sz="4" w:space="0"/>
              <w:right w:val="single" w:color="000000" w:sz="4" w:space="0"/>
            </w:tcBorders>
            <w:shd w:val="clear" w:color="auto" w:fill="auto"/>
            <w:vAlign w:val="center"/>
          </w:tcPr>
          <w:p w14:paraId="268080C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D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2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F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0438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D64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099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层板式古籍文物储藏柜</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CFFE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W4140*D600*H2500mm</w:t>
            </w:r>
          </w:p>
        </w:tc>
        <w:tc>
          <w:tcPr>
            <w:tcW w:w="5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5EAC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1、结构和技术要求</w:t>
            </w:r>
          </w:p>
          <w:p w14:paraId="5DFB5C5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（1）主体结构由底座、立柱、挂板、搁板、门面、顶板、</w:t>
            </w:r>
            <w:r>
              <w:rPr>
                <w:rFonts w:hint="eastAsia" w:ascii="宋体" w:hAnsi="宋体" w:eastAsia="宋体" w:cs="宋体"/>
                <w:i w:val="0"/>
                <w:iCs w:val="0"/>
                <w:color w:val="000000"/>
                <w:sz w:val="21"/>
                <w:szCs w:val="21"/>
                <w:u w:val="none"/>
                <w:lang w:val="en-US" w:eastAsia="zh-Hans"/>
              </w:rPr>
              <w:t>底</w:t>
            </w:r>
            <w:r>
              <w:rPr>
                <w:rFonts w:hint="eastAsia" w:ascii="宋体" w:hAnsi="宋体" w:eastAsia="宋体" w:cs="宋体"/>
                <w:i w:val="0"/>
                <w:iCs w:val="0"/>
                <w:color w:val="000000"/>
                <w:sz w:val="21"/>
                <w:szCs w:val="21"/>
                <w:u w:val="none"/>
                <w:lang w:val="en-US" w:eastAsia="zh-CN"/>
              </w:rPr>
              <w:t>板、护板等组成，采用框架整体焊接底座，各部位的安装要绝对牢固、可靠、无松动现象,确保重型文物架整个架体的稳定性。</w:t>
            </w:r>
          </w:p>
          <w:p w14:paraId="6E71481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（2）每标准节六层文物放置隔板，层高可调整，上下两套钢制对开柜门，柜门内侧有加强板及封板，确保门面强度及美观。</w:t>
            </w:r>
          </w:p>
          <w:p w14:paraId="0DC26ED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（3）钢制柜架体拆装结构，组合式装配，多节连排组合。</w:t>
            </w:r>
          </w:p>
          <w:p w14:paraId="39711D9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（4）外形简洁、大方美观,两端有侧板，侧护板为正面凹凸左右两边大圆角式结构（过宽架体采用竖三拼款式）,采用整块优质冷轧钢板压折成型，护板侧立柱为全封闭结构，防止藏品滑落。</w:t>
            </w:r>
          </w:p>
          <w:p w14:paraId="66CAF25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（5）为了方便分类管理,每列柜体护板适合位置设置亚克力标签框，标签框款式醒目，容易识别，更换方便。</w:t>
            </w:r>
          </w:p>
          <w:p w14:paraId="42F3114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（6）柜体立柱宽度≥50mm，每组立柱间有横档焊接牢固。节与节之间、双面中间不相通，以10mm厚樟木实木板相隔。</w:t>
            </w:r>
          </w:p>
          <w:p w14:paraId="6240FE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（7）柜门采用液压缓冲铰链方式连接，开关轻便、没有噪声，柜门不上锁关闭情况下也不会自行开启。</w:t>
            </w:r>
          </w:p>
          <w:p w14:paraId="53E8E3E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（8）架内每层文物放置搁板为双边六折边，前后位置分别焊有护边，使搁板正面形成凹槽；搁板上铺嵌10mm樟木实木板，木板为内镶式；木板表面平整，经过干燥处理。</w:t>
            </w:r>
          </w:p>
          <w:p w14:paraId="0870C95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（9）为确保搁板承重强度，搁板底面正中间焊有加强筋。</w:t>
            </w:r>
          </w:p>
          <w:p w14:paraId="39B473A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（10）文物柜架达到人性化（如开关方便、存取方便）、科学化（结构合理、符合力学原理）、细节化（尖角圆润、查询便捷）。</w:t>
            </w:r>
          </w:p>
          <w:p w14:paraId="1042C37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2、性能</w:t>
            </w:r>
          </w:p>
          <w:p w14:paraId="1E65640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（1）架体稳定坚固，使用灵活可靠。</w:t>
            </w:r>
          </w:p>
          <w:p w14:paraId="202394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（2）组件拆装方便，所有部件外观平滑，没有外露尖角、毛刺。</w:t>
            </w:r>
          </w:p>
          <w:p w14:paraId="1C26E2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▲（3）文物放置隔板每层承重≥100kg，试验后不应开裂和断裂，固定部件、零件不应有出现松动，任何零部件不得有严重影响使用功能的磨损或变形，活动零部件的工作应能灵活自如。</w:t>
            </w:r>
          </w:p>
          <w:p w14:paraId="76332D3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（4）每标准节的柜门可开启≥150度。</w:t>
            </w:r>
          </w:p>
          <w:p w14:paraId="0E5EC0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（5）柜架颜色自行选择，但整体上应符合本馆的总体设计风格，美观环保，且对文物起到一定的保护作用。</w:t>
            </w:r>
          </w:p>
          <w:p w14:paraId="50EE35D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（6）钢板表面处理：严格执行表面处理工艺要求及标准，表面亚光静电喷塑。</w:t>
            </w:r>
          </w:p>
          <w:p w14:paraId="1B254A5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（7）柜门开启不小于90度，施加100kg向下正压力时，柜体无任何倾斜。</w:t>
            </w:r>
          </w:p>
          <w:p w14:paraId="44D0C2A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3、材料标准</w:t>
            </w:r>
          </w:p>
          <w:p w14:paraId="3EC1737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（1）钢制部分：底座δ=2.0mm一级冷轧钢板，立柱δ=1.5mm一级冷轧钢板，挂板δ=1.2mm一级冷轧钢板，搁板、顶板、内侧板、侧面板、门板、门框δ=1.0mm一级冷轧钢板；表面亚光静电粉末喷塑。</w:t>
            </w:r>
          </w:p>
          <w:p w14:paraId="1086401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val="en-US" w:eastAsia="zh-Hans"/>
              </w:rPr>
              <w:t>长条</w:t>
            </w:r>
            <w:r>
              <w:rPr>
                <w:rFonts w:hint="eastAsia" w:ascii="宋体" w:hAnsi="宋体" w:eastAsia="宋体" w:cs="宋体"/>
                <w:i w:val="0"/>
                <w:iCs w:val="0"/>
                <w:color w:val="000000"/>
                <w:sz w:val="21"/>
                <w:szCs w:val="21"/>
                <w:u w:val="none"/>
                <w:lang w:val="en-US" w:eastAsia="zh-CN"/>
              </w:rPr>
              <w:t>门锁：扣手式</w:t>
            </w:r>
            <w:r>
              <w:rPr>
                <w:rFonts w:hint="eastAsia" w:ascii="宋体" w:hAnsi="宋体" w:eastAsia="宋体" w:cs="宋体"/>
                <w:i w:val="0"/>
                <w:iCs w:val="0"/>
                <w:color w:val="000000"/>
                <w:sz w:val="21"/>
                <w:szCs w:val="21"/>
                <w:u w:val="none"/>
                <w:lang w:val="en-US" w:eastAsia="zh-Hans"/>
              </w:rPr>
              <w:t>长条</w:t>
            </w:r>
            <w:r>
              <w:rPr>
                <w:rFonts w:hint="eastAsia" w:ascii="宋体" w:hAnsi="宋体" w:eastAsia="宋体" w:cs="宋体"/>
                <w:i w:val="0"/>
                <w:iCs w:val="0"/>
                <w:color w:val="000000"/>
                <w:sz w:val="21"/>
                <w:szCs w:val="21"/>
                <w:u w:val="none"/>
                <w:lang w:val="en-US" w:eastAsia="zh-CN"/>
              </w:rPr>
              <w:t>连锁，采用工程塑料（铝压铸），在锁打开状态，门也能关闭且不回弹，钥匙亦能拔出，方便统一管理。</w:t>
            </w:r>
          </w:p>
          <w:p w14:paraId="3FB0F26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▲4、文物储藏柜架的钢板喷塑涂层的附着力需为0级</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0B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Hans"/>
              </w:rPr>
              <w:t>套</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7A3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F37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38CD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FF5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E39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39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DB0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E8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64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2F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50B8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696" w:type="dxa"/>
            <w:tcBorders>
              <w:top w:val="single" w:color="000000" w:sz="4" w:space="0"/>
              <w:left w:val="single" w:color="000000" w:sz="4" w:space="0"/>
              <w:bottom w:val="nil"/>
              <w:right w:val="single" w:color="000000" w:sz="4" w:space="0"/>
            </w:tcBorders>
            <w:shd w:val="clear" w:color="auto" w:fill="auto"/>
            <w:vAlign w:val="center"/>
          </w:tcPr>
          <w:p w14:paraId="068A772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091" w:type="dxa"/>
            <w:tcBorders>
              <w:top w:val="single" w:color="000000" w:sz="4" w:space="0"/>
              <w:left w:val="single" w:color="000000" w:sz="4" w:space="0"/>
              <w:bottom w:val="nil"/>
              <w:right w:val="single" w:color="000000" w:sz="4" w:space="0"/>
            </w:tcBorders>
            <w:shd w:val="clear" w:color="auto" w:fill="auto"/>
            <w:vAlign w:val="center"/>
          </w:tcPr>
          <w:p w14:paraId="04A6156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横梁式开架重型文物储藏柜</w:t>
            </w:r>
          </w:p>
        </w:tc>
        <w:tc>
          <w:tcPr>
            <w:tcW w:w="956" w:type="dxa"/>
            <w:tcBorders>
              <w:top w:val="single" w:color="000000" w:sz="4" w:space="0"/>
              <w:left w:val="single" w:color="000000" w:sz="4" w:space="0"/>
              <w:bottom w:val="nil"/>
              <w:right w:val="single" w:color="000000" w:sz="4" w:space="0"/>
            </w:tcBorders>
            <w:shd w:val="clear" w:color="auto" w:fill="auto"/>
            <w:vAlign w:val="center"/>
          </w:tcPr>
          <w:p w14:paraId="579EAA9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W3170*D1200*H2500mm</w:t>
            </w:r>
          </w:p>
        </w:tc>
        <w:tc>
          <w:tcPr>
            <w:tcW w:w="5250" w:type="dxa"/>
            <w:tcBorders>
              <w:top w:val="single" w:color="000000" w:sz="4" w:space="0"/>
              <w:left w:val="single" w:color="000000" w:sz="4" w:space="0"/>
              <w:bottom w:val="nil"/>
              <w:right w:val="single" w:color="000000" w:sz="4" w:space="0"/>
            </w:tcBorders>
            <w:shd w:val="clear" w:color="auto" w:fill="auto"/>
            <w:vAlign w:val="center"/>
          </w:tcPr>
          <w:p w14:paraId="38C34DD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1、结构和技术要求</w:t>
            </w:r>
          </w:p>
          <w:p w14:paraId="1E806AB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（1）主体结构由立柱、横梁、搁板、安全插销等组成，可拆开运输安装。各部位的安装要绝对牢固、可靠、无松动现象,确保重型文物架整个架体的稳定性。</w:t>
            </w:r>
          </w:p>
          <w:p w14:paraId="371B1C3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（2）每标准节六层文物放置隔板（含顶），每层横梁和层板高度可上下自由调节。</w:t>
            </w:r>
          </w:p>
          <w:p w14:paraId="0D6FD84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（3）钢制柜架体拆装结构，组合式装配，多节连排组合。</w:t>
            </w:r>
          </w:p>
          <w:p w14:paraId="56F70D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（4）外形简洁、大方美观,两端有侧板，侧护板为正面凹凸左右两边大圆角式结构（过宽架体采用竖三拼款式）,采用整块优质冷轧钢板压折成型，护板侧立柱为全封闭结构，防止藏品滑落。</w:t>
            </w:r>
          </w:p>
          <w:p w14:paraId="5E06174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（5）为了方便分类管理,每列柜体护板适合位置设置亚克力标签框，标签框款式醒目，容易识别，更换方便。</w:t>
            </w:r>
          </w:p>
          <w:p w14:paraId="5EF0F64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▲（6）柜体立柱宽度≥80mm，每组立柱间有横档焊接牢固。根据存放文物的不同，节与节之间、双面中间相通，使文物可任意方式存放。</w:t>
            </w:r>
          </w:p>
          <w:p w14:paraId="62595A3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（7）每层层板外侧边配置可随文物大小上下调节防侧倒、柔性、减震、防震装置，装置由外到内嵌有软性材料，确保意外发生藏品倾倒时具有防侧倒及缓冲作用，有效保护文物安全。</w:t>
            </w:r>
          </w:p>
          <w:p w14:paraId="1EC1BB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（8）层高可调节，调节完毕后，横梁须有防脱落锁止功能，防止意外发生脱架；层板上铺设20mm厚天然松木板，具有环保、防滑、防霉、防水雾功能（此条可以不配）。</w:t>
            </w:r>
          </w:p>
          <w:p w14:paraId="1EB3E7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（9）文物柜架达到人性化（如开关方便、存取方便）、科学化（结构合理、符合力学原理）、细节化（尖角圆润、查询便捷）。</w:t>
            </w:r>
          </w:p>
          <w:p w14:paraId="4E19182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2、性能</w:t>
            </w:r>
          </w:p>
          <w:p w14:paraId="7EE5F0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（1）架体稳定坚固，使用灵活可靠。</w:t>
            </w:r>
          </w:p>
          <w:p w14:paraId="0EB506D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（2）组件拆装方便，所有部件外观平滑，没有外露尖角、毛刺。</w:t>
            </w:r>
          </w:p>
          <w:p w14:paraId="689CF87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▲（3）文物放置搁板每层承重≥600kg，试验后不应开裂和断裂，固定部件、零件不应有出现松动，任何零部件不得有严重影响使用功能的磨损或变形，活动零部件的工作应能灵活自如。</w:t>
            </w:r>
          </w:p>
          <w:p w14:paraId="46B9FB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（4）柜架颜色自行选择，但整体上应符合本馆的总体设计风格，美观环保，且对文物起到一定的保护作用。</w:t>
            </w:r>
          </w:p>
          <w:p w14:paraId="5688D74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（5）架体双面设有可拆卸柔性保护装置，防止藏品意外滑落。</w:t>
            </w:r>
          </w:p>
          <w:p w14:paraId="4E11B13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（6）钢板表面处理：严格执行表面处理工艺要求及标准，表面亚光静电喷塑。</w:t>
            </w:r>
          </w:p>
          <w:p w14:paraId="7841011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▲（7）搁板垂直加载稳定性：在最上层搁板沿 25 mm 的任一点，向下施加≥1500 N的垂直力试验，保持≥100s，关闭其的活动部件，其他搁板不应加载，不应有倾翻且连接件无松动和损坏现象。</w:t>
            </w:r>
          </w:p>
          <w:p w14:paraId="13F1E5C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3、材料标准</w:t>
            </w:r>
          </w:p>
          <w:p w14:paraId="05DA977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钢制部分：支撑连接块δ=3mm一级热轧钢板，立柱δ=2.0一级冷轧钢板，横梁δ=80*50*2mmP型型材，横梁固定件δ=2.5mm一级热轧钢板，搁板、加强板补板δ=1.2mm一级冷轧钢板，护板δ=1.0mm一级冷轧钢板；表面亚光静电粉末喷塑。</w:t>
            </w:r>
          </w:p>
          <w:p w14:paraId="2BE8EF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▲（2）金属性喷漆(塑)涂层理化性能：冲击高度≥400mm，应无剥落、裂纹皱纹。</w:t>
            </w:r>
          </w:p>
          <w:p w14:paraId="6DD8E30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5968F6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040CF57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769B64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423F5990">
            <w:pPr>
              <w:pStyle w:val="2"/>
              <w:jc w:val="both"/>
              <w:rPr>
                <w:rFonts w:hint="eastAsia"/>
                <w:lang w:val="en-US" w:eastAsia="zh-CN"/>
              </w:rPr>
            </w:pPr>
          </w:p>
          <w:p w14:paraId="6CE8E7D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04D55E0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tcBorders>
              <w:top w:val="single" w:color="000000" w:sz="4" w:space="0"/>
              <w:left w:val="single" w:color="000000" w:sz="4" w:space="0"/>
              <w:bottom w:val="nil"/>
              <w:right w:val="single" w:color="000000" w:sz="4" w:space="0"/>
            </w:tcBorders>
            <w:shd w:val="clear" w:color="auto" w:fill="auto"/>
            <w:vAlign w:val="center"/>
          </w:tcPr>
          <w:p w14:paraId="5B67BB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Hans"/>
              </w:rPr>
              <w:t>套</w:t>
            </w:r>
          </w:p>
        </w:tc>
        <w:tc>
          <w:tcPr>
            <w:tcW w:w="994" w:type="dxa"/>
            <w:tcBorders>
              <w:top w:val="single" w:color="000000" w:sz="4" w:space="0"/>
              <w:left w:val="single" w:color="000000" w:sz="4" w:space="0"/>
              <w:bottom w:val="nil"/>
              <w:right w:val="single" w:color="000000" w:sz="4" w:space="0"/>
            </w:tcBorders>
            <w:shd w:val="clear" w:color="auto" w:fill="auto"/>
            <w:vAlign w:val="center"/>
          </w:tcPr>
          <w:p w14:paraId="1BEAB2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731" w:type="dxa"/>
            <w:tcBorders>
              <w:top w:val="single" w:color="000000" w:sz="4" w:space="0"/>
              <w:left w:val="single" w:color="000000" w:sz="4" w:space="0"/>
              <w:right w:val="single" w:color="000000" w:sz="4" w:space="0"/>
            </w:tcBorders>
            <w:shd w:val="clear" w:color="auto" w:fill="auto"/>
            <w:vAlign w:val="center"/>
          </w:tcPr>
          <w:p w14:paraId="0AA882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2AA5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31A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57C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减震文物登高梯</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BA81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W560*D640*H1430mm</w:t>
            </w:r>
          </w:p>
        </w:tc>
        <w:tc>
          <w:tcPr>
            <w:tcW w:w="5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ACE4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1、结构及要求：框架整体焊接结构。踏板加装塑胶防滑垫，或软毡,下带万向轮,移动方便，并保证稳定性；当人踩踏上去之后，登高梯底部万向轮自动缩进，稳当可靠。</w:t>
            </w:r>
          </w:p>
          <w:p w14:paraId="27CCC1A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2、材料配置</w:t>
            </w:r>
          </w:p>
          <w:tbl>
            <w:tblPr>
              <w:tblStyle w:val="105"/>
              <w:tblpPr w:leftFromText="180" w:rightFromText="180" w:vertAnchor="text" w:horzAnchor="page" w:tblpX="442" w:tblpY="15"/>
              <w:tblOverlap w:val="never"/>
              <w:tblW w:w="4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526"/>
              <w:gridCol w:w="1708"/>
            </w:tblGrid>
            <w:tr w14:paraId="6BE7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245" w:type="dxa"/>
                  <w:vAlign w:val="top"/>
                </w:tcPr>
                <w:p w14:paraId="42A4F15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设备配置</w:t>
                  </w:r>
                </w:p>
              </w:tc>
              <w:tc>
                <w:tcPr>
                  <w:tcW w:w="1526" w:type="dxa"/>
                  <w:vAlign w:val="top"/>
                </w:tcPr>
                <w:p w14:paraId="7F8DE5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材料规格(mm)</w:t>
                  </w:r>
                </w:p>
              </w:tc>
              <w:tc>
                <w:tcPr>
                  <w:tcW w:w="1708" w:type="dxa"/>
                  <w:vAlign w:val="top"/>
                </w:tcPr>
                <w:p w14:paraId="3BAB6BC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技术参数</w:t>
                  </w:r>
                </w:p>
              </w:tc>
            </w:tr>
            <w:tr w14:paraId="5C864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45" w:type="dxa"/>
                  <w:vAlign w:val="top"/>
                </w:tcPr>
                <w:p w14:paraId="6629A27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踏板框</w:t>
                  </w:r>
                </w:p>
              </w:tc>
              <w:tc>
                <w:tcPr>
                  <w:tcW w:w="1526" w:type="dxa"/>
                  <w:vAlign w:val="top"/>
                </w:tcPr>
                <w:p w14:paraId="6DF9D05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δ≥20</w:t>
                  </w:r>
                </w:p>
              </w:tc>
              <w:tc>
                <w:tcPr>
                  <w:tcW w:w="1708" w:type="dxa"/>
                  <w:vAlign w:val="top"/>
                </w:tcPr>
                <w:p w14:paraId="145C5E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不锈钢钢管</w:t>
                  </w:r>
                </w:p>
              </w:tc>
            </w:tr>
            <w:tr w14:paraId="42E3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45" w:type="dxa"/>
                  <w:vAlign w:val="top"/>
                </w:tcPr>
                <w:p w14:paraId="69C136B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立柱</w:t>
                  </w:r>
                </w:p>
              </w:tc>
              <w:tc>
                <w:tcPr>
                  <w:tcW w:w="1526" w:type="dxa"/>
                  <w:vAlign w:val="top"/>
                </w:tcPr>
                <w:p w14:paraId="130A1C6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δ≥20</w:t>
                  </w:r>
                </w:p>
              </w:tc>
              <w:tc>
                <w:tcPr>
                  <w:tcW w:w="1708" w:type="dxa"/>
                  <w:vAlign w:val="top"/>
                </w:tcPr>
                <w:p w14:paraId="6B7F6A5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不锈钢钢管</w:t>
                  </w:r>
                </w:p>
              </w:tc>
            </w:tr>
            <w:tr w14:paraId="7227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45" w:type="dxa"/>
                  <w:vAlign w:val="top"/>
                </w:tcPr>
                <w:p w14:paraId="7691A17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踏板</w:t>
                  </w:r>
                </w:p>
              </w:tc>
              <w:tc>
                <w:tcPr>
                  <w:tcW w:w="1526" w:type="dxa"/>
                  <w:vAlign w:val="top"/>
                </w:tcPr>
                <w:p w14:paraId="2903DE3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δ≥1.5</w:t>
                  </w:r>
                </w:p>
              </w:tc>
              <w:tc>
                <w:tcPr>
                  <w:tcW w:w="1708" w:type="dxa"/>
                  <w:vAlign w:val="top"/>
                </w:tcPr>
                <w:p w14:paraId="7BE9E90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不锈钢钢板</w:t>
                  </w:r>
                </w:p>
              </w:tc>
            </w:tr>
            <w:tr w14:paraId="6D63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45" w:type="dxa"/>
                  <w:vAlign w:val="top"/>
                </w:tcPr>
                <w:p w14:paraId="07EDDCC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扶手</w:t>
                  </w:r>
                </w:p>
              </w:tc>
              <w:tc>
                <w:tcPr>
                  <w:tcW w:w="1526" w:type="dxa"/>
                  <w:vAlign w:val="top"/>
                </w:tcPr>
                <w:p w14:paraId="1B35A40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δ≥20</w:t>
                  </w:r>
                </w:p>
              </w:tc>
              <w:tc>
                <w:tcPr>
                  <w:tcW w:w="1708" w:type="dxa"/>
                  <w:vAlign w:val="top"/>
                </w:tcPr>
                <w:p w14:paraId="57E58C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不锈钢钢管</w:t>
                  </w:r>
                </w:p>
              </w:tc>
            </w:tr>
            <w:tr w14:paraId="24A9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45" w:type="dxa"/>
                  <w:vAlign w:val="top"/>
                </w:tcPr>
                <w:p w14:paraId="0A1B18B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阻尼装置</w:t>
                  </w:r>
                </w:p>
              </w:tc>
              <w:tc>
                <w:tcPr>
                  <w:tcW w:w="1526" w:type="dxa"/>
                  <w:vAlign w:val="top"/>
                </w:tcPr>
                <w:p w14:paraId="6F80AF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δ≥25×100</w:t>
                  </w:r>
                </w:p>
              </w:tc>
              <w:tc>
                <w:tcPr>
                  <w:tcW w:w="1708" w:type="dxa"/>
                  <w:vAlign w:val="top"/>
                </w:tcPr>
                <w:p w14:paraId="44304A8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液压、弹簧组合</w:t>
                  </w:r>
                </w:p>
              </w:tc>
            </w:tr>
            <w:tr w14:paraId="63E2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45" w:type="dxa"/>
                  <w:vAlign w:val="top"/>
                </w:tcPr>
                <w:p w14:paraId="3D2E4C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脚轮</w:t>
                  </w:r>
                </w:p>
              </w:tc>
              <w:tc>
                <w:tcPr>
                  <w:tcW w:w="1526" w:type="dxa"/>
                  <w:vAlign w:val="top"/>
                </w:tcPr>
                <w:p w14:paraId="5C513A0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δ≥30</w:t>
                  </w:r>
                </w:p>
              </w:tc>
              <w:tc>
                <w:tcPr>
                  <w:tcW w:w="1708" w:type="dxa"/>
                  <w:vAlign w:val="top"/>
                </w:tcPr>
                <w:p w14:paraId="773408A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尼龙静音轮</w:t>
                  </w:r>
                </w:p>
              </w:tc>
            </w:tr>
          </w:tbl>
          <w:p w14:paraId="0C1614E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47EE3E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p w14:paraId="42956B1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967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039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5E2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4BBA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838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74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301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86E8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64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A9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29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4423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43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31A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C29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5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92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EE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4F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5C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7D9F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1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DA6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俯视文物展柜</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9A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1000*600*1200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888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一、材料选材</w:t>
            </w:r>
          </w:p>
          <w:p w14:paraId="172BBF9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（1）骨架</w:t>
            </w:r>
          </w:p>
          <w:p w14:paraId="1CB3C92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①骨架结构：采用20*30*1.5mmQ235方管、50*50*1.5mmQ235方管、1.5mm冷轧板烤漆,优质铝型材焊接装配。</w:t>
            </w:r>
          </w:p>
          <w:p w14:paraId="557FABD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②骨架选用优质20*30*1.5mmQ235方管、50*50*1.5mmQ235方管。（产品持久耐用、韧性强、可靠性好，拥有表面光泽，锌层均匀，无漏镀，附着力强，抗腐蚀能力强的特性。）</w:t>
            </w:r>
          </w:p>
          <w:p w14:paraId="299B671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③骨架经专业设备加工制作而成。（运用先进设备数控激光下料，经过数控车、铣成形，确保符合质量要求。）</w:t>
            </w:r>
          </w:p>
          <w:p w14:paraId="681D71B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（2）柜体</w:t>
            </w:r>
          </w:p>
          <w:p w14:paraId="0FF0CFA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▲①柜体材质：采用≥1.5mm冷轧板，外表面静电喷塑处理，表面应平滑均匀，没有桔皮现象，无皱纹、流痕、鼓泡和裂纹。</w:t>
            </w:r>
          </w:p>
          <w:p w14:paraId="5668B34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柜体选用优质冷轧板，保障展柜外观的美观度和安全性。（冷轧板尺度精确，厚度均匀，拥有较高的强度，杰出的深冲功能，符合对高精度工艺选材要求。冷轧成型速度快，且不损伤涂层，可以做成多样截面形式，适应各种使用条件需要。）</w:t>
            </w:r>
          </w:p>
          <w:p w14:paraId="5BB15CD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柜体经过专业设备加工制作而成。（运用数控剪、刨、折、铣等工艺成形，保证尺寸精度设计要求，确保展柜重量分布的合理性，柜体表面都是经过严格的防腐、防锈、除油、铬化处理等工艺流程，确保材料表面的附着力。）</w:t>
            </w:r>
          </w:p>
          <w:p w14:paraId="222C321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（3）型材</w:t>
            </w:r>
          </w:p>
          <w:p w14:paraId="07ABA2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①展柜主框架基座为钢结构，柜桶为冷轧板，力学性能指标符合ASTMA370-02钢制品力学性能试验的标准试验方法和定义。（伸长率为19-21%，拉伸强度：430-560mpa,屈服强度≥280mpa，延伸率≥23%，夏比冲击功-70℃。）</w:t>
            </w:r>
          </w:p>
          <w:p w14:paraId="0A11674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▲②连接件：采用定制铝材，达到国家标准GB/T3190中规定的6063铝合金等级。</w:t>
            </w:r>
          </w:p>
          <w:p w14:paraId="78377FB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部分装饰及连接件使用专用模具定制而成，表面喷塑处理。（运用自主研发设计开模定制铝材，颜色可根据布展风格定制，硬度达8洛氏以上，经过专业铝材切割机,和精密车、铣加工成型，运用自主研发定制的角码拼接工艺，设计达到完美拼接工艺要求。）</w:t>
            </w:r>
          </w:p>
          <w:p w14:paraId="5E63EDC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（4）背板、侧板、底板</w:t>
            </w:r>
          </w:p>
          <w:p w14:paraId="09D8158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①展柜</w:t>
            </w:r>
            <w:r>
              <w:rPr>
                <w:rFonts w:hint="eastAsia" w:ascii="宋体" w:hAnsi="宋体" w:eastAsia="宋体" w:cs="宋体"/>
                <w:i w:val="0"/>
                <w:iCs w:val="0"/>
                <w:color w:val="000000"/>
                <w:sz w:val="21"/>
                <w:szCs w:val="21"/>
                <w:u w:val="none"/>
                <w:lang w:val="en-US" w:eastAsia="zh-Hans"/>
              </w:rPr>
              <w:t>底</w:t>
            </w:r>
            <w:r>
              <w:rPr>
                <w:rFonts w:hint="eastAsia" w:ascii="宋体" w:hAnsi="宋体" w:eastAsia="宋体" w:cs="宋体"/>
                <w:i w:val="0"/>
                <w:iCs w:val="0"/>
                <w:color w:val="000000"/>
                <w:sz w:val="21"/>
                <w:szCs w:val="21"/>
                <w:u w:val="none"/>
                <w:lang w:val="en-US" w:eastAsia="zh-CN"/>
              </w:rPr>
              <w:t>板采用镀锌钢板衬底，生态板外包亚麻布，板材用连接挂件固定在镀锌钢板上，方便拆装与亚麻布的更换。</w:t>
            </w:r>
          </w:p>
          <w:p w14:paraId="6E9834E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②柜体背板、侧板、底板根据设计需要采用12mm生态板，符合绿色环保标准，环保等级E1级</w:t>
            </w:r>
          </w:p>
          <w:p w14:paraId="0D7A3EA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③外包亚麻布，布料颜色可根据需求或布展设计定制。（麻布具有透气、不褪色、不容易起球，编制物为100%纯天然环保。）</w:t>
            </w:r>
          </w:p>
          <w:p w14:paraId="4432FF9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（5）密封胶条</w:t>
            </w:r>
          </w:p>
          <w:p w14:paraId="6F90AA9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①文博单位展陈文物要降低微环境和小环境室内空气互换影响率，降低空气交换率对微环境里展陈文物带来的影响。</w:t>
            </w:r>
          </w:p>
          <w:p w14:paraId="7442443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②采用“O”型医用有机高弹性胶条。（不含任何酸性物质，无机械杂质，符合文物保护环境要求。）</w:t>
            </w:r>
          </w:p>
          <w:p w14:paraId="473C92C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③展柜空气交换率≤0.5d﹣¹。</w:t>
            </w:r>
          </w:p>
          <w:p w14:paraId="1D3B04A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（6）锁具</w:t>
            </w:r>
          </w:p>
          <w:p w14:paraId="02BD4E1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mc:AlternateContent>
                <mc:Choice Requires="wps">
                  <w:drawing>
                    <wp:anchor distT="0" distB="0" distL="114300" distR="114300" simplePos="0" relativeHeight="251659264" behindDoc="0" locked="0" layoutInCell="0" allowOverlap="1">
                      <wp:simplePos x="0" y="0"/>
                      <wp:positionH relativeFrom="page">
                        <wp:posOffset>-2788920</wp:posOffset>
                      </wp:positionH>
                      <wp:positionV relativeFrom="page">
                        <wp:posOffset>-330200</wp:posOffset>
                      </wp:positionV>
                      <wp:extent cx="576008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19.6pt;margin-top:-26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iWOQNoAAAAMAQAADwAAAAAA&#10;AAABACAAAAAiAAAAZHJzL2Rvd25yZXYueG1sUEsBAhQAFAAAAAgAh07iQM0lEFYRAgAAewQAAA4A&#10;AAAAAAAAAQAgAAAAKQEAAGRycy9lMm9Eb2MueG1sUEsFBgAAAAAGAAYAWQEAAKwFAAAAAA==&#10;" path="m0,0l9070,0,9070,14,0,14,0,0xe">
                      <v:fill on="t" focussize="0,0"/>
                      <v:stroke on="f"/>
                      <v:imagedata o:title=""/>
                      <o:lock v:ext="edit" aspectratio="f"/>
                    </v:shape>
                  </w:pict>
                </mc:Fallback>
              </mc:AlternateContent>
            </w:r>
            <w:r>
              <w:rPr>
                <w:rFonts w:hint="eastAsia" w:ascii="宋体" w:hAnsi="宋体" w:eastAsia="宋体" w:cs="宋体"/>
                <w:i w:val="0"/>
                <w:iCs w:val="0"/>
                <w:color w:val="000000"/>
                <w:sz w:val="21"/>
                <w:szCs w:val="21"/>
                <w:u w:val="none"/>
                <w:lang w:val="en-US" w:eastAsia="zh-CN"/>
              </w:rPr>
              <w:t>配置两套文物展柜专用锁具。（柜体锁具设计综合考虑外观设计，隐蔽不可见，满足开启灵活方便。锁体及钥匙的材料为超硬度耐磨、防锈。开启次数达15万次，设计钥匙不互开，按照一柜一锁及编号类型分开管理，提升馆藏文物综合保护能力。）</w:t>
            </w:r>
          </w:p>
          <w:p w14:paraId="37D96B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（7）检测依据</w:t>
            </w:r>
          </w:p>
          <w:p w14:paraId="317E4F5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产品检验依据：符合国家标准GB/T3325-2017及GB/T3190-2020。</w:t>
            </w:r>
          </w:p>
          <w:p w14:paraId="648E6E6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二、结构性能</w:t>
            </w:r>
          </w:p>
          <w:p w14:paraId="18521C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（1）开启方式</w:t>
            </w:r>
          </w:p>
          <w:p w14:paraId="7FE378C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①采用手动液压掀起，满足布展功能需求。开启时无震动和异响。</w:t>
            </w:r>
          </w:p>
          <w:p w14:paraId="4A344F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展柜的开启方式设计合理，既满足灵活开启又方便文物入柜出柜便利的使用功能，一个工作人员也能轻松操作启闭。柜门开启角度满足文物安全存放要求，确保展柜开启和使用时的安全与便捷。使用功能满足人性化设计要求，通用安全性能要求符合DB4706.1-2005。</w:t>
            </w:r>
          </w:p>
          <w:p w14:paraId="76DF064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（2）密封性能</w:t>
            </w:r>
          </w:p>
          <w:p w14:paraId="06B1048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①展柜柜门在关闭情况下，具有防尘、防虫、防烟，高度密闭性能。</w:t>
            </w:r>
          </w:p>
          <w:p w14:paraId="55417A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展柜不同材质收口连接处选用专业密封胶条、隔垫等做好密封处理，且密封材料达到国家相关环保标准，不含任何酸性物质，符合文物保护环境要求，密封性能满足GB/T36110-2018标准，空气交换率≤0.5d﹣¹的技术指标。</w:t>
            </w:r>
          </w:p>
          <w:p w14:paraId="5DA4507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（3）环保性能</w:t>
            </w:r>
          </w:p>
          <w:p w14:paraId="5353B3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①展柜衬板采用生态板，具有良好的不燃性，属于AP级不燃材质。（环保材料，不含甲醛等有害物质，具有防潮、防虫、防霉特性，符合绿色环保标准。</w:t>
            </w:r>
            <w:r>
              <w:rPr>
                <w:rFonts w:hint="eastAsia" w:ascii="宋体" w:hAnsi="宋体" w:eastAsia="宋体" w:cs="宋体"/>
                <w:i w:val="0"/>
                <w:iCs w:val="0"/>
                <w:color w:val="000000"/>
                <w:sz w:val="21"/>
                <w:szCs w:val="21"/>
                <w:u w:val="none"/>
                <w:lang w:val="en-US" w:eastAsia="zh-Hans"/>
              </w:rPr>
              <w:t>底</w:t>
            </w:r>
            <w:r>
              <w:rPr>
                <w:rFonts w:hint="eastAsia" w:ascii="宋体" w:hAnsi="宋体" w:eastAsia="宋体" w:cs="宋体"/>
                <w:i w:val="0"/>
                <w:iCs w:val="0"/>
                <w:color w:val="000000"/>
                <w:sz w:val="21"/>
                <w:szCs w:val="21"/>
                <w:u w:val="none"/>
                <w:lang w:val="en-US" w:eastAsia="zh-CN"/>
              </w:rPr>
              <w:t>板与托台外包材料采用环保亚麻布，具有阻燃性能，而且易于维护。）</w:t>
            </w:r>
          </w:p>
          <w:p w14:paraId="64156C1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②柜体饰面所使用的喷漆、粘接剂等为中型环保材料，不会散发有害气体，满足展陈空间环境质量要求。</w:t>
            </w:r>
          </w:p>
          <w:p w14:paraId="1BF6888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③展柜内所使用的织物为100%环保纯天然织物，经过文博行业相关部门检验，是适用于文物保护的产品。</w:t>
            </w:r>
          </w:p>
          <w:p w14:paraId="112D65E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（4）万向脚轮及水平支撑脚</w:t>
            </w:r>
          </w:p>
          <w:p w14:paraId="0625D0C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①水平调节支撑脚，万向轮。万向轮能承载480kg无损坏。</w:t>
            </w:r>
          </w:p>
          <w:p w14:paraId="4A4217F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②采用80*150水平支撑脚：当地面不是完全水平时候，可微调水平值，以达到展柜整体水平平整度。</w:t>
            </w:r>
          </w:p>
          <w:p w14:paraId="51784E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825500</wp:posOffset>
                      </wp:positionV>
                      <wp:extent cx="576008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65pt;height:0.75pt;width:453.55pt;mso-position-horizontal-relative:page;mso-position-vertical-relative:page;z-index:251660288;mso-width-relative:page;mso-height-relative:page;" fillcolor="#000000" filled="t" stroked="f" coordsize="9070,15" o:allowincell="f" o:gfxdata="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AOKG9cAAAAMAQAADwAAAAAAAAAB&#10;ACAAAAAiAAAAZHJzL2Rvd25yZXYueG1sUEsBAhQAFAAAAAgAh07iQAbISI8RAgAAewQAAA4AAAAA&#10;AAAAAQAgAAAAJgEAAGRycy9lMm9Eb2MueG1sUEsFBgAAAAAGAAYAWQEAAKkFAAAAAA==&#10;" path="m0,0l9070,0,9070,14,0,14,0,0xe">
                      <v:fill on="t" focussize="0,0"/>
                      <v:stroke on="f"/>
                      <v:imagedata o:title=""/>
                      <o:lock v:ext="edit" aspectratio="f"/>
                    </v:shape>
                  </w:pict>
                </mc:Fallback>
              </mc:AlternateContent>
            </w:r>
            <w:r>
              <w:rPr>
                <w:rFonts w:hint="eastAsia" w:ascii="宋体" w:hAnsi="宋体" w:eastAsia="宋体" w:cs="宋体"/>
                <w:i w:val="0"/>
                <w:iCs w:val="0"/>
                <w:color w:val="000000"/>
                <w:sz w:val="21"/>
                <w:szCs w:val="21"/>
                <w:u w:val="none"/>
                <w:lang w:val="en-US" w:eastAsia="zh-CN"/>
              </w:rPr>
              <w:t>③万向轮隐藏不外露，可加重型，单个万向轮可承受500KG无损伤，方便布展移动的灵活性。</w:t>
            </w:r>
          </w:p>
          <w:p w14:paraId="22A13C2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（5）安全性能</w:t>
            </w:r>
          </w:p>
          <w:p w14:paraId="0E51729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①展柜具备良好的安全性、结构稳固、安全。展柜具有良好的防盗、防破坏能力。展柜使用文博馆专用保安性能锁具，锁体及钥匙材料为超硬度的耐磨、防锈材料。展柜使用的材料不含任何酸性物质，无挥发有害气体。展柜具备减震装置，应对突发事件能够避免展品受到意外伤害。</w:t>
            </w:r>
          </w:p>
          <w:p w14:paraId="5A54573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▲②展柜每平米能承重240kg，不应开裂和断裂和明显变形，活动零部件的工作应能灵活自如。</w:t>
            </w:r>
          </w:p>
          <w:p w14:paraId="04017D7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三、照明要求</w:t>
            </w:r>
          </w:p>
          <w:p w14:paraId="0CACC3B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文物专业安全的展陈照明，除了视觉舒适度和环境氛围外，还应该具备合适的可调光照角度、焦距，确保文物完美真实呈现给大众面前。有些文物质地对灯光要求很高的纸质、绘画文物，必须选择防紫外线的灯具。</w:t>
            </w:r>
          </w:p>
          <w:p w14:paraId="473771E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文物照明灯具未来发展趋势，主要体现：第一，更安全，高还原性，舒适性；第二，更加人性化和智能化；第三，更加简约化，小型化，装饰化；第四，设计更加有艺术性。</w:t>
            </w:r>
          </w:p>
          <w:p w14:paraId="1389AE4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采用LED线性灯。</w:t>
            </w:r>
          </w:p>
          <w:p w14:paraId="4BBF2B9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四、玻璃要求</w:t>
            </w:r>
          </w:p>
          <w:p w14:paraId="663631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文物展柜专用玻璃是以玻璃原片为主材，根据文物展示的需要，对原片玻璃进行加工制作而成，是文物展柜的主要组成部分，在展示、安全、文物保护，维护和安装等方面起到了重要作用。自玻璃进入文博行业以来，应着时代发展，满足文物预防性需求，文物展柜玻璃也在不断进行着一代又一代的更新。</w:t>
            </w:r>
          </w:p>
          <w:p w14:paraId="07181E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文物展柜玻璃的质感和折射率直接影响公众观展对文物质感的视觉反馈，充分考虑安全性和紫外线过滤，结合可视清晰度和人性化舒适性要求，对单双面外露玻璃边缘进行精细磨边倒角工艺加工处理，玻璃连接处经过45°斜边打磨工艺，无气泡和胶痕，达到美观和实用双重功能。</w:t>
            </w:r>
          </w:p>
          <w:p w14:paraId="1FD4A0D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采用国产超白5mm+0.76PVB+5mm超白夹胶玻璃。透光率≥92%，隔绝紫外线≥95%，同时具有防爆功能，承受冲击力不小于50Kg。玻璃外观符合GB15763.3-2009规定。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19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51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1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14:paraId="05BC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67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4D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展柜恒湿机</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7A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≤3m3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20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1、小型展柜恒湿机</w:t>
            </w:r>
          </w:p>
          <w:p w14:paraId="23D8643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2、适用展柜：≤3m3</w:t>
            </w:r>
          </w:p>
          <w:p w14:paraId="38F3790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3、湿度调控范围：30%RH-70%RH</w:t>
            </w:r>
          </w:p>
          <w:p w14:paraId="702DD56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4、湿度调控精度：±3%RH</w:t>
            </w:r>
          </w:p>
          <w:p w14:paraId="3E25257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5、供电电源：220VAC，50HZ</w:t>
            </w:r>
          </w:p>
          <w:p w14:paraId="5906155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6、使用环境：10-40℃/10-90%RH</w:t>
            </w:r>
          </w:p>
          <w:p w14:paraId="63E8AEF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7、净化功能：空气HEPA滤网</w:t>
            </w:r>
          </w:p>
          <w:p w14:paraId="05FBA80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8、无线监控模块：支持接入智能化控制系统，实现传感、设备状态等指标数据的监测与调控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5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08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E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bl>
    <w:p w14:paraId="2B2885C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eastAsia="zh-CN"/>
        </w:rPr>
      </w:pPr>
      <w:r>
        <w:br w:type="page"/>
      </w:r>
    </w:p>
    <w:p w14:paraId="03E1550E"/>
    <w:bookmarkEnd w:id="51"/>
    <w:bookmarkEnd w:id="52"/>
    <w:bookmarkEnd w:id="53"/>
    <w:p w14:paraId="5225A064">
      <w:pPr>
        <w:pStyle w:val="6"/>
        <w:bidi w:val="0"/>
        <w:jc w:val="center"/>
        <w:outlineLvl w:val="0"/>
        <w:rPr>
          <w:rFonts w:hint="eastAsia" w:cs="Times New Roman"/>
          <w:lang w:val="zh-CN"/>
        </w:rPr>
      </w:pPr>
      <w:bookmarkStart w:id="55" w:name="_Toc24918"/>
      <w:r>
        <w:rPr>
          <w:rFonts w:hint="eastAsia" w:cs="Times New Roman"/>
          <w:lang w:val="zh-CN"/>
        </w:rPr>
        <w:t>第</w:t>
      </w:r>
      <w:r>
        <w:rPr>
          <w:rFonts w:hint="eastAsia" w:cs="Times New Roman"/>
          <w:lang w:val="en-US" w:eastAsia="zh-CN"/>
        </w:rPr>
        <w:t>六</w:t>
      </w:r>
      <w:r>
        <w:rPr>
          <w:rFonts w:hint="eastAsia" w:cs="Times New Roman"/>
          <w:lang w:val="zh-CN"/>
        </w:rPr>
        <w:t>章  投标文件格式</w:t>
      </w:r>
      <w:bookmarkEnd w:id="54"/>
      <w:bookmarkEnd w:id="55"/>
    </w:p>
    <w:p w14:paraId="62CF8256">
      <w:pPr>
        <w:autoSpaceDE w:val="0"/>
        <w:autoSpaceDN w:val="0"/>
        <w:adjustRightInd w:val="0"/>
        <w:spacing w:line="520" w:lineRule="exact"/>
        <w:rPr>
          <w:rFonts w:ascii="宋体"/>
          <w:b/>
          <w:sz w:val="32"/>
          <w:lang w:val="zh-CN"/>
        </w:rPr>
      </w:pPr>
    </w:p>
    <w:p w14:paraId="75191B87">
      <w:pPr>
        <w:autoSpaceDE w:val="0"/>
        <w:autoSpaceDN w:val="0"/>
        <w:adjustRightInd w:val="0"/>
        <w:spacing w:line="520" w:lineRule="exact"/>
        <w:jc w:val="both"/>
        <w:outlineLvl w:val="9"/>
        <w:rPr>
          <w:rFonts w:ascii="宋体"/>
          <w:b/>
          <w:sz w:val="32"/>
          <w:lang w:val="zh-CN"/>
        </w:rPr>
      </w:pPr>
      <w:bookmarkStart w:id="56" w:name="_Toc489517592"/>
    </w:p>
    <w:p w14:paraId="6794EA57">
      <w:pPr>
        <w:jc w:val="center"/>
        <w:rPr>
          <w:rFonts w:hint="eastAsia" w:ascii="黑体" w:hAnsi="黑体" w:eastAsia="黑体"/>
          <w:color w:val="FFFFFF"/>
          <w:sz w:val="44"/>
          <w:szCs w:val="44"/>
        </w:rPr>
      </w:pPr>
      <w:bookmarkStart w:id="57" w:name="_Toc15273"/>
      <w:bookmarkStart w:id="58" w:name="_Toc497312290"/>
    </w:p>
    <w:p w14:paraId="5D72218C">
      <w:pPr>
        <w:jc w:val="center"/>
        <w:rPr>
          <w:rFonts w:hint="eastAsia" w:ascii="黑体" w:hAnsi="黑体" w:eastAsia="黑体"/>
          <w:color w:val="FFFFFF"/>
          <w:sz w:val="44"/>
          <w:szCs w:val="44"/>
        </w:rPr>
      </w:pPr>
    </w:p>
    <w:p w14:paraId="6FC7CF8B">
      <w:pPr>
        <w:jc w:val="center"/>
        <w:rPr>
          <w:rFonts w:hint="eastAsia" w:ascii="黑体" w:hAnsi="黑体" w:eastAsia="黑体"/>
          <w:color w:val="FFFFFF"/>
          <w:sz w:val="44"/>
          <w:szCs w:val="44"/>
        </w:rPr>
      </w:pPr>
    </w:p>
    <w:p w14:paraId="0F355717">
      <w:pPr>
        <w:jc w:val="center"/>
        <w:rPr>
          <w:rFonts w:hint="eastAsia" w:ascii="黑体" w:hAnsi="黑体" w:eastAsia="黑体"/>
          <w:color w:val="FFFFFF"/>
          <w:sz w:val="44"/>
          <w:szCs w:val="44"/>
        </w:rPr>
      </w:pPr>
    </w:p>
    <w:p w14:paraId="09E8D452">
      <w:pPr>
        <w:jc w:val="center"/>
        <w:rPr>
          <w:rFonts w:hint="eastAsia" w:ascii="黑体" w:hAnsi="黑体" w:eastAsia="黑体"/>
          <w:color w:val="FFFFFF"/>
          <w:sz w:val="44"/>
          <w:szCs w:val="44"/>
        </w:rPr>
      </w:pPr>
    </w:p>
    <w:p w14:paraId="04EF04E0">
      <w:pPr>
        <w:jc w:val="center"/>
        <w:rPr>
          <w:rFonts w:hint="eastAsia" w:ascii="黑体" w:hAnsi="黑体" w:eastAsia="黑体"/>
          <w:color w:val="FFFFFF"/>
          <w:sz w:val="44"/>
          <w:szCs w:val="44"/>
        </w:rPr>
      </w:pPr>
    </w:p>
    <w:p w14:paraId="3ED0DB0B">
      <w:pPr>
        <w:jc w:val="center"/>
        <w:rPr>
          <w:rFonts w:hint="eastAsia" w:ascii="黑体" w:hAnsi="黑体" w:eastAsia="黑体"/>
          <w:color w:val="FFFFFF"/>
          <w:sz w:val="44"/>
          <w:szCs w:val="44"/>
        </w:rPr>
      </w:pPr>
    </w:p>
    <w:p w14:paraId="62225E6E">
      <w:pPr>
        <w:jc w:val="center"/>
        <w:rPr>
          <w:rFonts w:hint="eastAsia" w:ascii="黑体" w:hAnsi="黑体" w:eastAsia="黑体"/>
          <w:color w:val="FFFFFF"/>
          <w:sz w:val="44"/>
          <w:szCs w:val="44"/>
        </w:rPr>
      </w:pPr>
    </w:p>
    <w:p w14:paraId="0297AA2D">
      <w:pPr>
        <w:jc w:val="center"/>
        <w:rPr>
          <w:rFonts w:hint="eastAsia" w:ascii="黑体" w:hAnsi="黑体" w:eastAsia="黑体"/>
          <w:color w:val="FFFFFF"/>
          <w:sz w:val="44"/>
          <w:szCs w:val="44"/>
        </w:rPr>
      </w:pPr>
    </w:p>
    <w:p w14:paraId="79663245">
      <w:pPr>
        <w:jc w:val="center"/>
        <w:rPr>
          <w:rFonts w:hint="eastAsia" w:ascii="黑体" w:hAnsi="黑体" w:eastAsia="黑体"/>
          <w:color w:val="FFFFFF"/>
          <w:sz w:val="44"/>
          <w:szCs w:val="44"/>
        </w:rPr>
      </w:pPr>
    </w:p>
    <w:p w14:paraId="15A97E8B">
      <w:pPr>
        <w:jc w:val="center"/>
        <w:rPr>
          <w:rFonts w:hint="eastAsia" w:ascii="黑体" w:hAnsi="黑体" w:eastAsia="黑体"/>
          <w:color w:val="FFFFFF"/>
          <w:sz w:val="44"/>
          <w:szCs w:val="44"/>
        </w:rPr>
      </w:pPr>
    </w:p>
    <w:p w14:paraId="677593D2">
      <w:pPr>
        <w:jc w:val="center"/>
        <w:rPr>
          <w:rFonts w:hint="eastAsia" w:ascii="黑体" w:hAnsi="黑体" w:eastAsia="黑体"/>
          <w:color w:val="FFFFFF"/>
          <w:sz w:val="44"/>
          <w:szCs w:val="44"/>
        </w:rPr>
      </w:pPr>
    </w:p>
    <w:p w14:paraId="3E09758E">
      <w:pPr>
        <w:jc w:val="center"/>
        <w:rPr>
          <w:rFonts w:hint="eastAsia" w:ascii="黑体" w:hAnsi="黑体" w:eastAsia="黑体"/>
          <w:color w:val="FFFFFF"/>
          <w:sz w:val="44"/>
          <w:szCs w:val="44"/>
        </w:rPr>
      </w:pPr>
    </w:p>
    <w:p w14:paraId="2EDBC738">
      <w:pPr>
        <w:jc w:val="center"/>
        <w:rPr>
          <w:rFonts w:hint="eastAsia" w:ascii="黑体" w:hAnsi="黑体" w:eastAsia="黑体"/>
          <w:color w:val="FFFFFF"/>
          <w:sz w:val="44"/>
          <w:szCs w:val="44"/>
        </w:rPr>
      </w:pPr>
    </w:p>
    <w:p w14:paraId="2225EF39">
      <w:pPr>
        <w:jc w:val="center"/>
        <w:rPr>
          <w:rFonts w:hint="eastAsia" w:ascii="黑体" w:hAnsi="黑体" w:eastAsia="黑体"/>
          <w:color w:val="FFFFFF"/>
          <w:sz w:val="44"/>
          <w:szCs w:val="44"/>
        </w:rPr>
      </w:pPr>
    </w:p>
    <w:p w14:paraId="20C40776">
      <w:pPr>
        <w:jc w:val="center"/>
        <w:rPr>
          <w:rFonts w:hint="eastAsia" w:ascii="黑体" w:hAnsi="黑体" w:eastAsia="黑体"/>
          <w:color w:val="FFFFFF"/>
          <w:sz w:val="44"/>
          <w:szCs w:val="44"/>
        </w:rPr>
      </w:pPr>
    </w:p>
    <w:p w14:paraId="2BEA85A4">
      <w:pPr>
        <w:jc w:val="center"/>
        <w:rPr>
          <w:rFonts w:hint="eastAsia" w:ascii="黑体" w:hAnsi="黑体" w:eastAsia="黑体"/>
          <w:color w:val="FFFFFF"/>
          <w:sz w:val="44"/>
          <w:szCs w:val="44"/>
        </w:rPr>
      </w:pPr>
    </w:p>
    <w:p w14:paraId="0F8EF9DB">
      <w:pPr>
        <w:jc w:val="center"/>
        <w:rPr>
          <w:rFonts w:hint="eastAsia" w:ascii="黑体" w:hAnsi="黑体" w:eastAsia="黑体"/>
          <w:color w:val="FFFFFF"/>
          <w:sz w:val="44"/>
          <w:szCs w:val="44"/>
        </w:rPr>
      </w:pPr>
    </w:p>
    <w:p w14:paraId="32FD3D9E">
      <w:pPr>
        <w:jc w:val="center"/>
        <w:rPr>
          <w:rFonts w:hint="eastAsia" w:ascii="黑体" w:hAnsi="黑体" w:eastAsia="黑体"/>
          <w:color w:val="FFFFFF"/>
          <w:sz w:val="44"/>
          <w:szCs w:val="44"/>
        </w:rPr>
      </w:pPr>
    </w:p>
    <w:p w14:paraId="43903FC9">
      <w:pPr>
        <w:jc w:val="center"/>
        <w:rPr>
          <w:rFonts w:ascii="黑体" w:hAnsi="黑体" w:eastAsia="黑体"/>
          <w:color w:val="FFFFFF"/>
          <w:sz w:val="44"/>
          <w:szCs w:val="44"/>
        </w:rPr>
      </w:pPr>
      <w:r>
        <w:rPr>
          <w:rFonts w:hint="eastAsia" w:ascii="黑体" w:hAnsi="黑体" w:eastAsia="黑体"/>
          <w:color w:val="FFFFFF"/>
          <w:sz w:val="44"/>
          <w:szCs w:val="44"/>
        </w:rPr>
        <w:t>.</w:t>
      </w:r>
    </w:p>
    <w:bookmarkEnd w:id="56"/>
    <w:bookmarkEnd w:id="57"/>
    <w:bookmarkEnd w:id="58"/>
    <w:p w14:paraId="4692E38F">
      <w:pPr>
        <w:numPr>
          <w:ilvl w:val="0"/>
          <w:numId w:val="9"/>
        </w:numPr>
        <w:spacing w:line="360" w:lineRule="auto"/>
        <w:jc w:val="center"/>
        <w:outlineLvl w:val="0"/>
        <w:rPr>
          <w:rFonts w:ascii="宋体" w:hAnsi="宋体"/>
          <w:b/>
          <w:color w:val="auto"/>
          <w:sz w:val="28"/>
          <w:szCs w:val="28"/>
          <w:highlight w:val="none"/>
        </w:rPr>
      </w:pPr>
      <w:bookmarkStart w:id="59" w:name="_Toc32140"/>
      <w:bookmarkStart w:id="60" w:name="_Toc2731"/>
      <w:r>
        <w:rPr>
          <w:rFonts w:hint="eastAsia" w:ascii="宋体" w:hAnsi="宋体"/>
          <w:b/>
          <w:color w:val="auto"/>
          <w:sz w:val="32"/>
          <w:szCs w:val="32"/>
          <w:highlight w:val="none"/>
          <w:lang w:eastAsia="zh-CN"/>
        </w:rPr>
        <w:t>投标函及投标函附录</w:t>
      </w:r>
      <w:bookmarkEnd w:id="59"/>
      <w:bookmarkEnd w:id="60"/>
    </w:p>
    <w:p w14:paraId="5144647A">
      <w:pPr>
        <w:spacing w:line="500" w:lineRule="exact"/>
        <w:jc w:val="center"/>
        <w:outlineLvl w:val="1"/>
        <w:rPr>
          <w:rFonts w:hint="eastAsia" w:ascii="宋体" w:hAnsi="宋体"/>
          <w:b/>
          <w:color w:val="auto"/>
          <w:sz w:val="28"/>
          <w:szCs w:val="28"/>
          <w:highlight w:val="none"/>
        </w:rPr>
      </w:pPr>
      <w:bookmarkStart w:id="61" w:name="_Toc25249"/>
      <w:r>
        <w:rPr>
          <w:rFonts w:hint="eastAsia" w:ascii="宋体" w:hAnsi="宋体"/>
          <w:b/>
          <w:color w:val="auto"/>
          <w:sz w:val="28"/>
          <w:szCs w:val="28"/>
          <w:highlight w:val="none"/>
        </w:rPr>
        <w:t>（一）投标函</w:t>
      </w:r>
      <w:bookmarkEnd w:id="61"/>
    </w:p>
    <w:p w14:paraId="420CD3CA">
      <w:pPr>
        <w:jc w:val="center"/>
        <w:rPr>
          <w:rFonts w:ascii="宋体" w:hAnsi="宋体"/>
          <w:b/>
          <w:color w:val="auto"/>
          <w:sz w:val="28"/>
          <w:szCs w:val="28"/>
          <w:highlight w:val="none"/>
        </w:rPr>
      </w:pPr>
    </w:p>
    <w:p w14:paraId="60D5CC8A">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61F1FBA">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招标文件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供货</w:t>
      </w:r>
      <w:r>
        <w:rPr>
          <w:rFonts w:hint="eastAsia" w:ascii="宋体" w:hAnsi="宋体"/>
          <w:color w:val="auto"/>
          <w:szCs w:val="21"/>
          <w:highlight w:val="none"/>
          <w:lang w:eastAsia="zh-CN"/>
        </w:rPr>
        <w:t>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BBEFC2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投标文件（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22D4ADB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5088DBD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DBBC46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0CC2750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val="en-US" w:eastAsia="zh-CN"/>
        </w:rPr>
        <w:t>投标</w:t>
      </w:r>
      <w:r>
        <w:rPr>
          <w:rFonts w:hint="eastAsia" w:ascii="宋体" w:hAnsi="宋体"/>
          <w:color w:val="auto"/>
          <w:szCs w:val="21"/>
          <w:highlight w:val="none"/>
          <w:lang w:eastAsia="zh-CN"/>
        </w:rPr>
        <w:t>报价</w:t>
      </w:r>
      <w:r>
        <w:rPr>
          <w:rFonts w:ascii="宋体" w:hAnsi="宋体"/>
          <w:color w:val="auto"/>
          <w:szCs w:val="21"/>
          <w:highlight w:val="none"/>
        </w:rPr>
        <w:t>；</w:t>
      </w:r>
    </w:p>
    <w:p w14:paraId="2AEB8003">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626639AB">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1958C106">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投标文件</w:t>
      </w:r>
      <w:r>
        <w:rPr>
          <w:rFonts w:hint="eastAsia" w:ascii="宋体" w:hAnsi="宋体"/>
          <w:color w:val="auto"/>
          <w:szCs w:val="21"/>
          <w:highlight w:val="none"/>
        </w:rPr>
        <w:t>的上述组成部分如存在内容不一致的，以投标函为准。</w:t>
      </w:r>
    </w:p>
    <w:p w14:paraId="0BCEB625">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招标文件</w:t>
      </w:r>
      <w:r>
        <w:rPr>
          <w:rFonts w:hint="eastAsia" w:ascii="宋体" w:hAnsi="宋体"/>
          <w:color w:val="auto"/>
          <w:szCs w:val="21"/>
          <w:highlight w:val="none"/>
        </w:rPr>
        <w:t>规定的</w:t>
      </w:r>
      <w:r>
        <w:rPr>
          <w:rFonts w:hint="eastAsia" w:ascii="宋体" w:hAnsi="宋体"/>
          <w:color w:val="auto"/>
          <w:szCs w:val="21"/>
          <w:highlight w:val="none"/>
          <w:lang w:val="en-US" w:eastAsia="zh-CN"/>
        </w:rPr>
        <w:t>投标</w:t>
      </w:r>
      <w:r>
        <w:rPr>
          <w:rFonts w:hint="eastAsia" w:ascii="宋体" w:hAnsi="宋体"/>
          <w:color w:val="auto"/>
          <w:szCs w:val="21"/>
          <w:highlight w:val="none"/>
          <w:lang w:eastAsia="zh-CN"/>
        </w:rPr>
        <w:t>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投标文件</w:t>
      </w:r>
      <w:r>
        <w:rPr>
          <w:rFonts w:hint="eastAsia" w:ascii="宋体" w:hAnsi="宋体"/>
          <w:color w:val="auto"/>
          <w:szCs w:val="21"/>
          <w:highlight w:val="none"/>
        </w:rPr>
        <w:t>。</w:t>
      </w:r>
    </w:p>
    <w:p w14:paraId="13BA68F8">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5A756A99">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6196EFF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59D42FE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招标文件</w:t>
      </w:r>
      <w:r>
        <w:rPr>
          <w:rFonts w:hint="eastAsia" w:ascii="宋体" w:hAnsi="宋体"/>
          <w:color w:val="auto"/>
          <w:szCs w:val="21"/>
          <w:highlight w:val="none"/>
        </w:rPr>
        <w:t>要求提交履约保证金；</w:t>
      </w:r>
    </w:p>
    <w:p w14:paraId="0C0E576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776AD24F">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投标文件</w:t>
      </w:r>
      <w:r>
        <w:rPr>
          <w:rFonts w:hint="eastAsia" w:ascii="宋体" w:hAnsi="宋体" w:eastAsia="宋体" w:cs="Times New Roman"/>
          <w:color w:val="auto"/>
          <w:szCs w:val="21"/>
          <w:highlight w:val="none"/>
        </w:rPr>
        <w:t>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61C197B4">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投标有效期：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2E6DE3C">
      <w:pPr>
        <w:adjustRightInd w:val="0"/>
        <w:snapToGrid w:val="0"/>
        <w:spacing w:line="300" w:lineRule="auto"/>
        <w:jc w:val="left"/>
        <w:rPr>
          <w:rFonts w:ascii="宋体" w:hAnsi="宋体"/>
          <w:color w:val="auto"/>
          <w:szCs w:val="21"/>
          <w:highlight w:val="none"/>
        </w:rPr>
      </w:pPr>
      <w:bookmarkStart w:id="62" w:name="page73"/>
      <w:bookmarkEnd w:id="62"/>
    </w:p>
    <w:p w14:paraId="7B68DCCE">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F80F65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59E92A8">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4F9873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25C2F1C">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C4EB19B">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47F4FB">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B397EEF">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00CBC399">
      <w:pPr>
        <w:adjustRightInd w:val="0"/>
        <w:spacing w:line="500" w:lineRule="exact"/>
        <w:outlineLvl w:val="0"/>
        <w:rPr>
          <w:rFonts w:hint="eastAsia" w:ascii="宋体" w:hAnsi="宋体" w:eastAsia="宋体" w:cs="宋体"/>
          <w:b/>
          <w:sz w:val="36"/>
          <w:szCs w:val="36"/>
          <w:highlight w:val="none"/>
          <w:lang w:eastAsia="zh-CN"/>
        </w:rPr>
      </w:pPr>
      <w:r>
        <w:rPr>
          <w:rFonts w:hint="eastAsia" w:ascii="宋体" w:hAnsi="宋体"/>
          <w:color w:val="auto"/>
          <w:szCs w:val="21"/>
          <w:highlight w:val="none"/>
        </w:rPr>
        <w:br w:type="page"/>
      </w:r>
      <w:bookmarkStart w:id="63" w:name="_Toc14568"/>
      <w:r>
        <w:rPr>
          <w:rFonts w:hint="eastAsia" w:ascii="宋体" w:hAnsi="宋体" w:eastAsia="宋体" w:cs="宋体"/>
          <w:b/>
          <w:sz w:val="36"/>
          <w:szCs w:val="36"/>
          <w:highlight w:val="none"/>
          <w:lang w:eastAsia="zh-CN"/>
        </w:rPr>
        <w:t>二、法定代表人身份证明和授权委托书</w:t>
      </w:r>
      <w:bookmarkEnd w:id="63"/>
    </w:p>
    <w:p w14:paraId="650B9E24">
      <w:pPr>
        <w:adjustRightInd w:val="0"/>
        <w:spacing w:line="500" w:lineRule="exact"/>
        <w:jc w:val="center"/>
        <w:rPr>
          <w:rFonts w:hint="eastAsia" w:ascii="宋体" w:hAnsi="宋体" w:eastAsia="宋体" w:cs="宋体"/>
          <w:szCs w:val="21"/>
          <w:highlight w:val="none"/>
          <w:lang w:eastAsia="zh-CN"/>
        </w:rPr>
      </w:pPr>
    </w:p>
    <w:p w14:paraId="713D4EEA">
      <w:pPr>
        <w:adjustRightInd w:val="0"/>
        <w:spacing w:line="500" w:lineRule="exact"/>
        <w:jc w:val="center"/>
        <w:outlineLvl w:val="1"/>
        <w:rPr>
          <w:rFonts w:hint="eastAsia" w:ascii="宋体" w:hAnsi="宋体" w:eastAsia="宋体" w:cs="宋体"/>
          <w:sz w:val="28"/>
          <w:szCs w:val="28"/>
          <w:highlight w:val="none"/>
          <w:lang w:eastAsia="zh-CN"/>
        </w:rPr>
      </w:pPr>
      <w:bookmarkStart w:id="64" w:name="_Toc366"/>
      <w:r>
        <w:rPr>
          <w:rFonts w:hint="eastAsia" w:ascii="宋体" w:hAnsi="宋体" w:eastAsia="宋体" w:cs="宋体"/>
          <w:sz w:val="28"/>
          <w:szCs w:val="28"/>
          <w:highlight w:val="none"/>
          <w:lang w:eastAsia="zh-CN"/>
        </w:rPr>
        <w:t>(一) 法定代表人身份证明</w:t>
      </w:r>
      <w:bookmarkEnd w:id="64"/>
    </w:p>
    <w:p w14:paraId="37D58BF4">
      <w:pPr>
        <w:adjustRightInd w:val="0"/>
        <w:spacing w:line="500" w:lineRule="exact"/>
        <w:ind w:left="718" w:leftChars="342"/>
        <w:rPr>
          <w:rFonts w:hint="eastAsia" w:ascii="宋体" w:hAnsi="宋体" w:eastAsia="宋体" w:cs="宋体"/>
          <w:szCs w:val="21"/>
          <w:highlight w:val="none"/>
          <w:lang w:eastAsia="zh-CN"/>
        </w:rPr>
      </w:pPr>
    </w:p>
    <w:p w14:paraId="5B5F5B69">
      <w:pPr>
        <w:adjustRightInd w:val="0"/>
        <w:spacing w:line="600" w:lineRule="exact"/>
        <w:ind w:left="718" w:leftChars="342"/>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供应商名称：</w:t>
      </w:r>
    </w:p>
    <w:p w14:paraId="1D8EB2E1">
      <w:pPr>
        <w:adjustRightInd w:val="0"/>
        <w:spacing w:line="600" w:lineRule="exact"/>
        <w:ind w:left="718" w:leftChars="342"/>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单位性质：</w:t>
      </w:r>
    </w:p>
    <w:p w14:paraId="4C35695C">
      <w:pPr>
        <w:adjustRightInd w:val="0"/>
        <w:spacing w:line="600" w:lineRule="exact"/>
        <w:ind w:left="718" w:leftChars="342"/>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地址：</w:t>
      </w:r>
    </w:p>
    <w:p w14:paraId="0ACD34E2">
      <w:pPr>
        <w:adjustRightInd w:val="0"/>
        <w:spacing w:line="600" w:lineRule="exact"/>
        <w:ind w:left="718" w:leftChars="34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成立时间：年    月    日</w:t>
      </w:r>
    </w:p>
    <w:p w14:paraId="619F158E">
      <w:pPr>
        <w:adjustRightInd w:val="0"/>
        <w:spacing w:line="600" w:lineRule="exact"/>
        <w:ind w:left="718" w:leftChars="342"/>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 xml:space="preserve">经营期限： </w:t>
      </w:r>
    </w:p>
    <w:p w14:paraId="41B349E7">
      <w:pPr>
        <w:adjustRightInd w:val="0"/>
        <w:spacing w:line="600" w:lineRule="exact"/>
        <w:ind w:left="718" w:leftChars="342"/>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 xml:space="preserve">姓名：   性别：   年龄：   职务： </w:t>
      </w:r>
    </w:p>
    <w:p w14:paraId="6ACF9096">
      <w:pPr>
        <w:adjustRightInd w:val="0"/>
        <w:spacing w:line="600" w:lineRule="exact"/>
        <w:ind w:left="718" w:leftChars="34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w:t>
      </w:r>
      <w:r>
        <w:rPr>
          <w:rFonts w:hint="eastAsia" w:ascii="宋体" w:hAnsi="宋体" w:eastAsia="宋体" w:cs="宋体"/>
          <w:sz w:val="24"/>
          <w:szCs w:val="24"/>
          <w:highlight w:val="none"/>
          <w:u w:val="single"/>
          <w:lang w:eastAsia="zh-CN"/>
        </w:rPr>
        <w:t xml:space="preserve">       (供应商名称)       </w:t>
      </w:r>
      <w:r>
        <w:rPr>
          <w:rFonts w:hint="eastAsia" w:ascii="宋体" w:hAnsi="宋体" w:eastAsia="宋体" w:cs="宋体"/>
          <w:sz w:val="24"/>
          <w:szCs w:val="24"/>
          <w:highlight w:val="none"/>
          <w:lang w:eastAsia="zh-CN"/>
        </w:rPr>
        <w:t>的法定代表人。</w:t>
      </w:r>
    </w:p>
    <w:p w14:paraId="2FE1A4A7">
      <w:pPr>
        <w:adjustRightInd w:val="0"/>
        <w:spacing w:line="600" w:lineRule="exact"/>
        <w:ind w:left="718" w:leftChars="34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特此证明。</w:t>
      </w:r>
    </w:p>
    <w:p w14:paraId="4D3365C4">
      <w:pPr>
        <w:adjustRightInd w:val="0"/>
        <w:spacing w:line="600" w:lineRule="exact"/>
        <w:ind w:left="718" w:leftChars="342"/>
        <w:rPr>
          <w:rFonts w:hint="eastAsia" w:ascii="宋体" w:hAnsi="宋体" w:eastAsia="宋体" w:cs="宋体"/>
          <w:sz w:val="24"/>
          <w:szCs w:val="24"/>
          <w:highlight w:val="none"/>
          <w:lang w:eastAsia="zh-CN"/>
        </w:rPr>
      </w:pPr>
    </w:p>
    <w:p w14:paraId="699CB74E">
      <w:pPr>
        <w:adjustRightInd w:val="0"/>
        <w:spacing w:line="600" w:lineRule="exact"/>
        <w:ind w:left="718" w:leftChars="342"/>
        <w:jc w:val="right"/>
        <w:rPr>
          <w:rFonts w:hint="eastAsia" w:ascii="宋体" w:hAnsi="宋体" w:eastAsia="宋体" w:cs="宋体"/>
          <w:sz w:val="24"/>
          <w:szCs w:val="24"/>
          <w:highlight w:val="none"/>
          <w:lang w:eastAsia="zh-CN"/>
        </w:rPr>
      </w:pPr>
    </w:p>
    <w:p w14:paraId="6E02FA96">
      <w:pPr>
        <w:adjustRightInd w:val="0"/>
        <w:spacing w:line="600" w:lineRule="exact"/>
        <w:ind w:left="718" w:leftChars="342"/>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供应商：(盖单位章)</w:t>
      </w:r>
    </w:p>
    <w:p w14:paraId="1E60C5E2">
      <w:pPr>
        <w:spacing w:line="600" w:lineRule="exact"/>
        <w:ind w:firstLine="2880" w:firstLineChars="1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     月    日</w:t>
      </w:r>
    </w:p>
    <w:p w14:paraId="5B93DB61">
      <w:pPr>
        <w:spacing w:line="500" w:lineRule="exact"/>
        <w:ind w:firstLine="2520" w:firstLineChars="1200"/>
        <w:jc w:val="right"/>
        <w:rPr>
          <w:rFonts w:hint="eastAsia" w:ascii="宋体" w:hAnsi="宋体" w:eastAsia="宋体" w:cs="宋体"/>
          <w:szCs w:val="21"/>
          <w:highlight w:val="none"/>
          <w:lang w:eastAsia="zh-CN"/>
        </w:rPr>
      </w:pPr>
    </w:p>
    <w:p w14:paraId="32BD4E05">
      <w:pPr>
        <w:spacing w:line="500" w:lineRule="exact"/>
        <w:ind w:firstLine="2520" w:firstLineChars="1200"/>
        <w:jc w:val="right"/>
        <w:rPr>
          <w:rFonts w:hint="eastAsia" w:ascii="宋体" w:hAnsi="宋体" w:eastAsia="宋体" w:cs="宋体"/>
          <w:szCs w:val="21"/>
          <w:highlight w:val="none"/>
          <w:lang w:eastAsia="zh-CN"/>
        </w:rPr>
      </w:pPr>
    </w:p>
    <w:p w14:paraId="69C87C32">
      <w:pPr>
        <w:spacing w:line="500" w:lineRule="exact"/>
        <w:ind w:firstLine="2520" w:firstLineChars="1200"/>
        <w:jc w:val="right"/>
        <w:rPr>
          <w:rFonts w:hint="eastAsia" w:ascii="宋体" w:hAnsi="宋体" w:eastAsia="宋体" w:cs="宋体"/>
          <w:szCs w:val="21"/>
          <w:highlight w:val="none"/>
          <w:lang w:eastAsia="zh-CN"/>
        </w:rPr>
      </w:pPr>
    </w:p>
    <w:p w14:paraId="6FE40E39">
      <w:pPr>
        <w:spacing w:line="500" w:lineRule="exact"/>
        <w:ind w:firstLine="2520" w:firstLineChars="1200"/>
        <w:jc w:val="right"/>
        <w:rPr>
          <w:rFonts w:hint="eastAsia" w:ascii="宋体" w:hAnsi="宋体" w:eastAsia="宋体" w:cs="宋体"/>
          <w:szCs w:val="21"/>
          <w:highlight w:val="none"/>
          <w:lang w:eastAsia="zh-CN"/>
        </w:rPr>
      </w:pPr>
    </w:p>
    <w:p w14:paraId="2956D190">
      <w:pPr>
        <w:spacing w:line="500" w:lineRule="exact"/>
        <w:ind w:firstLine="2520" w:firstLineChars="1200"/>
        <w:jc w:val="right"/>
        <w:rPr>
          <w:rFonts w:hint="eastAsia" w:ascii="宋体" w:hAnsi="宋体" w:eastAsia="宋体" w:cs="宋体"/>
          <w:szCs w:val="21"/>
          <w:highlight w:val="none"/>
          <w:lang w:eastAsia="zh-CN"/>
        </w:rPr>
      </w:pPr>
    </w:p>
    <w:p w14:paraId="694A6A7B">
      <w:pPr>
        <w:spacing w:line="500" w:lineRule="exact"/>
        <w:ind w:firstLine="2520" w:firstLineChars="1200"/>
        <w:jc w:val="right"/>
        <w:rPr>
          <w:rFonts w:hint="eastAsia" w:ascii="宋体" w:hAnsi="宋体" w:eastAsia="宋体" w:cs="宋体"/>
          <w:szCs w:val="21"/>
          <w:highlight w:val="none"/>
          <w:lang w:eastAsia="zh-CN"/>
        </w:rPr>
      </w:pPr>
    </w:p>
    <w:p w14:paraId="2C5F0921">
      <w:pPr>
        <w:spacing w:line="500" w:lineRule="exact"/>
        <w:ind w:right="420"/>
        <w:rPr>
          <w:rFonts w:hint="eastAsia" w:ascii="宋体" w:hAnsi="宋体" w:eastAsia="宋体" w:cs="宋体"/>
          <w:szCs w:val="21"/>
          <w:highlight w:val="none"/>
          <w:lang w:eastAsia="zh-CN"/>
        </w:rPr>
      </w:pPr>
    </w:p>
    <w:p w14:paraId="21531A4A">
      <w:pPr>
        <w:spacing w:line="500" w:lineRule="exact"/>
        <w:ind w:right="420"/>
        <w:rPr>
          <w:rFonts w:hint="eastAsia" w:ascii="宋体" w:hAnsi="宋体" w:eastAsia="宋体" w:cs="宋体"/>
          <w:szCs w:val="21"/>
          <w:highlight w:val="none"/>
          <w:lang w:eastAsia="zh-CN"/>
        </w:rPr>
      </w:pPr>
    </w:p>
    <w:p w14:paraId="3CF6728E">
      <w:pPr>
        <w:spacing w:line="500" w:lineRule="exact"/>
        <w:ind w:right="420"/>
        <w:rPr>
          <w:rFonts w:hint="eastAsia" w:ascii="宋体" w:hAnsi="宋体" w:eastAsia="宋体" w:cs="宋体"/>
          <w:szCs w:val="21"/>
          <w:highlight w:val="none"/>
          <w:lang w:eastAsia="zh-CN"/>
        </w:rPr>
      </w:pPr>
    </w:p>
    <w:p w14:paraId="1103C13C">
      <w:pPr>
        <w:adjustRightInd w:val="0"/>
        <w:spacing w:line="500" w:lineRule="exact"/>
        <w:rPr>
          <w:rFonts w:hint="eastAsia" w:ascii="宋体" w:hAnsi="宋体" w:eastAsia="宋体" w:cs="宋体"/>
          <w:szCs w:val="21"/>
          <w:highlight w:val="none"/>
          <w:lang w:eastAsia="zh-CN"/>
        </w:rPr>
      </w:pPr>
    </w:p>
    <w:p w14:paraId="5BD08387">
      <w:pPr>
        <w:spacing w:line="360" w:lineRule="auto"/>
        <w:jc w:val="center"/>
        <w:outlineLvl w:val="1"/>
        <w:rPr>
          <w:b/>
          <w:color w:val="auto"/>
          <w:sz w:val="28"/>
          <w:szCs w:val="28"/>
          <w:highlight w:val="none"/>
        </w:rPr>
      </w:pPr>
      <w:bookmarkStart w:id="65" w:name="_Toc29172"/>
      <w:r>
        <w:rPr>
          <w:rFonts w:hint="eastAsia"/>
          <w:b/>
          <w:color w:val="auto"/>
          <w:sz w:val="28"/>
          <w:szCs w:val="28"/>
          <w:highlight w:val="none"/>
        </w:rPr>
        <w:t>（二） 授权委托书</w:t>
      </w:r>
      <w:bookmarkEnd w:id="65"/>
    </w:p>
    <w:p w14:paraId="5957DDDE">
      <w:pPr>
        <w:spacing w:line="360" w:lineRule="auto"/>
        <w:ind w:firstLine="420" w:firstLineChars="200"/>
        <w:rPr>
          <w:rFonts w:ascii="宋体" w:hAnsi="宋体"/>
          <w:color w:val="auto"/>
          <w:szCs w:val="21"/>
          <w:highlight w:val="none"/>
        </w:rPr>
      </w:pPr>
    </w:p>
    <w:p w14:paraId="78DEECBD">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投标文件</w:t>
      </w:r>
      <w:r>
        <w:rPr>
          <w:rFonts w:hint="eastAsia" w:ascii="宋体" w:hAnsi="宋体"/>
          <w:color w:val="auto"/>
          <w:highlight w:val="none"/>
        </w:rPr>
        <w:t>、签订合同和处理有关事宜，其法律后果由我方承担。</w:t>
      </w:r>
    </w:p>
    <w:p w14:paraId="767A072C">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3C181AF2">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37D9810F">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70F9A35">
      <w:pPr>
        <w:spacing w:line="360" w:lineRule="auto"/>
        <w:ind w:firstLine="420" w:firstLineChars="200"/>
        <w:rPr>
          <w:rFonts w:ascii="宋体" w:hAnsi="宋体"/>
          <w:color w:val="auto"/>
          <w:szCs w:val="21"/>
          <w:highlight w:val="none"/>
        </w:rPr>
      </w:pPr>
    </w:p>
    <w:p w14:paraId="47C99618">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198880"/>
                <wp:effectExtent l="4445" t="5080" r="5080" b="15240"/>
                <wp:wrapNone/>
                <wp:docPr id="2" name="文本框 15"/>
                <wp:cNvGraphicFramePr/>
                <a:graphic xmlns:a="http://schemas.openxmlformats.org/drawingml/2006/main">
                  <a:graphicData uri="http://schemas.microsoft.com/office/word/2010/wordprocessingShape">
                    <wps:wsp>
                      <wps:cNvSpPr txBox="1"/>
                      <wps:spPr>
                        <a:xfrm>
                          <a:off x="0" y="0"/>
                          <a:ext cx="2867025" cy="1198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1F0AFE">
                            <w:pPr>
                              <w:rPr>
                                <w:rFonts w:ascii="黑体" w:eastAsia="黑体"/>
                                <w:sz w:val="32"/>
                                <w:szCs w:val="32"/>
                              </w:rPr>
                            </w:pPr>
                          </w:p>
                          <w:p w14:paraId="44730B87">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94.4pt;width:225.75pt;z-index:251661312;mso-width-relative:page;mso-height-relative:page;" fillcolor="#FFFFFF" filled="t" stroked="t" coordsize="21600,21600" o:gfxdata="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vYJZNkA&#10;AAAJAQAADwAAAAAAAAABACAAAAAiAAAAZHJzL2Rvd25yZXYueG1sUEsBAhQAFAAAAAgAh07iQI0P&#10;BYIeAgAAVAQAAA4AAAAAAAAAAQAgAAAAKAEAAGRycy9lMm9Eb2MueG1sUEsFBgAAAAAGAAYAWQEA&#10;ALgFAAAAAA==&#10;">
                <v:fill on="t" focussize="0,0"/>
                <v:stroke color="#000000" joinstyle="miter"/>
                <v:imagedata o:title=""/>
                <o:lock v:ext="edit" aspectratio="f"/>
                <v:textbox>
                  <w:txbxContent>
                    <w:p w14:paraId="011F0AFE">
                      <w:pPr>
                        <w:rPr>
                          <w:rFonts w:ascii="黑体" w:eastAsia="黑体"/>
                          <w:sz w:val="32"/>
                          <w:szCs w:val="32"/>
                        </w:rPr>
                      </w:pPr>
                    </w:p>
                    <w:p w14:paraId="44730B87">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717D2526">
      <w:pPr>
        <w:spacing w:line="360" w:lineRule="auto"/>
        <w:ind w:firstLine="420" w:firstLineChars="200"/>
        <w:rPr>
          <w:rFonts w:ascii="宋体" w:hAnsi="宋体"/>
          <w:color w:val="auto"/>
          <w:szCs w:val="21"/>
          <w:highlight w:val="none"/>
        </w:rPr>
      </w:pPr>
    </w:p>
    <w:p w14:paraId="07E3F064">
      <w:pPr>
        <w:spacing w:line="360" w:lineRule="auto"/>
        <w:ind w:firstLine="420" w:firstLineChars="200"/>
        <w:rPr>
          <w:rFonts w:ascii="宋体" w:hAnsi="宋体"/>
          <w:color w:val="auto"/>
          <w:szCs w:val="21"/>
          <w:highlight w:val="none"/>
        </w:rPr>
      </w:pPr>
    </w:p>
    <w:p w14:paraId="39BEE157">
      <w:pPr>
        <w:spacing w:line="360" w:lineRule="auto"/>
        <w:ind w:firstLine="420" w:firstLineChars="200"/>
        <w:rPr>
          <w:rFonts w:ascii="宋体" w:hAnsi="宋体"/>
          <w:color w:val="auto"/>
          <w:szCs w:val="21"/>
          <w:highlight w:val="none"/>
        </w:rPr>
      </w:pPr>
    </w:p>
    <w:p w14:paraId="636155F8">
      <w:pPr>
        <w:spacing w:line="360" w:lineRule="auto"/>
        <w:ind w:firstLine="420" w:firstLineChars="200"/>
        <w:rPr>
          <w:rFonts w:ascii="宋体" w:hAnsi="宋体"/>
          <w:color w:val="auto"/>
          <w:szCs w:val="21"/>
          <w:highlight w:val="none"/>
        </w:rPr>
      </w:pPr>
    </w:p>
    <w:p w14:paraId="260836E0">
      <w:pPr>
        <w:spacing w:line="360" w:lineRule="auto"/>
        <w:ind w:firstLine="420" w:firstLineChars="200"/>
        <w:rPr>
          <w:rFonts w:ascii="宋体" w:hAnsi="宋体"/>
          <w:color w:val="auto"/>
          <w:szCs w:val="21"/>
          <w:highlight w:val="none"/>
        </w:rPr>
      </w:pPr>
    </w:p>
    <w:p w14:paraId="1CCE071F">
      <w:pPr>
        <w:spacing w:line="360" w:lineRule="auto"/>
        <w:rPr>
          <w:rFonts w:ascii="宋体" w:hAnsi="宋体"/>
          <w:color w:val="auto"/>
          <w:szCs w:val="21"/>
          <w:highlight w:val="none"/>
        </w:rPr>
      </w:pPr>
    </w:p>
    <w:p w14:paraId="550A89F5">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096010"/>
                <wp:effectExtent l="5080" t="4445" r="4445" b="23495"/>
                <wp:wrapNone/>
                <wp:docPr id="4" name="文本框 16"/>
                <wp:cNvGraphicFramePr/>
                <a:graphic xmlns:a="http://schemas.openxmlformats.org/drawingml/2006/main">
                  <a:graphicData uri="http://schemas.microsoft.com/office/word/2010/wordprocessingShape">
                    <wps:wsp>
                      <wps:cNvSpPr txBox="1"/>
                      <wps:spPr>
                        <a:xfrm>
                          <a:off x="0" y="0"/>
                          <a:ext cx="2867025" cy="1096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515E2F">
                            <w:pPr>
                              <w:rPr>
                                <w:rFonts w:ascii="黑体" w:eastAsia="黑体"/>
                                <w:sz w:val="32"/>
                                <w:szCs w:val="32"/>
                              </w:rPr>
                            </w:pPr>
                          </w:p>
                          <w:p w14:paraId="35F94A28">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86.3pt;width:225.75pt;z-index:251661312;mso-width-relative:page;mso-height-relative:page;" fillcolor="#FFFFFF" filled="t" stroked="t" coordsize="21600,21600" o:gfxdata="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9+9C9kAAAAJ&#10;AQAADwAAAAAAAAABACAAAAAiAAAAZHJzL2Rvd25yZXYueG1sUEsBAhQAFAAAAAgAh07iQBAM6T0b&#10;AgAAVAQAAA4AAAAAAAAAAQAgAAAAKAEAAGRycy9lMm9Eb2MueG1sUEsFBgAAAAAGAAYAWQEAALUF&#10;AAAAAA==&#10;">
                <v:fill on="t" focussize="0,0"/>
                <v:stroke color="#000000" joinstyle="miter"/>
                <v:imagedata o:title=""/>
                <o:lock v:ext="edit" aspectratio="f"/>
                <v:textbox>
                  <w:txbxContent>
                    <w:p w14:paraId="12515E2F">
                      <w:pPr>
                        <w:rPr>
                          <w:rFonts w:ascii="黑体" w:eastAsia="黑体"/>
                          <w:sz w:val="32"/>
                          <w:szCs w:val="32"/>
                        </w:rPr>
                      </w:pPr>
                    </w:p>
                    <w:p w14:paraId="35F94A28">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CC5C5C">
      <w:pPr>
        <w:spacing w:line="360" w:lineRule="auto"/>
        <w:ind w:firstLine="420" w:firstLineChars="200"/>
        <w:rPr>
          <w:rFonts w:ascii="宋体" w:hAnsi="宋体"/>
          <w:color w:val="auto"/>
          <w:szCs w:val="21"/>
          <w:highlight w:val="none"/>
        </w:rPr>
      </w:pPr>
    </w:p>
    <w:p w14:paraId="5CFC59ED">
      <w:pPr>
        <w:spacing w:line="360" w:lineRule="auto"/>
        <w:ind w:firstLine="420" w:firstLineChars="200"/>
        <w:rPr>
          <w:rFonts w:ascii="宋体" w:hAnsi="宋体"/>
          <w:color w:val="auto"/>
          <w:szCs w:val="21"/>
          <w:highlight w:val="none"/>
        </w:rPr>
      </w:pPr>
    </w:p>
    <w:p w14:paraId="31D338DB">
      <w:pPr>
        <w:spacing w:line="360" w:lineRule="auto"/>
        <w:ind w:firstLine="420" w:firstLineChars="200"/>
        <w:rPr>
          <w:rFonts w:ascii="宋体" w:hAnsi="宋体"/>
          <w:color w:val="auto"/>
          <w:szCs w:val="21"/>
          <w:highlight w:val="none"/>
        </w:rPr>
      </w:pPr>
    </w:p>
    <w:p w14:paraId="45863403">
      <w:pPr>
        <w:spacing w:line="360" w:lineRule="auto"/>
        <w:ind w:firstLine="420" w:firstLineChars="200"/>
        <w:rPr>
          <w:rFonts w:ascii="宋体" w:hAnsi="宋体"/>
          <w:color w:val="auto"/>
          <w:szCs w:val="21"/>
          <w:highlight w:val="none"/>
        </w:rPr>
      </w:pPr>
    </w:p>
    <w:p w14:paraId="0C28E0CE">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1AE92174">
      <w:pPr>
        <w:overflowPunct w:val="0"/>
        <w:spacing w:line="408" w:lineRule="auto"/>
        <w:ind w:right="100"/>
        <w:jc w:val="left"/>
        <w:rPr>
          <w:rFonts w:hint="eastAsia" w:ascii="宋体" w:hAnsi="宋体"/>
          <w:color w:val="auto"/>
          <w:highlight w:val="none"/>
        </w:rPr>
      </w:pPr>
    </w:p>
    <w:p w14:paraId="7A0ADFBC">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061E81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26E0D4EF">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462913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0551B16A">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E93ECA1">
      <w:pPr>
        <w:spacing w:line="200" w:lineRule="exact"/>
        <w:jc w:val="left"/>
        <w:rPr>
          <w:rFonts w:ascii="宋体" w:hAnsi="宋体"/>
          <w:color w:val="auto"/>
          <w:sz w:val="24"/>
          <w:highlight w:val="none"/>
        </w:rPr>
      </w:pPr>
    </w:p>
    <w:p w14:paraId="531EB89E">
      <w:pPr>
        <w:spacing w:line="360" w:lineRule="auto"/>
        <w:ind w:firstLine="4515" w:firstLineChars="2150"/>
        <w:jc w:val="right"/>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1153290">
      <w:pPr>
        <w:adjustRightInd w:val="0"/>
        <w:spacing w:line="500" w:lineRule="exact"/>
        <w:jc w:val="center"/>
        <w:rPr>
          <w:rFonts w:hint="eastAsia" w:ascii="宋体" w:hAnsi="宋体" w:eastAsia="宋体" w:cs="宋体"/>
          <w:b/>
          <w:sz w:val="36"/>
          <w:szCs w:val="36"/>
          <w:highlight w:val="none"/>
          <w:lang w:val="zh-CN" w:eastAsia="zh-CN"/>
        </w:rPr>
      </w:pPr>
    </w:p>
    <w:p w14:paraId="06A05F92">
      <w:pPr>
        <w:adjustRightInd w:val="0"/>
        <w:spacing w:line="500" w:lineRule="exact"/>
        <w:jc w:val="center"/>
        <w:outlineLvl w:val="0"/>
        <w:rPr>
          <w:rFonts w:hint="eastAsia" w:ascii="宋体" w:hAnsi="宋体" w:eastAsia="宋体" w:cs="宋体"/>
          <w:b/>
          <w:sz w:val="36"/>
          <w:szCs w:val="36"/>
          <w:highlight w:val="none"/>
          <w:lang w:val="zh-CN" w:eastAsia="zh-CN"/>
        </w:rPr>
      </w:pPr>
      <w:bookmarkStart w:id="66" w:name="_Toc20738"/>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lang w:val="zh-CN" w:eastAsia="zh-CN"/>
        </w:rPr>
        <w:t>、</w:t>
      </w:r>
      <w:r>
        <w:rPr>
          <w:rFonts w:hint="eastAsia" w:ascii="宋体" w:hAnsi="宋体" w:cs="宋体"/>
          <w:b/>
          <w:sz w:val="36"/>
          <w:szCs w:val="36"/>
          <w:highlight w:val="none"/>
          <w:lang w:val="en-US" w:eastAsia="zh-CN"/>
        </w:rPr>
        <w:t>投标</w:t>
      </w:r>
      <w:r>
        <w:rPr>
          <w:rFonts w:hint="eastAsia" w:ascii="宋体" w:hAnsi="宋体" w:eastAsia="宋体" w:cs="宋体"/>
          <w:b/>
          <w:sz w:val="36"/>
          <w:szCs w:val="36"/>
          <w:highlight w:val="none"/>
          <w:lang w:val="zh-CN" w:eastAsia="zh-CN"/>
        </w:rPr>
        <w:t>保证金</w:t>
      </w:r>
      <w:bookmarkEnd w:id="66"/>
    </w:p>
    <w:p w14:paraId="1269B941">
      <w:pPr>
        <w:rPr>
          <w:rFonts w:hint="eastAsia" w:ascii="宋体" w:hAnsi="宋体" w:eastAsia="宋体" w:cs="宋体"/>
          <w:b/>
          <w:bCs/>
          <w:sz w:val="24"/>
          <w:szCs w:val="32"/>
          <w:highlight w:val="none"/>
          <w:lang w:eastAsia="zh-CN"/>
        </w:rPr>
      </w:pPr>
    </w:p>
    <w:p w14:paraId="5D5BB8E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3AB23C35">
      <w:pPr>
        <w:adjustRightInd w:val="0"/>
        <w:spacing w:line="500" w:lineRule="exact"/>
        <w:jc w:val="center"/>
        <w:rPr>
          <w:rFonts w:hint="eastAsia" w:ascii="宋体" w:hAnsi="宋体" w:eastAsia="宋体" w:cs="宋体"/>
          <w:szCs w:val="21"/>
          <w:highlight w:val="none"/>
          <w:lang w:val="zh-CN" w:eastAsia="zh-CN"/>
        </w:rPr>
      </w:pPr>
    </w:p>
    <w:p w14:paraId="45BD6DF5">
      <w:pPr>
        <w:adjustRightInd w:val="0"/>
        <w:spacing w:line="500" w:lineRule="exact"/>
        <w:jc w:val="center"/>
        <w:outlineLvl w:val="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br w:type="page"/>
      </w:r>
      <w:bookmarkStart w:id="67" w:name="_Toc2785"/>
    </w:p>
    <w:p w14:paraId="2CBA8503">
      <w:pPr>
        <w:adjustRightInd w:val="0"/>
        <w:spacing w:line="500" w:lineRule="exact"/>
        <w:jc w:val="center"/>
        <w:outlineLvl w:val="0"/>
        <w:rPr>
          <w:rFonts w:hint="eastAsia" w:ascii="宋体" w:hAnsi="宋体" w:eastAsia="宋体" w:cs="宋体"/>
          <w:b/>
          <w:sz w:val="36"/>
          <w:szCs w:val="36"/>
          <w:highlight w:val="none"/>
          <w:lang w:eastAsia="zh-CN"/>
        </w:rPr>
      </w:pPr>
      <w:bookmarkStart w:id="68" w:name="_Toc32138"/>
      <w:r>
        <w:rPr>
          <w:rFonts w:hint="eastAsia" w:ascii="宋体" w:hAnsi="宋体" w:eastAsia="宋体" w:cs="宋体"/>
          <w:b/>
          <w:sz w:val="36"/>
          <w:szCs w:val="36"/>
          <w:highlight w:val="none"/>
          <w:lang w:val="en-US" w:eastAsia="zh-CN"/>
        </w:rPr>
        <w:t>四</w:t>
      </w:r>
      <w:r>
        <w:rPr>
          <w:rFonts w:hint="eastAsia" w:ascii="宋体" w:hAnsi="宋体" w:eastAsia="宋体" w:cs="宋体"/>
          <w:b/>
          <w:sz w:val="36"/>
          <w:szCs w:val="36"/>
          <w:highlight w:val="none"/>
          <w:lang w:val="zh-CN" w:eastAsia="zh-CN"/>
        </w:rPr>
        <w:t>、</w:t>
      </w:r>
      <w:r>
        <w:rPr>
          <w:rFonts w:hint="eastAsia" w:ascii="宋体" w:hAnsi="宋体" w:eastAsia="宋体" w:cs="宋体"/>
          <w:b/>
          <w:sz w:val="36"/>
          <w:szCs w:val="36"/>
          <w:highlight w:val="none"/>
          <w:lang w:val="en-US" w:eastAsia="zh-CN"/>
        </w:rPr>
        <w:t>开标</w:t>
      </w:r>
      <w:r>
        <w:rPr>
          <w:rFonts w:hint="eastAsia" w:ascii="宋体" w:hAnsi="宋体" w:eastAsia="宋体" w:cs="宋体"/>
          <w:b/>
          <w:sz w:val="36"/>
          <w:szCs w:val="36"/>
          <w:highlight w:val="none"/>
          <w:lang w:eastAsia="zh-CN"/>
        </w:rPr>
        <w:t>一览表</w:t>
      </w:r>
      <w:bookmarkEnd w:id="68"/>
    </w:p>
    <w:p w14:paraId="2BE574BE">
      <w:pPr>
        <w:adjustRightInd w:val="0"/>
        <w:spacing w:line="400" w:lineRule="exact"/>
        <w:rPr>
          <w:rFonts w:hint="eastAsia" w:ascii="宋体" w:hAnsi="宋体" w:eastAsia="宋体" w:cs="宋体"/>
          <w:b/>
          <w:szCs w:val="21"/>
          <w:highlight w:val="none"/>
          <w:shd w:val="clear" w:color="auto" w:fill="FFFFFF"/>
          <w:lang w:eastAsia="zh-CN"/>
        </w:rPr>
      </w:pPr>
    </w:p>
    <w:p w14:paraId="64B300C6">
      <w:pPr>
        <w:ind w:left="13" w:leftChars="-51" w:hanging="120" w:hangingChars="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 目 名 称 ：</w:t>
      </w:r>
    </w:p>
    <w:p w14:paraId="6DA6C2BE">
      <w:pPr>
        <w:ind w:left="13" w:leftChars="-51" w:hanging="120" w:hangingChars="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 目</w:t>
      </w:r>
      <w:r>
        <w:rPr>
          <w:rFonts w:hint="eastAsia" w:ascii="宋体" w:hAnsi="宋体" w:eastAsia="宋体" w:cs="宋体"/>
          <w:sz w:val="24"/>
          <w:szCs w:val="24"/>
          <w:highlight w:val="none"/>
        </w:rPr>
        <w:t xml:space="preserve"> 编 号：</w:t>
      </w:r>
    </w:p>
    <w:tbl>
      <w:tblPr>
        <w:tblStyle w:val="28"/>
        <w:tblW w:w="917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289B0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89541D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340EB069">
            <w:pPr>
              <w:jc w:val="center"/>
              <w:rPr>
                <w:rFonts w:hint="eastAsia" w:ascii="宋体" w:hAnsi="宋体" w:eastAsia="宋体" w:cs="宋体"/>
                <w:sz w:val="24"/>
                <w:szCs w:val="24"/>
                <w:highlight w:val="none"/>
              </w:rPr>
            </w:pPr>
          </w:p>
        </w:tc>
      </w:tr>
      <w:tr w14:paraId="4EF24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BD330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报价（元）</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7503C28F">
            <w:pPr>
              <w:rPr>
                <w:rFonts w:hint="eastAsia" w:ascii="宋体" w:hAnsi="宋体" w:eastAsia="宋体" w:cs="宋体"/>
                <w:highlight w:val="none"/>
              </w:rPr>
            </w:pPr>
          </w:p>
        </w:tc>
      </w:tr>
      <w:tr w14:paraId="68765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5D532042">
            <w:pPr>
              <w:jc w:val="center"/>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期限</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78406B98">
            <w:pPr>
              <w:rPr>
                <w:rFonts w:hint="eastAsia" w:ascii="宋体" w:hAnsi="宋体" w:eastAsia="宋体" w:cs="宋体"/>
                <w:highlight w:val="none"/>
              </w:rPr>
            </w:pPr>
          </w:p>
        </w:tc>
      </w:tr>
      <w:tr w14:paraId="5E132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644F451">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标准</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13AF42FE">
            <w:pPr>
              <w:rPr>
                <w:rFonts w:hint="eastAsia" w:ascii="宋体" w:hAnsi="宋体" w:eastAsia="宋体" w:cs="宋体"/>
                <w:highlight w:val="none"/>
              </w:rPr>
            </w:pPr>
          </w:p>
        </w:tc>
      </w:tr>
      <w:tr w14:paraId="70085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60E149B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463" w:type="dxa"/>
            <w:tcBorders>
              <w:top w:val="single" w:color="auto" w:sz="4" w:space="0"/>
              <w:left w:val="single" w:color="auto" w:sz="4" w:space="0"/>
              <w:bottom w:val="single" w:color="auto" w:sz="4" w:space="0"/>
              <w:right w:val="single" w:color="auto" w:sz="4" w:space="0"/>
            </w:tcBorders>
            <w:noWrap w:val="0"/>
            <w:vAlign w:val="top"/>
          </w:tcPr>
          <w:p w14:paraId="22B7F35C">
            <w:pPr>
              <w:numPr>
                <w:ilvl w:val="0"/>
                <w:numId w:val="1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本表只做</w:t>
            </w:r>
            <w:r>
              <w:rPr>
                <w:rFonts w:hint="eastAsia" w:ascii="宋体" w:hAnsi="宋体" w:eastAsia="宋体" w:cs="宋体"/>
                <w:sz w:val="24"/>
                <w:szCs w:val="24"/>
                <w:highlight w:val="none"/>
                <w:lang w:val="en-US" w:eastAsia="zh-CN"/>
              </w:rPr>
              <w:t>唱标</w:t>
            </w:r>
            <w:r>
              <w:rPr>
                <w:rFonts w:hint="eastAsia" w:ascii="宋体" w:hAnsi="宋体" w:eastAsia="宋体" w:cs="宋体"/>
                <w:sz w:val="24"/>
                <w:szCs w:val="24"/>
                <w:highlight w:val="none"/>
                <w:lang w:eastAsia="zh-CN"/>
              </w:rPr>
              <w:t>时使用，但本表的一切内容均具有法律效力，不得更改。</w:t>
            </w:r>
          </w:p>
          <w:p w14:paraId="78EC629E">
            <w:pPr>
              <w:numPr>
                <w:ilvl w:val="0"/>
                <w:numId w:val="10"/>
              </w:numPr>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lang w:eastAsia="zh-CN"/>
              </w:rPr>
              <w:t>填报的内容必须和投标文件及报价函中的内容一致。</w:t>
            </w:r>
          </w:p>
        </w:tc>
      </w:tr>
      <w:tr w14:paraId="6E2E5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171" w:type="dxa"/>
            <w:gridSpan w:val="2"/>
            <w:tcBorders>
              <w:top w:val="single" w:color="auto" w:sz="4" w:space="0"/>
              <w:left w:val="single" w:color="auto" w:sz="4" w:space="0"/>
              <w:bottom w:val="single" w:color="auto" w:sz="4" w:space="0"/>
              <w:right w:val="single" w:color="auto" w:sz="4" w:space="0"/>
            </w:tcBorders>
            <w:noWrap w:val="0"/>
            <w:vAlign w:val="center"/>
          </w:tcPr>
          <w:p w14:paraId="30DDEF32">
            <w:pPr>
              <w:rPr>
                <w:rFonts w:hint="eastAsia" w:ascii="宋体" w:hAnsi="宋体" w:eastAsia="宋体" w:cs="宋体"/>
                <w:sz w:val="24"/>
                <w:szCs w:val="24"/>
                <w:highlight w:val="none"/>
                <w:lang w:eastAsia="zh-CN"/>
              </w:rPr>
            </w:pPr>
          </w:p>
          <w:p w14:paraId="64E15324">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        （盖章）                 被授权人：          （签字或盖章）</w:t>
            </w:r>
          </w:p>
          <w:p w14:paraId="06ACE4F3">
            <w:pPr>
              <w:rPr>
                <w:rFonts w:hint="eastAsia" w:ascii="宋体" w:hAnsi="宋体" w:eastAsia="宋体" w:cs="宋体"/>
                <w:sz w:val="24"/>
                <w:szCs w:val="24"/>
                <w:highlight w:val="none"/>
                <w:lang w:eastAsia="zh-CN"/>
              </w:rPr>
            </w:pPr>
          </w:p>
        </w:tc>
      </w:tr>
    </w:tbl>
    <w:p w14:paraId="301E31D0">
      <w:pPr>
        <w:adjustRightInd w:val="0"/>
        <w:spacing w:line="500" w:lineRule="exact"/>
        <w:rPr>
          <w:rFonts w:hint="eastAsia" w:ascii="宋体" w:hAnsi="宋体" w:eastAsia="宋体" w:cs="宋体"/>
          <w:sz w:val="24"/>
          <w:highlight w:val="none"/>
          <w:lang w:val="zh-CN" w:eastAsia="zh-CN"/>
        </w:rPr>
      </w:pPr>
    </w:p>
    <w:p w14:paraId="7A51DC49">
      <w:pPr>
        <w:adjustRightInd w:val="0"/>
        <w:spacing w:line="500" w:lineRule="exact"/>
        <w:jc w:val="center"/>
        <w:rPr>
          <w:rFonts w:hint="eastAsia" w:ascii="宋体" w:hAnsi="宋体" w:eastAsia="宋体" w:cs="宋体"/>
          <w:b/>
          <w:sz w:val="36"/>
          <w:szCs w:val="36"/>
          <w:highlight w:val="none"/>
          <w:lang w:val="zh-CN" w:eastAsia="zh-CN"/>
        </w:rPr>
      </w:pPr>
    </w:p>
    <w:p w14:paraId="2DAAF8F0">
      <w:pPr>
        <w:adjustRightInd w:val="0"/>
        <w:spacing w:line="500" w:lineRule="exact"/>
        <w:jc w:val="center"/>
        <w:rPr>
          <w:rFonts w:hint="eastAsia" w:ascii="宋体" w:hAnsi="宋体" w:eastAsia="宋体" w:cs="宋体"/>
          <w:b/>
          <w:sz w:val="36"/>
          <w:szCs w:val="36"/>
          <w:highlight w:val="none"/>
          <w:lang w:val="zh-CN" w:eastAsia="zh-CN"/>
        </w:rPr>
      </w:pPr>
    </w:p>
    <w:p w14:paraId="0BF74AB8">
      <w:pPr>
        <w:pStyle w:val="106"/>
        <w:numPr>
          <w:ilvl w:val="0"/>
          <w:numId w:val="0"/>
        </w:numPr>
        <w:rPr>
          <w:rFonts w:hint="eastAsia" w:ascii="宋体" w:hAnsi="宋体" w:eastAsia="宋体" w:cs="宋体"/>
          <w:b/>
          <w:sz w:val="36"/>
          <w:szCs w:val="36"/>
          <w:highlight w:val="none"/>
          <w:lang w:val="zh-CN" w:eastAsia="zh-CN"/>
        </w:rPr>
      </w:pPr>
    </w:p>
    <w:p w14:paraId="7DF71F58">
      <w:pPr>
        <w:pStyle w:val="106"/>
        <w:numPr>
          <w:ilvl w:val="0"/>
          <w:numId w:val="0"/>
        </w:numPr>
        <w:rPr>
          <w:rFonts w:hint="eastAsia" w:ascii="宋体" w:hAnsi="宋体" w:eastAsia="宋体" w:cs="宋体"/>
          <w:b/>
          <w:sz w:val="36"/>
          <w:szCs w:val="36"/>
          <w:highlight w:val="none"/>
          <w:lang w:val="zh-CN" w:eastAsia="zh-CN"/>
        </w:rPr>
      </w:pPr>
    </w:p>
    <w:p w14:paraId="01DCF5BF">
      <w:pPr>
        <w:pStyle w:val="106"/>
        <w:numPr>
          <w:ilvl w:val="0"/>
          <w:numId w:val="0"/>
        </w:numPr>
        <w:rPr>
          <w:rFonts w:hint="eastAsia" w:ascii="宋体" w:hAnsi="宋体" w:eastAsia="宋体" w:cs="宋体"/>
          <w:b/>
          <w:sz w:val="36"/>
          <w:szCs w:val="36"/>
          <w:highlight w:val="none"/>
          <w:lang w:val="zh-CN" w:eastAsia="zh-CN"/>
        </w:rPr>
      </w:pPr>
    </w:p>
    <w:p w14:paraId="635BADCA">
      <w:pPr>
        <w:pStyle w:val="106"/>
        <w:numPr>
          <w:ilvl w:val="0"/>
          <w:numId w:val="0"/>
        </w:numPr>
        <w:rPr>
          <w:rFonts w:hint="eastAsia" w:ascii="宋体" w:hAnsi="宋体" w:eastAsia="宋体" w:cs="宋体"/>
          <w:b/>
          <w:sz w:val="36"/>
          <w:szCs w:val="36"/>
          <w:highlight w:val="none"/>
          <w:lang w:val="zh-CN" w:eastAsia="zh-CN"/>
        </w:rPr>
      </w:pPr>
    </w:p>
    <w:p w14:paraId="68156BA8"/>
    <w:p w14:paraId="7254C20E">
      <w:pPr>
        <w:adjustRightInd w:val="0"/>
        <w:spacing w:line="500" w:lineRule="exact"/>
        <w:jc w:val="center"/>
        <w:outlineLvl w:val="0"/>
        <w:rPr>
          <w:rFonts w:hint="eastAsia" w:ascii="宋体" w:hAnsi="宋体" w:eastAsia="宋体" w:cs="宋体"/>
          <w:sz w:val="24"/>
          <w:highlight w:val="none"/>
          <w:lang w:val="zh-CN" w:eastAsia="zh-CN"/>
        </w:rPr>
      </w:pPr>
    </w:p>
    <w:p w14:paraId="5B9782F7">
      <w:pPr>
        <w:adjustRightInd w:val="0"/>
        <w:spacing w:line="500" w:lineRule="exact"/>
        <w:jc w:val="center"/>
        <w:outlineLvl w:val="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分项报价表</w:t>
      </w:r>
      <w:bookmarkEnd w:id="67"/>
    </w:p>
    <w:p w14:paraId="2F29BD1B">
      <w:pPr>
        <w:tabs>
          <w:tab w:val="left" w:pos="7246"/>
        </w:tabs>
        <w:spacing w:before="18"/>
        <w:ind w:firstLine="210" w:firstLineChars="100"/>
        <w:rPr>
          <w:rFonts w:ascii="宋体" w:hAnsi="宋体"/>
          <w:color w:val="auto"/>
          <w:szCs w:val="21"/>
          <w:highlight w:val="none"/>
        </w:rPr>
      </w:pPr>
    </w:p>
    <w:p w14:paraId="330A910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17A2D2BF">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37AC134">
      <w:pPr>
        <w:spacing w:before="5"/>
        <w:rPr>
          <w:rFonts w:ascii="宋体" w:hAnsi="宋体" w:cs="Arial Unicode MS"/>
          <w:color w:val="auto"/>
          <w:sz w:val="21"/>
          <w:szCs w:val="21"/>
          <w:highlight w:val="none"/>
        </w:rPr>
      </w:pPr>
    </w:p>
    <w:tbl>
      <w:tblPr>
        <w:tblStyle w:val="2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7"/>
        <w:gridCol w:w="1259"/>
        <w:gridCol w:w="1308"/>
        <w:gridCol w:w="1493"/>
        <w:gridCol w:w="2295"/>
      </w:tblGrid>
      <w:tr w14:paraId="6B36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2" w:type="dxa"/>
            <w:noWrap/>
            <w:vAlign w:val="center"/>
          </w:tcPr>
          <w:p w14:paraId="2056EC98">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377" w:type="dxa"/>
            <w:noWrap/>
            <w:vAlign w:val="center"/>
          </w:tcPr>
          <w:p w14:paraId="1E8B1F9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259" w:type="dxa"/>
            <w:noWrap/>
            <w:vAlign w:val="center"/>
          </w:tcPr>
          <w:p w14:paraId="3111E01A">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308" w:type="dxa"/>
            <w:noWrap/>
            <w:vAlign w:val="center"/>
          </w:tcPr>
          <w:p w14:paraId="6BC8864C">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c>
          <w:tcPr>
            <w:tcW w:w="1493" w:type="dxa"/>
            <w:noWrap/>
            <w:vAlign w:val="center"/>
          </w:tcPr>
          <w:p w14:paraId="14D723A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2A1F62A1">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6F30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2" w:type="dxa"/>
            <w:noWrap/>
            <w:vAlign w:val="center"/>
          </w:tcPr>
          <w:p w14:paraId="5713C9C3">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77" w:type="dxa"/>
            <w:noWrap/>
            <w:vAlign w:val="center"/>
          </w:tcPr>
          <w:p w14:paraId="62CA4E33">
            <w:pPr>
              <w:widowControl/>
              <w:jc w:val="center"/>
              <w:rPr>
                <w:rFonts w:hint="default" w:ascii="宋体" w:hAnsi="宋体" w:eastAsia="宋体" w:cs="宋体"/>
                <w:color w:val="auto"/>
                <w:sz w:val="21"/>
                <w:szCs w:val="21"/>
                <w:highlight w:val="none"/>
                <w:lang w:val="en-US" w:eastAsia="zh-CN"/>
              </w:rPr>
            </w:pPr>
          </w:p>
        </w:tc>
        <w:tc>
          <w:tcPr>
            <w:tcW w:w="1259" w:type="dxa"/>
            <w:noWrap/>
            <w:vAlign w:val="center"/>
          </w:tcPr>
          <w:p w14:paraId="3C719A02">
            <w:pPr>
              <w:widowControl/>
              <w:jc w:val="center"/>
              <w:rPr>
                <w:rFonts w:hint="eastAsia" w:ascii="宋体" w:hAnsi="宋体" w:eastAsia="宋体" w:cs="宋体"/>
                <w:color w:val="auto"/>
                <w:sz w:val="21"/>
                <w:szCs w:val="21"/>
                <w:highlight w:val="none"/>
                <w:lang w:val="en-US" w:eastAsia="zh-CN"/>
              </w:rPr>
            </w:pPr>
          </w:p>
        </w:tc>
        <w:tc>
          <w:tcPr>
            <w:tcW w:w="1308" w:type="dxa"/>
            <w:noWrap/>
            <w:vAlign w:val="center"/>
          </w:tcPr>
          <w:p w14:paraId="6D4A3A79">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2719C4E1">
            <w:pPr>
              <w:widowControl/>
              <w:jc w:val="center"/>
              <w:rPr>
                <w:rFonts w:hint="eastAsia" w:ascii="宋体" w:hAnsi="宋体" w:cs="宋体"/>
                <w:color w:val="auto"/>
                <w:sz w:val="21"/>
                <w:szCs w:val="21"/>
                <w:highlight w:val="none"/>
              </w:rPr>
            </w:pPr>
          </w:p>
        </w:tc>
        <w:tc>
          <w:tcPr>
            <w:tcW w:w="2295" w:type="dxa"/>
            <w:noWrap/>
            <w:vAlign w:val="center"/>
          </w:tcPr>
          <w:p w14:paraId="19E95B12">
            <w:pPr>
              <w:widowControl/>
              <w:jc w:val="center"/>
              <w:rPr>
                <w:rFonts w:hint="eastAsia" w:ascii="宋体" w:hAnsi="宋体" w:cs="宋体"/>
                <w:color w:val="auto"/>
                <w:sz w:val="21"/>
                <w:szCs w:val="21"/>
                <w:highlight w:val="none"/>
              </w:rPr>
            </w:pPr>
          </w:p>
        </w:tc>
      </w:tr>
      <w:tr w14:paraId="0EF5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noWrap/>
            <w:vAlign w:val="center"/>
          </w:tcPr>
          <w:p w14:paraId="0B42A804">
            <w:pPr>
              <w:widowControl/>
              <w:jc w:val="center"/>
              <w:rPr>
                <w:rFonts w:hint="eastAsia" w:ascii="宋体" w:hAnsi="宋体" w:eastAsia="宋体" w:cs="宋体"/>
                <w:color w:val="auto"/>
                <w:sz w:val="21"/>
                <w:szCs w:val="21"/>
                <w:highlight w:val="none"/>
                <w:lang w:val="en-US" w:eastAsia="zh-CN"/>
              </w:rPr>
            </w:pPr>
          </w:p>
        </w:tc>
        <w:tc>
          <w:tcPr>
            <w:tcW w:w="2377" w:type="dxa"/>
            <w:noWrap/>
            <w:vAlign w:val="center"/>
          </w:tcPr>
          <w:p w14:paraId="6CFD8B52">
            <w:pPr>
              <w:widowControl/>
              <w:jc w:val="center"/>
              <w:rPr>
                <w:rFonts w:hint="eastAsia" w:ascii="宋体" w:hAnsi="宋体" w:cs="宋体"/>
                <w:color w:val="auto"/>
                <w:sz w:val="21"/>
                <w:szCs w:val="21"/>
                <w:highlight w:val="none"/>
              </w:rPr>
            </w:pPr>
          </w:p>
        </w:tc>
        <w:tc>
          <w:tcPr>
            <w:tcW w:w="1259" w:type="dxa"/>
            <w:noWrap/>
            <w:vAlign w:val="center"/>
          </w:tcPr>
          <w:p w14:paraId="50B1DFB9">
            <w:pPr>
              <w:widowControl/>
              <w:jc w:val="center"/>
              <w:rPr>
                <w:rFonts w:hint="eastAsia" w:ascii="宋体" w:hAnsi="宋体" w:cs="宋体"/>
                <w:color w:val="auto"/>
                <w:sz w:val="21"/>
                <w:szCs w:val="21"/>
                <w:highlight w:val="none"/>
              </w:rPr>
            </w:pPr>
          </w:p>
        </w:tc>
        <w:tc>
          <w:tcPr>
            <w:tcW w:w="1308" w:type="dxa"/>
            <w:noWrap/>
            <w:vAlign w:val="center"/>
          </w:tcPr>
          <w:p w14:paraId="77EFC9E0">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4708F701">
            <w:pPr>
              <w:widowControl/>
              <w:jc w:val="center"/>
              <w:rPr>
                <w:rFonts w:hint="eastAsia" w:ascii="宋体" w:hAnsi="宋体" w:cs="宋体"/>
                <w:color w:val="auto"/>
                <w:sz w:val="21"/>
                <w:szCs w:val="21"/>
                <w:highlight w:val="none"/>
              </w:rPr>
            </w:pPr>
          </w:p>
        </w:tc>
        <w:tc>
          <w:tcPr>
            <w:tcW w:w="2295" w:type="dxa"/>
            <w:noWrap/>
            <w:vAlign w:val="center"/>
          </w:tcPr>
          <w:p w14:paraId="566C9BEC">
            <w:pPr>
              <w:widowControl/>
              <w:jc w:val="center"/>
              <w:rPr>
                <w:rFonts w:hint="eastAsia" w:ascii="宋体" w:hAnsi="宋体" w:cs="宋体"/>
                <w:color w:val="auto"/>
                <w:sz w:val="21"/>
                <w:szCs w:val="21"/>
                <w:highlight w:val="none"/>
              </w:rPr>
            </w:pPr>
          </w:p>
        </w:tc>
      </w:tr>
      <w:tr w14:paraId="0E2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21136E73">
            <w:pPr>
              <w:widowControl/>
              <w:jc w:val="center"/>
              <w:rPr>
                <w:rFonts w:hint="eastAsia" w:ascii="宋体" w:hAnsi="宋体" w:eastAsia="宋体" w:cs="宋体"/>
                <w:color w:val="auto"/>
                <w:kern w:val="0"/>
                <w:sz w:val="21"/>
                <w:szCs w:val="21"/>
                <w:highlight w:val="none"/>
                <w:lang w:val="en-US" w:eastAsia="zh-CN" w:bidi="ar"/>
              </w:rPr>
            </w:pPr>
          </w:p>
        </w:tc>
        <w:tc>
          <w:tcPr>
            <w:tcW w:w="2377" w:type="dxa"/>
            <w:noWrap/>
            <w:vAlign w:val="center"/>
          </w:tcPr>
          <w:p w14:paraId="03D03AFC">
            <w:pPr>
              <w:widowControl/>
              <w:jc w:val="center"/>
              <w:rPr>
                <w:rFonts w:hint="eastAsia" w:ascii="宋体" w:hAnsi="宋体" w:cs="宋体"/>
                <w:color w:val="auto"/>
                <w:kern w:val="0"/>
                <w:sz w:val="21"/>
                <w:szCs w:val="21"/>
                <w:highlight w:val="none"/>
                <w:lang w:bidi="ar"/>
              </w:rPr>
            </w:pPr>
          </w:p>
        </w:tc>
        <w:tc>
          <w:tcPr>
            <w:tcW w:w="1259" w:type="dxa"/>
            <w:noWrap/>
            <w:vAlign w:val="center"/>
          </w:tcPr>
          <w:p w14:paraId="6F62A0ED">
            <w:pPr>
              <w:widowControl/>
              <w:jc w:val="center"/>
              <w:rPr>
                <w:rFonts w:hint="eastAsia" w:ascii="宋体" w:hAnsi="宋体" w:cs="宋体"/>
                <w:color w:val="auto"/>
                <w:kern w:val="0"/>
                <w:sz w:val="21"/>
                <w:szCs w:val="21"/>
                <w:highlight w:val="none"/>
                <w:lang w:bidi="ar"/>
              </w:rPr>
            </w:pPr>
          </w:p>
        </w:tc>
        <w:tc>
          <w:tcPr>
            <w:tcW w:w="1308" w:type="dxa"/>
            <w:noWrap/>
            <w:vAlign w:val="center"/>
          </w:tcPr>
          <w:p w14:paraId="2CB8076B">
            <w:pPr>
              <w:widowControl/>
              <w:jc w:val="center"/>
              <w:rPr>
                <w:rFonts w:hint="default" w:ascii="宋体" w:hAnsi="宋体" w:eastAsia="宋体" w:cs="宋体"/>
                <w:color w:val="auto"/>
                <w:kern w:val="0"/>
                <w:sz w:val="21"/>
                <w:szCs w:val="21"/>
                <w:highlight w:val="none"/>
                <w:lang w:val="en-US" w:eastAsia="zh-CN" w:bidi="ar"/>
              </w:rPr>
            </w:pPr>
          </w:p>
        </w:tc>
        <w:tc>
          <w:tcPr>
            <w:tcW w:w="1493" w:type="dxa"/>
            <w:noWrap/>
            <w:vAlign w:val="center"/>
          </w:tcPr>
          <w:p w14:paraId="46764D8F">
            <w:pPr>
              <w:widowControl/>
              <w:jc w:val="left"/>
              <w:rPr>
                <w:rFonts w:hint="eastAsia" w:ascii="宋体" w:hAnsi="宋体" w:cs="宋体"/>
                <w:color w:val="auto"/>
                <w:kern w:val="0"/>
                <w:sz w:val="21"/>
                <w:szCs w:val="21"/>
                <w:highlight w:val="none"/>
                <w:lang w:bidi="ar"/>
              </w:rPr>
            </w:pPr>
          </w:p>
        </w:tc>
        <w:tc>
          <w:tcPr>
            <w:tcW w:w="2295" w:type="dxa"/>
            <w:noWrap/>
            <w:vAlign w:val="center"/>
          </w:tcPr>
          <w:p w14:paraId="25CC47C1">
            <w:pPr>
              <w:widowControl/>
              <w:jc w:val="center"/>
              <w:rPr>
                <w:rFonts w:hint="eastAsia" w:ascii="宋体" w:hAnsi="宋体" w:cs="宋体"/>
                <w:color w:val="auto"/>
                <w:kern w:val="0"/>
                <w:sz w:val="21"/>
                <w:szCs w:val="21"/>
                <w:highlight w:val="none"/>
                <w:lang w:bidi="ar"/>
              </w:rPr>
            </w:pPr>
          </w:p>
        </w:tc>
      </w:tr>
      <w:tr w14:paraId="4E5B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1BA2D9B2">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28478BEA">
            <w:pPr>
              <w:widowControl/>
              <w:jc w:val="center"/>
              <w:rPr>
                <w:rFonts w:hint="eastAsia" w:ascii="宋体" w:hAnsi="宋体" w:cs="宋体"/>
                <w:color w:val="auto"/>
                <w:kern w:val="0"/>
                <w:sz w:val="21"/>
                <w:szCs w:val="21"/>
                <w:highlight w:val="none"/>
                <w:lang w:bidi="ar"/>
              </w:rPr>
            </w:pPr>
          </w:p>
        </w:tc>
        <w:tc>
          <w:tcPr>
            <w:tcW w:w="1259" w:type="dxa"/>
            <w:noWrap/>
            <w:vAlign w:val="center"/>
          </w:tcPr>
          <w:p w14:paraId="77CD89B0">
            <w:pPr>
              <w:widowControl/>
              <w:jc w:val="left"/>
              <w:rPr>
                <w:rFonts w:hint="eastAsia" w:ascii="宋体" w:hAnsi="宋体" w:cs="宋体"/>
                <w:color w:val="auto"/>
                <w:kern w:val="0"/>
                <w:sz w:val="21"/>
                <w:szCs w:val="21"/>
                <w:highlight w:val="none"/>
                <w:lang w:bidi="ar"/>
              </w:rPr>
            </w:pPr>
          </w:p>
        </w:tc>
        <w:tc>
          <w:tcPr>
            <w:tcW w:w="1308" w:type="dxa"/>
            <w:noWrap/>
            <w:vAlign w:val="center"/>
          </w:tcPr>
          <w:p w14:paraId="5654E33F">
            <w:pPr>
              <w:widowControl/>
              <w:jc w:val="left"/>
              <w:rPr>
                <w:rFonts w:hint="eastAsia" w:ascii="宋体" w:hAnsi="宋体" w:cs="宋体"/>
                <w:color w:val="auto"/>
                <w:kern w:val="0"/>
                <w:sz w:val="21"/>
                <w:szCs w:val="21"/>
                <w:highlight w:val="none"/>
                <w:lang w:bidi="ar"/>
              </w:rPr>
            </w:pPr>
          </w:p>
        </w:tc>
        <w:tc>
          <w:tcPr>
            <w:tcW w:w="1493" w:type="dxa"/>
            <w:noWrap/>
            <w:vAlign w:val="center"/>
          </w:tcPr>
          <w:p w14:paraId="5DC06F6E">
            <w:pPr>
              <w:widowControl/>
              <w:jc w:val="left"/>
              <w:rPr>
                <w:rFonts w:hint="eastAsia" w:ascii="宋体" w:hAnsi="宋体" w:cs="宋体"/>
                <w:color w:val="auto"/>
                <w:kern w:val="0"/>
                <w:sz w:val="21"/>
                <w:szCs w:val="21"/>
                <w:highlight w:val="none"/>
                <w:lang w:bidi="ar"/>
              </w:rPr>
            </w:pPr>
          </w:p>
        </w:tc>
        <w:tc>
          <w:tcPr>
            <w:tcW w:w="2295" w:type="dxa"/>
            <w:noWrap/>
            <w:vAlign w:val="center"/>
          </w:tcPr>
          <w:p w14:paraId="6EC344F4">
            <w:pPr>
              <w:widowControl/>
              <w:jc w:val="center"/>
              <w:rPr>
                <w:rFonts w:hint="eastAsia" w:ascii="宋体" w:hAnsi="宋体" w:cs="宋体"/>
                <w:color w:val="auto"/>
                <w:kern w:val="0"/>
                <w:sz w:val="21"/>
                <w:szCs w:val="21"/>
                <w:highlight w:val="none"/>
                <w:lang w:bidi="ar"/>
              </w:rPr>
            </w:pPr>
          </w:p>
        </w:tc>
      </w:tr>
      <w:tr w14:paraId="3454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59DB1647">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750FD2DF">
            <w:pPr>
              <w:widowControl/>
              <w:jc w:val="center"/>
              <w:rPr>
                <w:rFonts w:hint="eastAsia" w:ascii="宋体" w:hAnsi="宋体" w:cs="宋体"/>
                <w:color w:val="auto"/>
                <w:kern w:val="0"/>
                <w:sz w:val="21"/>
                <w:szCs w:val="21"/>
                <w:highlight w:val="none"/>
                <w:lang w:bidi="ar"/>
              </w:rPr>
            </w:pPr>
          </w:p>
        </w:tc>
        <w:tc>
          <w:tcPr>
            <w:tcW w:w="1259" w:type="dxa"/>
            <w:noWrap/>
            <w:vAlign w:val="center"/>
          </w:tcPr>
          <w:p w14:paraId="01765B7E">
            <w:pPr>
              <w:widowControl/>
              <w:jc w:val="left"/>
              <w:rPr>
                <w:rFonts w:hint="eastAsia" w:ascii="宋体" w:hAnsi="宋体" w:cs="宋体"/>
                <w:color w:val="auto"/>
                <w:kern w:val="0"/>
                <w:sz w:val="21"/>
                <w:szCs w:val="21"/>
                <w:highlight w:val="none"/>
                <w:lang w:bidi="ar"/>
              </w:rPr>
            </w:pPr>
          </w:p>
        </w:tc>
        <w:tc>
          <w:tcPr>
            <w:tcW w:w="1308" w:type="dxa"/>
            <w:noWrap/>
            <w:vAlign w:val="center"/>
          </w:tcPr>
          <w:p w14:paraId="432CFDC9">
            <w:pPr>
              <w:widowControl/>
              <w:jc w:val="left"/>
              <w:rPr>
                <w:rFonts w:hint="eastAsia" w:ascii="宋体" w:hAnsi="宋体" w:cs="宋体"/>
                <w:color w:val="auto"/>
                <w:kern w:val="0"/>
                <w:sz w:val="21"/>
                <w:szCs w:val="21"/>
                <w:highlight w:val="none"/>
                <w:lang w:bidi="ar"/>
              </w:rPr>
            </w:pPr>
          </w:p>
        </w:tc>
        <w:tc>
          <w:tcPr>
            <w:tcW w:w="1493" w:type="dxa"/>
            <w:noWrap/>
            <w:vAlign w:val="center"/>
          </w:tcPr>
          <w:p w14:paraId="75FD0259">
            <w:pPr>
              <w:widowControl/>
              <w:jc w:val="left"/>
              <w:rPr>
                <w:rFonts w:hint="eastAsia" w:ascii="宋体" w:hAnsi="宋体" w:cs="宋体"/>
                <w:color w:val="auto"/>
                <w:kern w:val="0"/>
                <w:sz w:val="21"/>
                <w:szCs w:val="21"/>
                <w:highlight w:val="none"/>
                <w:lang w:bidi="ar"/>
              </w:rPr>
            </w:pPr>
          </w:p>
        </w:tc>
        <w:tc>
          <w:tcPr>
            <w:tcW w:w="2295" w:type="dxa"/>
            <w:noWrap/>
            <w:vAlign w:val="center"/>
          </w:tcPr>
          <w:p w14:paraId="11015E47">
            <w:pPr>
              <w:widowControl/>
              <w:jc w:val="center"/>
              <w:rPr>
                <w:rFonts w:hint="eastAsia" w:ascii="宋体" w:hAnsi="宋体" w:cs="宋体"/>
                <w:color w:val="auto"/>
                <w:kern w:val="0"/>
                <w:sz w:val="21"/>
                <w:szCs w:val="21"/>
                <w:highlight w:val="none"/>
                <w:lang w:bidi="ar"/>
              </w:rPr>
            </w:pPr>
          </w:p>
        </w:tc>
      </w:tr>
      <w:tr w14:paraId="54CF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52" w:type="dxa"/>
            <w:noWrap/>
            <w:vAlign w:val="center"/>
          </w:tcPr>
          <w:p w14:paraId="008975DD">
            <w:pPr>
              <w:widowControl/>
              <w:jc w:val="center"/>
              <w:rPr>
                <w:rFonts w:hint="eastAsia" w:ascii="宋体" w:hAnsi="宋体" w:cs="宋体"/>
                <w:color w:val="auto"/>
                <w:kern w:val="0"/>
                <w:sz w:val="21"/>
                <w:szCs w:val="21"/>
                <w:highlight w:val="none"/>
                <w:lang w:bidi="ar"/>
              </w:rPr>
            </w:pPr>
          </w:p>
        </w:tc>
        <w:tc>
          <w:tcPr>
            <w:tcW w:w="2377" w:type="dxa"/>
            <w:noWrap/>
            <w:vAlign w:val="center"/>
          </w:tcPr>
          <w:p w14:paraId="627EEC8A">
            <w:pPr>
              <w:widowControl/>
              <w:jc w:val="center"/>
              <w:rPr>
                <w:rFonts w:hint="eastAsia" w:ascii="宋体" w:hAnsi="宋体" w:cs="宋体"/>
                <w:color w:val="auto"/>
                <w:kern w:val="0"/>
                <w:sz w:val="21"/>
                <w:szCs w:val="21"/>
                <w:highlight w:val="none"/>
                <w:lang w:bidi="ar"/>
              </w:rPr>
            </w:pPr>
          </w:p>
        </w:tc>
        <w:tc>
          <w:tcPr>
            <w:tcW w:w="1259" w:type="dxa"/>
            <w:noWrap/>
            <w:vAlign w:val="center"/>
          </w:tcPr>
          <w:p w14:paraId="1215C6ED">
            <w:pPr>
              <w:widowControl/>
              <w:jc w:val="center"/>
              <w:rPr>
                <w:rFonts w:hint="eastAsia" w:ascii="宋体" w:hAnsi="宋体" w:cs="宋体"/>
                <w:color w:val="auto"/>
                <w:kern w:val="0"/>
                <w:sz w:val="21"/>
                <w:szCs w:val="21"/>
                <w:highlight w:val="none"/>
                <w:lang w:bidi="ar"/>
              </w:rPr>
            </w:pPr>
          </w:p>
        </w:tc>
        <w:tc>
          <w:tcPr>
            <w:tcW w:w="1308" w:type="dxa"/>
            <w:noWrap/>
            <w:vAlign w:val="center"/>
          </w:tcPr>
          <w:p w14:paraId="01B84867">
            <w:pPr>
              <w:widowControl/>
              <w:jc w:val="center"/>
              <w:rPr>
                <w:rFonts w:hint="eastAsia" w:ascii="宋体" w:hAnsi="宋体" w:cs="宋体"/>
                <w:color w:val="auto"/>
                <w:kern w:val="0"/>
                <w:sz w:val="21"/>
                <w:szCs w:val="21"/>
                <w:highlight w:val="none"/>
                <w:lang w:bidi="ar"/>
              </w:rPr>
            </w:pPr>
          </w:p>
        </w:tc>
        <w:tc>
          <w:tcPr>
            <w:tcW w:w="1493" w:type="dxa"/>
            <w:noWrap/>
            <w:vAlign w:val="center"/>
          </w:tcPr>
          <w:p w14:paraId="4B3A3F3E">
            <w:pPr>
              <w:widowControl/>
              <w:jc w:val="center"/>
              <w:rPr>
                <w:rFonts w:hint="eastAsia" w:ascii="宋体" w:hAnsi="宋体" w:cs="宋体"/>
                <w:color w:val="auto"/>
                <w:kern w:val="0"/>
                <w:sz w:val="21"/>
                <w:szCs w:val="21"/>
                <w:highlight w:val="none"/>
                <w:lang w:bidi="ar"/>
              </w:rPr>
            </w:pPr>
          </w:p>
        </w:tc>
        <w:tc>
          <w:tcPr>
            <w:tcW w:w="2295" w:type="dxa"/>
            <w:noWrap/>
            <w:vAlign w:val="center"/>
          </w:tcPr>
          <w:p w14:paraId="6C84B73D">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5C39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2" w:type="dxa"/>
            <w:noWrap/>
            <w:vAlign w:val="center"/>
          </w:tcPr>
          <w:p w14:paraId="46E52104">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2377" w:type="dxa"/>
            <w:noWrap/>
            <w:vAlign w:val="center"/>
          </w:tcPr>
          <w:p w14:paraId="5D5CE5D3">
            <w:pPr>
              <w:tabs>
                <w:tab w:val="left" w:pos="1365"/>
              </w:tabs>
              <w:jc w:val="center"/>
              <w:rPr>
                <w:rFonts w:hint="eastAsia" w:ascii="宋体" w:hAnsi="宋体"/>
                <w:b/>
                <w:color w:val="auto"/>
                <w:sz w:val="21"/>
                <w:szCs w:val="21"/>
                <w:highlight w:val="none"/>
              </w:rPr>
            </w:pPr>
          </w:p>
        </w:tc>
        <w:tc>
          <w:tcPr>
            <w:tcW w:w="6355" w:type="dxa"/>
            <w:gridSpan w:val="4"/>
            <w:noWrap/>
            <w:vAlign w:val="center"/>
          </w:tcPr>
          <w:p w14:paraId="5381D025">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2DED9C16">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D151476">
      <w:pPr>
        <w:spacing w:before="10"/>
        <w:rPr>
          <w:rFonts w:ascii="宋体" w:hAnsi="宋体" w:cs="Arial Unicode MS"/>
          <w:color w:val="auto"/>
          <w:sz w:val="21"/>
          <w:szCs w:val="21"/>
          <w:highlight w:val="none"/>
        </w:rPr>
      </w:pPr>
    </w:p>
    <w:p w14:paraId="6C2C9B93">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F58F60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F1F624E">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76F98B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68FD4A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3932C2ED">
      <w:pPr>
        <w:spacing w:line="390" w:lineRule="exact"/>
        <w:rPr>
          <w:rFonts w:ascii="宋体" w:hAnsi="宋体"/>
          <w:color w:val="auto"/>
          <w:szCs w:val="21"/>
          <w:highlight w:val="none"/>
        </w:rPr>
      </w:pPr>
    </w:p>
    <w:p w14:paraId="1408EEA1">
      <w:pPr>
        <w:pStyle w:val="12"/>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1CC5074B">
      <w:pPr>
        <w:pStyle w:val="12"/>
        <w:spacing w:line="39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招标文件</w:t>
      </w:r>
      <w:r>
        <w:rPr>
          <w:rFonts w:hint="eastAsia" w:ascii="宋体" w:hAnsi="宋体" w:eastAsia="宋体"/>
          <w:color w:val="auto"/>
          <w:sz w:val="21"/>
          <w:szCs w:val="21"/>
          <w:highlight w:val="none"/>
        </w:rPr>
        <w:t>。</w:t>
      </w:r>
    </w:p>
    <w:p w14:paraId="4CB19C53">
      <w:pPr>
        <w:pStyle w:val="12"/>
        <w:numPr>
          <w:ilvl w:val="0"/>
          <w:numId w:val="0"/>
        </w:numPr>
        <w:spacing w:line="39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5376BA30">
      <w:pPr>
        <w:spacing w:line="360" w:lineRule="auto"/>
        <w:ind w:left="177" w:hanging="157" w:hangingChars="49"/>
        <w:rPr>
          <w:rFonts w:hint="eastAsia" w:ascii="宋体" w:hAnsi="宋体" w:eastAsia="宋体" w:cs="宋体"/>
          <w:b/>
          <w:bCs/>
          <w:sz w:val="36"/>
          <w:highlight w:val="none"/>
          <w:lang w:eastAsia="zh-CN"/>
        </w:rPr>
      </w:pPr>
      <w:r>
        <w:rPr>
          <w:rFonts w:hint="eastAsia" w:ascii="宋体" w:hAnsi="宋体"/>
          <w:b/>
          <w:color w:val="auto"/>
          <w:sz w:val="32"/>
          <w:szCs w:val="32"/>
          <w:highlight w:val="none"/>
        </w:rPr>
        <w:br w:type="page"/>
      </w:r>
    </w:p>
    <w:p w14:paraId="165B8B95">
      <w:pPr>
        <w:pStyle w:val="4"/>
        <w:ind w:firstLine="2891" w:firstLineChars="800"/>
        <w:jc w:val="both"/>
        <w:outlineLvl w:val="0"/>
        <w:rPr>
          <w:rFonts w:hint="eastAsia" w:ascii="宋体" w:hAnsi="宋体" w:eastAsia="宋体" w:cs="宋体"/>
          <w:b/>
          <w:sz w:val="36"/>
          <w:szCs w:val="36"/>
          <w:highlight w:val="none"/>
          <w:lang w:val="zh-CN" w:eastAsia="zh-CN"/>
        </w:rPr>
      </w:pPr>
      <w:bookmarkStart w:id="69" w:name="_Toc15268"/>
      <w:bookmarkStart w:id="70" w:name="_Toc6681"/>
      <w:r>
        <w:rPr>
          <w:rFonts w:hint="eastAsia" w:ascii="宋体" w:hAnsi="宋体" w:eastAsia="宋体" w:cs="宋体"/>
          <w:b/>
          <w:sz w:val="36"/>
          <w:szCs w:val="36"/>
          <w:highlight w:val="none"/>
          <w:lang w:eastAsia="zh-CN"/>
        </w:rPr>
        <w:t>商务及</w:t>
      </w:r>
      <w:r>
        <w:rPr>
          <w:rFonts w:hint="eastAsia" w:ascii="宋体" w:hAnsi="宋体" w:eastAsia="宋体" w:cs="宋体"/>
          <w:b/>
          <w:sz w:val="36"/>
          <w:szCs w:val="36"/>
          <w:highlight w:val="none"/>
          <w:lang w:val="zh-CN" w:eastAsia="zh-CN"/>
        </w:rPr>
        <w:t>技术偏离表</w:t>
      </w:r>
      <w:bookmarkEnd w:id="69"/>
      <w:bookmarkEnd w:id="70"/>
    </w:p>
    <w:p w14:paraId="04288BF3">
      <w:pPr>
        <w:spacing w:line="360" w:lineRule="auto"/>
        <w:rPr>
          <w:rFonts w:hint="eastAsia" w:ascii="宋体" w:hAnsi="宋体" w:eastAsia="宋体" w:cs="宋体"/>
          <w:sz w:val="24"/>
          <w:highlight w:val="none"/>
          <w:lang w:eastAsia="zh-CN"/>
        </w:rPr>
      </w:pPr>
    </w:p>
    <w:p w14:paraId="3C3C443B">
      <w:pPr>
        <w:spacing w:line="360" w:lineRule="auto"/>
        <w:jc w:val="center"/>
        <w:outlineLvl w:val="1"/>
        <w:rPr>
          <w:rFonts w:hint="eastAsia" w:ascii="宋体" w:hAnsi="宋体" w:eastAsia="宋体" w:cs="宋体"/>
          <w:b/>
          <w:bCs/>
          <w:sz w:val="24"/>
          <w:highlight w:val="none"/>
          <w:lang w:eastAsia="zh-CN"/>
        </w:rPr>
      </w:pPr>
      <w:bookmarkStart w:id="71" w:name="_Toc23719"/>
      <w:r>
        <w:rPr>
          <w:rFonts w:hint="eastAsia" w:ascii="宋体" w:hAnsi="宋体" w:eastAsia="宋体" w:cs="宋体"/>
          <w:b/>
          <w:bCs/>
          <w:sz w:val="24"/>
          <w:highlight w:val="none"/>
          <w:lang w:eastAsia="zh-CN"/>
        </w:rPr>
        <w:t>货物技术规格偏离表（格式）</w:t>
      </w:r>
      <w:bookmarkEnd w:id="71"/>
    </w:p>
    <w:p w14:paraId="53301F0A">
      <w:pPr>
        <w:pStyle w:val="12"/>
        <w:rPr>
          <w:rFonts w:hint="eastAsia" w:ascii="宋体" w:hAnsi="宋体" w:eastAsia="宋体" w:cs="宋体"/>
          <w:highlight w:val="none"/>
          <w:lang w:eastAsia="zh-CN"/>
        </w:rPr>
      </w:pPr>
    </w:p>
    <w:p w14:paraId="0F11B74B">
      <w:pPr>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p>
    <w:p w14:paraId="5A50D43D">
      <w:pPr>
        <w:pStyle w:val="12"/>
        <w:rPr>
          <w:rFonts w:hint="eastAsia" w:ascii="宋体" w:hAnsi="宋体" w:eastAsia="宋体" w:cs="宋体"/>
          <w:highlight w:val="none"/>
        </w:rPr>
      </w:pPr>
    </w:p>
    <w:tbl>
      <w:tblPr>
        <w:tblStyle w:val="2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97"/>
        <w:gridCol w:w="3022"/>
        <w:gridCol w:w="2872"/>
        <w:gridCol w:w="897"/>
        <w:gridCol w:w="756"/>
      </w:tblGrid>
      <w:tr w14:paraId="6E9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039F0C55">
            <w:pPr>
              <w:rPr>
                <w:rFonts w:hint="eastAsia" w:ascii="宋体" w:hAnsi="宋体" w:eastAsia="宋体" w:cs="宋体"/>
                <w:sz w:val="24"/>
                <w:highlight w:val="none"/>
              </w:rPr>
            </w:pPr>
            <w:r>
              <w:rPr>
                <w:rFonts w:hint="eastAsia" w:ascii="宋体" w:hAnsi="宋体" w:eastAsia="宋体" w:cs="宋体"/>
                <w:sz w:val="24"/>
                <w:highlight w:val="none"/>
              </w:rPr>
              <w:t>序号</w:t>
            </w:r>
          </w:p>
        </w:tc>
        <w:tc>
          <w:tcPr>
            <w:tcW w:w="1597" w:type="dxa"/>
            <w:noWrap w:val="0"/>
            <w:vAlign w:val="center"/>
          </w:tcPr>
          <w:p w14:paraId="6C4C9206">
            <w:pPr>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3022" w:type="dxa"/>
            <w:noWrap w:val="0"/>
            <w:vAlign w:val="center"/>
          </w:tcPr>
          <w:p w14:paraId="31DA1821">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招标文件规定的货物需求、技术规格</w:t>
            </w:r>
          </w:p>
        </w:tc>
        <w:tc>
          <w:tcPr>
            <w:tcW w:w="2872" w:type="dxa"/>
            <w:noWrap w:val="0"/>
            <w:vAlign w:val="center"/>
          </w:tcPr>
          <w:p w14:paraId="42750DA6">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投标文件对应的货物情况、技术规格</w:t>
            </w:r>
          </w:p>
        </w:tc>
        <w:tc>
          <w:tcPr>
            <w:tcW w:w="897" w:type="dxa"/>
            <w:noWrap w:val="0"/>
            <w:vAlign w:val="center"/>
          </w:tcPr>
          <w:p w14:paraId="2ACBCCB3">
            <w:pPr>
              <w:rPr>
                <w:rFonts w:hint="eastAsia" w:ascii="宋体" w:hAnsi="宋体" w:eastAsia="宋体" w:cs="宋体"/>
                <w:sz w:val="24"/>
                <w:highlight w:val="none"/>
              </w:rPr>
            </w:pPr>
            <w:r>
              <w:rPr>
                <w:rFonts w:hint="eastAsia" w:ascii="宋体" w:hAnsi="宋体" w:eastAsia="宋体" w:cs="宋体"/>
                <w:sz w:val="24"/>
                <w:highlight w:val="none"/>
              </w:rPr>
              <w:t>是否偏离</w:t>
            </w:r>
          </w:p>
        </w:tc>
        <w:tc>
          <w:tcPr>
            <w:tcW w:w="756" w:type="dxa"/>
            <w:noWrap w:val="0"/>
            <w:vAlign w:val="center"/>
          </w:tcPr>
          <w:p w14:paraId="036A947C">
            <w:pPr>
              <w:rPr>
                <w:rFonts w:hint="eastAsia" w:ascii="宋体" w:hAnsi="宋体" w:eastAsia="宋体" w:cs="宋体"/>
                <w:sz w:val="24"/>
                <w:highlight w:val="none"/>
              </w:rPr>
            </w:pPr>
            <w:r>
              <w:rPr>
                <w:rFonts w:hint="eastAsia" w:ascii="宋体" w:hAnsi="宋体" w:eastAsia="宋体" w:cs="宋体"/>
                <w:sz w:val="24"/>
                <w:highlight w:val="none"/>
              </w:rPr>
              <w:t>备注</w:t>
            </w:r>
          </w:p>
        </w:tc>
      </w:tr>
      <w:tr w14:paraId="6FAD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top"/>
          </w:tcPr>
          <w:p w14:paraId="655463AE">
            <w:pPr>
              <w:rPr>
                <w:rFonts w:hint="eastAsia" w:ascii="宋体" w:hAnsi="宋体" w:eastAsia="宋体" w:cs="宋体"/>
                <w:sz w:val="24"/>
                <w:highlight w:val="none"/>
              </w:rPr>
            </w:pPr>
          </w:p>
        </w:tc>
        <w:tc>
          <w:tcPr>
            <w:tcW w:w="1597" w:type="dxa"/>
            <w:noWrap w:val="0"/>
            <w:vAlign w:val="top"/>
          </w:tcPr>
          <w:p w14:paraId="04420C90">
            <w:pPr>
              <w:rPr>
                <w:rFonts w:hint="eastAsia" w:ascii="宋体" w:hAnsi="宋体" w:eastAsia="宋体" w:cs="宋体"/>
                <w:sz w:val="24"/>
                <w:highlight w:val="none"/>
              </w:rPr>
            </w:pPr>
          </w:p>
        </w:tc>
        <w:tc>
          <w:tcPr>
            <w:tcW w:w="3022" w:type="dxa"/>
            <w:noWrap w:val="0"/>
            <w:vAlign w:val="top"/>
          </w:tcPr>
          <w:p w14:paraId="54410CE0">
            <w:pPr>
              <w:rPr>
                <w:rFonts w:hint="eastAsia" w:ascii="宋体" w:hAnsi="宋体" w:eastAsia="宋体" w:cs="宋体"/>
                <w:sz w:val="24"/>
                <w:highlight w:val="none"/>
              </w:rPr>
            </w:pPr>
          </w:p>
        </w:tc>
        <w:tc>
          <w:tcPr>
            <w:tcW w:w="2872" w:type="dxa"/>
            <w:noWrap w:val="0"/>
            <w:vAlign w:val="top"/>
          </w:tcPr>
          <w:p w14:paraId="16EE7D88">
            <w:pPr>
              <w:rPr>
                <w:rFonts w:hint="eastAsia" w:ascii="宋体" w:hAnsi="宋体" w:eastAsia="宋体" w:cs="宋体"/>
                <w:sz w:val="24"/>
                <w:highlight w:val="none"/>
              </w:rPr>
            </w:pPr>
          </w:p>
        </w:tc>
        <w:tc>
          <w:tcPr>
            <w:tcW w:w="897" w:type="dxa"/>
            <w:noWrap w:val="0"/>
            <w:vAlign w:val="top"/>
          </w:tcPr>
          <w:p w14:paraId="09A474ED">
            <w:pPr>
              <w:rPr>
                <w:rFonts w:hint="eastAsia" w:ascii="宋体" w:hAnsi="宋体" w:eastAsia="宋体" w:cs="宋体"/>
                <w:sz w:val="24"/>
                <w:highlight w:val="none"/>
              </w:rPr>
            </w:pPr>
          </w:p>
        </w:tc>
        <w:tc>
          <w:tcPr>
            <w:tcW w:w="756" w:type="dxa"/>
            <w:noWrap w:val="0"/>
            <w:vAlign w:val="top"/>
          </w:tcPr>
          <w:p w14:paraId="1FCF0D20">
            <w:pPr>
              <w:rPr>
                <w:rFonts w:hint="eastAsia" w:ascii="宋体" w:hAnsi="宋体" w:eastAsia="宋体" w:cs="宋体"/>
                <w:sz w:val="24"/>
                <w:highlight w:val="none"/>
              </w:rPr>
            </w:pPr>
          </w:p>
        </w:tc>
      </w:tr>
      <w:tr w14:paraId="7B5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top"/>
          </w:tcPr>
          <w:p w14:paraId="6C706A60">
            <w:pPr>
              <w:rPr>
                <w:rFonts w:hint="eastAsia" w:ascii="宋体" w:hAnsi="宋体" w:eastAsia="宋体" w:cs="宋体"/>
                <w:sz w:val="24"/>
                <w:highlight w:val="none"/>
              </w:rPr>
            </w:pPr>
          </w:p>
        </w:tc>
        <w:tc>
          <w:tcPr>
            <w:tcW w:w="1597" w:type="dxa"/>
            <w:noWrap w:val="0"/>
            <w:vAlign w:val="top"/>
          </w:tcPr>
          <w:p w14:paraId="33DF0932">
            <w:pPr>
              <w:rPr>
                <w:rFonts w:hint="eastAsia" w:ascii="宋体" w:hAnsi="宋体" w:eastAsia="宋体" w:cs="宋体"/>
                <w:sz w:val="24"/>
                <w:highlight w:val="none"/>
              </w:rPr>
            </w:pPr>
          </w:p>
        </w:tc>
        <w:tc>
          <w:tcPr>
            <w:tcW w:w="3022" w:type="dxa"/>
            <w:noWrap w:val="0"/>
            <w:vAlign w:val="top"/>
          </w:tcPr>
          <w:p w14:paraId="2AAA9EBC">
            <w:pPr>
              <w:rPr>
                <w:rFonts w:hint="eastAsia" w:ascii="宋体" w:hAnsi="宋体" w:eastAsia="宋体" w:cs="宋体"/>
                <w:sz w:val="24"/>
                <w:highlight w:val="none"/>
              </w:rPr>
            </w:pPr>
          </w:p>
        </w:tc>
        <w:tc>
          <w:tcPr>
            <w:tcW w:w="2872" w:type="dxa"/>
            <w:noWrap w:val="0"/>
            <w:vAlign w:val="top"/>
          </w:tcPr>
          <w:p w14:paraId="0CF3975A">
            <w:pPr>
              <w:rPr>
                <w:rFonts w:hint="eastAsia" w:ascii="宋体" w:hAnsi="宋体" w:eastAsia="宋体" w:cs="宋体"/>
                <w:sz w:val="24"/>
                <w:highlight w:val="none"/>
              </w:rPr>
            </w:pPr>
          </w:p>
        </w:tc>
        <w:tc>
          <w:tcPr>
            <w:tcW w:w="897" w:type="dxa"/>
            <w:noWrap w:val="0"/>
            <w:vAlign w:val="top"/>
          </w:tcPr>
          <w:p w14:paraId="4C0F0030">
            <w:pPr>
              <w:rPr>
                <w:rFonts w:hint="eastAsia" w:ascii="宋体" w:hAnsi="宋体" w:eastAsia="宋体" w:cs="宋体"/>
                <w:sz w:val="24"/>
                <w:highlight w:val="none"/>
              </w:rPr>
            </w:pPr>
          </w:p>
        </w:tc>
        <w:tc>
          <w:tcPr>
            <w:tcW w:w="756" w:type="dxa"/>
            <w:noWrap w:val="0"/>
            <w:vAlign w:val="top"/>
          </w:tcPr>
          <w:p w14:paraId="606EC74C">
            <w:pPr>
              <w:rPr>
                <w:rFonts w:hint="eastAsia" w:ascii="宋体" w:hAnsi="宋体" w:eastAsia="宋体" w:cs="宋体"/>
                <w:sz w:val="24"/>
                <w:highlight w:val="none"/>
              </w:rPr>
            </w:pPr>
          </w:p>
        </w:tc>
      </w:tr>
      <w:tr w14:paraId="0767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top"/>
          </w:tcPr>
          <w:p w14:paraId="3B8633B1">
            <w:pPr>
              <w:rPr>
                <w:rFonts w:hint="eastAsia" w:ascii="宋体" w:hAnsi="宋体" w:eastAsia="宋体" w:cs="宋体"/>
                <w:sz w:val="24"/>
                <w:highlight w:val="none"/>
              </w:rPr>
            </w:pPr>
          </w:p>
        </w:tc>
        <w:tc>
          <w:tcPr>
            <w:tcW w:w="1597" w:type="dxa"/>
            <w:noWrap w:val="0"/>
            <w:vAlign w:val="top"/>
          </w:tcPr>
          <w:p w14:paraId="11771039">
            <w:pPr>
              <w:rPr>
                <w:rFonts w:hint="eastAsia" w:ascii="宋体" w:hAnsi="宋体" w:eastAsia="宋体" w:cs="宋体"/>
                <w:sz w:val="24"/>
                <w:highlight w:val="none"/>
              </w:rPr>
            </w:pPr>
          </w:p>
        </w:tc>
        <w:tc>
          <w:tcPr>
            <w:tcW w:w="3022" w:type="dxa"/>
            <w:noWrap w:val="0"/>
            <w:vAlign w:val="top"/>
          </w:tcPr>
          <w:p w14:paraId="5CA34F0B">
            <w:pPr>
              <w:rPr>
                <w:rFonts w:hint="eastAsia" w:ascii="宋体" w:hAnsi="宋体" w:eastAsia="宋体" w:cs="宋体"/>
                <w:sz w:val="24"/>
                <w:highlight w:val="none"/>
              </w:rPr>
            </w:pPr>
          </w:p>
        </w:tc>
        <w:tc>
          <w:tcPr>
            <w:tcW w:w="2872" w:type="dxa"/>
            <w:noWrap w:val="0"/>
            <w:vAlign w:val="top"/>
          </w:tcPr>
          <w:p w14:paraId="1C834D20">
            <w:pPr>
              <w:rPr>
                <w:rFonts w:hint="eastAsia" w:ascii="宋体" w:hAnsi="宋体" w:eastAsia="宋体" w:cs="宋体"/>
                <w:sz w:val="24"/>
                <w:highlight w:val="none"/>
              </w:rPr>
            </w:pPr>
          </w:p>
        </w:tc>
        <w:tc>
          <w:tcPr>
            <w:tcW w:w="897" w:type="dxa"/>
            <w:noWrap w:val="0"/>
            <w:vAlign w:val="top"/>
          </w:tcPr>
          <w:p w14:paraId="69234556">
            <w:pPr>
              <w:rPr>
                <w:rFonts w:hint="eastAsia" w:ascii="宋体" w:hAnsi="宋体" w:eastAsia="宋体" w:cs="宋体"/>
                <w:sz w:val="24"/>
                <w:highlight w:val="none"/>
              </w:rPr>
            </w:pPr>
          </w:p>
        </w:tc>
        <w:tc>
          <w:tcPr>
            <w:tcW w:w="756" w:type="dxa"/>
            <w:noWrap w:val="0"/>
            <w:vAlign w:val="top"/>
          </w:tcPr>
          <w:p w14:paraId="25E187C5">
            <w:pPr>
              <w:rPr>
                <w:rFonts w:hint="eastAsia" w:ascii="宋体" w:hAnsi="宋体" w:eastAsia="宋体" w:cs="宋体"/>
                <w:sz w:val="24"/>
                <w:highlight w:val="none"/>
              </w:rPr>
            </w:pPr>
          </w:p>
        </w:tc>
      </w:tr>
    </w:tbl>
    <w:p w14:paraId="44EF5B34">
      <w:pPr>
        <w:spacing w:line="360" w:lineRule="auto"/>
        <w:rPr>
          <w:rFonts w:hint="eastAsia" w:ascii="宋体" w:hAnsi="宋体" w:eastAsia="宋体" w:cs="宋体"/>
          <w:sz w:val="24"/>
          <w:highlight w:val="none"/>
        </w:rPr>
      </w:pPr>
    </w:p>
    <w:p w14:paraId="1BFA1B6A">
      <w:pPr>
        <w:spacing w:line="360" w:lineRule="auto"/>
        <w:rPr>
          <w:rFonts w:hint="eastAsia" w:ascii="宋体" w:hAnsi="宋体" w:eastAsia="宋体" w:cs="宋体"/>
          <w:sz w:val="24"/>
          <w:highlight w:val="none"/>
        </w:rPr>
      </w:pPr>
    </w:p>
    <w:p w14:paraId="2FE919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说明：</w:t>
      </w:r>
    </w:p>
    <w:p w14:paraId="7F18CDA4">
      <w:pPr>
        <w:pStyle w:val="11"/>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1.技术条款均应根据投标文件对招标文件的偏离情况相对应地填列。</w:t>
      </w:r>
    </w:p>
    <w:p w14:paraId="75F8412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2.表内如果填列不全，可另外附页说明并按规定签字和加盖公章。             </w:t>
      </w:r>
    </w:p>
    <w:p w14:paraId="5A02C7CF">
      <w:pPr>
        <w:pStyle w:val="11"/>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3.采购人要求投标人认真填写本表。</w:t>
      </w:r>
    </w:p>
    <w:p w14:paraId="4238B891">
      <w:pPr>
        <w:pStyle w:val="11"/>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4.此表可根据需要自行拉长加宽。</w:t>
      </w:r>
    </w:p>
    <w:p w14:paraId="48660952">
      <w:pPr>
        <w:pStyle w:val="11"/>
        <w:spacing w:line="360" w:lineRule="auto"/>
        <w:ind w:firstLine="480" w:firstLineChars="200"/>
        <w:rPr>
          <w:rFonts w:hint="eastAsia" w:ascii="宋体" w:hAnsi="宋体" w:eastAsia="宋体" w:cs="宋体"/>
          <w:sz w:val="24"/>
          <w:highlight w:val="none"/>
          <w:lang w:eastAsia="zh-CN"/>
        </w:rPr>
      </w:pPr>
    </w:p>
    <w:p w14:paraId="58827E33">
      <w:pPr>
        <w:pStyle w:val="11"/>
        <w:spacing w:line="360" w:lineRule="auto"/>
        <w:ind w:firstLine="480" w:firstLineChars="200"/>
        <w:rPr>
          <w:rFonts w:hint="eastAsia" w:ascii="宋体" w:hAnsi="宋体" w:eastAsia="宋体" w:cs="宋体"/>
          <w:sz w:val="24"/>
          <w:highlight w:val="none"/>
          <w:lang w:eastAsia="zh-CN"/>
        </w:rPr>
      </w:pPr>
    </w:p>
    <w:p w14:paraId="3AA10A6D">
      <w:pPr>
        <w:pStyle w:val="11"/>
        <w:spacing w:line="360" w:lineRule="auto"/>
        <w:ind w:firstLine="480" w:firstLineChars="200"/>
        <w:rPr>
          <w:rFonts w:hint="eastAsia" w:ascii="宋体" w:hAnsi="宋体" w:eastAsia="宋体" w:cs="宋体"/>
          <w:sz w:val="24"/>
          <w:highlight w:val="none"/>
          <w:lang w:eastAsia="zh-CN"/>
        </w:rPr>
      </w:pPr>
    </w:p>
    <w:p w14:paraId="1F700F36">
      <w:pPr>
        <w:pStyle w:val="11"/>
        <w:spacing w:line="360" w:lineRule="auto"/>
        <w:rPr>
          <w:rFonts w:hint="eastAsia" w:ascii="宋体" w:hAnsi="宋体" w:eastAsia="宋体" w:cs="宋体"/>
          <w:sz w:val="24"/>
          <w:highlight w:val="none"/>
          <w:lang w:eastAsia="zh-CN"/>
        </w:rPr>
      </w:pPr>
    </w:p>
    <w:p w14:paraId="3ACFB4A2">
      <w:pPr>
        <w:pStyle w:val="11"/>
        <w:spacing w:line="360" w:lineRule="auto"/>
        <w:ind w:firstLine="480" w:firstLineChars="200"/>
        <w:rPr>
          <w:rFonts w:hint="eastAsia" w:ascii="宋体" w:hAnsi="宋体" w:eastAsia="宋体" w:cs="宋体"/>
          <w:sz w:val="24"/>
          <w:highlight w:val="none"/>
          <w:lang w:eastAsia="zh-CN"/>
        </w:rPr>
      </w:pPr>
    </w:p>
    <w:p w14:paraId="66188934">
      <w:pPr>
        <w:pStyle w:val="11"/>
        <w:spacing w:line="360" w:lineRule="auto"/>
        <w:rPr>
          <w:rFonts w:hint="eastAsia" w:ascii="宋体" w:hAnsi="宋体" w:eastAsia="宋体" w:cs="宋体"/>
          <w:sz w:val="24"/>
          <w:highlight w:val="none"/>
          <w:lang w:eastAsia="zh-CN"/>
        </w:rPr>
      </w:pPr>
    </w:p>
    <w:p w14:paraId="112929CB">
      <w:pPr>
        <w:pStyle w:val="14"/>
        <w:adjustRightInd w:val="0"/>
        <w:snapToGrid w:val="0"/>
        <w:spacing w:line="300" w:lineRule="auto"/>
        <w:ind w:left="481" w:leftChars="229" w:firstLine="0"/>
        <w:rPr>
          <w:rFonts w:hint="eastAsia" w:ascii="宋体" w:hAnsi="宋体" w:eastAsia="宋体" w:cs="宋体"/>
          <w:snapToGrid w:val="0"/>
          <w:sz w:val="24"/>
          <w:szCs w:val="24"/>
          <w:highlight w:val="none"/>
          <w:u w:val="single"/>
          <w:lang w:eastAsia="zh-CN"/>
        </w:rPr>
      </w:pPr>
      <w:r>
        <w:rPr>
          <w:rFonts w:hint="eastAsia" w:ascii="宋体" w:hAnsi="宋体" w:eastAsia="宋体" w:cs="宋体"/>
          <w:snapToGrid w:val="0"/>
          <w:sz w:val="24"/>
          <w:szCs w:val="24"/>
          <w:highlight w:val="none"/>
          <w:lang w:eastAsia="zh-CN"/>
        </w:rPr>
        <w:t xml:space="preserve">供商人名称（盖章）： </w:t>
      </w:r>
    </w:p>
    <w:p w14:paraId="1669BE56">
      <w:pPr>
        <w:pStyle w:val="14"/>
        <w:adjustRightInd w:val="0"/>
        <w:snapToGrid w:val="0"/>
        <w:spacing w:line="300" w:lineRule="auto"/>
        <w:ind w:left="481" w:leftChars="229" w:firstLine="0"/>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法定代表人或其授权委托人（签字）：</w:t>
      </w:r>
    </w:p>
    <w:p w14:paraId="38A967B0">
      <w:pPr>
        <w:pStyle w:val="14"/>
        <w:adjustRightInd w:val="0"/>
        <w:snapToGrid w:val="0"/>
        <w:spacing w:line="300" w:lineRule="auto"/>
        <w:ind w:left="481" w:leftChars="229" w:firstLine="0"/>
        <w:jc w:val="right"/>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日期:年月日</w:t>
      </w:r>
    </w:p>
    <w:p w14:paraId="56FD9D84">
      <w:pPr>
        <w:spacing w:line="360" w:lineRule="auto"/>
        <w:jc w:val="center"/>
        <w:outlineLvl w:val="9"/>
        <w:rPr>
          <w:rFonts w:hint="eastAsia" w:ascii="宋体" w:hAnsi="宋体" w:eastAsia="宋体" w:cs="宋体"/>
          <w:b/>
          <w:sz w:val="24"/>
          <w:highlight w:val="none"/>
          <w:lang w:eastAsia="zh-CN"/>
        </w:rPr>
        <w:sectPr>
          <w:pgSz w:w="11906" w:h="16838"/>
          <w:pgMar w:top="1361" w:right="1304" w:bottom="1247" w:left="1304" w:header="680" w:footer="680" w:gutter="0"/>
          <w:cols w:space="720" w:num="1"/>
          <w:docGrid w:linePitch="312" w:charSpace="0"/>
        </w:sectPr>
      </w:pPr>
    </w:p>
    <w:p w14:paraId="538C0A4A">
      <w:pPr>
        <w:spacing w:line="360" w:lineRule="auto"/>
        <w:jc w:val="center"/>
        <w:rPr>
          <w:rFonts w:hint="eastAsia" w:ascii="宋体" w:hAnsi="宋体" w:eastAsia="宋体" w:cs="宋体"/>
          <w:b/>
          <w:bCs/>
          <w:sz w:val="24"/>
          <w:highlight w:val="none"/>
          <w:lang w:val="zh-CN" w:eastAsia="zh-CN"/>
        </w:rPr>
      </w:pPr>
    </w:p>
    <w:p w14:paraId="1E4F2E5B">
      <w:pPr>
        <w:spacing w:line="360" w:lineRule="auto"/>
        <w:jc w:val="center"/>
        <w:outlineLvl w:val="0"/>
        <w:rPr>
          <w:rFonts w:hint="eastAsia" w:ascii="宋体" w:hAnsi="宋体" w:eastAsia="宋体" w:cs="宋体"/>
          <w:sz w:val="36"/>
          <w:szCs w:val="36"/>
          <w:highlight w:val="none"/>
          <w:lang w:eastAsia="zh-CN"/>
        </w:rPr>
      </w:pPr>
      <w:bookmarkStart w:id="72" w:name="_Toc372556120"/>
      <w:bookmarkStart w:id="73" w:name="_Toc373772564"/>
      <w:bookmarkStart w:id="74" w:name="_Toc25890"/>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lang w:eastAsia="zh-CN"/>
        </w:rPr>
        <w:t>、资格审查资料</w:t>
      </w:r>
      <w:bookmarkEnd w:id="72"/>
      <w:bookmarkEnd w:id="73"/>
      <w:bookmarkEnd w:id="74"/>
    </w:p>
    <w:p w14:paraId="4B3056D3">
      <w:pPr>
        <w:spacing w:line="360" w:lineRule="auto"/>
        <w:ind w:left="1120" w:leftChars="0" w:hanging="1120" w:hangingChars="400"/>
        <w:jc w:val="center"/>
        <w:outlineLvl w:val="1"/>
        <w:rPr>
          <w:rFonts w:hint="eastAsia" w:ascii="宋体" w:hAnsi="宋体" w:eastAsia="宋体" w:cs="宋体"/>
          <w:sz w:val="28"/>
          <w:szCs w:val="28"/>
          <w:highlight w:val="none"/>
        </w:rPr>
      </w:pPr>
      <w:bookmarkStart w:id="75" w:name="_Toc29490"/>
      <w:r>
        <w:rPr>
          <w:rFonts w:hint="eastAsia" w:ascii="宋体" w:hAnsi="宋体" w:eastAsia="宋体" w:cs="宋体"/>
          <w:sz w:val="28"/>
          <w:szCs w:val="28"/>
          <w:highlight w:val="none"/>
        </w:rPr>
        <w:t>(一)供应商基本情况表</w:t>
      </w:r>
      <w:bookmarkEnd w:id="75"/>
    </w:p>
    <w:tbl>
      <w:tblPr>
        <w:tblStyle w:val="2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14:paraId="7CD4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2A4CB7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618" w:type="dxa"/>
            <w:gridSpan w:val="6"/>
            <w:noWrap w:val="0"/>
            <w:vAlign w:val="center"/>
          </w:tcPr>
          <w:p w14:paraId="5D85877A">
            <w:pPr>
              <w:jc w:val="center"/>
              <w:rPr>
                <w:rFonts w:hint="eastAsia" w:ascii="宋体" w:hAnsi="宋体" w:eastAsia="宋体" w:cs="宋体"/>
                <w:sz w:val="24"/>
                <w:szCs w:val="24"/>
                <w:highlight w:val="none"/>
              </w:rPr>
            </w:pPr>
          </w:p>
        </w:tc>
      </w:tr>
      <w:tr w14:paraId="6223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7AFAB6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678" w:type="dxa"/>
            <w:gridSpan w:val="4"/>
            <w:noWrap w:val="0"/>
            <w:vAlign w:val="center"/>
          </w:tcPr>
          <w:p w14:paraId="5A5C58AD">
            <w:pPr>
              <w:jc w:val="center"/>
              <w:rPr>
                <w:rFonts w:hint="eastAsia" w:ascii="宋体" w:hAnsi="宋体" w:eastAsia="宋体" w:cs="宋体"/>
                <w:sz w:val="24"/>
                <w:szCs w:val="24"/>
                <w:highlight w:val="none"/>
              </w:rPr>
            </w:pPr>
          </w:p>
        </w:tc>
        <w:tc>
          <w:tcPr>
            <w:tcW w:w="1352" w:type="dxa"/>
            <w:noWrap w:val="0"/>
            <w:vAlign w:val="center"/>
          </w:tcPr>
          <w:p w14:paraId="4E75A4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588" w:type="dxa"/>
            <w:noWrap w:val="0"/>
            <w:vAlign w:val="center"/>
          </w:tcPr>
          <w:p w14:paraId="638449FD">
            <w:pPr>
              <w:jc w:val="center"/>
              <w:rPr>
                <w:rFonts w:hint="eastAsia" w:ascii="宋体" w:hAnsi="宋体" w:eastAsia="宋体" w:cs="宋体"/>
                <w:sz w:val="24"/>
                <w:szCs w:val="24"/>
                <w:highlight w:val="none"/>
              </w:rPr>
            </w:pPr>
          </w:p>
        </w:tc>
      </w:tr>
      <w:tr w14:paraId="2173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noWrap w:val="0"/>
            <w:vAlign w:val="center"/>
          </w:tcPr>
          <w:p w14:paraId="0B1CBE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973" w:type="dxa"/>
            <w:noWrap w:val="0"/>
            <w:vAlign w:val="center"/>
          </w:tcPr>
          <w:p w14:paraId="29680F7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705" w:type="dxa"/>
            <w:gridSpan w:val="3"/>
            <w:noWrap w:val="0"/>
            <w:vAlign w:val="center"/>
          </w:tcPr>
          <w:p w14:paraId="16BE8D5E">
            <w:pPr>
              <w:jc w:val="center"/>
              <w:rPr>
                <w:rFonts w:hint="eastAsia" w:ascii="宋体" w:hAnsi="宋体" w:eastAsia="宋体" w:cs="宋体"/>
                <w:sz w:val="24"/>
                <w:szCs w:val="24"/>
                <w:highlight w:val="none"/>
              </w:rPr>
            </w:pPr>
          </w:p>
        </w:tc>
        <w:tc>
          <w:tcPr>
            <w:tcW w:w="1352" w:type="dxa"/>
            <w:noWrap w:val="0"/>
            <w:vAlign w:val="center"/>
          </w:tcPr>
          <w:p w14:paraId="0752B26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588" w:type="dxa"/>
            <w:noWrap w:val="0"/>
            <w:vAlign w:val="center"/>
          </w:tcPr>
          <w:p w14:paraId="035BE1C4">
            <w:pPr>
              <w:jc w:val="center"/>
              <w:rPr>
                <w:rFonts w:hint="eastAsia" w:ascii="宋体" w:hAnsi="宋体" w:eastAsia="宋体" w:cs="宋体"/>
                <w:sz w:val="24"/>
                <w:szCs w:val="24"/>
                <w:highlight w:val="none"/>
              </w:rPr>
            </w:pPr>
          </w:p>
        </w:tc>
      </w:tr>
      <w:tr w14:paraId="1748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noWrap w:val="0"/>
            <w:vAlign w:val="center"/>
          </w:tcPr>
          <w:p w14:paraId="51F09D9B">
            <w:pPr>
              <w:jc w:val="center"/>
              <w:rPr>
                <w:rFonts w:hint="eastAsia" w:ascii="宋体" w:hAnsi="宋体" w:eastAsia="宋体" w:cs="宋体"/>
                <w:sz w:val="24"/>
                <w:szCs w:val="24"/>
                <w:highlight w:val="none"/>
              </w:rPr>
            </w:pPr>
          </w:p>
        </w:tc>
        <w:tc>
          <w:tcPr>
            <w:tcW w:w="973" w:type="dxa"/>
            <w:noWrap w:val="0"/>
            <w:vAlign w:val="center"/>
          </w:tcPr>
          <w:p w14:paraId="5C1B93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705" w:type="dxa"/>
            <w:gridSpan w:val="3"/>
            <w:noWrap w:val="0"/>
            <w:vAlign w:val="center"/>
          </w:tcPr>
          <w:p w14:paraId="221ABB95">
            <w:pPr>
              <w:jc w:val="center"/>
              <w:rPr>
                <w:rFonts w:hint="eastAsia" w:ascii="宋体" w:hAnsi="宋体" w:eastAsia="宋体" w:cs="宋体"/>
                <w:sz w:val="24"/>
                <w:szCs w:val="24"/>
                <w:highlight w:val="none"/>
              </w:rPr>
            </w:pPr>
          </w:p>
        </w:tc>
        <w:tc>
          <w:tcPr>
            <w:tcW w:w="1352" w:type="dxa"/>
            <w:noWrap w:val="0"/>
            <w:vAlign w:val="center"/>
          </w:tcPr>
          <w:p w14:paraId="554FD6B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588" w:type="dxa"/>
            <w:noWrap w:val="0"/>
            <w:vAlign w:val="center"/>
          </w:tcPr>
          <w:p w14:paraId="0958FA8E">
            <w:pPr>
              <w:jc w:val="center"/>
              <w:rPr>
                <w:rFonts w:hint="eastAsia" w:ascii="宋体" w:hAnsi="宋体" w:eastAsia="宋体" w:cs="宋体"/>
                <w:sz w:val="24"/>
                <w:szCs w:val="24"/>
                <w:highlight w:val="none"/>
              </w:rPr>
            </w:pPr>
          </w:p>
        </w:tc>
      </w:tr>
      <w:tr w14:paraId="0C8F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616ED0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7618" w:type="dxa"/>
            <w:gridSpan w:val="6"/>
            <w:noWrap w:val="0"/>
            <w:vAlign w:val="center"/>
          </w:tcPr>
          <w:p w14:paraId="54E01B9A">
            <w:pPr>
              <w:jc w:val="center"/>
              <w:rPr>
                <w:rFonts w:hint="eastAsia" w:ascii="宋体" w:hAnsi="宋体" w:eastAsia="宋体" w:cs="宋体"/>
                <w:sz w:val="24"/>
                <w:szCs w:val="24"/>
                <w:highlight w:val="none"/>
              </w:rPr>
            </w:pPr>
          </w:p>
        </w:tc>
      </w:tr>
      <w:tr w14:paraId="4C8D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77BC6E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973" w:type="dxa"/>
            <w:noWrap w:val="0"/>
            <w:vAlign w:val="center"/>
          </w:tcPr>
          <w:p w14:paraId="234A70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08" w:type="dxa"/>
            <w:noWrap w:val="0"/>
            <w:vAlign w:val="center"/>
          </w:tcPr>
          <w:p w14:paraId="4B317B93">
            <w:pPr>
              <w:jc w:val="center"/>
              <w:rPr>
                <w:rFonts w:hint="eastAsia" w:ascii="宋体" w:hAnsi="宋体" w:eastAsia="宋体" w:cs="宋体"/>
                <w:sz w:val="24"/>
                <w:szCs w:val="24"/>
                <w:highlight w:val="none"/>
              </w:rPr>
            </w:pPr>
          </w:p>
        </w:tc>
        <w:tc>
          <w:tcPr>
            <w:tcW w:w="1385" w:type="dxa"/>
            <w:noWrap w:val="0"/>
            <w:vAlign w:val="center"/>
          </w:tcPr>
          <w:p w14:paraId="33BA6D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152" w:type="dxa"/>
            <w:gridSpan w:val="3"/>
            <w:noWrap w:val="0"/>
            <w:vAlign w:val="center"/>
          </w:tcPr>
          <w:p w14:paraId="663B67F2">
            <w:pPr>
              <w:jc w:val="center"/>
              <w:rPr>
                <w:rFonts w:hint="eastAsia" w:ascii="宋体" w:hAnsi="宋体" w:eastAsia="宋体" w:cs="宋体"/>
                <w:sz w:val="24"/>
                <w:szCs w:val="24"/>
                <w:highlight w:val="none"/>
              </w:rPr>
            </w:pPr>
          </w:p>
        </w:tc>
      </w:tr>
      <w:tr w14:paraId="31AC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14073B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企业负责人</w:t>
            </w:r>
          </w:p>
        </w:tc>
        <w:tc>
          <w:tcPr>
            <w:tcW w:w="973" w:type="dxa"/>
            <w:noWrap w:val="0"/>
            <w:vAlign w:val="center"/>
          </w:tcPr>
          <w:p w14:paraId="1C9BB4C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08" w:type="dxa"/>
            <w:noWrap w:val="0"/>
            <w:vAlign w:val="center"/>
          </w:tcPr>
          <w:p w14:paraId="7469FD44">
            <w:pPr>
              <w:jc w:val="center"/>
              <w:rPr>
                <w:rFonts w:hint="eastAsia" w:ascii="宋体" w:hAnsi="宋体" w:eastAsia="宋体" w:cs="宋体"/>
                <w:sz w:val="24"/>
                <w:szCs w:val="24"/>
                <w:highlight w:val="none"/>
              </w:rPr>
            </w:pPr>
          </w:p>
        </w:tc>
        <w:tc>
          <w:tcPr>
            <w:tcW w:w="1385" w:type="dxa"/>
            <w:noWrap w:val="0"/>
            <w:vAlign w:val="center"/>
          </w:tcPr>
          <w:p w14:paraId="21F364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152" w:type="dxa"/>
            <w:gridSpan w:val="3"/>
            <w:noWrap w:val="0"/>
            <w:vAlign w:val="center"/>
          </w:tcPr>
          <w:p w14:paraId="5AAA6F68">
            <w:pPr>
              <w:jc w:val="center"/>
              <w:rPr>
                <w:rFonts w:hint="eastAsia" w:ascii="宋体" w:hAnsi="宋体" w:eastAsia="宋体" w:cs="宋体"/>
                <w:sz w:val="24"/>
                <w:szCs w:val="24"/>
                <w:highlight w:val="none"/>
              </w:rPr>
            </w:pPr>
          </w:p>
        </w:tc>
      </w:tr>
      <w:tr w14:paraId="0BFA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4CE091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081" w:type="dxa"/>
            <w:gridSpan w:val="2"/>
            <w:noWrap w:val="0"/>
            <w:vAlign w:val="center"/>
          </w:tcPr>
          <w:p w14:paraId="247F745E">
            <w:pPr>
              <w:jc w:val="center"/>
              <w:rPr>
                <w:rFonts w:hint="eastAsia" w:ascii="宋体" w:hAnsi="宋体" w:eastAsia="宋体" w:cs="宋体"/>
                <w:sz w:val="24"/>
                <w:szCs w:val="24"/>
                <w:highlight w:val="none"/>
              </w:rPr>
            </w:pPr>
          </w:p>
        </w:tc>
        <w:tc>
          <w:tcPr>
            <w:tcW w:w="5537" w:type="dxa"/>
            <w:gridSpan w:val="4"/>
            <w:noWrap w:val="0"/>
            <w:vAlign w:val="center"/>
          </w:tcPr>
          <w:p w14:paraId="33AD0A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从业人员总人数：</w:t>
            </w:r>
          </w:p>
        </w:tc>
      </w:tr>
      <w:tr w14:paraId="4D96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1D7ACC1F">
            <w:pP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r>
      <w:tr w14:paraId="67DB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22E39B22">
            <w:pP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r>
      <w:tr w14:paraId="13A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30828799">
            <w:pP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6B19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noWrap w:val="0"/>
            <w:vAlign w:val="center"/>
          </w:tcPr>
          <w:p w14:paraId="3B79FC0A">
            <w:pP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14:paraId="742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noWrap w:val="0"/>
            <w:vAlign w:val="center"/>
          </w:tcPr>
          <w:p w14:paraId="6DDE1D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618" w:type="dxa"/>
            <w:gridSpan w:val="6"/>
            <w:noWrap w:val="0"/>
            <w:vAlign w:val="center"/>
          </w:tcPr>
          <w:p w14:paraId="4749CFD2">
            <w:pPr>
              <w:jc w:val="center"/>
              <w:rPr>
                <w:rFonts w:hint="eastAsia" w:ascii="宋体" w:hAnsi="宋体" w:eastAsia="宋体" w:cs="宋体"/>
                <w:sz w:val="24"/>
                <w:szCs w:val="24"/>
                <w:highlight w:val="none"/>
              </w:rPr>
            </w:pPr>
          </w:p>
        </w:tc>
      </w:tr>
      <w:tr w14:paraId="75E7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noWrap w:val="0"/>
            <w:vAlign w:val="center"/>
          </w:tcPr>
          <w:p w14:paraId="54E1BDD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618" w:type="dxa"/>
            <w:gridSpan w:val="6"/>
            <w:noWrap w:val="0"/>
            <w:vAlign w:val="center"/>
          </w:tcPr>
          <w:p w14:paraId="7C475572">
            <w:pPr>
              <w:jc w:val="center"/>
              <w:rPr>
                <w:rFonts w:hint="eastAsia" w:ascii="宋体" w:hAnsi="宋体" w:eastAsia="宋体" w:cs="宋体"/>
                <w:sz w:val="24"/>
                <w:szCs w:val="24"/>
                <w:highlight w:val="none"/>
              </w:rPr>
            </w:pPr>
          </w:p>
        </w:tc>
      </w:tr>
    </w:tbl>
    <w:p w14:paraId="04D4ED25">
      <w:pPr>
        <w:spacing w:before="120" w:beforeLines="50" w:after="120" w:afterLine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注：在本表后应附供应商营业执照（副本）、开户许可证或银行开户证明等相关证件的复印件。</w:t>
      </w:r>
    </w:p>
    <w:p w14:paraId="0FB6747D">
      <w:pPr>
        <w:spacing w:before="120" w:beforeLines="50" w:after="120" w:afterLines="50"/>
        <w:rPr>
          <w:rFonts w:hint="eastAsia" w:ascii="宋体" w:hAnsi="宋体" w:eastAsia="宋体" w:cs="宋体"/>
          <w:sz w:val="24"/>
          <w:szCs w:val="24"/>
          <w:highlight w:val="none"/>
          <w:lang w:eastAsia="zh-CN"/>
        </w:rPr>
      </w:pPr>
    </w:p>
    <w:p w14:paraId="65226DB6">
      <w:pPr>
        <w:spacing w:before="120" w:beforeLines="50" w:after="120" w:afterLines="50"/>
        <w:rPr>
          <w:rFonts w:hint="eastAsia" w:ascii="宋体" w:hAnsi="宋体" w:eastAsia="宋体" w:cs="宋体"/>
          <w:szCs w:val="21"/>
          <w:highlight w:val="none"/>
          <w:lang w:eastAsia="zh-CN"/>
        </w:rPr>
      </w:pPr>
    </w:p>
    <w:p w14:paraId="0B18B706">
      <w:pPr>
        <w:spacing w:before="120" w:beforeLines="50" w:after="120" w:afterLines="50"/>
        <w:rPr>
          <w:rFonts w:hint="eastAsia" w:ascii="宋体" w:hAnsi="宋体" w:eastAsia="宋体" w:cs="宋体"/>
          <w:szCs w:val="21"/>
          <w:highlight w:val="none"/>
          <w:lang w:eastAsia="zh-CN"/>
        </w:rPr>
      </w:pPr>
    </w:p>
    <w:p w14:paraId="3D4D635A">
      <w:pPr>
        <w:spacing w:before="120" w:beforeLines="50" w:after="120" w:afterLines="50"/>
        <w:rPr>
          <w:rFonts w:hint="eastAsia" w:ascii="宋体" w:hAnsi="宋体" w:eastAsia="宋体" w:cs="宋体"/>
          <w:szCs w:val="21"/>
          <w:highlight w:val="none"/>
          <w:lang w:eastAsia="zh-CN"/>
        </w:rPr>
      </w:pPr>
    </w:p>
    <w:p w14:paraId="697FF2BF">
      <w:pPr>
        <w:jc w:val="center"/>
        <w:outlineLvl w:val="1"/>
        <w:rPr>
          <w:rFonts w:hint="eastAsia" w:ascii="宋体" w:hAnsi="宋体" w:eastAsia="宋体" w:cs="宋体"/>
          <w:sz w:val="28"/>
          <w:szCs w:val="28"/>
          <w:highlight w:val="none"/>
          <w:lang w:eastAsia="zh-CN"/>
        </w:rPr>
      </w:pPr>
      <w:bookmarkStart w:id="76" w:name="_Toc4341"/>
      <w:r>
        <w:rPr>
          <w:rFonts w:hint="eastAsia" w:ascii="宋体" w:hAnsi="宋体" w:eastAsia="宋体" w:cs="宋体"/>
          <w:sz w:val="28"/>
          <w:szCs w:val="28"/>
          <w:highlight w:val="none"/>
          <w:lang w:eastAsia="zh-CN"/>
        </w:rPr>
        <w:t>(二)供应商已完成类似项目情况</w:t>
      </w:r>
      <w:bookmarkEnd w:id="76"/>
    </w:p>
    <w:tbl>
      <w:tblPr>
        <w:tblStyle w:val="28"/>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1A6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623619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noWrap w:val="0"/>
            <w:vAlign w:val="center"/>
          </w:tcPr>
          <w:p w14:paraId="5B18B5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起止时间</w:t>
            </w:r>
          </w:p>
        </w:tc>
        <w:tc>
          <w:tcPr>
            <w:tcW w:w="2405" w:type="dxa"/>
            <w:noWrap w:val="0"/>
            <w:vAlign w:val="center"/>
          </w:tcPr>
          <w:p w14:paraId="03E96DB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2275" w:type="dxa"/>
            <w:noWrap w:val="0"/>
            <w:vAlign w:val="center"/>
          </w:tcPr>
          <w:p w14:paraId="463B840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业主单位</w:t>
            </w:r>
          </w:p>
        </w:tc>
        <w:tc>
          <w:tcPr>
            <w:tcW w:w="1260" w:type="dxa"/>
            <w:noWrap w:val="0"/>
            <w:vAlign w:val="center"/>
          </w:tcPr>
          <w:p w14:paraId="22F189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完成情况</w:t>
            </w:r>
          </w:p>
        </w:tc>
        <w:tc>
          <w:tcPr>
            <w:tcW w:w="777" w:type="dxa"/>
            <w:noWrap w:val="0"/>
            <w:vAlign w:val="center"/>
          </w:tcPr>
          <w:p w14:paraId="70A94CD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B8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22354D9">
            <w:pPr>
              <w:jc w:val="center"/>
              <w:rPr>
                <w:rFonts w:hint="eastAsia" w:ascii="宋体" w:hAnsi="宋体" w:eastAsia="宋体" w:cs="宋体"/>
                <w:sz w:val="24"/>
                <w:szCs w:val="24"/>
                <w:highlight w:val="none"/>
              </w:rPr>
            </w:pPr>
          </w:p>
        </w:tc>
        <w:tc>
          <w:tcPr>
            <w:tcW w:w="1620" w:type="dxa"/>
            <w:noWrap w:val="0"/>
            <w:vAlign w:val="center"/>
          </w:tcPr>
          <w:p w14:paraId="24142EE1">
            <w:pPr>
              <w:jc w:val="center"/>
              <w:rPr>
                <w:rFonts w:hint="eastAsia" w:ascii="宋体" w:hAnsi="宋体" w:eastAsia="宋体" w:cs="宋体"/>
                <w:sz w:val="24"/>
                <w:szCs w:val="24"/>
                <w:highlight w:val="none"/>
              </w:rPr>
            </w:pPr>
          </w:p>
        </w:tc>
        <w:tc>
          <w:tcPr>
            <w:tcW w:w="2405" w:type="dxa"/>
            <w:noWrap w:val="0"/>
            <w:vAlign w:val="center"/>
          </w:tcPr>
          <w:p w14:paraId="5496F47F">
            <w:pPr>
              <w:jc w:val="center"/>
              <w:rPr>
                <w:rFonts w:hint="eastAsia" w:ascii="宋体" w:hAnsi="宋体" w:eastAsia="宋体" w:cs="宋体"/>
                <w:sz w:val="24"/>
                <w:szCs w:val="24"/>
                <w:highlight w:val="none"/>
              </w:rPr>
            </w:pPr>
          </w:p>
        </w:tc>
        <w:tc>
          <w:tcPr>
            <w:tcW w:w="2275" w:type="dxa"/>
            <w:noWrap w:val="0"/>
            <w:vAlign w:val="center"/>
          </w:tcPr>
          <w:p w14:paraId="352D51F6">
            <w:pPr>
              <w:jc w:val="center"/>
              <w:rPr>
                <w:rFonts w:hint="eastAsia" w:ascii="宋体" w:hAnsi="宋体" w:eastAsia="宋体" w:cs="宋体"/>
                <w:sz w:val="24"/>
                <w:szCs w:val="24"/>
                <w:highlight w:val="none"/>
              </w:rPr>
            </w:pPr>
          </w:p>
        </w:tc>
        <w:tc>
          <w:tcPr>
            <w:tcW w:w="1260" w:type="dxa"/>
            <w:noWrap w:val="0"/>
            <w:vAlign w:val="center"/>
          </w:tcPr>
          <w:p w14:paraId="1066655F">
            <w:pPr>
              <w:jc w:val="center"/>
              <w:rPr>
                <w:rFonts w:hint="eastAsia" w:ascii="宋体" w:hAnsi="宋体" w:eastAsia="宋体" w:cs="宋体"/>
                <w:sz w:val="24"/>
                <w:szCs w:val="24"/>
                <w:highlight w:val="none"/>
              </w:rPr>
            </w:pPr>
          </w:p>
        </w:tc>
        <w:tc>
          <w:tcPr>
            <w:tcW w:w="777" w:type="dxa"/>
            <w:noWrap w:val="0"/>
            <w:vAlign w:val="center"/>
          </w:tcPr>
          <w:p w14:paraId="7E54F654">
            <w:pPr>
              <w:jc w:val="center"/>
              <w:rPr>
                <w:rFonts w:hint="eastAsia" w:ascii="宋体" w:hAnsi="宋体" w:eastAsia="宋体" w:cs="宋体"/>
                <w:sz w:val="24"/>
                <w:szCs w:val="24"/>
                <w:highlight w:val="none"/>
              </w:rPr>
            </w:pPr>
          </w:p>
        </w:tc>
      </w:tr>
      <w:tr w14:paraId="0602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D86C960">
            <w:pPr>
              <w:jc w:val="center"/>
              <w:rPr>
                <w:rFonts w:hint="eastAsia" w:ascii="宋体" w:hAnsi="宋体" w:eastAsia="宋体" w:cs="宋体"/>
                <w:sz w:val="24"/>
                <w:szCs w:val="24"/>
                <w:highlight w:val="none"/>
              </w:rPr>
            </w:pPr>
          </w:p>
        </w:tc>
        <w:tc>
          <w:tcPr>
            <w:tcW w:w="1620" w:type="dxa"/>
            <w:noWrap w:val="0"/>
            <w:vAlign w:val="center"/>
          </w:tcPr>
          <w:p w14:paraId="202DA48A">
            <w:pPr>
              <w:jc w:val="center"/>
              <w:rPr>
                <w:rFonts w:hint="eastAsia" w:ascii="宋体" w:hAnsi="宋体" w:eastAsia="宋体" w:cs="宋体"/>
                <w:sz w:val="24"/>
                <w:szCs w:val="24"/>
                <w:highlight w:val="none"/>
              </w:rPr>
            </w:pPr>
          </w:p>
        </w:tc>
        <w:tc>
          <w:tcPr>
            <w:tcW w:w="2405" w:type="dxa"/>
            <w:noWrap w:val="0"/>
            <w:vAlign w:val="center"/>
          </w:tcPr>
          <w:p w14:paraId="56C8C92E">
            <w:pPr>
              <w:jc w:val="center"/>
              <w:rPr>
                <w:rFonts w:hint="eastAsia" w:ascii="宋体" w:hAnsi="宋体" w:eastAsia="宋体" w:cs="宋体"/>
                <w:sz w:val="24"/>
                <w:szCs w:val="24"/>
                <w:highlight w:val="none"/>
              </w:rPr>
            </w:pPr>
          </w:p>
        </w:tc>
        <w:tc>
          <w:tcPr>
            <w:tcW w:w="2275" w:type="dxa"/>
            <w:noWrap w:val="0"/>
            <w:vAlign w:val="center"/>
          </w:tcPr>
          <w:p w14:paraId="357AD1F2">
            <w:pPr>
              <w:jc w:val="center"/>
              <w:rPr>
                <w:rFonts w:hint="eastAsia" w:ascii="宋体" w:hAnsi="宋体" w:eastAsia="宋体" w:cs="宋体"/>
                <w:sz w:val="24"/>
                <w:szCs w:val="24"/>
                <w:highlight w:val="none"/>
              </w:rPr>
            </w:pPr>
          </w:p>
        </w:tc>
        <w:tc>
          <w:tcPr>
            <w:tcW w:w="1260" w:type="dxa"/>
            <w:noWrap w:val="0"/>
            <w:vAlign w:val="center"/>
          </w:tcPr>
          <w:p w14:paraId="5F5A375E">
            <w:pPr>
              <w:jc w:val="center"/>
              <w:rPr>
                <w:rFonts w:hint="eastAsia" w:ascii="宋体" w:hAnsi="宋体" w:eastAsia="宋体" w:cs="宋体"/>
                <w:sz w:val="24"/>
                <w:szCs w:val="24"/>
                <w:highlight w:val="none"/>
              </w:rPr>
            </w:pPr>
          </w:p>
        </w:tc>
        <w:tc>
          <w:tcPr>
            <w:tcW w:w="777" w:type="dxa"/>
            <w:noWrap w:val="0"/>
            <w:vAlign w:val="center"/>
          </w:tcPr>
          <w:p w14:paraId="4F709820">
            <w:pPr>
              <w:jc w:val="center"/>
              <w:rPr>
                <w:rFonts w:hint="eastAsia" w:ascii="宋体" w:hAnsi="宋体" w:eastAsia="宋体" w:cs="宋体"/>
                <w:sz w:val="24"/>
                <w:szCs w:val="24"/>
                <w:highlight w:val="none"/>
              </w:rPr>
            </w:pPr>
          </w:p>
        </w:tc>
      </w:tr>
      <w:tr w14:paraId="287D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7329786">
            <w:pPr>
              <w:jc w:val="center"/>
              <w:rPr>
                <w:rFonts w:hint="eastAsia" w:ascii="宋体" w:hAnsi="宋体" w:eastAsia="宋体" w:cs="宋体"/>
                <w:sz w:val="24"/>
                <w:szCs w:val="24"/>
                <w:highlight w:val="none"/>
              </w:rPr>
            </w:pPr>
          </w:p>
        </w:tc>
        <w:tc>
          <w:tcPr>
            <w:tcW w:w="1620" w:type="dxa"/>
            <w:noWrap w:val="0"/>
            <w:vAlign w:val="center"/>
          </w:tcPr>
          <w:p w14:paraId="1A177CDC">
            <w:pPr>
              <w:jc w:val="center"/>
              <w:rPr>
                <w:rFonts w:hint="eastAsia" w:ascii="宋体" w:hAnsi="宋体" w:eastAsia="宋体" w:cs="宋体"/>
                <w:sz w:val="24"/>
                <w:szCs w:val="24"/>
                <w:highlight w:val="none"/>
              </w:rPr>
            </w:pPr>
          </w:p>
        </w:tc>
        <w:tc>
          <w:tcPr>
            <w:tcW w:w="2405" w:type="dxa"/>
            <w:noWrap w:val="0"/>
            <w:vAlign w:val="center"/>
          </w:tcPr>
          <w:p w14:paraId="2582602F">
            <w:pPr>
              <w:jc w:val="center"/>
              <w:rPr>
                <w:rFonts w:hint="eastAsia" w:ascii="宋体" w:hAnsi="宋体" w:eastAsia="宋体" w:cs="宋体"/>
                <w:sz w:val="24"/>
                <w:szCs w:val="24"/>
                <w:highlight w:val="none"/>
              </w:rPr>
            </w:pPr>
          </w:p>
        </w:tc>
        <w:tc>
          <w:tcPr>
            <w:tcW w:w="2275" w:type="dxa"/>
            <w:noWrap w:val="0"/>
            <w:vAlign w:val="center"/>
          </w:tcPr>
          <w:p w14:paraId="26696C17">
            <w:pPr>
              <w:jc w:val="center"/>
              <w:rPr>
                <w:rFonts w:hint="eastAsia" w:ascii="宋体" w:hAnsi="宋体" w:eastAsia="宋体" w:cs="宋体"/>
                <w:sz w:val="24"/>
                <w:szCs w:val="24"/>
                <w:highlight w:val="none"/>
              </w:rPr>
            </w:pPr>
          </w:p>
        </w:tc>
        <w:tc>
          <w:tcPr>
            <w:tcW w:w="1260" w:type="dxa"/>
            <w:noWrap w:val="0"/>
            <w:vAlign w:val="center"/>
          </w:tcPr>
          <w:p w14:paraId="30D061E3">
            <w:pPr>
              <w:jc w:val="center"/>
              <w:rPr>
                <w:rFonts w:hint="eastAsia" w:ascii="宋体" w:hAnsi="宋体" w:eastAsia="宋体" w:cs="宋体"/>
                <w:sz w:val="24"/>
                <w:szCs w:val="24"/>
                <w:highlight w:val="none"/>
              </w:rPr>
            </w:pPr>
          </w:p>
        </w:tc>
        <w:tc>
          <w:tcPr>
            <w:tcW w:w="777" w:type="dxa"/>
            <w:noWrap w:val="0"/>
            <w:vAlign w:val="center"/>
          </w:tcPr>
          <w:p w14:paraId="0EAF3C89">
            <w:pPr>
              <w:jc w:val="center"/>
              <w:rPr>
                <w:rFonts w:hint="eastAsia" w:ascii="宋体" w:hAnsi="宋体" w:eastAsia="宋体" w:cs="宋体"/>
                <w:sz w:val="24"/>
                <w:szCs w:val="24"/>
                <w:highlight w:val="none"/>
              </w:rPr>
            </w:pPr>
          </w:p>
        </w:tc>
      </w:tr>
      <w:tr w14:paraId="5068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8C5879E">
            <w:pPr>
              <w:jc w:val="center"/>
              <w:rPr>
                <w:rFonts w:hint="eastAsia" w:ascii="宋体" w:hAnsi="宋体" w:eastAsia="宋体" w:cs="宋体"/>
                <w:sz w:val="24"/>
                <w:szCs w:val="24"/>
                <w:highlight w:val="none"/>
              </w:rPr>
            </w:pPr>
          </w:p>
        </w:tc>
        <w:tc>
          <w:tcPr>
            <w:tcW w:w="1620" w:type="dxa"/>
            <w:noWrap w:val="0"/>
            <w:vAlign w:val="center"/>
          </w:tcPr>
          <w:p w14:paraId="0C002251">
            <w:pPr>
              <w:jc w:val="center"/>
              <w:rPr>
                <w:rFonts w:hint="eastAsia" w:ascii="宋体" w:hAnsi="宋体" w:eastAsia="宋体" w:cs="宋体"/>
                <w:sz w:val="24"/>
                <w:szCs w:val="24"/>
                <w:highlight w:val="none"/>
              </w:rPr>
            </w:pPr>
          </w:p>
        </w:tc>
        <w:tc>
          <w:tcPr>
            <w:tcW w:w="2405" w:type="dxa"/>
            <w:noWrap w:val="0"/>
            <w:vAlign w:val="center"/>
          </w:tcPr>
          <w:p w14:paraId="6B399C45">
            <w:pPr>
              <w:jc w:val="center"/>
              <w:rPr>
                <w:rFonts w:hint="eastAsia" w:ascii="宋体" w:hAnsi="宋体" w:eastAsia="宋体" w:cs="宋体"/>
                <w:sz w:val="24"/>
                <w:szCs w:val="24"/>
                <w:highlight w:val="none"/>
              </w:rPr>
            </w:pPr>
          </w:p>
        </w:tc>
        <w:tc>
          <w:tcPr>
            <w:tcW w:w="2275" w:type="dxa"/>
            <w:noWrap w:val="0"/>
            <w:vAlign w:val="center"/>
          </w:tcPr>
          <w:p w14:paraId="792E5F1B">
            <w:pPr>
              <w:jc w:val="center"/>
              <w:rPr>
                <w:rFonts w:hint="eastAsia" w:ascii="宋体" w:hAnsi="宋体" w:eastAsia="宋体" w:cs="宋体"/>
                <w:sz w:val="24"/>
                <w:szCs w:val="24"/>
                <w:highlight w:val="none"/>
              </w:rPr>
            </w:pPr>
          </w:p>
        </w:tc>
        <w:tc>
          <w:tcPr>
            <w:tcW w:w="1260" w:type="dxa"/>
            <w:noWrap w:val="0"/>
            <w:vAlign w:val="center"/>
          </w:tcPr>
          <w:p w14:paraId="6FE61DD8">
            <w:pPr>
              <w:jc w:val="center"/>
              <w:rPr>
                <w:rFonts w:hint="eastAsia" w:ascii="宋体" w:hAnsi="宋体" w:eastAsia="宋体" w:cs="宋体"/>
                <w:sz w:val="24"/>
                <w:szCs w:val="24"/>
                <w:highlight w:val="none"/>
              </w:rPr>
            </w:pPr>
          </w:p>
        </w:tc>
        <w:tc>
          <w:tcPr>
            <w:tcW w:w="777" w:type="dxa"/>
            <w:noWrap w:val="0"/>
            <w:vAlign w:val="center"/>
          </w:tcPr>
          <w:p w14:paraId="18F3EC0C">
            <w:pPr>
              <w:jc w:val="center"/>
              <w:rPr>
                <w:rFonts w:hint="eastAsia" w:ascii="宋体" w:hAnsi="宋体" w:eastAsia="宋体" w:cs="宋体"/>
                <w:sz w:val="24"/>
                <w:szCs w:val="24"/>
                <w:highlight w:val="none"/>
              </w:rPr>
            </w:pPr>
          </w:p>
        </w:tc>
      </w:tr>
      <w:tr w14:paraId="3C91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15FDED0">
            <w:pPr>
              <w:jc w:val="center"/>
              <w:rPr>
                <w:rFonts w:hint="eastAsia" w:ascii="宋体" w:hAnsi="宋体" w:eastAsia="宋体" w:cs="宋体"/>
                <w:sz w:val="24"/>
                <w:szCs w:val="24"/>
                <w:highlight w:val="none"/>
              </w:rPr>
            </w:pPr>
          </w:p>
        </w:tc>
        <w:tc>
          <w:tcPr>
            <w:tcW w:w="1620" w:type="dxa"/>
            <w:noWrap w:val="0"/>
            <w:vAlign w:val="center"/>
          </w:tcPr>
          <w:p w14:paraId="290A16E1">
            <w:pPr>
              <w:jc w:val="center"/>
              <w:rPr>
                <w:rFonts w:hint="eastAsia" w:ascii="宋体" w:hAnsi="宋体" w:eastAsia="宋体" w:cs="宋体"/>
                <w:sz w:val="24"/>
                <w:szCs w:val="24"/>
                <w:highlight w:val="none"/>
              </w:rPr>
            </w:pPr>
          </w:p>
        </w:tc>
        <w:tc>
          <w:tcPr>
            <w:tcW w:w="2405" w:type="dxa"/>
            <w:noWrap w:val="0"/>
            <w:vAlign w:val="center"/>
          </w:tcPr>
          <w:p w14:paraId="2EB25EAD">
            <w:pPr>
              <w:jc w:val="center"/>
              <w:rPr>
                <w:rFonts w:hint="eastAsia" w:ascii="宋体" w:hAnsi="宋体" w:eastAsia="宋体" w:cs="宋体"/>
                <w:sz w:val="24"/>
                <w:szCs w:val="24"/>
                <w:highlight w:val="none"/>
              </w:rPr>
            </w:pPr>
          </w:p>
        </w:tc>
        <w:tc>
          <w:tcPr>
            <w:tcW w:w="2275" w:type="dxa"/>
            <w:noWrap w:val="0"/>
            <w:vAlign w:val="center"/>
          </w:tcPr>
          <w:p w14:paraId="2C7D228E">
            <w:pPr>
              <w:jc w:val="center"/>
              <w:rPr>
                <w:rFonts w:hint="eastAsia" w:ascii="宋体" w:hAnsi="宋体" w:eastAsia="宋体" w:cs="宋体"/>
                <w:sz w:val="24"/>
                <w:szCs w:val="24"/>
                <w:highlight w:val="none"/>
              </w:rPr>
            </w:pPr>
          </w:p>
        </w:tc>
        <w:tc>
          <w:tcPr>
            <w:tcW w:w="1260" w:type="dxa"/>
            <w:noWrap w:val="0"/>
            <w:vAlign w:val="center"/>
          </w:tcPr>
          <w:p w14:paraId="387A016A">
            <w:pPr>
              <w:jc w:val="center"/>
              <w:rPr>
                <w:rFonts w:hint="eastAsia" w:ascii="宋体" w:hAnsi="宋体" w:eastAsia="宋体" w:cs="宋体"/>
                <w:sz w:val="24"/>
                <w:szCs w:val="24"/>
                <w:highlight w:val="none"/>
              </w:rPr>
            </w:pPr>
          </w:p>
        </w:tc>
        <w:tc>
          <w:tcPr>
            <w:tcW w:w="777" w:type="dxa"/>
            <w:noWrap w:val="0"/>
            <w:vAlign w:val="center"/>
          </w:tcPr>
          <w:p w14:paraId="52DBA4A6">
            <w:pPr>
              <w:jc w:val="center"/>
              <w:rPr>
                <w:rFonts w:hint="eastAsia" w:ascii="宋体" w:hAnsi="宋体" w:eastAsia="宋体" w:cs="宋体"/>
                <w:sz w:val="24"/>
                <w:szCs w:val="24"/>
                <w:highlight w:val="none"/>
              </w:rPr>
            </w:pPr>
          </w:p>
        </w:tc>
      </w:tr>
      <w:tr w14:paraId="5A47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0E8C6F7">
            <w:pPr>
              <w:jc w:val="center"/>
              <w:rPr>
                <w:rFonts w:hint="eastAsia" w:ascii="宋体" w:hAnsi="宋体" w:eastAsia="宋体" w:cs="宋体"/>
                <w:sz w:val="24"/>
                <w:szCs w:val="24"/>
                <w:highlight w:val="none"/>
              </w:rPr>
            </w:pPr>
          </w:p>
        </w:tc>
        <w:tc>
          <w:tcPr>
            <w:tcW w:w="1620" w:type="dxa"/>
            <w:noWrap w:val="0"/>
            <w:vAlign w:val="center"/>
          </w:tcPr>
          <w:p w14:paraId="0A0ABB23">
            <w:pPr>
              <w:jc w:val="center"/>
              <w:rPr>
                <w:rFonts w:hint="eastAsia" w:ascii="宋体" w:hAnsi="宋体" w:eastAsia="宋体" w:cs="宋体"/>
                <w:sz w:val="24"/>
                <w:szCs w:val="24"/>
                <w:highlight w:val="none"/>
              </w:rPr>
            </w:pPr>
          </w:p>
        </w:tc>
        <w:tc>
          <w:tcPr>
            <w:tcW w:w="2405" w:type="dxa"/>
            <w:noWrap w:val="0"/>
            <w:vAlign w:val="center"/>
          </w:tcPr>
          <w:p w14:paraId="0EE1DBD8">
            <w:pPr>
              <w:jc w:val="center"/>
              <w:rPr>
                <w:rFonts w:hint="eastAsia" w:ascii="宋体" w:hAnsi="宋体" w:eastAsia="宋体" w:cs="宋体"/>
                <w:sz w:val="24"/>
                <w:szCs w:val="24"/>
                <w:highlight w:val="none"/>
              </w:rPr>
            </w:pPr>
          </w:p>
        </w:tc>
        <w:tc>
          <w:tcPr>
            <w:tcW w:w="2275" w:type="dxa"/>
            <w:noWrap w:val="0"/>
            <w:vAlign w:val="center"/>
          </w:tcPr>
          <w:p w14:paraId="2840C315">
            <w:pPr>
              <w:jc w:val="center"/>
              <w:rPr>
                <w:rFonts w:hint="eastAsia" w:ascii="宋体" w:hAnsi="宋体" w:eastAsia="宋体" w:cs="宋体"/>
                <w:sz w:val="24"/>
                <w:szCs w:val="24"/>
                <w:highlight w:val="none"/>
              </w:rPr>
            </w:pPr>
          </w:p>
        </w:tc>
        <w:tc>
          <w:tcPr>
            <w:tcW w:w="1260" w:type="dxa"/>
            <w:noWrap w:val="0"/>
            <w:vAlign w:val="center"/>
          </w:tcPr>
          <w:p w14:paraId="13BC6C53">
            <w:pPr>
              <w:jc w:val="center"/>
              <w:rPr>
                <w:rFonts w:hint="eastAsia" w:ascii="宋体" w:hAnsi="宋体" w:eastAsia="宋体" w:cs="宋体"/>
                <w:sz w:val="24"/>
                <w:szCs w:val="24"/>
                <w:highlight w:val="none"/>
              </w:rPr>
            </w:pPr>
          </w:p>
        </w:tc>
        <w:tc>
          <w:tcPr>
            <w:tcW w:w="777" w:type="dxa"/>
            <w:noWrap w:val="0"/>
            <w:vAlign w:val="center"/>
          </w:tcPr>
          <w:p w14:paraId="61F58729">
            <w:pPr>
              <w:jc w:val="center"/>
              <w:rPr>
                <w:rFonts w:hint="eastAsia" w:ascii="宋体" w:hAnsi="宋体" w:eastAsia="宋体" w:cs="宋体"/>
                <w:sz w:val="24"/>
                <w:szCs w:val="24"/>
                <w:highlight w:val="none"/>
              </w:rPr>
            </w:pPr>
          </w:p>
        </w:tc>
      </w:tr>
      <w:tr w14:paraId="19D3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FD169B4">
            <w:pPr>
              <w:jc w:val="center"/>
              <w:rPr>
                <w:rFonts w:hint="eastAsia" w:ascii="宋体" w:hAnsi="宋体" w:eastAsia="宋体" w:cs="宋体"/>
                <w:sz w:val="24"/>
                <w:szCs w:val="24"/>
                <w:highlight w:val="none"/>
              </w:rPr>
            </w:pPr>
          </w:p>
        </w:tc>
        <w:tc>
          <w:tcPr>
            <w:tcW w:w="1620" w:type="dxa"/>
            <w:noWrap w:val="0"/>
            <w:vAlign w:val="center"/>
          </w:tcPr>
          <w:p w14:paraId="69BD360A">
            <w:pPr>
              <w:jc w:val="center"/>
              <w:rPr>
                <w:rFonts w:hint="eastAsia" w:ascii="宋体" w:hAnsi="宋体" w:eastAsia="宋体" w:cs="宋体"/>
                <w:sz w:val="24"/>
                <w:szCs w:val="24"/>
                <w:highlight w:val="none"/>
              </w:rPr>
            </w:pPr>
          </w:p>
        </w:tc>
        <w:tc>
          <w:tcPr>
            <w:tcW w:w="2405" w:type="dxa"/>
            <w:noWrap w:val="0"/>
            <w:vAlign w:val="center"/>
          </w:tcPr>
          <w:p w14:paraId="16ECDED0">
            <w:pPr>
              <w:jc w:val="center"/>
              <w:rPr>
                <w:rFonts w:hint="eastAsia" w:ascii="宋体" w:hAnsi="宋体" w:eastAsia="宋体" w:cs="宋体"/>
                <w:sz w:val="24"/>
                <w:szCs w:val="24"/>
                <w:highlight w:val="none"/>
              </w:rPr>
            </w:pPr>
          </w:p>
        </w:tc>
        <w:tc>
          <w:tcPr>
            <w:tcW w:w="2275" w:type="dxa"/>
            <w:noWrap w:val="0"/>
            <w:vAlign w:val="center"/>
          </w:tcPr>
          <w:p w14:paraId="61C03D34">
            <w:pPr>
              <w:jc w:val="center"/>
              <w:rPr>
                <w:rFonts w:hint="eastAsia" w:ascii="宋体" w:hAnsi="宋体" w:eastAsia="宋体" w:cs="宋体"/>
                <w:sz w:val="24"/>
                <w:szCs w:val="24"/>
                <w:highlight w:val="none"/>
              </w:rPr>
            </w:pPr>
          </w:p>
        </w:tc>
        <w:tc>
          <w:tcPr>
            <w:tcW w:w="1260" w:type="dxa"/>
            <w:noWrap w:val="0"/>
            <w:vAlign w:val="center"/>
          </w:tcPr>
          <w:p w14:paraId="3AD31272">
            <w:pPr>
              <w:jc w:val="center"/>
              <w:rPr>
                <w:rFonts w:hint="eastAsia" w:ascii="宋体" w:hAnsi="宋体" w:eastAsia="宋体" w:cs="宋体"/>
                <w:sz w:val="24"/>
                <w:szCs w:val="24"/>
                <w:highlight w:val="none"/>
              </w:rPr>
            </w:pPr>
          </w:p>
        </w:tc>
        <w:tc>
          <w:tcPr>
            <w:tcW w:w="777" w:type="dxa"/>
            <w:noWrap w:val="0"/>
            <w:vAlign w:val="center"/>
          </w:tcPr>
          <w:p w14:paraId="673BF619">
            <w:pPr>
              <w:jc w:val="center"/>
              <w:rPr>
                <w:rFonts w:hint="eastAsia" w:ascii="宋体" w:hAnsi="宋体" w:eastAsia="宋体" w:cs="宋体"/>
                <w:sz w:val="24"/>
                <w:szCs w:val="24"/>
                <w:highlight w:val="none"/>
              </w:rPr>
            </w:pPr>
          </w:p>
        </w:tc>
      </w:tr>
      <w:tr w14:paraId="38FE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0FF5ECB">
            <w:pPr>
              <w:jc w:val="center"/>
              <w:rPr>
                <w:rFonts w:hint="eastAsia" w:ascii="宋体" w:hAnsi="宋体" w:eastAsia="宋体" w:cs="宋体"/>
                <w:sz w:val="24"/>
                <w:szCs w:val="24"/>
                <w:highlight w:val="none"/>
              </w:rPr>
            </w:pPr>
          </w:p>
        </w:tc>
        <w:tc>
          <w:tcPr>
            <w:tcW w:w="1620" w:type="dxa"/>
            <w:noWrap w:val="0"/>
            <w:vAlign w:val="center"/>
          </w:tcPr>
          <w:p w14:paraId="566663CE">
            <w:pPr>
              <w:jc w:val="center"/>
              <w:rPr>
                <w:rFonts w:hint="eastAsia" w:ascii="宋体" w:hAnsi="宋体" w:eastAsia="宋体" w:cs="宋体"/>
                <w:sz w:val="24"/>
                <w:szCs w:val="24"/>
                <w:highlight w:val="none"/>
              </w:rPr>
            </w:pPr>
          </w:p>
        </w:tc>
        <w:tc>
          <w:tcPr>
            <w:tcW w:w="2405" w:type="dxa"/>
            <w:noWrap w:val="0"/>
            <w:vAlign w:val="center"/>
          </w:tcPr>
          <w:p w14:paraId="1E082795">
            <w:pPr>
              <w:jc w:val="center"/>
              <w:rPr>
                <w:rFonts w:hint="eastAsia" w:ascii="宋体" w:hAnsi="宋体" w:eastAsia="宋体" w:cs="宋体"/>
                <w:sz w:val="24"/>
                <w:szCs w:val="24"/>
                <w:highlight w:val="none"/>
              </w:rPr>
            </w:pPr>
          </w:p>
        </w:tc>
        <w:tc>
          <w:tcPr>
            <w:tcW w:w="2275" w:type="dxa"/>
            <w:noWrap w:val="0"/>
            <w:vAlign w:val="center"/>
          </w:tcPr>
          <w:p w14:paraId="78FA1BA1">
            <w:pPr>
              <w:jc w:val="center"/>
              <w:rPr>
                <w:rFonts w:hint="eastAsia" w:ascii="宋体" w:hAnsi="宋体" w:eastAsia="宋体" w:cs="宋体"/>
                <w:sz w:val="24"/>
                <w:szCs w:val="24"/>
                <w:highlight w:val="none"/>
              </w:rPr>
            </w:pPr>
          </w:p>
        </w:tc>
        <w:tc>
          <w:tcPr>
            <w:tcW w:w="1260" w:type="dxa"/>
            <w:noWrap w:val="0"/>
            <w:vAlign w:val="center"/>
          </w:tcPr>
          <w:p w14:paraId="30D15B4A">
            <w:pPr>
              <w:jc w:val="center"/>
              <w:rPr>
                <w:rFonts w:hint="eastAsia" w:ascii="宋体" w:hAnsi="宋体" w:eastAsia="宋体" w:cs="宋体"/>
                <w:sz w:val="24"/>
                <w:szCs w:val="24"/>
                <w:highlight w:val="none"/>
              </w:rPr>
            </w:pPr>
          </w:p>
        </w:tc>
        <w:tc>
          <w:tcPr>
            <w:tcW w:w="777" w:type="dxa"/>
            <w:noWrap w:val="0"/>
            <w:vAlign w:val="center"/>
          </w:tcPr>
          <w:p w14:paraId="1CE2C5DB">
            <w:pPr>
              <w:jc w:val="center"/>
              <w:rPr>
                <w:rFonts w:hint="eastAsia" w:ascii="宋体" w:hAnsi="宋体" w:eastAsia="宋体" w:cs="宋体"/>
                <w:sz w:val="24"/>
                <w:szCs w:val="24"/>
                <w:highlight w:val="none"/>
              </w:rPr>
            </w:pPr>
          </w:p>
        </w:tc>
      </w:tr>
    </w:tbl>
    <w:p w14:paraId="57828DA0">
      <w:pPr>
        <w:spacing w:before="120" w:beforeLines="50" w:after="120" w:afterLine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注：1、供应商应将202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1月1日</w:t>
      </w:r>
      <w:r>
        <w:rPr>
          <w:rFonts w:hint="eastAsia" w:ascii="宋体" w:hAnsi="宋体" w:eastAsia="宋体" w:cs="宋体"/>
          <w:sz w:val="24"/>
          <w:szCs w:val="24"/>
          <w:highlight w:val="none"/>
          <w:lang w:eastAsia="zh-CN"/>
        </w:rPr>
        <w:t>至今已完成的类似项目情况填入本表中。</w:t>
      </w:r>
    </w:p>
    <w:p w14:paraId="131248B0">
      <w:pPr>
        <w:spacing w:before="120" w:beforeLines="50" w:after="120" w:afterLines="5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2、供应商应随本表出具所填项目的成交通知书或合同协议书的复印件，否则，采购人将不考虑供应商所填项目的业绩。</w:t>
      </w:r>
    </w:p>
    <w:p w14:paraId="10BABE9D">
      <w:pPr>
        <w:spacing w:line="360" w:lineRule="auto"/>
        <w:ind w:right="-418" w:rightChars="-199"/>
        <w:jc w:val="center"/>
        <w:outlineLvl w:val="1"/>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bookmarkStart w:id="77" w:name="_Toc15558"/>
      <w:r>
        <w:rPr>
          <w:rFonts w:hint="eastAsia" w:ascii="宋体" w:hAnsi="宋体" w:eastAsia="宋体" w:cs="宋体"/>
          <w:sz w:val="28"/>
          <w:szCs w:val="28"/>
          <w:highlight w:val="none"/>
          <w:lang w:eastAsia="zh-CN"/>
        </w:rPr>
        <w:t>（三)拟投入人员基本情况表</w:t>
      </w:r>
      <w:bookmarkEnd w:id="77"/>
    </w:p>
    <w:tbl>
      <w:tblPr>
        <w:tblStyle w:val="2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35"/>
        <w:gridCol w:w="1704"/>
        <w:gridCol w:w="1260"/>
        <w:gridCol w:w="2340"/>
      </w:tblGrid>
      <w:tr w14:paraId="06CE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3" w:type="dxa"/>
            <w:noWrap w:val="0"/>
            <w:vAlign w:val="center"/>
          </w:tcPr>
          <w:p w14:paraId="53AC0FE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在本项目中所担任的职务</w:t>
            </w:r>
          </w:p>
        </w:tc>
        <w:tc>
          <w:tcPr>
            <w:tcW w:w="1335" w:type="dxa"/>
            <w:noWrap w:val="0"/>
            <w:vAlign w:val="center"/>
          </w:tcPr>
          <w:p w14:paraId="760814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704" w:type="dxa"/>
            <w:noWrap w:val="0"/>
            <w:vAlign w:val="center"/>
          </w:tcPr>
          <w:p w14:paraId="31AC854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260" w:type="dxa"/>
            <w:noWrap w:val="0"/>
            <w:vAlign w:val="center"/>
          </w:tcPr>
          <w:p w14:paraId="4466E1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2340" w:type="dxa"/>
            <w:noWrap w:val="0"/>
            <w:vAlign w:val="center"/>
          </w:tcPr>
          <w:p w14:paraId="45DDCA3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现任职务及职称</w:t>
            </w:r>
          </w:p>
        </w:tc>
      </w:tr>
      <w:tr w14:paraId="5CDD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5DD57260">
            <w:pPr>
              <w:rPr>
                <w:rFonts w:hint="eastAsia" w:ascii="宋体" w:hAnsi="宋体" w:eastAsia="宋体" w:cs="宋体"/>
                <w:sz w:val="24"/>
                <w:szCs w:val="24"/>
                <w:highlight w:val="none"/>
              </w:rPr>
            </w:pPr>
          </w:p>
        </w:tc>
        <w:tc>
          <w:tcPr>
            <w:tcW w:w="1335" w:type="dxa"/>
            <w:noWrap w:val="0"/>
            <w:vAlign w:val="center"/>
          </w:tcPr>
          <w:p w14:paraId="3B550DAE">
            <w:pPr>
              <w:jc w:val="center"/>
              <w:rPr>
                <w:rFonts w:hint="eastAsia" w:ascii="宋体" w:hAnsi="宋体" w:eastAsia="宋体" w:cs="宋体"/>
                <w:sz w:val="24"/>
                <w:szCs w:val="24"/>
                <w:highlight w:val="none"/>
              </w:rPr>
            </w:pPr>
          </w:p>
        </w:tc>
        <w:tc>
          <w:tcPr>
            <w:tcW w:w="1704" w:type="dxa"/>
            <w:noWrap w:val="0"/>
            <w:vAlign w:val="center"/>
          </w:tcPr>
          <w:p w14:paraId="1EDE5009">
            <w:pPr>
              <w:jc w:val="center"/>
              <w:rPr>
                <w:rFonts w:hint="eastAsia" w:ascii="宋体" w:hAnsi="宋体" w:eastAsia="宋体" w:cs="宋体"/>
                <w:sz w:val="24"/>
                <w:szCs w:val="24"/>
                <w:highlight w:val="none"/>
              </w:rPr>
            </w:pPr>
          </w:p>
        </w:tc>
        <w:tc>
          <w:tcPr>
            <w:tcW w:w="1260" w:type="dxa"/>
            <w:noWrap w:val="0"/>
            <w:vAlign w:val="top"/>
          </w:tcPr>
          <w:p w14:paraId="3CE3E63C">
            <w:pPr>
              <w:jc w:val="center"/>
              <w:rPr>
                <w:rFonts w:hint="eastAsia" w:ascii="宋体" w:hAnsi="宋体" w:eastAsia="宋体" w:cs="宋体"/>
                <w:sz w:val="24"/>
                <w:szCs w:val="24"/>
                <w:highlight w:val="none"/>
              </w:rPr>
            </w:pPr>
          </w:p>
        </w:tc>
        <w:tc>
          <w:tcPr>
            <w:tcW w:w="2340" w:type="dxa"/>
            <w:noWrap w:val="0"/>
            <w:vAlign w:val="center"/>
          </w:tcPr>
          <w:p w14:paraId="6ED977DF">
            <w:pPr>
              <w:jc w:val="center"/>
              <w:rPr>
                <w:rFonts w:hint="eastAsia" w:ascii="宋体" w:hAnsi="宋体" w:eastAsia="宋体" w:cs="宋体"/>
                <w:sz w:val="24"/>
                <w:szCs w:val="24"/>
                <w:highlight w:val="none"/>
              </w:rPr>
            </w:pPr>
          </w:p>
        </w:tc>
      </w:tr>
      <w:tr w14:paraId="59E0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46AC50ED">
            <w:pPr>
              <w:jc w:val="center"/>
              <w:rPr>
                <w:rFonts w:hint="eastAsia" w:ascii="宋体" w:hAnsi="宋体" w:eastAsia="宋体" w:cs="宋体"/>
                <w:sz w:val="24"/>
                <w:szCs w:val="24"/>
                <w:highlight w:val="none"/>
              </w:rPr>
            </w:pPr>
          </w:p>
        </w:tc>
        <w:tc>
          <w:tcPr>
            <w:tcW w:w="1335" w:type="dxa"/>
            <w:noWrap w:val="0"/>
            <w:vAlign w:val="center"/>
          </w:tcPr>
          <w:p w14:paraId="3ABD533C">
            <w:pPr>
              <w:jc w:val="center"/>
              <w:rPr>
                <w:rFonts w:hint="eastAsia" w:ascii="宋体" w:hAnsi="宋体" w:eastAsia="宋体" w:cs="宋体"/>
                <w:sz w:val="24"/>
                <w:szCs w:val="24"/>
                <w:highlight w:val="none"/>
              </w:rPr>
            </w:pPr>
          </w:p>
        </w:tc>
        <w:tc>
          <w:tcPr>
            <w:tcW w:w="1704" w:type="dxa"/>
            <w:noWrap w:val="0"/>
            <w:vAlign w:val="center"/>
          </w:tcPr>
          <w:p w14:paraId="672945C7">
            <w:pPr>
              <w:jc w:val="center"/>
              <w:rPr>
                <w:rFonts w:hint="eastAsia" w:ascii="宋体" w:hAnsi="宋体" w:eastAsia="宋体" w:cs="宋体"/>
                <w:sz w:val="24"/>
                <w:szCs w:val="24"/>
                <w:highlight w:val="none"/>
              </w:rPr>
            </w:pPr>
          </w:p>
        </w:tc>
        <w:tc>
          <w:tcPr>
            <w:tcW w:w="1260" w:type="dxa"/>
            <w:noWrap w:val="0"/>
            <w:vAlign w:val="top"/>
          </w:tcPr>
          <w:p w14:paraId="01E7B58A">
            <w:pPr>
              <w:jc w:val="center"/>
              <w:rPr>
                <w:rFonts w:hint="eastAsia" w:ascii="宋体" w:hAnsi="宋体" w:eastAsia="宋体" w:cs="宋体"/>
                <w:sz w:val="24"/>
                <w:szCs w:val="24"/>
                <w:highlight w:val="none"/>
              </w:rPr>
            </w:pPr>
          </w:p>
        </w:tc>
        <w:tc>
          <w:tcPr>
            <w:tcW w:w="2340" w:type="dxa"/>
            <w:noWrap w:val="0"/>
            <w:vAlign w:val="center"/>
          </w:tcPr>
          <w:p w14:paraId="2D6B22E7">
            <w:pPr>
              <w:jc w:val="center"/>
              <w:rPr>
                <w:rFonts w:hint="eastAsia" w:ascii="宋体" w:hAnsi="宋体" w:eastAsia="宋体" w:cs="宋体"/>
                <w:sz w:val="24"/>
                <w:szCs w:val="24"/>
                <w:highlight w:val="none"/>
              </w:rPr>
            </w:pPr>
          </w:p>
        </w:tc>
      </w:tr>
      <w:tr w14:paraId="0173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56DE9EA2">
            <w:pPr>
              <w:jc w:val="center"/>
              <w:rPr>
                <w:rFonts w:hint="eastAsia" w:ascii="宋体" w:hAnsi="宋体" w:eastAsia="宋体" w:cs="宋体"/>
                <w:sz w:val="24"/>
                <w:szCs w:val="24"/>
                <w:highlight w:val="none"/>
              </w:rPr>
            </w:pPr>
          </w:p>
        </w:tc>
        <w:tc>
          <w:tcPr>
            <w:tcW w:w="1335" w:type="dxa"/>
            <w:noWrap w:val="0"/>
            <w:vAlign w:val="center"/>
          </w:tcPr>
          <w:p w14:paraId="5104A0BF">
            <w:pPr>
              <w:jc w:val="center"/>
              <w:rPr>
                <w:rFonts w:hint="eastAsia" w:ascii="宋体" w:hAnsi="宋体" w:eastAsia="宋体" w:cs="宋体"/>
                <w:sz w:val="24"/>
                <w:szCs w:val="24"/>
                <w:highlight w:val="none"/>
              </w:rPr>
            </w:pPr>
          </w:p>
        </w:tc>
        <w:tc>
          <w:tcPr>
            <w:tcW w:w="1704" w:type="dxa"/>
            <w:noWrap w:val="0"/>
            <w:vAlign w:val="center"/>
          </w:tcPr>
          <w:p w14:paraId="068B8D73">
            <w:pPr>
              <w:jc w:val="center"/>
              <w:rPr>
                <w:rFonts w:hint="eastAsia" w:ascii="宋体" w:hAnsi="宋体" w:eastAsia="宋体" w:cs="宋体"/>
                <w:sz w:val="24"/>
                <w:szCs w:val="24"/>
                <w:highlight w:val="none"/>
              </w:rPr>
            </w:pPr>
          </w:p>
        </w:tc>
        <w:tc>
          <w:tcPr>
            <w:tcW w:w="1260" w:type="dxa"/>
            <w:noWrap w:val="0"/>
            <w:vAlign w:val="top"/>
          </w:tcPr>
          <w:p w14:paraId="1EDADF87">
            <w:pPr>
              <w:jc w:val="center"/>
              <w:rPr>
                <w:rFonts w:hint="eastAsia" w:ascii="宋体" w:hAnsi="宋体" w:eastAsia="宋体" w:cs="宋体"/>
                <w:sz w:val="24"/>
                <w:szCs w:val="24"/>
                <w:highlight w:val="none"/>
              </w:rPr>
            </w:pPr>
          </w:p>
        </w:tc>
        <w:tc>
          <w:tcPr>
            <w:tcW w:w="2340" w:type="dxa"/>
            <w:noWrap w:val="0"/>
            <w:vAlign w:val="center"/>
          </w:tcPr>
          <w:p w14:paraId="3BF1456B">
            <w:pPr>
              <w:jc w:val="center"/>
              <w:rPr>
                <w:rFonts w:hint="eastAsia" w:ascii="宋体" w:hAnsi="宋体" w:eastAsia="宋体" w:cs="宋体"/>
                <w:sz w:val="24"/>
                <w:szCs w:val="24"/>
                <w:highlight w:val="none"/>
              </w:rPr>
            </w:pPr>
          </w:p>
        </w:tc>
      </w:tr>
      <w:tr w14:paraId="4B53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53C75771">
            <w:pPr>
              <w:jc w:val="center"/>
              <w:rPr>
                <w:rFonts w:hint="eastAsia" w:ascii="宋体" w:hAnsi="宋体" w:eastAsia="宋体" w:cs="宋体"/>
                <w:sz w:val="24"/>
                <w:szCs w:val="24"/>
                <w:highlight w:val="none"/>
              </w:rPr>
            </w:pPr>
          </w:p>
        </w:tc>
        <w:tc>
          <w:tcPr>
            <w:tcW w:w="1335" w:type="dxa"/>
            <w:noWrap w:val="0"/>
            <w:vAlign w:val="center"/>
          </w:tcPr>
          <w:p w14:paraId="018F321C">
            <w:pPr>
              <w:jc w:val="center"/>
              <w:rPr>
                <w:rFonts w:hint="eastAsia" w:ascii="宋体" w:hAnsi="宋体" w:eastAsia="宋体" w:cs="宋体"/>
                <w:sz w:val="24"/>
                <w:szCs w:val="24"/>
                <w:highlight w:val="none"/>
              </w:rPr>
            </w:pPr>
          </w:p>
        </w:tc>
        <w:tc>
          <w:tcPr>
            <w:tcW w:w="1704" w:type="dxa"/>
            <w:noWrap w:val="0"/>
            <w:vAlign w:val="center"/>
          </w:tcPr>
          <w:p w14:paraId="71320C09">
            <w:pPr>
              <w:jc w:val="center"/>
              <w:rPr>
                <w:rFonts w:hint="eastAsia" w:ascii="宋体" w:hAnsi="宋体" w:eastAsia="宋体" w:cs="宋体"/>
                <w:sz w:val="24"/>
                <w:szCs w:val="24"/>
                <w:highlight w:val="none"/>
              </w:rPr>
            </w:pPr>
          </w:p>
        </w:tc>
        <w:tc>
          <w:tcPr>
            <w:tcW w:w="1260" w:type="dxa"/>
            <w:noWrap w:val="0"/>
            <w:vAlign w:val="top"/>
          </w:tcPr>
          <w:p w14:paraId="52718741">
            <w:pPr>
              <w:jc w:val="center"/>
              <w:rPr>
                <w:rFonts w:hint="eastAsia" w:ascii="宋体" w:hAnsi="宋体" w:eastAsia="宋体" w:cs="宋体"/>
                <w:sz w:val="24"/>
                <w:szCs w:val="24"/>
                <w:highlight w:val="none"/>
              </w:rPr>
            </w:pPr>
          </w:p>
        </w:tc>
        <w:tc>
          <w:tcPr>
            <w:tcW w:w="2340" w:type="dxa"/>
            <w:noWrap w:val="0"/>
            <w:vAlign w:val="center"/>
          </w:tcPr>
          <w:p w14:paraId="7B041F0D">
            <w:pPr>
              <w:jc w:val="center"/>
              <w:rPr>
                <w:rFonts w:hint="eastAsia" w:ascii="宋体" w:hAnsi="宋体" w:eastAsia="宋体" w:cs="宋体"/>
                <w:sz w:val="24"/>
                <w:szCs w:val="24"/>
                <w:highlight w:val="none"/>
              </w:rPr>
            </w:pPr>
          </w:p>
        </w:tc>
      </w:tr>
      <w:tr w14:paraId="1BC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0AF0F110">
            <w:pPr>
              <w:jc w:val="center"/>
              <w:rPr>
                <w:rFonts w:hint="eastAsia" w:ascii="宋体" w:hAnsi="宋体" w:eastAsia="宋体" w:cs="宋体"/>
                <w:sz w:val="24"/>
                <w:szCs w:val="24"/>
                <w:highlight w:val="none"/>
              </w:rPr>
            </w:pPr>
          </w:p>
        </w:tc>
        <w:tc>
          <w:tcPr>
            <w:tcW w:w="1335" w:type="dxa"/>
            <w:noWrap w:val="0"/>
            <w:vAlign w:val="center"/>
          </w:tcPr>
          <w:p w14:paraId="71B9968E">
            <w:pPr>
              <w:jc w:val="center"/>
              <w:rPr>
                <w:rFonts w:hint="eastAsia" w:ascii="宋体" w:hAnsi="宋体" w:eastAsia="宋体" w:cs="宋体"/>
                <w:sz w:val="24"/>
                <w:szCs w:val="24"/>
                <w:highlight w:val="none"/>
              </w:rPr>
            </w:pPr>
          </w:p>
        </w:tc>
        <w:tc>
          <w:tcPr>
            <w:tcW w:w="1704" w:type="dxa"/>
            <w:noWrap w:val="0"/>
            <w:vAlign w:val="center"/>
          </w:tcPr>
          <w:p w14:paraId="0BF50E17">
            <w:pPr>
              <w:jc w:val="center"/>
              <w:rPr>
                <w:rFonts w:hint="eastAsia" w:ascii="宋体" w:hAnsi="宋体" w:eastAsia="宋体" w:cs="宋体"/>
                <w:sz w:val="24"/>
                <w:szCs w:val="24"/>
                <w:highlight w:val="none"/>
              </w:rPr>
            </w:pPr>
          </w:p>
        </w:tc>
        <w:tc>
          <w:tcPr>
            <w:tcW w:w="1260" w:type="dxa"/>
            <w:noWrap w:val="0"/>
            <w:vAlign w:val="top"/>
          </w:tcPr>
          <w:p w14:paraId="6BD66FF0">
            <w:pPr>
              <w:jc w:val="center"/>
              <w:rPr>
                <w:rFonts w:hint="eastAsia" w:ascii="宋体" w:hAnsi="宋体" w:eastAsia="宋体" w:cs="宋体"/>
                <w:sz w:val="24"/>
                <w:szCs w:val="24"/>
                <w:highlight w:val="none"/>
              </w:rPr>
            </w:pPr>
          </w:p>
        </w:tc>
        <w:tc>
          <w:tcPr>
            <w:tcW w:w="2340" w:type="dxa"/>
            <w:noWrap w:val="0"/>
            <w:vAlign w:val="center"/>
          </w:tcPr>
          <w:p w14:paraId="4421139D">
            <w:pPr>
              <w:jc w:val="center"/>
              <w:rPr>
                <w:rFonts w:hint="eastAsia" w:ascii="宋体" w:hAnsi="宋体" w:eastAsia="宋体" w:cs="宋体"/>
                <w:sz w:val="24"/>
                <w:szCs w:val="24"/>
                <w:highlight w:val="none"/>
              </w:rPr>
            </w:pPr>
          </w:p>
        </w:tc>
      </w:tr>
      <w:tr w14:paraId="456E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noWrap w:val="0"/>
            <w:vAlign w:val="center"/>
          </w:tcPr>
          <w:p w14:paraId="7D0B397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5" w:type="dxa"/>
            <w:noWrap w:val="0"/>
            <w:vAlign w:val="center"/>
          </w:tcPr>
          <w:p w14:paraId="2E194E93">
            <w:pPr>
              <w:jc w:val="center"/>
              <w:rPr>
                <w:rFonts w:hint="eastAsia" w:ascii="宋体" w:hAnsi="宋体" w:eastAsia="宋体" w:cs="宋体"/>
                <w:sz w:val="24"/>
                <w:szCs w:val="24"/>
                <w:highlight w:val="none"/>
              </w:rPr>
            </w:pPr>
          </w:p>
        </w:tc>
        <w:tc>
          <w:tcPr>
            <w:tcW w:w="1704" w:type="dxa"/>
            <w:noWrap w:val="0"/>
            <w:vAlign w:val="center"/>
          </w:tcPr>
          <w:p w14:paraId="7B0E4419">
            <w:pPr>
              <w:jc w:val="center"/>
              <w:rPr>
                <w:rFonts w:hint="eastAsia" w:ascii="宋体" w:hAnsi="宋体" w:eastAsia="宋体" w:cs="宋体"/>
                <w:sz w:val="24"/>
                <w:szCs w:val="24"/>
                <w:highlight w:val="none"/>
              </w:rPr>
            </w:pPr>
          </w:p>
        </w:tc>
        <w:tc>
          <w:tcPr>
            <w:tcW w:w="1260" w:type="dxa"/>
            <w:noWrap w:val="0"/>
            <w:vAlign w:val="top"/>
          </w:tcPr>
          <w:p w14:paraId="10ED235A">
            <w:pPr>
              <w:jc w:val="center"/>
              <w:rPr>
                <w:rFonts w:hint="eastAsia" w:ascii="宋体" w:hAnsi="宋体" w:eastAsia="宋体" w:cs="宋体"/>
                <w:sz w:val="24"/>
                <w:szCs w:val="24"/>
                <w:highlight w:val="none"/>
              </w:rPr>
            </w:pPr>
          </w:p>
        </w:tc>
        <w:tc>
          <w:tcPr>
            <w:tcW w:w="2340" w:type="dxa"/>
            <w:noWrap w:val="0"/>
            <w:vAlign w:val="center"/>
          </w:tcPr>
          <w:p w14:paraId="7BFFB2E1">
            <w:pPr>
              <w:jc w:val="center"/>
              <w:rPr>
                <w:rFonts w:hint="eastAsia" w:ascii="宋体" w:hAnsi="宋体" w:eastAsia="宋体" w:cs="宋体"/>
                <w:sz w:val="24"/>
                <w:szCs w:val="24"/>
                <w:highlight w:val="none"/>
              </w:rPr>
            </w:pPr>
          </w:p>
        </w:tc>
      </w:tr>
    </w:tbl>
    <w:p w14:paraId="5F2F0642">
      <w:pPr>
        <w:spacing w:before="120" w:beforeLines="50" w:after="120" w:afterLine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注：1、供应商应根据招标文件要求和</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eastAsia="zh-CN"/>
        </w:rPr>
        <w:t>项目的实际需要，列出拟配备的人员清单。</w:t>
      </w:r>
    </w:p>
    <w:p w14:paraId="1330E922">
      <w:pPr>
        <w:spacing w:before="120" w:beforeLines="50" w:after="120" w:afterLines="50"/>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2、供应商应按表四格式分别填写本表所列人员的资历。</w:t>
      </w:r>
    </w:p>
    <w:p w14:paraId="5EE7C52E">
      <w:pPr>
        <w:spacing w:before="120" w:beforeLines="50" w:after="120" w:afterLines="50"/>
        <w:rPr>
          <w:rFonts w:hint="eastAsia" w:ascii="宋体" w:hAnsi="宋体" w:eastAsia="宋体" w:cs="宋体"/>
          <w:szCs w:val="21"/>
          <w:highlight w:val="none"/>
          <w:lang w:eastAsia="zh-CN"/>
        </w:rPr>
      </w:pPr>
    </w:p>
    <w:p w14:paraId="7528F33E">
      <w:pPr>
        <w:spacing w:before="120" w:beforeLines="50" w:after="120" w:afterLines="50"/>
        <w:rPr>
          <w:rFonts w:hint="eastAsia" w:ascii="宋体" w:hAnsi="宋体" w:eastAsia="宋体" w:cs="宋体"/>
          <w:szCs w:val="21"/>
          <w:highlight w:val="none"/>
          <w:lang w:eastAsia="zh-CN"/>
        </w:rPr>
      </w:pPr>
    </w:p>
    <w:p w14:paraId="0EDA82AE">
      <w:pPr>
        <w:spacing w:before="120" w:beforeLines="50" w:after="120" w:afterLines="50"/>
        <w:rPr>
          <w:rFonts w:hint="eastAsia" w:ascii="宋体" w:hAnsi="宋体" w:eastAsia="宋体" w:cs="宋体"/>
          <w:szCs w:val="21"/>
          <w:highlight w:val="none"/>
          <w:lang w:eastAsia="zh-CN"/>
        </w:rPr>
      </w:pPr>
    </w:p>
    <w:p w14:paraId="099CAC93">
      <w:pPr>
        <w:spacing w:line="360" w:lineRule="auto"/>
        <w:ind w:right="-418" w:rightChars="-199"/>
        <w:jc w:val="center"/>
        <w:outlineLvl w:val="1"/>
        <w:rPr>
          <w:rFonts w:hint="eastAsia" w:ascii="宋体" w:hAnsi="宋体" w:eastAsia="宋体" w:cs="宋体"/>
          <w:sz w:val="28"/>
          <w:szCs w:val="28"/>
          <w:highlight w:val="none"/>
        </w:rPr>
      </w:pPr>
      <w:r>
        <w:rPr>
          <w:rFonts w:hint="eastAsia" w:ascii="宋体" w:hAnsi="宋体" w:eastAsia="宋体" w:cs="宋体"/>
          <w:szCs w:val="21"/>
          <w:highlight w:val="none"/>
          <w:lang w:eastAsia="zh-CN"/>
        </w:rPr>
        <w:br w:type="page"/>
      </w:r>
      <w:bookmarkStart w:id="78" w:name="_Toc21305"/>
      <w:r>
        <w:rPr>
          <w:rFonts w:hint="eastAsia" w:ascii="宋体" w:hAnsi="宋体" w:eastAsia="宋体" w:cs="宋体"/>
          <w:sz w:val="28"/>
          <w:szCs w:val="28"/>
          <w:highlight w:val="none"/>
        </w:rPr>
        <w:t>(四)主要人员资历表</w:t>
      </w:r>
      <w:bookmarkEnd w:id="78"/>
    </w:p>
    <w:tbl>
      <w:tblPr>
        <w:tblStyle w:val="28"/>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7424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noWrap w:val="0"/>
            <w:vAlign w:val="center"/>
          </w:tcPr>
          <w:p w14:paraId="350505A3">
            <w:pPr>
              <w:rPr>
                <w:rFonts w:hint="eastAsia" w:ascii="宋体" w:hAnsi="宋体" w:eastAsia="宋体" w:cs="宋体"/>
                <w:b/>
                <w:sz w:val="24"/>
                <w:szCs w:val="24"/>
                <w:highlight w:val="none"/>
              </w:rPr>
            </w:pPr>
            <w:r>
              <w:rPr>
                <w:rFonts w:hint="eastAsia" w:ascii="宋体" w:hAnsi="宋体" w:eastAsia="宋体" w:cs="宋体"/>
                <w:b/>
                <w:sz w:val="24"/>
                <w:szCs w:val="24"/>
                <w:highlight w:val="none"/>
              </w:rPr>
              <w:t>1．一般情况</w:t>
            </w:r>
          </w:p>
        </w:tc>
      </w:tr>
      <w:tr w14:paraId="2F37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noWrap w:val="0"/>
            <w:vAlign w:val="center"/>
          </w:tcPr>
          <w:p w14:paraId="29D4F1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92" w:type="dxa"/>
            <w:noWrap w:val="0"/>
            <w:vAlign w:val="center"/>
          </w:tcPr>
          <w:p w14:paraId="741725F3">
            <w:pPr>
              <w:jc w:val="center"/>
              <w:rPr>
                <w:rFonts w:hint="eastAsia" w:ascii="宋体" w:hAnsi="宋体" w:eastAsia="宋体" w:cs="宋体"/>
                <w:sz w:val="24"/>
                <w:szCs w:val="24"/>
                <w:highlight w:val="none"/>
              </w:rPr>
            </w:pPr>
          </w:p>
        </w:tc>
        <w:tc>
          <w:tcPr>
            <w:tcW w:w="1549" w:type="dxa"/>
            <w:noWrap w:val="0"/>
            <w:vAlign w:val="center"/>
          </w:tcPr>
          <w:p w14:paraId="30845BE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832" w:type="dxa"/>
            <w:gridSpan w:val="2"/>
            <w:noWrap w:val="0"/>
            <w:vAlign w:val="center"/>
          </w:tcPr>
          <w:p w14:paraId="789B76D1">
            <w:pPr>
              <w:jc w:val="center"/>
              <w:rPr>
                <w:rFonts w:hint="eastAsia" w:ascii="宋体" w:hAnsi="宋体" w:eastAsia="宋体" w:cs="宋体"/>
                <w:sz w:val="24"/>
                <w:szCs w:val="24"/>
                <w:highlight w:val="none"/>
              </w:rPr>
            </w:pPr>
          </w:p>
        </w:tc>
        <w:tc>
          <w:tcPr>
            <w:tcW w:w="952" w:type="dxa"/>
            <w:noWrap w:val="0"/>
            <w:vAlign w:val="center"/>
          </w:tcPr>
          <w:p w14:paraId="70B8F8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6" w:type="dxa"/>
            <w:noWrap w:val="0"/>
            <w:vAlign w:val="center"/>
          </w:tcPr>
          <w:p w14:paraId="6C276742">
            <w:pPr>
              <w:jc w:val="center"/>
              <w:rPr>
                <w:rFonts w:hint="eastAsia" w:ascii="宋体" w:hAnsi="宋体" w:eastAsia="宋体" w:cs="宋体"/>
                <w:sz w:val="24"/>
                <w:szCs w:val="24"/>
                <w:highlight w:val="none"/>
              </w:rPr>
            </w:pPr>
          </w:p>
        </w:tc>
      </w:tr>
      <w:tr w14:paraId="2A67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noWrap w:val="0"/>
            <w:vAlign w:val="center"/>
          </w:tcPr>
          <w:p w14:paraId="4AFF9F3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在本合同中</w:t>
            </w:r>
          </w:p>
          <w:p w14:paraId="032D6EF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拟任职</w:t>
            </w:r>
          </w:p>
        </w:tc>
        <w:tc>
          <w:tcPr>
            <w:tcW w:w="1692" w:type="dxa"/>
            <w:noWrap w:val="0"/>
            <w:vAlign w:val="center"/>
          </w:tcPr>
          <w:p w14:paraId="009931C9">
            <w:pPr>
              <w:jc w:val="center"/>
              <w:rPr>
                <w:rFonts w:hint="eastAsia" w:ascii="宋体" w:hAnsi="宋体" w:eastAsia="宋体" w:cs="宋体"/>
                <w:sz w:val="24"/>
                <w:szCs w:val="24"/>
                <w:highlight w:val="none"/>
              </w:rPr>
            </w:pPr>
          </w:p>
        </w:tc>
        <w:tc>
          <w:tcPr>
            <w:tcW w:w="1549" w:type="dxa"/>
            <w:noWrap w:val="0"/>
            <w:vAlign w:val="center"/>
          </w:tcPr>
          <w:p w14:paraId="2ED1D3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4030" w:type="dxa"/>
            <w:gridSpan w:val="4"/>
            <w:noWrap w:val="0"/>
            <w:vAlign w:val="center"/>
          </w:tcPr>
          <w:p w14:paraId="1E28A7DE">
            <w:pPr>
              <w:jc w:val="center"/>
              <w:rPr>
                <w:rFonts w:hint="eastAsia" w:ascii="宋体" w:hAnsi="宋体" w:eastAsia="宋体" w:cs="宋体"/>
                <w:sz w:val="24"/>
                <w:szCs w:val="24"/>
                <w:highlight w:val="none"/>
              </w:rPr>
            </w:pPr>
          </w:p>
        </w:tc>
      </w:tr>
      <w:tr w14:paraId="318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noWrap w:val="0"/>
            <w:vAlign w:val="center"/>
          </w:tcPr>
          <w:p w14:paraId="7A66BED3">
            <w:pPr>
              <w:rPr>
                <w:rFonts w:hint="eastAsia" w:ascii="宋体" w:hAnsi="宋体" w:eastAsia="宋体" w:cs="宋体"/>
                <w:b/>
                <w:sz w:val="24"/>
                <w:szCs w:val="24"/>
                <w:highlight w:val="none"/>
              </w:rPr>
            </w:pPr>
            <w:r>
              <w:rPr>
                <w:rFonts w:hint="eastAsia" w:ascii="宋体" w:hAnsi="宋体" w:eastAsia="宋体" w:cs="宋体"/>
                <w:b/>
                <w:sz w:val="24"/>
                <w:szCs w:val="24"/>
                <w:highlight w:val="none"/>
              </w:rPr>
              <w:t>2．工作经历</w:t>
            </w:r>
          </w:p>
        </w:tc>
      </w:tr>
      <w:tr w14:paraId="636D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noWrap w:val="0"/>
            <w:vAlign w:val="center"/>
          </w:tcPr>
          <w:p w14:paraId="49D919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5059" w:type="dxa"/>
            <w:gridSpan w:val="3"/>
            <w:noWrap w:val="0"/>
            <w:vAlign w:val="center"/>
          </w:tcPr>
          <w:p w14:paraId="4B573D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参与过的项目</w:t>
            </w:r>
          </w:p>
        </w:tc>
        <w:tc>
          <w:tcPr>
            <w:tcW w:w="966" w:type="dxa"/>
            <w:gridSpan w:val="2"/>
            <w:noWrap w:val="0"/>
            <w:vAlign w:val="center"/>
          </w:tcPr>
          <w:p w14:paraId="07611B9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该项目中任职</w:t>
            </w:r>
          </w:p>
        </w:tc>
        <w:tc>
          <w:tcPr>
            <w:tcW w:w="1246" w:type="dxa"/>
            <w:noWrap w:val="0"/>
            <w:vAlign w:val="center"/>
          </w:tcPr>
          <w:p w14:paraId="0F72C92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E67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noWrap w:val="0"/>
            <w:vAlign w:val="center"/>
          </w:tcPr>
          <w:p w14:paraId="5E645A1A">
            <w:pPr>
              <w:jc w:val="center"/>
              <w:rPr>
                <w:rFonts w:hint="eastAsia" w:ascii="宋体" w:hAnsi="宋体" w:eastAsia="宋体" w:cs="宋体"/>
                <w:sz w:val="24"/>
                <w:szCs w:val="24"/>
                <w:highlight w:val="none"/>
              </w:rPr>
            </w:pPr>
          </w:p>
        </w:tc>
        <w:tc>
          <w:tcPr>
            <w:tcW w:w="5059" w:type="dxa"/>
            <w:gridSpan w:val="3"/>
            <w:noWrap w:val="0"/>
            <w:vAlign w:val="center"/>
          </w:tcPr>
          <w:p w14:paraId="086F0BB4">
            <w:pPr>
              <w:jc w:val="center"/>
              <w:rPr>
                <w:rFonts w:hint="eastAsia" w:ascii="宋体" w:hAnsi="宋体" w:eastAsia="宋体" w:cs="宋体"/>
                <w:sz w:val="24"/>
                <w:szCs w:val="24"/>
                <w:highlight w:val="none"/>
              </w:rPr>
            </w:pPr>
          </w:p>
        </w:tc>
        <w:tc>
          <w:tcPr>
            <w:tcW w:w="966" w:type="dxa"/>
            <w:gridSpan w:val="2"/>
            <w:noWrap w:val="0"/>
            <w:vAlign w:val="center"/>
          </w:tcPr>
          <w:p w14:paraId="39632310">
            <w:pPr>
              <w:jc w:val="center"/>
              <w:rPr>
                <w:rFonts w:hint="eastAsia" w:ascii="宋体" w:hAnsi="宋体" w:eastAsia="宋体" w:cs="宋体"/>
                <w:sz w:val="24"/>
                <w:szCs w:val="24"/>
                <w:highlight w:val="none"/>
              </w:rPr>
            </w:pPr>
          </w:p>
        </w:tc>
        <w:tc>
          <w:tcPr>
            <w:tcW w:w="1246" w:type="dxa"/>
            <w:noWrap w:val="0"/>
            <w:vAlign w:val="center"/>
          </w:tcPr>
          <w:p w14:paraId="430E1004">
            <w:pPr>
              <w:jc w:val="center"/>
              <w:rPr>
                <w:rFonts w:hint="eastAsia" w:ascii="宋体" w:hAnsi="宋体" w:eastAsia="宋体" w:cs="宋体"/>
                <w:sz w:val="24"/>
                <w:szCs w:val="24"/>
                <w:highlight w:val="none"/>
              </w:rPr>
            </w:pPr>
          </w:p>
        </w:tc>
      </w:tr>
      <w:tr w14:paraId="4A47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noWrap w:val="0"/>
            <w:vAlign w:val="center"/>
          </w:tcPr>
          <w:p w14:paraId="0D4376DE">
            <w:pPr>
              <w:jc w:val="center"/>
              <w:rPr>
                <w:rFonts w:hint="eastAsia" w:ascii="宋体" w:hAnsi="宋体" w:eastAsia="宋体" w:cs="宋体"/>
                <w:sz w:val="24"/>
                <w:szCs w:val="24"/>
                <w:highlight w:val="none"/>
              </w:rPr>
            </w:pPr>
          </w:p>
        </w:tc>
        <w:tc>
          <w:tcPr>
            <w:tcW w:w="5059" w:type="dxa"/>
            <w:gridSpan w:val="3"/>
            <w:noWrap w:val="0"/>
            <w:vAlign w:val="center"/>
          </w:tcPr>
          <w:p w14:paraId="008BC2ED">
            <w:pPr>
              <w:jc w:val="center"/>
              <w:rPr>
                <w:rFonts w:hint="eastAsia" w:ascii="宋体" w:hAnsi="宋体" w:eastAsia="宋体" w:cs="宋体"/>
                <w:sz w:val="24"/>
                <w:szCs w:val="24"/>
                <w:highlight w:val="none"/>
              </w:rPr>
            </w:pPr>
          </w:p>
        </w:tc>
        <w:tc>
          <w:tcPr>
            <w:tcW w:w="966" w:type="dxa"/>
            <w:gridSpan w:val="2"/>
            <w:noWrap w:val="0"/>
            <w:vAlign w:val="center"/>
          </w:tcPr>
          <w:p w14:paraId="51C2D846">
            <w:pPr>
              <w:jc w:val="center"/>
              <w:rPr>
                <w:rFonts w:hint="eastAsia" w:ascii="宋体" w:hAnsi="宋体" w:eastAsia="宋体" w:cs="宋体"/>
                <w:sz w:val="24"/>
                <w:szCs w:val="24"/>
                <w:highlight w:val="none"/>
              </w:rPr>
            </w:pPr>
          </w:p>
        </w:tc>
        <w:tc>
          <w:tcPr>
            <w:tcW w:w="1246" w:type="dxa"/>
            <w:noWrap w:val="0"/>
            <w:vAlign w:val="center"/>
          </w:tcPr>
          <w:p w14:paraId="27DA95EA">
            <w:pPr>
              <w:jc w:val="center"/>
              <w:rPr>
                <w:rFonts w:hint="eastAsia" w:ascii="宋体" w:hAnsi="宋体" w:eastAsia="宋体" w:cs="宋体"/>
                <w:sz w:val="24"/>
                <w:szCs w:val="24"/>
                <w:highlight w:val="none"/>
              </w:rPr>
            </w:pPr>
          </w:p>
        </w:tc>
      </w:tr>
      <w:tr w14:paraId="02A2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noWrap w:val="0"/>
            <w:vAlign w:val="center"/>
          </w:tcPr>
          <w:p w14:paraId="10A57BC0">
            <w:pPr>
              <w:rPr>
                <w:rFonts w:hint="eastAsia" w:ascii="宋体" w:hAnsi="宋体" w:eastAsia="宋体" w:cs="宋体"/>
                <w:b/>
                <w:sz w:val="24"/>
                <w:szCs w:val="24"/>
                <w:highlight w:val="none"/>
              </w:rPr>
            </w:pPr>
            <w:r>
              <w:rPr>
                <w:rFonts w:hint="eastAsia" w:ascii="宋体" w:hAnsi="宋体" w:eastAsia="宋体" w:cs="宋体"/>
                <w:b/>
                <w:sz w:val="24"/>
                <w:szCs w:val="24"/>
                <w:highlight w:val="none"/>
              </w:rPr>
              <w:t>3．获奖情况</w:t>
            </w:r>
          </w:p>
        </w:tc>
      </w:tr>
      <w:tr w14:paraId="0D07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noWrap w:val="0"/>
            <w:vAlign w:val="center"/>
          </w:tcPr>
          <w:p w14:paraId="75A40BE3">
            <w:pPr>
              <w:jc w:val="center"/>
              <w:rPr>
                <w:rFonts w:hint="eastAsia" w:ascii="宋体" w:hAnsi="宋体" w:eastAsia="宋体" w:cs="宋体"/>
                <w:sz w:val="24"/>
                <w:szCs w:val="24"/>
                <w:highlight w:val="none"/>
              </w:rPr>
            </w:pPr>
          </w:p>
        </w:tc>
      </w:tr>
      <w:tr w14:paraId="4D6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noWrap w:val="0"/>
            <w:vAlign w:val="center"/>
          </w:tcPr>
          <w:p w14:paraId="5A7EECBF">
            <w:pPr>
              <w:rPr>
                <w:rFonts w:hint="eastAsia" w:ascii="宋体" w:hAnsi="宋体" w:eastAsia="宋体" w:cs="宋体"/>
                <w:b/>
                <w:sz w:val="24"/>
                <w:szCs w:val="24"/>
                <w:highlight w:val="none"/>
              </w:rPr>
            </w:pPr>
            <w:r>
              <w:rPr>
                <w:rFonts w:hint="eastAsia" w:ascii="宋体" w:hAnsi="宋体" w:eastAsia="宋体" w:cs="宋体"/>
                <w:b/>
                <w:sz w:val="24"/>
                <w:szCs w:val="24"/>
                <w:highlight w:val="none"/>
              </w:rPr>
              <w:t>4．目前承担的任务</w:t>
            </w:r>
          </w:p>
        </w:tc>
      </w:tr>
      <w:tr w14:paraId="0C8F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noWrap w:val="0"/>
            <w:vAlign w:val="center"/>
          </w:tcPr>
          <w:p w14:paraId="3FD47E47">
            <w:pPr>
              <w:jc w:val="center"/>
              <w:rPr>
                <w:rFonts w:hint="eastAsia" w:ascii="宋体" w:hAnsi="宋体" w:eastAsia="宋体" w:cs="宋体"/>
                <w:sz w:val="24"/>
                <w:szCs w:val="24"/>
                <w:highlight w:val="none"/>
              </w:rPr>
            </w:pPr>
          </w:p>
        </w:tc>
      </w:tr>
    </w:tbl>
    <w:p w14:paraId="3B81067F">
      <w:pPr>
        <w:adjustRightInd w:val="0"/>
        <w:spacing w:line="360" w:lineRule="auto"/>
        <w:ind w:firstLine="480" w:firstLineChars="200"/>
        <w:rPr>
          <w:rFonts w:hint="eastAsia" w:ascii="宋体" w:hAnsi="宋体" w:eastAsia="宋体" w:cs="宋体"/>
          <w:bCs/>
          <w:szCs w:val="21"/>
          <w:highlight w:val="none"/>
          <w:lang w:val="zh-CN" w:eastAsia="zh-CN"/>
        </w:rPr>
      </w:pPr>
      <w:r>
        <w:rPr>
          <w:rFonts w:hint="eastAsia" w:ascii="宋体" w:hAnsi="宋体" w:eastAsia="宋体" w:cs="宋体"/>
          <w:bCs/>
          <w:sz w:val="24"/>
          <w:highlight w:val="none"/>
          <w:lang w:val="zh-CN" w:eastAsia="zh-CN"/>
        </w:rPr>
        <w:t>“主要人员</w:t>
      </w:r>
      <w:r>
        <w:rPr>
          <w:rFonts w:hint="eastAsia" w:ascii="宋体" w:hAnsi="宋体" w:eastAsia="宋体" w:cs="宋体"/>
          <w:bCs/>
          <w:sz w:val="24"/>
          <w:highlight w:val="none"/>
          <w:lang w:eastAsia="zh-CN"/>
        </w:rPr>
        <w:t>资历</w:t>
      </w:r>
      <w:r>
        <w:rPr>
          <w:rFonts w:hint="eastAsia" w:ascii="宋体" w:hAnsi="宋体" w:eastAsia="宋体" w:cs="宋体"/>
          <w:bCs/>
          <w:sz w:val="24"/>
          <w:highlight w:val="none"/>
          <w:lang w:val="zh-CN" w:eastAsia="zh-CN"/>
        </w:rPr>
        <w:t>表”中附相关证明材料具体材料详见第三章评审办法。</w:t>
      </w:r>
    </w:p>
    <w:p w14:paraId="10C46DCD">
      <w:pPr>
        <w:spacing w:before="120" w:beforeLines="50" w:after="120" w:afterLines="50"/>
        <w:rPr>
          <w:rFonts w:hint="eastAsia" w:ascii="宋体" w:hAnsi="宋体" w:eastAsia="宋体" w:cs="宋体"/>
          <w:sz w:val="24"/>
          <w:szCs w:val="24"/>
          <w:highlight w:val="none"/>
          <w:lang w:eastAsia="zh-CN"/>
        </w:rPr>
      </w:pPr>
    </w:p>
    <w:p w14:paraId="72B68E89">
      <w:pPr>
        <w:spacing w:before="120" w:beforeLines="50" w:after="120" w:afterLines="50"/>
        <w:rPr>
          <w:rFonts w:hint="eastAsia" w:ascii="宋体" w:hAnsi="宋体" w:eastAsia="宋体" w:cs="宋体"/>
          <w:sz w:val="24"/>
          <w:szCs w:val="24"/>
          <w:highlight w:val="none"/>
          <w:lang w:eastAsia="zh-CN"/>
        </w:rPr>
      </w:pPr>
    </w:p>
    <w:p w14:paraId="3565EC13">
      <w:pPr>
        <w:spacing w:before="120" w:beforeLines="50" w:after="120" w:afterLines="50"/>
        <w:rPr>
          <w:rFonts w:hint="eastAsia" w:ascii="宋体" w:hAnsi="宋体" w:eastAsia="宋体" w:cs="宋体"/>
          <w:sz w:val="24"/>
          <w:szCs w:val="24"/>
          <w:highlight w:val="none"/>
          <w:lang w:eastAsia="zh-CN"/>
        </w:rPr>
      </w:pPr>
    </w:p>
    <w:p w14:paraId="66E4A0FD">
      <w:pPr>
        <w:spacing w:before="120" w:beforeLines="50" w:after="120" w:afterLines="50"/>
        <w:rPr>
          <w:rFonts w:hint="eastAsia" w:ascii="宋体" w:hAnsi="宋体" w:eastAsia="宋体" w:cs="宋体"/>
          <w:sz w:val="24"/>
          <w:szCs w:val="24"/>
          <w:highlight w:val="none"/>
          <w:lang w:eastAsia="zh-CN"/>
        </w:rPr>
      </w:pPr>
    </w:p>
    <w:p w14:paraId="542C6B47">
      <w:pPr>
        <w:ind w:left="960" w:hanging="960" w:hangingChars="400"/>
        <w:rPr>
          <w:rFonts w:hint="eastAsia" w:ascii="宋体" w:hAnsi="宋体" w:eastAsia="宋体" w:cs="宋体"/>
          <w:sz w:val="24"/>
          <w:szCs w:val="24"/>
          <w:highlight w:val="none"/>
          <w:u w:val="single"/>
          <w:lang w:eastAsia="zh-CN"/>
        </w:rPr>
      </w:pPr>
    </w:p>
    <w:p w14:paraId="4BE2571A">
      <w:pPr>
        <w:ind w:left="960" w:hanging="960" w:hangingChars="400"/>
        <w:rPr>
          <w:rFonts w:hint="eastAsia" w:ascii="宋体" w:hAnsi="宋体" w:eastAsia="宋体" w:cs="宋体"/>
          <w:sz w:val="24"/>
          <w:szCs w:val="24"/>
          <w:highlight w:val="none"/>
          <w:u w:val="single"/>
          <w:lang w:eastAsia="zh-CN"/>
        </w:rPr>
      </w:pPr>
    </w:p>
    <w:p w14:paraId="5A6706FC">
      <w:pPr>
        <w:jc w:val="center"/>
        <w:rPr>
          <w:rFonts w:hint="eastAsia" w:ascii="宋体" w:hAnsi="宋体" w:eastAsia="宋体" w:cs="宋体"/>
          <w:b/>
          <w:sz w:val="24"/>
          <w:szCs w:val="24"/>
          <w:highlight w:val="none"/>
          <w:lang w:eastAsia="zh-CN"/>
        </w:rPr>
      </w:pPr>
    </w:p>
    <w:p w14:paraId="1A1BD3E6">
      <w:pPr>
        <w:jc w:val="center"/>
        <w:rPr>
          <w:rFonts w:hint="eastAsia" w:ascii="宋体" w:hAnsi="宋体" w:eastAsia="宋体" w:cs="宋体"/>
          <w:b/>
          <w:sz w:val="24"/>
          <w:szCs w:val="24"/>
          <w:highlight w:val="none"/>
          <w:lang w:eastAsia="zh-CN"/>
        </w:rPr>
      </w:pPr>
    </w:p>
    <w:p w14:paraId="1B894C1D">
      <w:pPr>
        <w:jc w:val="center"/>
        <w:rPr>
          <w:rFonts w:hint="eastAsia" w:ascii="宋体" w:hAnsi="宋体" w:eastAsia="宋体" w:cs="宋体"/>
          <w:b/>
          <w:sz w:val="24"/>
          <w:szCs w:val="24"/>
          <w:highlight w:val="none"/>
          <w:lang w:eastAsia="zh-CN"/>
        </w:rPr>
      </w:pPr>
    </w:p>
    <w:p w14:paraId="415C3ACA">
      <w:pPr>
        <w:ind w:left="960" w:hanging="1120" w:hangingChars="400"/>
        <w:jc w:val="center"/>
        <w:rPr>
          <w:rFonts w:hint="eastAsia" w:ascii="宋体" w:hAnsi="宋体" w:eastAsia="宋体" w:cs="宋体"/>
          <w:sz w:val="44"/>
          <w:szCs w:val="44"/>
          <w:highlight w:val="none"/>
        </w:rPr>
      </w:pPr>
      <w:r>
        <w:rPr>
          <w:rFonts w:hint="eastAsia" w:ascii="宋体" w:hAnsi="宋体" w:eastAsia="宋体" w:cs="宋体"/>
          <w:sz w:val="28"/>
          <w:szCs w:val="28"/>
          <w:highlight w:val="none"/>
          <w:lang w:eastAsia="zh-CN"/>
        </w:rPr>
        <w:br w:type="page"/>
      </w:r>
    </w:p>
    <w:p w14:paraId="4C440949">
      <w:pPr>
        <w:pStyle w:val="25"/>
        <w:spacing w:before="0" w:beforeAutospacing="0" w:after="0" w:afterAutospacing="0"/>
        <w:jc w:val="center"/>
        <w:outlineLvl w:val="1"/>
        <w:rPr>
          <w:rFonts w:hint="eastAsia" w:ascii="宋体" w:hAnsi="宋体" w:eastAsia="宋体" w:cs="宋体"/>
          <w:b w:val="0"/>
          <w:bCs w:val="0"/>
          <w:sz w:val="32"/>
          <w:szCs w:val="32"/>
          <w:highlight w:val="none"/>
          <w:lang w:val="zh-CN" w:eastAsia="zh-CN"/>
        </w:rPr>
      </w:pPr>
      <w:bookmarkStart w:id="79" w:name="_Toc31465"/>
      <w:r>
        <w:rPr>
          <w:rFonts w:hint="eastAsia" w:ascii="宋体" w:hAnsi="宋体" w:eastAsia="宋体" w:cs="宋体"/>
          <w:b w:val="0"/>
          <w:bCs w:val="0"/>
          <w:sz w:val="28"/>
          <w:szCs w:val="28"/>
          <w:highlight w:val="none"/>
          <w:lang w:eastAsia="zh-CN"/>
        </w:rPr>
        <w:t>（</w:t>
      </w:r>
      <w:r>
        <w:rPr>
          <w:rFonts w:hint="eastAsia" w:cs="宋体"/>
          <w:b w:val="0"/>
          <w:bCs w:val="0"/>
          <w:sz w:val="28"/>
          <w:szCs w:val="28"/>
          <w:highlight w:val="none"/>
          <w:lang w:val="en-US" w:eastAsia="zh-CN"/>
        </w:rPr>
        <w:t>五</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32"/>
          <w:szCs w:val="32"/>
          <w:highlight w:val="none"/>
          <w:lang w:val="zh-CN" w:eastAsia="zh-CN"/>
        </w:rPr>
        <w:t>资格条件承诺函</w:t>
      </w:r>
      <w:bookmarkEnd w:id="79"/>
    </w:p>
    <w:p w14:paraId="0FD768E5">
      <w:pPr>
        <w:pStyle w:val="25"/>
        <w:spacing w:before="0" w:beforeAutospacing="0" w:after="0" w:afterAutospacing="0" w:line="360" w:lineRule="auto"/>
        <w:rPr>
          <w:rFonts w:hint="eastAsia" w:ascii="宋体" w:hAnsi="宋体" w:eastAsia="宋体" w:cs="宋体"/>
          <w:highlight w:val="none"/>
          <w:lang w:eastAsia="zh-CN"/>
        </w:rPr>
      </w:pPr>
    </w:p>
    <w:p w14:paraId="56FE34B0">
      <w:pPr>
        <w:pStyle w:val="25"/>
        <w:spacing w:before="0" w:beforeAutospacing="0" w:after="0" w:afterAutospacing="0" w:line="360" w:lineRule="auto"/>
        <w:rPr>
          <w:rFonts w:hint="eastAsia" w:ascii="宋体" w:hAnsi="宋体" w:eastAsia="宋体" w:cs="宋体"/>
          <w:highlight w:val="none"/>
          <w:u w:val="singl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（采购人、采购代理机构）：</w:t>
      </w:r>
    </w:p>
    <w:p w14:paraId="1B831250">
      <w:pPr>
        <w:pStyle w:val="25"/>
        <w:spacing w:before="0" w:beforeAutospacing="0" w:after="0" w:afterAutospacing="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我单位（公司）参与（采购项目名称 项目编号）采购项目的政府采购活动，现承诺如下：</w:t>
      </w:r>
    </w:p>
    <w:p w14:paraId="6D21D096">
      <w:pPr>
        <w:pStyle w:val="25"/>
        <w:numPr>
          <w:ilvl w:val="0"/>
          <w:numId w:val="11"/>
        </w:numPr>
        <w:spacing w:before="0" w:beforeAutospacing="0" w:after="0" w:afterAutospacing="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2F99EAE5">
      <w:pPr>
        <w:pStyle w:val="25"/>
        <w:numPr>
          <w:ilvl w:val="0"/>
          <w:numId w:val="11"/>
        </w:numPr>
        <w:spacing w:before="0" w:beforeAutospacing="0" w:after="0" w:afterAutospacing="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7F60673F">
      <w:pPr>
        <w:pStyle w:val="25"/>
        <w:numPr>
          <w:ilvl w:val="0"/>
          <w:numId w:val="11"/>
        </w:numPr>
        <w:spacing w:before="0" w:beforeAutospacing="0" w:after="0" w:afterAutospacing="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具有依法缴纳社会保障金的良好记录。</w:t>
      </w:r>
    </w:p>
    <w:p w14:paraId="42D767BF">
      <w:pPr>
        <w:pStyle w:val="25"/>
        <w:spacing w:before="0" w:beforeAutospacing="0" w:after="0" w:afterAutospacing="0"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1F6350EB">
      <w:pPr>
        <w:pStyle w:val="25"/>
        <w:spacing w:before="0" w:beforeAutospacing="0" w:after="0" w:afterAutospacing="0" w:line="360" w:lineRule="auto"/>
        <w:ind w:left="479" w:leftChars="228"/>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我单位（公司）对上述承诺的真实性负责。如有虚假，将依法承担相应责任。特此承诺。</w:t>
      </w:r>
    </w:p>
    <w:p w14:paraId="6C7BA9B8">
      <w:pPr>
        <w:pStyle w:val="25"/>
        <w:spacing w:before="0" w:beforeAutospacing="0" w:after="0" w:afterAutospacing="0" w:line="360" w:lineRule="auto"/>
        <w:rPr>
          <w:rFonts w:hint="eastAsia" w:ascii="宋体" w:hAnsi="宋体" w:eastAsia="宋体" w:cs="宋体"/>
          <w:highlight w:val="none"/>
          <w:lang w:eastAsia="zh-CN"/>
        </w:rPr>
      </w:pPr>
    </w:p>
    <w:p w14:paraId="5595CE1E">
      <w:pPr>
        <w:pStyle w:val="25"/>
        <w:spacing w:before="0" w:beforeAutospacing="0" w:after="0" w:afterAutospacing="0" w:line="360" w:lineRule="auto"/>
        <w:rPr>
          <w:rFonts w:hint="eastAsia" w:ascii="宋体" w:hAnsi="宋体" w:eastAsia="宋体" w:cs="宋体"/>
          <w:highlight w:val="none"/>
          <w:lang w:eastAsia="zh-CN"/>
        </w:rPr>
      </w:pPr>
    </w:p>
    <w:p w14:paraId="7CB1AB71">
      <w:pPr>
        <w:pStyle w:val="25"/>
        <w:spacing w:before="0" w:beforeAutospacing="0" w:after="0" w:afterAutospacing="0"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 xml:space="preserve">                                     盖章：</w:t>
      </w:r>
    </w:p>
    <w:p w14:paraId="3A07A9BE">
      <w:pPr>
        <w:pStyle w:val="25"/>
        <w:spacing w:before="0" w:beforeAutospacing="0" w:after="0" w:afterAutospacing="0"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 xml:space="preserve">                                     签字：</w:t>
      </w:r>
    </w:p>
    <w:p w14:paraId="4C70A97B">
      <w:pPr>
        <w:pStyle w:val="25"/>
        <w:spacing w:before="0" w:beforeAutospacing="0" w:after="0" w:afterAutospacing="0"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 xml:space="preserve">                                    日期：</w:t>
      </w:r>
    </w:p>
    <w:p w14:paraId="5E6A5877">
      <w:pPr>
        <w:pStyle w:val="25"/>
        <w:spacing w:before="0" w:beforeAutospacing="0" w:after="0" w:afterAutospacing="0" w:line="360" w:lineRule="auto"/>
        <w:rPr>
          <w:rFonts w:hint="eastAsia" w:ascii="宋体" w:hAnsi="宋体" w:eastAsia="宋体" w:cs="宋体"/>
          <w:highlight w:val="none"/>
          <w:lang w:eastAsia="zh-CN"/>
        </w:rPr>
      </w:pPr>
    </w:p>
    <w:p w14:paraId="58CE6D81">
      <w:pPr>
        <w:rPr>
          <w:rFonts w:hint="eastAsia" w:ascii="宋体" w:hAnsi="宋体" w:eastAsia="宋体" w:cs="宋体"/>
          <w:highlight w:val="none"/>
          <w:lang w:eastAsia="zh-CN"/>
        </w:rPr>
      </w:pPr>
    </w:p>
    <w:p w14:paraId="7A90B0E8">
      <w:pPr>
        <w:spacing w:before="120" w:beforeLines="50" w:after="120" w:afterLines="50"/>
        <w:jc w:val="center"/>
        <w:rPr>
          <w:rFonts w:hint="eastAsia" w:ascii="宋体" w:hAnsi="宋体" w:eastAsia="宋体" w:cs="宋体"/>
          <w:b/>
          <w:sz w:val="36"/>
          <w:szCs w:val="36"/>
          <w:highlight w:val="none"/>
          <w:lang w:eastAsia="zh-CN"/>
        </w:rPr>
      </w:pPr>
    </w:p>
    <w:p w14:paraId="7DCF8D2B">
      <w:pPr>
        <w:spacing w:before="120" w:beforeLines="50" w:after="120" w:afterLines="50"/>
        <w:jc w:val="center"/>
        <w:rPr>
          <w:rFonts w:hint="eastAsia" w:ascii="宋体" w:hAnsi="宋体" w:eastAsia="宋体" w:cs="宋体"/>
          <w:b/>
          <w:sz w:val="36"/>
          <w:szCs w:val="36"/>
          <w:highlight w:val="none"/>
          <w:lang w:eastAsia="zh-CN"/>
        </w:rPr>
      </w:pPr>
    </w:p>
    <w:p w14:paraId="546D6DC3">
      <w:pPr>
        <w:spacing w:before="120" w:beforeLines="50" w:after="120" w:afterLines="50"/>
        <w:jc w:val="center"/>
        <w:rPr>
          <w:rFonts w:hint="eastAsia" w:ascii="宋体" w:hAnsi="宋体" w:eastAsia="宋体" w:cs="宋体"/>
          <w:b/>
          <w:sz w:val="36"/>
          <w:szCs w:val="36"/>
          <w:highlight w:val="none"/>
          <w:lang w:eastAsia="zh-CN"/>
        </w:rPr>
      </w:pPr>
    </w:p>
    <w:p w14:paraId="1837B5E8">
      <w:pPr>
        <w:spacing w:before="120" w:beforeLines="50" w:after="120" w:afterLines="50"/>
        <w:jc w:val="center"/>
        <w:rPr>
          <w:rFonts w:hint="eastAsia" w:ascii="宋体" w:hAnsi="宋体" w:eastAsia="宋体" w:cs="宋体"/>
          <w:b/>
          <w:sz w:val="36"/>
          <w:szCs w:val="36"/>
          <w:highlight w:val="none"/>
          <w:lang w:eastAsia="zh-CN"/>
        </w:rPr>
      </w:pPr>
    </w:p>
    <w:p w14:paraId="0C0156BC">
      <w:pPr>
        <w:spacing w:before="120" w:beforeLines="50" w:after="120" w:afterLines="50"/>
        <w:jc w:val="center"/>
        <w:rPr>
          <w:rFonts w:hint="eastAsia" w:ascii="宋体" w:hAnsi="宋体" w:eastAsia="宋体" w:cs="宋体"/>
          <w:b/>
          <w:sz w:val="36"/>
          <w:szCs w:val="36"/>
          <w:highlight w:val="none"/>
          <w:lang w:eastAsia="zh-CN"/>
        </w:rPr>
      </w:pPr>
    </w:p>
    <w:p w14:paraId="0D8D0123">
      <w:pPr>
        <w:spacing w:before="120" w:beforeLines="50" w:after="120" w:afterLines="50"/>
        <w:jc w:val="center"/>
        <w:rPr>
          <w:rFonts w:hint="eastAsia" w:ascii="宋体" w:hAnsi="宋体" w:eastAsia="宋体" w:cs="宋体"/>
          <w:b/>
          <w:sz w:val="36"/>
          <w:szCs w:val="36"/>
          <w:highlight w:val="none"/>
          <w:lang w:eastAsia="zh-CN"/>
        </w:rPr>
      </w:pPr>
    </w:p>
    <w:p w14:paraId="4F8A507E">
      <w:pPr>
        <w:spacing w:before="120" w:beforeLines="50" w:after="120" w:afterLines="50"/>
        <w:jc w:val="center"/>
        <w:rPr>
          <w:rFonts w:hint="eastAsia" w:ascii="宋体" w:hAnsi="宋体" w:eastAsia="宋体" w:cs="宋体"/>
          <w:b/>
          <w:sz w:val="36"/>
          <w:szCs w:val="36"/>
          <w:highlight w:val="none"/>
          <w:lang w:eastAsia="zh-CN"/>
        </w:rPr>
      </w:pPr>
    </w:p>
    <w:p w14:paraId="4170839A">
      <w:pPr>
        <w:spacing w:before="120" w:beforeLines="50" w:after="120" w:afterLines="50"/>
        <w:jc w:val="center"/>
        <w:rPr>
          <w:rFonts w:hint="eastAsia" w:ascii="宋体" w:hAnsi="宋体" w:eastAsia="宋体" w:cs="宋体"/>
          <w:b/>
          <w:sz w:val="36"/>
          <w:szCs w:val="36"/>
          <w:highlight w:val="none"/>
          <w:lang w:eastAsia="zh-CN"/>
        </w:rPr>
      </w:pPr>
    </w:p>
    <w:p w14:paraId="59B94E58">
      <w:pPr>
        <w:spacing w:before="120" w:beforeLines="50" w:after="120" w:afterLines="50"/>
        <w:jc w:val="center"/>
        <w:rPr>
          <w:rFonts w:hint="eastAsia" w:ascii="宋体" w:hAnsi="宋体" w:eastAsia="宋体" w:cs="宋体"/>
          <w:b/>
          <w:sz w:val="36"/>
          <w:szCs w:val="36"/>
          <w:highlight w:val="none"/>
          <w:lang w:eastAsia="zh-CN"/>
        </w:rPr>
      </w:pPr>
    </w:p>
    <w:p w14:paraId="06524585">
      <w:pPr>
        <w:numPr>
          <w:ilvl w:val="0"/>
          <w:numId w:val="0"/>
        </w:numPr>
        <w:spacing w:before="120" w:beforeLines="50" w:after="120" w:afterLines="50"/>
        <w:jc w:val="center"/>
        <w:outlineLvl w:val="0"/>
        <w:rPr>
          <w:rFonts w:hint="eastAsia" w:ascii="宋体" w:hAnsi="宋体" w:eastAsia="宋体" w:cs="宋体"/>
          <w:b/>
          <w:sz w:val="36"/>
          <w:szCs w:val="36"/>
          <w:highlight w:val="none"/>
          <w:lang w:eastAsia="zh-CN"/>
        </w:rPr>
      </w:pPr>
      <w:r>
        <w:rPr>
          <w:rFonts w:hint="eastAsia" w:ascii="宋体" w:hAnsi="宋体" w:cs="宋体"/>
          <w:b/>
          <w:sz w:val="36"/>
          <w:szCs w:val="36"/>
          <w:highlight w:val="none"/>
          <w:lang w:val="en-US" w:eastAsia="zh-CN"/>
        </w:rPr>
        <w:t>六、服务</w:t>
      </w:r>
      <w:r>
        <w:rPr>
          <w:rFonts w:hint="eastAsia" w:ascii="宋体" w:hAnsi="宋体" w:eastAsia="宋体" w:cs="宋体"/>
          <w:b/>
          <w:sz w:val="36"/>
          <w:szCs w:val="36"/>
          <w:highlight w:val="none"/>
          <w:lang w:eastAsia="zh-CN"/>
        </w:rPr>
        <w:t>方案</w:t>
      </w:r>
    </w:p>
    <w:p w14:paraId="0C76FD41">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格式自拟</w:t>
      </w:r>
    </w:p>
    <w:p w14:paraId="0684EBDB">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33168DC7">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724BD59">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649117D6">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237BCDD7">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3A8A8DE1">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FBC14C0">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3E46BA38">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6F2018A3">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31D3EFAD">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238C3759">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EDB6EEA">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19733FFB">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009AAFFE">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9C102AE">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0DCDC3FF">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0AD5AB8E">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2329C5AE">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2862F9DC">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4B688A9D">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66F0D0E0">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11F0229">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1737A9A2">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C9F50F0">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4769A5A2">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66AA5A4C">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68F8794A">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DF0EF61">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3DFDD0F8">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57FBFA62">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105887CA">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p>
    <w:p w14:paraId="153A4155">
      <w:pPr>
        <w:pStyle w:val="15"/>
        <w:numPr>
          <w:ilvl w:val="0"/>
          <w:numId w:val="0"/>
        </w:numPr>
        <w:spacing w:line="480" w:lineRule="auto"/>
        <w:ind w:left="0" w:leftChars="0" w:firstLine="0" w:firstLineChars="0"/>
        <w:jc w:val="center"/>
        <w:outlineLvl w:val="0"/>
        <w:rPr>
          <w:rFonts w:hint="eastAsia" w:ascii="宋体" w:hAnsi="宋体" w:eastAsia="宋体" w:cs="Times New Roman"/>
          <w:b/>
          <w:color w:val="auto"/>
          <w:kern w:val="2"/>
          <w:sz w:val="32"/>
          <w:szCs w:val="32"/>
          <w:highlight w:val="none"/>
          <w:lang w:val="zh-CN" w:eastAsia="zh-CN" w:bidi="ar-SA"/>
        </w:rPr>
      </w:pPr>
      <w:bookmarkStart w:id="80" w:name="_Toc21967"/>
      <w:r>
        <w:rPr>
          <w:rFonts w:hint="eastAsia" w:hAnsi="宋体" w:cs="Times New Roman"/>
          <w:b/>
          <w:color w:val="auto"/>
          <w:kern w:val="2"/>
          <w:sz w:val="32"/>
          <w:szCs w:val="32"/>
          <w:highlight w:val="none"/>
          <w:lang w:val="en-US" w:eastAsia="zh-CN" w:bidi="ar-SA"/>
        </w:rPr>
        <w:t>七</w:t>
      </w:r>
      <w:r>
        <w:rPr>
          <w:rFonts w:hint="eastAsia" w:ascii="宋体" w:hAnsi="宋体" w:eastAsia="宋体" w:cs="Times New Roman"/>
          <w:b/>
          <w:color w:val="auto"/>
          <w:kern w:val="2"/>
          <w:sz w:val="32"/>
          <w:szCs w:val="32"/>
          <w:highlight w:val="none"/>
          <w:lang w:val="en-US" w:eastAsia="zh-CN" w:bidi="ar-SA"/>
        </w:rPr>
        <w:t>、</w:t>
      </w:r>
      <w:r>
        <w:rPr>
          <w:rFonts w:hint="eastAsia" w:ascii="宋体" w:hAnsi="宋体" w:eastAsia="宋体" w:cs="Times New Roman"/>
          <w:b/>
          <w:color w:val="auto"/>
          <w:kern w:val="2"/>
          <w:sz w:val="32"/>
          <w:szCs w:val="32"/>
          <w:highlight w:val="none"/>
          <w:lang w:val="zh-CN" w:eastAsia="zh-CN" w:bidi="ar-SA"/>
        </w:rPr>
        <w:t>承诺书</w:t>
      </w:r>
      <w:bookmarkEnd w:id="80"/>
    </w:p>
    <w:p w14:paraId="21F8479E">
      <w:pPr>
        <w:widowControl/>
        <w:autoSpaceDE w:val="0"/>
        <w:autoSpaceDN w:val="0"/>
        <w:adjustRightInd w:val="0"/>
        <w:ind w:firstLine="601"/>
        <w:jc w:val="left"/>
        <w:rPr>
          <w:rFonts w:ascii="Calibri" w:hAnsi="宋体" w:cs="宋体"/>
          <w:bCs/>
          <w:color w:val="auto"/>
          <w:kern w:val="0"/>
          <w:szCs w:val="18"/>
          <w:highlight w:val="none"/>
          <w:lang w:val="zh-CN"/>
        </w:rPr>
      </w:pPr>
    </w:p>
    <w:p w14:paraId="1F6E1FE0">
      <w:pPr>
        <w:widowControl/>
        <w:autoSpaceDE w:val="0"/>
        <w:autoSpaceDN w:val="0"/>
        <w:adjustRightInd w:val="0"/>
        <w:ind w:left="0" w:leftChars="0" w:firstLine="0" w:firstLineChars="0"/>
        <w:jc w:val="center"/>
        <w:outlineLvl w:val="1"/>
        <w:rPr>
          <w:rFonts w:ascii="Calibri" w:hAnsi="宋体" w:cs="宋体"/>
          <w:bCs/>
          <w:color w:val="auto"/>
          <w:kern w:val="0"/>
          <w:sz w:val="24"/>
          <w:highlight w:val="none"/>
          <w:lang w:val="zh-CN"/>
        </w:rPr>
      </w:pPr>
      <w:bookmarkStart w:id="81" w:name="_Toc350"/>
      <w:bookmarkStart w:id="82" w:name="_Toc21053"/>
      <w:bookmarkStart w:id="83" w:name="_Toc6156"/>
      <w:r>
        <w:rPr>
          <w:rFonts w:hint="eastAsia" w:ascii="宋体" w:hAnsi="宋体" w:cs="宋体"/>
          <w:b/>
          <w:bCs/>
          <w:color w:val="auto"/>
          <w:kern w:val="0"/>
          <w:sz w:val="28"/>
          <w:szCs w:val="28"/>
          <w:highlight w:val="none"/>
        </w:rPr>
        <w:t>1、信誉承诺书</w:t>
      </w:r>
      <w:bookmarkEnd w:id="81"/>
      <w:bookmarkEnd w:id="82"/>
      <w:bookmarkEnd w:id="83"/>
    </w:p>
    <w:p w14:paraId="4B7353B6">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1C9F33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AB5364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79570EA3">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1B42D0AF">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w:t>
      </w:r>
      <w:r>
        <w:rPr>
          <w:rFonts w:hint="eastAsia" w:ascii="宋体" w:hAnsi="宋体" w:cs="宋体"/>
          <w:bCs/>
          <w:color w:val="auto"/>
          <w:kern w:val="0"/>
          <w:sz w:val="21"/>
          <w:szCs w:val="21"/>
          <w:highlight w:val="none"/>
          <w:lang w:val="en-US" w:eastAsia="zh-CN"/>
        </w:rPr>
        <w:t>投标</w:t>
      </w:r>
      <w:r>
        <w:rPr>
          <w:rFonts w:hint="eastAsia" w:ascii="宋体" w:hAnsi="宋体" w:eastAsia="宋体" w:cs="宋体"/>
          <w:bCs/>
          <w:color w:val="auto"/>
          <w:kern w:val="0"/>
          <w:sz w:val="21"/>
          <w:szCs w:val="21"/>
          <w:highlight w:val="none"/>
          <w:lang w:val="zh-CN"/>
        </w:rPr>
        <w:t>；未与采购人存在利害关系，未与其他单位的单位负责人为同一人或者存在控股、管理关系。</w:t>
      </w:r>
    </w:p>
    <w:p w14:paraId="58854CFF">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（5）我公司承诺投标文件中所提供的企业资质、人员证件、业绩合同等所有资料复印件真实有效，如存在弄虚作假的行为，愿意承担由此引发的后果和责任。</w:t>
      </w:r>
    </w:p>
    <w:p w14:paraId="194AC30B">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2F442144">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619029AE">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753A5D9F">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6747180">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18AF5B5B">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1EC97DDC">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15358B69">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4E4A5653">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2B19231">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F10CDF">
      <w:pPr>
        <w:spacing w:line="360" w:lineRule="auto"/>
        <w:ind w:firstLine="3595" w:firstLineChars="1712"/>
        <w:jc w:val="right"/>
        <w:rPr>
          <w:rFonts w:ascii="宋体" w:hAnsi="宋体" w:cs="宋体"/>
          <w:color w:val="auto"/>
          <w:kern w:val="0"/>
          <w:szCs w:val="21"/>
          <w:highlight w:val="none"/>
          <w:lang w:val="zh-CN"/>
        </w:rPr>
      </w:pPr>
    </w:p>
    <w:p w14:paraId="09348225">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7DDF762D">
      <w:pPr>
        <w:widowControl/>
        <w:spacing w:before="120" w:beforeLines="50" w:after="120" w:afterLines="50"/>
        <w:ind w:firstLine="672"/>
        <w:jc w:val="center"/>
        <w:rPr>
          <w:rFonts w:ascii="宋体" w:hAnsi="宋体" w:cs="宋体"/>
          <w:b/>
          <w:bCs/>
          <w:color w:val="auto"/>
          <w:kern w:val="0"/>
          <w:sz w:val="24"/>
          <w:highlight w:val="none"/>
        </w:rPr>
      </w:pPr>
    </w:p>
    <w:p w14:paraId="647782BA">
      <w:pPr>
        <w:widowControl/>
        <w:autoSpaceDE w:val="0"/>
        <w:autoSpaceDN w:val="0"/>
        <w:adjustRightInd w:val="0"/>
        <w:ind w:left="0" w:leftChars="0" w:firstLine="0" w:firstLineChars="0"/>
        <w:jc w:val="center"/>
        <w:outlineLvl w:val="1"/>
        <w:rPr>
          <w:rFonts w:hint="eastAsia" w:ascii="宋体" w:hAnsi="宋体" w:eastAsia="宋体" w:cs="宋体"/>
          <w:b/>
          <w:bCs/>
          <w:color w:val="auto"/>
          <w:kern w:val="0"/>
          <w:sz w:val="28"/>
          <w:szCs w:val="28"/>
          <w:highlight w:val="none"/>
        </w:rPr>
      </w:pPr>
      <w:bookmarkStart w:id="84" w:name="_Toc16852"/>
      <w:bookmarkStart w:id="85" w:name="_Toc19595"/>
      <w:bookmarkStart w:id="86" w:name="_Toc7705"/>
      <w:r>
        <w:rPr>
          <w:rFonts w:hint="eastAsia" w:ascii="宋体" w:hAnsi="宋体" w:eastAsia="宋体" w:cs="宋体"/>
          <w:b/>
          <w:bCs/>
          <w:color w:val="auto"/>
          <w:kern w:val="0"/>
          <w:sz w:val="28"/>
          <w:szCs w:val="28"/>
          <w:highlight w:val="none"/>
        </w:rPr>
        <w:t>2、不存在禁止投标情形承诺书</w:t>
      </w:r>
      <w:bookmarkEnd w:id="84"/>
      <w:bookmarkEnd w:id="85"/>
      <w:bookmarkEnd w:id="86"/>
    </w:p>
    <w:p w14:paraId="361E321F">
      <w:pPr>
        <w:pStyle w:val="22"/>
        <w:rPr>
          <w:color w:val="auto"/>
          <w:highlight w:val="none"/>
        </w:rPr>
      </w:pPr>
    </w:p>
    <w:p w14:paraId="3F43A27B">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F93561E">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我公司不存在招标文件供应商须知第1.4.3项目规定的下列任何一种情形，所承诺的内容真实，无任何虚假。</w:t>
      </w:r>
    </w:p>
    <w:p w14:paraId="481C1BD3">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03274116">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w:t>
      </w:r>
      <w:r>
        <w:rPr>
          <w:rFonts w:hint="eastAsia" w:ascii="宋体" w:hAnsi="宋体" w:cs="宋体"/>
          <w:bCs/>
          <w:color w:val="auto"/>
          <w:kern w:val="0"/>
          <w:sz w:val="21"/>
          <w:szCs w:val="21"/>
          <w:highlight w:val="none"/>
          <w:lang w:val="en-US" w:eastAsia="zh-CN"/>
        </w:rPr>
        <w:t>投标</w:t>
      </w:r>
      <w:r>
        <w:rPr>
          <w:rFonts w:ascii="宋体" w:hAnsi="宋体" w:cs="宋体"/>
          <w:bCs/>
          <w:color w:val="auto"/>
          <w:kern w:val="0"/>
          <w:sz w:val="21"/>
          <w:szCs w:val="21"/>
          <w:highlight w:val="none"/>
          <w:lang w:val="zh-CN"/>
        </w:rPr>
        <w:t>公正性；</w:t>
      </w:r>
    </w:p>
    <w:p w14:paraId="0D4B2F89">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37B53411">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4B7945DB">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0970B7F4">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2B8E879E">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3260085E">
      <w:pPr>
        <w:spacing w:line="360" w:lineRule="auto"/>
        <w:ind w:firstLine="3471" w:firstLineChars="1653"/>
        <w:rPr>
          <w:rFonts w:ascii="宋体" w:hAnsi="宋体"/>
          <w:color w:val="auto"/>
          <w:sz w:val="21"/>
          <w:szCs w:val="21"/>
          <w:highlight w:val="none"/>
        </w:rPr>
      </w:pPr>
    </w:p>
    <w:p w14:paraId="52695C90">
      <w:pPr>
        <w:spacing w:line="360" w:lineRule="auto"/>
        <w:ind w:firstLine="3471" w:firstLineChars="1653"/>
        <w:rPr>
          <w:rFonts w:ascii="宋体" w:hAnsi="宋体"/>
          <w:color w:val="auto"/>
          <w:sz w:val="21"/>
          <w:szCs w:val="21"/>
          <w:highlight w:val="none"/>
        </w:rPr>
      </w:pPr>
    </w:p>
    <w:p w14:paraId="05CEBCBB">
      <w:pPr>
        <w:pStyle w:val="22"/>
        <w:rPr>
          <w:color w:val="auto"/>
          <w:sz w:val="21"/>
          <w:szCs w:val="21"/>
          <w:highlight w:val="none"/>
        </w:rPr>
      </w:pPr>
    </w:p>
    <w:p w14:paraId="0883CD65">
      <w:pPr>
        <w:pStyle w:val="22"/>
        <w:rPr>
          <w:color w:val="auto"/>
          <w:sz w:val="21"/>
          <w:szCs w:val="21"/>
          <w:highlight w:val="none"/>
        </w:rPr>
      </w:pPr>
    </w:p>
    <w:p w14:paraId="41BF2EE0">
      <w:pPr>
        <w:pStyle w:val="22"/>
        <w:rPr>
          <w:color w:val="auto"/>
          <w:sz w:val="21"/>
          <w:szCs w:val="21"/>
          <w:highlight w:val="none"/>
        </w:rPr>
      </w:pPr>
    </w:p>
    <w:p w14:paraId="7B2A5D11">
      <w:pPr>
        <w:spacing w:line="360" w:lineRule="auto"/>
        <w:ind w:firstLine="3471" w:firstLineChars="1653"/>
        <w:rPr>
          <w:rFonts w:ascii="宋体" w:hAnsi="宋体"/>
          <w:color w:val="auto"/>
          <w:sz w:val="21"/>
          <w:szCs w:val="21"/>
          <w:highlight w:val="none"/>
        </w:rPr>
      </w:pPr>
    </w:p>
    <w:p w14:paraId="1C95BBC7">
      <w:pPr>
        <w:spacing w:line="360" w:lineRule="auto"/>
        <w:ind w:firstLine="3471" w:firstLineChars="1653"/>
        <w:rPr>
          <w:rFonts w:ascii="宋体" w:hAnsi="宋体"/>
          <w:color w:val="auto"/>
          <w:sz w:val="21"/>
          <w:szCs w:val="21"/>
          <w:highlight w:val="none"/>
        </w:rPr>
      </w:pPr>
    </w:p>
    <w:p w14:paraId="43C68379">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33D8ECD">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31E185EF">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2CBFAE27">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317CA02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BC6AA53">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0BC74E20">
      <w:pPr>
        <w:widowControl/>
        <w:autoSpaceDE w:val="0"/>
        <w:autoSpaceDN w:val="0"/>
        <w:adjustRightInd w:val="0"/>
        <w:ind w:left="0" w:leftChars="0" w:firstLine="0" w:firstLineChars="0"/>
        <w:jc w:val="center"/>
        <w:outlineLvl w:val="1"/>
        <w:rPr>
          <w:rFonts w:hint="eastAsia" w:ascii="宋体" w:hAnsi="宋体" w:eastAsia="宋体" w:cs="宋体"/>
          <w:b/>
          <w:bCs/>
          <w:color w:val="auto"/>
          <w:kern w:val="0"/>
          <w:sz w:val="28"/>
          <w:szCs w:val="28"/>
          <w:highlight w:val="none"/>
          <w:lang w:val="zh-CN"/>
        </w:rPr>
      </w:pPr>
      <w:bookmarkStart w:id="87" w:name="_Toc13142"/>
      <w:bookmarkStart w:id="88" w:name="_Toc932"/>
      <w:bookmarkStart w:id="89" w:name="_Toc9735"/>
      <w:r>
        <w:rPr>
          <w:rFonts w:hint="eastAsia" w:ascii="宋体" w:hAnsi="宋体" w:eastAsia="宋体" w:cs="宋体"/>
          <w:b/>
          <w:bCs/>
          <w:color w:val="auto"/>
          <w:kern w:val="0"/>
          <w:sz w:val="28"/>
          <w:szCs w:val="28"/>
          <w:highlight w:val="none"/>
          <w:lang w:val="zh-CN"/>
        </w:rPr>
        <w:t>3、</w:t>
      </w:r>
      <w:bookmarkEnd w:id="87"/>
      <w:bookmarkStart w:id="90" w:name="_Toc8802"/>
      <w:r>
        <w:rPr>
          <w:rFonts w:hint="eastAsia" w:ascii="宋体" w:hAnsi="宋体" w:eastAsia="宋体" w:cs="宋体"/>
          <w:b/>
          <w:bCs/>
          <w:color w:val="auto"/>
          <w:kern w:val="0"/>
          <w:sz w:val="28"/>
          <w:szCs w:val="28"/>
          <w:highlight w:val="none"/>
          <w:lang w:val="zh-CN"/>
        </w:rPr>
        <w:t>政府采购诚信承诺书</w:t>
      </w:r>
      <w:bookmarkEnd w:id="88"/>
      <w:bookmarkEnd w:id="89"/>
      <w:bookmarkEnd w:id="90"/>
    </w:p>
    <w:p w14:paraId="2605B6CD">
      <w:pPr>
        <w:spacing w:line="440" w:lineRule="exact"/>
        <w:jc w:val="center"/>
        <w:rPr>
          <w:rFonts w:ascii="宋体" w:hAnsi="宋体" w:cs="宋体"/>
          <w:b/>
          <w:color w:val="auto"/>
          <w:kern w:val="0"/>
          <w:sz w:val="32"/>
          <w:szCs w:val="18"/>
          <w:highlight w:val="none"/>
        </w:rPr>
      </w:pPr>
    </w:p>
    <w:p w14:paraId="64ABAF2B">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30DD5E7A">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w:t>
      </w:r>
      <w:r>
        <w:rPr>
          <w:rFonts w:hint="eastAsia" w:ascii="宋体" w:hAnsi="宋体"/>
          <w:bCs/>
          <w:color w:val="auto"/>
          <w:sz w:val="21"/>
          <w:szCs w:val="21"/>
          <w:highlight w:val="none"/>
          <w:lang w:eastAsia="zh-CN"/>
        </w:rPr>
        <w:t>招标文件</w:t>
      </w:r>
      <w:r>
        <w:rPr>
          <w:rFonts w:hint="eastAsia" w:ascii="宋体" w:hAnsi="宋体"/>
          <w:bCs/>
          <w:color w:val="auto"/>
          <w:sz w:val="21"/>
          <w:szCs w:val="21"/>
          <w:highlight w:val="none"/>
        </w:rPr>
        <w:t>，自愿参加本次</w:t>
      </w:r>
      <w:r>
        <w:rPr>
          <w:rFonts w:hint="eastAsia" w:ascii="宋体" w:hAnsi="宋体"/>
          <w:bCs/>
          <w:color w:val="auto"/>
          <w:sz w:val="21"/>
          <w:szCs w:val="21"/>
          <w:highlight w:val="none"/>
          <w:lang w:val="en-US" w:eastAsia="zh-CN"/>
        </w:rPr>
        <w:t>投标</w:t>
      </w:r>
      <w:r>
        <w:rPr>
          <w:rFonts w:hint="eastAsia" w:ascii="宋体" w:hAnsi="宋体"/>
          <w:bCs/>
          <w:color w:val="auto"/>
          <w:sz w:val="21"/>
          <w:szCs w:val="21"/>
          <w:highlight w:val="none"/>
        </w:rPr>
        <w:t>，现就有关事项郑重承诺如下：</w:t>
      </w:r>
    </w:p>
    <w:p w14:paraId="7B5D8E65">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676A6EFB">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w:t>
      </w:r>
      <w:r>
        <w:rPr>
          <w:rFonts w:hint="eastAsia" w:ascii="宋体" w:hAnsi="宋体"/>
          <w:bCs/>
          <w:color w:val="auto"/>
          <w:sz w:val="21"/>
          <w:szCs w:val="21"/>
          <w:highlight w:val="none"/>
          <w:lang w:val="en-US" w:eastAsia="zh-CN"/>
        </w:rPr>
        <w:t>评标</w:t>
      </w:r>
      <w:r>
        <w:rPr>
          <w:rFonts w:hint="eastAsia" w:ascii="宋体" w:hAnsi="宋体"/>
          <w:bCs/>
          <w:color w:val="auto"/>
          <w:sz w:val="21"/>
          <w:szCs w:val="21"/>
          <w:highlight w:val="none"/>
        </w:rPr>
        <w:t>小组成员等及其他参与采购活动的人员行贿或采用其他不正当手段谋取成交；</w:t>
      </w:r>
    </w:p>
    <w:p w14:paraId="270CEEF1">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52FAEE73">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55781D3E">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w:t>
      </w:r>
      <w:r>
        <w:rPr>
          <w:rFonts w:hint="eastAsia" w:ascii="宋体" w:hAnsi="宋体"/>
          <w:bCs/>
          <w:color w:val="auto"/>
          <w:sz w:val="21"/>
          <w:szCs w:val="21"/>
          <w:highlight w:val="none"/>
          <w:lang w:val="en-US" w:eastAsia="zh-CN"/>
        </w:rPr>
        <w:t>投标</w:t>
      </w:r>
      <w:r>
        <w:rPr>
          <w:rFonts w:hint="eastAsia" w:ascii="宋体" w:hAnsi="宋体"/>
          <w:bCs/>
          <w:color w:val="auto"/>
          <w:sz w:val="21"/>
          <w:szCs w:val="21"/>
          <w:highlight w:val="none"/>
        </w:rPr>
        <w:t>资格、记入信用档案、媒体通报、1～3年内禁止参与政府采购活动等处罚；如已成交的，自动放弃成交资格，并承担全部法律责任；给采购人造成损失的，依法承担赔偿责任。</w:t>
      </w:r>
    </w:p>
    <w:p w14:paraId="13FAAA4D">
      <w:pPr>
        <w:spacing w:line="360" w:lineRule="auto"/>
        <w:ind w:right="480"/>
        <w:jc w:val="left"/>
        <w:rPr>
          <w:rFonts w:ascii="宋体" w:hAnsi="宋体"/>
          <w:color w:val="auto"/>
          <w:sz w:val="21"/>
          <w:szCs w:val="21"/>
          <w:highlight w:val="none"/>
        </w:rPr>
      </w:pPr>
    </w:p>
    <w:p w14:paraId="4D2CAF74">
      <w:pPr>
        <w:widowControl w:val="0"/>
        <w:ind w:firstLine="2520" w:firstLineChars="1200"/>
        <w:jc w:val="left"/>
        <w:rPr>
          <w:rFonts w:hint="eastAsia" w:ascii="宋体" w:hAnsi="宋体"/>
          <w:bCs/>
          <w:color w:val="auto"/>
          <w:sz w:val="21"/>
          <w:szCs w:val="21"/>
          <w:highlight w:val="none"/>
          <w:lang w:val="en-US" w:eastAsia="zh-CN"/>
        </w:rPr>
      </w:pPr>
    </w:p>
    <w:p w14:paraId="1F862A63">
      <w:pPr>
        <w:widowControl w:val="0"/>
        <w:ind w:firstLine="2520" w:firstLineChars="1200"/>
        <w:jc w:val="left"/>
        <w:rPr>
          <w:rFonts w:hint="eastAsia" w:ascii="宋体" w:hAnsi="宋体"/>
          <w:bCs/>
          <w:color w:val="auto"/>
          <w:sz w:val="21"/>
          <w:szCs w:val="21"/>
          <w:highlight w:val="none"/>
          <w:lang w:val="en-US" w:eastAsia="zh-CN"/>
        </w:rPr>
      </w:pPr>
    </w:p>
    <w:p w14:paraId="04BC4279">
      <w:pPr>
        <w:widowControl w:val="0"/>
        <w:ind w:firstLine="2520" w:firstLineChars="1200"/>
        <w:jc w:val="left"/>
        <w:rPr>
          <w:rFonts w:hint="eastAsia" w:ascii="宋体" w:hAnsi="宋体"/>
          <w:bCs/>
          <w:color w:val="auto"/>
          <w:sz w:val="21"/>
          <w:szCs w:val="21"/>
          <w:highlight w:val="none"/>
          <w:lang w:val="en-US" w:eastAsia="zh-CN"/>
        </w:rPr>
      </w:pPr>
    </w:p>
    <w:p w14:paraId="289E1909">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36708063">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6FF4CD28">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3B815016">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30DB1CA6">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599B95F">
      <w:pPr>
        <w:jc w:val="center"/>
        <w:outlineLvl w:val="1"/>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91" w:name="_Toc6694"/>
      <w:bookmarkStart w:id="92" w:name="_Toc19947"/>
      <w:bookmarkStart w:id="93"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91"/>
      <w:r>
        <w:rPr>
          <w:rFonts w:hint="eastAsia" w:ascii="宋体" w:hAnsi="宋体" w:eastAsia="宋体" w:cs="宋体"/>
          <w:b/>
          <w:bCs/>
          <w:color w:val="auto"/>
          <w:kern w:val="0"/>
          <w:sz w:val="28"/>
          <w:szCs w:val="28"/>
          <w:highlight w:val="none"/>
          <w:lang w:val="en-US" w:eastAsia="zh-CN"/>
        </w:rPr>
        <w:t>承诺</w:t>
      </w:r>
      <w:bookmarkEnd w:id="92"/>
      <w:bookmarkEnd w:id="93"/>
    </w:p>
    <w:p w14:paraId="58E37AB3">
      <w:pPr>
        <w:jc w:val="center"/>
        <w:rPr>
          <w:rFonts w:ascii="宋体" w:hAnsi="宋体" w:cs="宋体"/>
          <w:b/>
          <w:color w:val="auto"/>
          <w:kern w:val="0"/>
          <w:sz w:val="32"/>
          <w:szCs w:val="18"/>
          <w:highlight w:val="none"/>
          <w:lang w:val="zh-CN"/>
        </w:rPr>
      </w:pPr>
    </w:p>
    <w:p w14:paraId="653A42FE">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57FE0022">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A1FF22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A8A531E">
      <w:pPr>
        <w:pStyle w:val="27"/>
        <w:rPr>
          <w:rFonts w:ascii="宋体" w:hAnsi="宋体"/>
          <w:color w:val="auto"/>
          <w:sz w:val="24"/>
          <w:highlight w:val="none"/>
        </w:rPr>
      </w:pPr>
    </w:p>
    <w:p w14:paraId="5CCF5220">
      <w:pPr>
        <w:rPr>
          <w:rFonts w:ascii="宋体" w:hAnsi="宋体"/>
          <w:color w:val="auto"/>
          <w:sz w:val="24"/>
          <w:highlight w:val="none"/>
        </w:rPr>
      </w:pPr>
    </w:p>
    <w:p w14:paraId="5B04AA0C">
      <w:pPr>
        <w:rPr>
          <w:rFonts w:ascii="宋体" w:hAnsi="宋体"/>
          <w:color w:val="auto"/>
          <w:sz w:val="24"/>
          <w:highlight w:val="none"/>
        </w:rPr>
      </w:pPr>
    </w:p>
    <w:p w14:paraId="092551C4">
      <w:pPr>
        <w:rPr>
          <w:rFonts w:ascii="宋体" w:hAnsi="宋体"/>
          <w:color w:val="auto"/>
          <w:sz w:val="24"/>
          <w:highlight w:val="none"/>
        </w:rPr>
      </w:pPr>
    </w:p>
    <w:p w14:paraId="7CD71A2B">
      <w:pPr>
        <w:rPr>
          <w:rFonts w:ascii="宋体" w:hAnsi="宋体"/>
          <w:color w:val="auto"/>
          <w:sz w:val="24"/>
          <w:highlight w:val="none"/>
        </w:rPr>
      </w:pPr>
    </w:p>
    <w:p w14:paraId="24D68C30">
      <w:pPr>
        <w:rPr>
          <w:rFonts w:ascii="宋体" w:hAnsi="宋体"/>
          <w:color w:val="auto"/>
          <w:sz w:val="24"/>
          <w:highlight w:val="none"/>
        </w:rPr>
      </w:pPr>
    </w:p>
    <w:p w14:paraId="590A7A4E">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775C97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40E7B3C">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485FC3A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3F0CAFF">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5D0462C2">
      <w:pPr>
        <w:spacing w:line="360" w:lineRule="auto"/>
        <w:jc w:val="center"/>
        <w:rPr>
          <w:rFonts w:hint="eastAsia" w:ascii="宋体" w:hAnsi="宋体"/>
          <w:color w:val="auto"/>
          <w:sz w:val="21"/>
          <w:szCs w:val="21"/>
          <w:highlight w:val="none"/>
        </w:rPr>
      </w:pPr>
    </w:p>
    <w:p w14:paraId="674401B1">
      <w:pPr>
        <w:spacing w:line="360" w:lineRule="auto"/>
        <w:jc w:val="center"/>
        <w:rPr>
          <w:rFonts w:hint="eastAsia" w:ascii="宋体" w:hAnsi="宋体"/>
          <w:color w:val="auto"/>
          <w:sz w:val="21"/>
          <w:szCs w:val="21"/>
          <w:highlight w:val="none"/>
        </w:rPr>
      </w:pPr>
    </w:p>
    <w:p w14:paraId="24D6F306">
      <w:pPr>
        <w:jc w:val="center"/>
        <w:outlineLvl w:val="9"/>
        <w:rPr>
          <w:rFonts w:hint="eastAsia" w:ascii="宋体" w:hAnsi="宋体" w:eastAsia="宋体" w:cs="宋体"/>
          <w:b/>
          <w:bCs/>
          <w:color w:val="auto"/>
          <w:kern w:val="0"/>
          <w:sz w:val="28"/>
          <w:szCs w:val="28"/>
          <w:highlight w:val="none"/>
          <w:lang w:val="en-US" w:eastAsia="zh-CN"/>
        </w:rPr>
      </w:pPr>
    </w:p>
    <w:p w14:paraId="2C1A83E9">
      <w:pPr>
        <w:jc w:val="center"/>
        <w:outlineLvl w:val="9"/>
        <w:rPr>
          <w:rFonts w:hint="eastAsia" w:ascii="宋体" w:hAnsi="宋体" w:eastAsia="宋体" w:cs="宋体"/>
          <w:b/>
          <w:bCs/>
          <w:color w:val="auto"/>
          <w:kern w:val="0"/>
          <w:sz w:val="28"/>
          <w:szCs w:val="28"/>
          <w:highlight w:val="none"/>
          <w:lang w:val="en-US" w:eastAsia="zh-CN"/>
        </w:rPr>
      </w:pPr>
    </w:p>
    <w:p w14:paraId="1BC51251">
      <w:pPr>
        <w:jc w:val="center"/>
        <w:outlineLvl w:val="9"/>
        <w:rPr>
          <w:rFonts w:hint="eastAsia" w:ascii="宋体" w:hAnsi="宋体" w:eastAsia="宋体" w:cs="宋体"/>
          <w:b/>
          <w:bCs/>
          <w:color w:val="auto"/>
          <w:kern w:val="0"/>
          <w:sz w:val="28"/>
          <w:szCs w:val="28"/>
          <w:highlight w:val="none"/>
          <w:lang w:val="en-US" w:eastAsia="zh-CN"/>
        </w:rPr>
      </w:pPr>
    </w:p>
    <w:p w14:paraId="786EE496">
      <w:pPr>
        <w:jc w:val="center"/>
        <w:outlineLvl w:val="9"/>
        <w:rPr>
          <w:rFonts w:hint="eastAsia" w:ascii="宋体" w:hAnsi="宋体" w:eastAsia="宋体" w:cs="宋体"/>
          <w:b/>
          <w:bCs/>
          <w:color w:val="auto"/>
          <w:kern w:val="0"/>
          <w:sz w:val="28"/>
          <w:szCs w:val="28"/>
          <w:highlight w:val="none"/>
          <w:lang w:val="en-US" w:eastAsia="zh-CN"/>
        </w:rPr>
      </w:pPr>
    </w:p>
    <w:p w14:paraId="28861432">
      <w:pPr>
        <w:jc w:val="center"/>
        <w:outlineLvl w:val="9"/>
        <w:rPr>
          <w:rFonts w:hint="eastAsia" w:ascii="宋体" w:hAnsi="宋体" w:eastAsia="宋体" w:cs="宋体"/>
          <w:b/>
          <w:bCs/>
          <w:color w:val="auto"/>
          <w:kern w:val="0"/>
          <w:sz w:val="28"/>
          <w:szCs w:val="28"/>
          <w:highlight w:val="none"/>
          <w:lang w:val="en-US" w:eastAsia="zh-CN"/>
        </w:rPr>
      </w:pPr>
    </w:p>
    <w:p w14:paraId="60BEDDD0">
      <w:pPr>
        <w:jc w:val="center"/>
        <w:outlineLvl w:val="9"/>
        <w:rPr>
          <w:rFonts w:hint="eastAsia" w:ascii="宋体" w:hAnsi="宋体" w:eastAsia="宋体" w:cs="宋体"/>
          <w:b/>
          <w:bCs/>
          <w:color w:val="auto"/>
          <w:kern w:val="0"/>
          <w:sz w:val="28"/>
          <w:szCs w:val="28"/>
          <w:highlight w:val="none"/>
          <w:lang w:val="en-US" w:eastAsia="zh-CN"/>
        </w:rPr>
      </w:pPr>
    </w:p>
    <w:p w14:paraId="4828410D">
      <w:pPr>
        <w:jc w:val="center"/>
        <w:outlineLvl w:val="9"/>
        <w:rPr>
          <w:rFonts w:hint="eastAsia" w:ascii="宋体" w:hAnsi="宋体" w:eastAsia="宋体" w:cs="宋体"/>
          <w:b/>
          <w:bCs/>
          <w:color w:val="auto"/>
          <w:kern w:val="0"/>
          <w:sz w:val="28"/>
          <w:szCs w:val="28"/>
          <w:highlight w:val="none"/>
          <w:lang w:val="en-US" w:eastAsia="zh-CN"/>
        </w:rPr>
      </w:pPr>
    </w:p>
    <w:p w14:paraId="3AB2D09C">
      <w:pPr>
        <w:jc w:val="center"/>
        <w:outlineLvl w:val="9"/>
        <w:rPr>
          <w:rFonts w:hint="eastAsia" w:ascii="宋体" w:hAnsi="宋体" w:eastAsia="宋体" w:cs="宋体"/>
          <w:b/>
          <w:bCs/>
          <w:color w:val="auto"/>
          <w:kern w:val="0"/>
          <w:sz w:val="28"/>
          <w:szCs w:val="28"/>
          <w:highlight w:val="none"/>
          <w:lang w:val="en-US" w:eastAsia="zh-CN"/>
        </w:rPr>
      </w:pPr>
    </w:p>
    <w:p w14:paraId="705B0F7A">
      <w:pPr>
        <w:jc w:val="center"/>
        <w:outlineLvl w:val="9"/>
        <w:rPr>
          <w:rFonts w:hint="eastAsia" w:ascii="宋体" w:hAnsi="宋体" w:eastAsia="宋体" w:cs="宋体"/>
          <w:b/>
          <w:bCs/>
          <w:color w:val="auto"/>
          <w:kern w:val="0"/>
          <w:sz w:val="28"/>
          <w:szCs w:val="28"/>
          <w:highlight w:val="none"/>
          <w:lang w:val="en-US" w:eastAsia="zh-CN"/>
        </w:rPr>
      </w:pPr>
    </w:p>
    <w:p w14:paraId="0649AD13">
      <w:pPr>
        <w:jc w:val="center"/>
        <w:outlineLvl w:val="9"/>
        <w:rPr>
          <w:rFonts w:hint="eastAsia" w:ascii="宋体" w:hAnsi="宋体" w:eastAsia="宋体" w:cs="宋体"/>
          <w:b/>
          <w:bCs/>
          <w:color w:val="auto"/>
          <w:kern w:val="0"/>
          <w:sz w:val="28"/>
          <w:szCs w:val="28"/>
          <w:highlight w:val="none"/>
          <w:lang w:val="en-US" w:eastAsia="zh-CN"/>
        </w:rPr>
      </w:pPr>
    </w:p>
    <w:p w14:paraId="31045367">
      <w:pPr>
        <w:jc w:val="center"/>
        <w:outlineLvl w:val="9"/>
        <w:rPr>
          <w:rFonts w:hint="eastAsia" w:ascii="宋体" w:hAnsi="宋体" w:eastAsia="宋体" w:cs="宋体"/>
          <w:b/>
          <w:bCs/>
          <w:color w:val="auto"/>
          <w:kern w:val="0"/>
          <w:sz w:val="28"/>
          <w:szCs w:val="28"/>
          <w:highlight w:val="none"/>
          <w:lang w:val="en-US" w:eastAsia="zh-CN"/>
        </w:rPr>
      </w:pPr>
    </w:p>
    <w:p w14:paraId="635B4F33">
      <w:pPr>
        <w:jc w:val="center"/>
        <w:outlineLvl w:val="9"/>
        <w:rPr>
          <w:rFonts w:hint="eastAsia" w:ascii="宋体" w:hAnsi="宋体" w:eastAsia="宋体" w:cs="宋体"/>
          <w:b/>
          <w:bCs/>
          <w:color w:val="auto"/>
          <w:kern w:val="0"/>
          <w:sz w:val="28"/>
          <w:szCs w:val="28"/>
          <w:highlight w:val="none"/>
          <w:lang w:val="en-US" w:eastAsia="zh-CN"/>
        </w:rPr>
      </w:pPr>
    </w:p>
    <w:p w14:paraId="6DF22B2C">
      <w:pPr>
        <w:jc w:val="center"/>
        <w:outlineLvl w:val="9"/>
        <w:rPr>
          <w:rFonts w:hint="eastAsia" w:ascii="宋体" w:hAnsi="宋体" w:eastAsia="宋体" w:cs="宋体"/>
          <w:b/>
          <w:bCs/>
          <w:color w:val="auto"/>
          <w:kern w:val="0"/>
          <w:sz w:val="28"/>
          <w:szCs w:val="28"/>
          <w:highlight w:val="none"/>
          <w:lang w:val="en-US" w:eastAsia="zh-CN"/>
        </w:rPr>
      </w:pPr>
    </w:p>
    <w:p w14:paraId="755F48BB">
      <w:pPr>
        <w:jc w:val="center"/>
        <w:outlineLvl w:val="9"/>
        <w:rPr>
          <w:rFonts w:hint="eastAsia" w:ascii="宋体" w:hAnsi="宋体" w:eastAsia="宋体" w:cs="宋体"/>
          <w:b/>
          <w:bCs/>
          <w:color w:val="auto"/>
          <w:kern w:val="0"/>
          <w:sz w:val="28"/>
          <w:szCs w:val="28"/>
          <w:highlight w:val="none"/>
          <w:lang w:val="en-US" w:eastAsia="zh-CN"/>
        </w:rPr>
      </w:pPr>
    </w:p>
    <w:p w14:paraId="72946AF2">
      <w:pPr>
        <w:jc w:val="center"/>
        <w:outlineLvl w:val="9"/>
        <w:rPr>
          <w:rFonts w:hint="eastAsia" w:ascii="宋体" w:hAnsi="宋体" w:eastAsia="宋体" w:cs="宋体"/>
          <w:b/>
          <w:bCs/>
          <w:color w:val="auto"/>
          <w:kern w:val="0"/>
          <w:sz w:val="28"/>
          <w:szCs w:val="28"/>
          <w:highlight w:val="none"/>
          <w:lang w:val="en-US" w:eastAsia="zh-CN"/>
        </w:rPr>
      </w:pPr>
    </w:p>
    <w:p w14:paraId="63E9C9D5">
      <w:pPr>
        <w:jc w:val="center"/>
        <w:outlineLvl w:val="9"/>
        <w:rPr>
          <w:rFonts w:hint="eastAsia" w:ascii="宋体" w:hAnsi="宋体" w:eastAsia="宋体" w:cs="宋体"/>
          <w:b/>
          <w:bCs/>
          <w:color w:val="auto"/>
          <w:kern w:val="0"/>
          <w:sz w:val="28"/>
          <w:szCs w:val="28"/>
          <w:highlight w:val="none"/>
          <w:lang w:val="en-US" w:eastAsia="zh-CN"/>
        </w:rPr>
      </w:pPr>
    </w:p>
    <w:p w14:paraId="5BE3783D">
      <w:pPr>
        <w:jc w:val="center"/>
        <w:outlineLvl w:val="9"/>
        <w:rPr>
          <w:rFonts w:hint="eastAsia" w:ascii="宋体" w:hAnsi="宋体" w:eastAsia="宋体" w:cs="宋体"/>
          <w:b/>
          <w:bCs/>
          <w:color w:val="auto"/>
          <w:kern w:val="0"/>
          <w:sz w:val="28"/>
          <w:szCs w:val="28"/>
          <w:highlight w:val="none"/>
          <w:lang w:val="en-US" w:eastAsia="zh-CN"/>
        </w:rPr>
      </w:pPr>
    </w:p>
    <w:p w14:paraId="59548ED4">
      <w:pPr>
        <w:jc w:val="center"/>
        <w:outlineLvl w:val="9"/>
        <w:rPr>
          <w:rFonts w:hint="eastAsia" w:ascii="宋体" w:hAnsi="宋体" w:eastAsia="宋体" w:cs="宋体"/>
          <w:b/>
          <w:bCs/>
          <w:color w:val="auto"/>
          <w:kern w:val="0"/>
          <w:sz w:val="28"/>
          <w:szCs w:val="28"/>
          <w:highlight w:val="none"/>
          <w:lang w:val="en-US" w:eastAsia="zh-CN"/>
        </w:rPr>
      </w:pPr>
    </w:p>
    <w:p w14:paraId="606FE2BF">
      <w:pPr>
        <w:jc w:val="center"/>
        <w:outlineLvl w:val="1"/>
        <w:rPr>
          <w:rFonts w:hint="eastAsia" w:ascii="宋体" w:hAnsi="宋体" w:eastAsia="宋体" w:cs="宋体"/>
          <w:b/>
          <w:color w:val="auto"/>
          <w:kern w:val="0"/>
          <w:sz w:val="28"/>
          <w:szCs w:val="28"/>
          <w:highlight w:val="none"/>
          <w:lang w:val="en-US" w:eastAsia="zh-CN"/>
        </w:rPr>
      </w:pPr>
      <w:bookmarkStart w:id="94" w:name="_Toc13329"/>
      <w:bookmarkStart w:id="95"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94"/>
      <w:bookmarkEnd w:id="95"/>
    </w:p>
    <w:p w14:paraId="68710B46">
      <w:pPr>
        <w:jc w:val="center"/>
        <w:rPr>
          <w:rFonts w:ascii="宋体" w:hAnsi="宋体" w:cs="宋体"/>
          <w:b/>
          <w:color w:val="auto"/>
          <w:kern w:val="0"/>
          <w:sz w:val="32"/>
          <w:szCs w:val="18"/>
          <w:highlight w:val="none"/>
          <w:lang w:val="zh-CN"/>
        </w:rPr>
      </w:pPr>
    </w:p>
    <w:p w14:paraId="6773A7C5">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34F59112">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2774620">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3202D2EC">
      <w:pPr>
        <w:pStyle w:val="27"/>
        <w:rPr>
          <w:rFonts w:ascii="宋体" w:hAnsi="宋体"/>
          <w:color w:val="auto"/>
          <w:sz w:val="24"/>
          <w:highlight w:val="none"/>
        </w:rPr>
      </w:pPr>
    </w:p>
    <w:p w14:paraId="605752D8">
      <w:pPr>
        <w:rPr>
          <w:rFonts w:ascii="宋体" w:hAnsi="宋体"/>
          <w:color w:val="auto"/>
          <w:sz w:val="24"/>
          <w:highlight w:val="none"/>
        </w:rPr>
      </w:pPr>
    </w:p>
    <w:p w14:paraId="4DFF12CF">
      <w:pPr>
        <w:rPr>
          <w:rFonts w:ascii="宋体" w:hAnsi="宋体"/>
          <w:color w:val="auto"/>
          <w:sz w:val="24"/>
          <w:highlight w:val="none"/>
        </w:rPr>
      </w:pPr>
    </w:p>
    <w:p w14:paraId="1D107E82">
      <w:pPr>
        <w:rPr>
          <w:rFonts w:ascii="宋体" w:hAnsi="宋体"/>
          <w:color w:val="auto"/>
          <w:sz w:val="24"/>
          <w:highlight w:val="none"/>
        </w:rPr>
      </w:pPr>
    </w:p>
    <w:p w14:paraId="538119FC">
      <w:pPr>
        <w:rPr>
          <w:rFonts w:ascii="宋体" w:hAnsi="宋体"/>
          <w:color w:val="auto"/>
          <w:sz w:val="24"/>
          <w:highlight w:val="none"/>
        </w:rPr>
      </w:pPr>
    </w:p>
    <w:p w14:paraId="063D9475">
      <w:pPr>
        <w:rPr>
          <w:rFonts w:ascii="宋体" w:hAnsi="宋体"/>
          <w:color w:val="auto"/>
          <w:sz w:val="24"/>
          <w:highlight w:val="none"/>
        </w:rPr>
      </w:pPr>
    </w:p>
    <w:p w14:paraId="117D7D1D">
      <w:pPr>
        <w:rPr>
          <w:rFonts w:ascii="宋体" w:hAnsi="宋体"/>
          <w:color w:val="auto"/>
          <w:sz w:val="24"/>
          <w:highlight w:val="none"/>
        </w:rPr>
      </w:pPr>
    </w:p>
    <w:p w14:paraId="403CD2B8">
      <w:pPr>
        <w:rPr>
          <w:rFonts w:ascii="宋体" w:hAnsi="宋体"/>
          <w:color w:val="auto"/>
          <w:sz w:val="24"/>
          <w:highlight w:val="none"/>
        </w:rPr>
      </w:pPr>
    </w:p>
    <w:p w14:paraId="0C377EFD">
      <w:pPr>
        <w:rPr>
          <w:rFonts w:ascii="宋体" w:hAnsi="宋体"/>
          <w:color w:val="auto"/>
          <w:sz w:val="24"/>
          <w:highlight w:val="none"/>
        </w:rPr>
      </w:pPr>
    </w:p>
    <w:p w14:paraId="0E702AA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5D0159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74F0A8B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16D88A5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49229CFF">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0A4B2FF2">
      <w:pPr>
        <w:widowControl/>
        <w:autoSpaceDE w:val="0"/>
        <w:autoSpaceDN w:val="0"/>
        <w:adjustRightInd w:val="0"/>
        <w:spacing w:line="400" w:lineRule="exact"/>
        <w:jc w:val="center"/>
        <w:outlineLvl w:val="0"/>
        <w:rPr>
          <w:rFonts w:ascii="宋体" w:hAnsi="宋体" w:cs="宋体"/>
          <w:b/>
          <w:color w:val="auto"/>
          <w:kern w:val="0"/>
          <w:sz w:val="32"/>
          <w:szCs w:val="18"/>
          <w:highlight w:val="none"/>
          <w:lang w:val="zh-CN"/>
        </w:rPr>
      </w:pPr>
      <w:bookmarkStart w:id="96" w:name="_Toc11530"/>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96"/>
    </w:p>
    <w:p w14:paraId="6D210E5B">
      <w:pPr>
        <w:pStyle w:val="22"/>
        <w:rPr>
          <w:color w:val="auto"/>
          <w:kern w:val="0"/>
          <w:highlight w:val="none"/>
        </w:rPr>
      </w:pPr>
    </w:p>
    <w:p w14:paraId="040339F4">
      <w:pPr>
        <w:pStyle w:val="22"/>
        <w:rPr>
          <w:color w:val="auto"/>
          <w:kern w:val="0"/>
          <w:highlight w:val="none"/>
        </w:rPr>
      </w:pPr>
    </w:p>
    <w:p w14:paraId="04405549">
      <w:pPr>
        <w:pStyle w:val="22"/>
        <w:rPr>
          <w:rFonts w:hint="default" w:eastAsia="宋体"/>
          <w:color w:val="auto"/>
          <w:kern w:val="0"/>
          <w:highlight w:val="none"/>
          <w:lang w:val="en-US" w:eastAsia="zh-CN"/>
        </w:rPr>
      </w:pPr>
    </w:p>
    <w:p w14:paraId="78B37E18">
      <w:pPr>
        <w:numPr>
          <w:ilvl w:val="0"/>
          <w:numId w:val="0"/>
        </w:numPr>
        <w:spacing w:before="120" w:beforeLines="50" w:after="120" w:afterLines="50"/>
        <w:jc w:val="both"/>
        <w:rPr>
          <w:rFonts w:hint="eastAsia" w:ascii="宋体" w:hAnsi="宋体" w:eastAsia="宋体" w:cs="宋体"/>
          <w:b/>
          <w:sz w:val="21"/>
          <w:szCs w:val="21"/>
          <w:highlight w:val="none"/>
          <w:lang w:val="en-US" w:eastAsia="zh-CN"/>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招标文件中要求的其他证明资料或供应商认为针对本项目有必要提供的资料</w:t>
      </w:r>
      <w:r>
        <w:rPr>
          <w:rFonts w:hint="eastAsia" w:ascii="宋体" w:hAnsi="宋体" w:eastAsia="宋体" w:cs="宋体"/>
          <w:color w:val="auto"/>
          <w:szCs w:val="21"/>
          <w:highlight w:val="none"/>
          <w:lang w:val="en-US" w:eastAsia="zh-CN"/>
        </w:rPr>
        <w:t>。</w:t>
      </w:r>
    </w:p>
    <w:p w14:paraId="07E88A62">
      <w:pPr>
        <w:numPr>
          <w:ilvl w:val="0"/>
          <w:numId w:val="0"/>
        </w:numPr>
        <w:spacing w:before="120" w:beforeLines="50" w:after="120" w:afterLines="50"/>
        <w:jc w:val="both"/>
        <w:rPr>
          <w:rFonts w:hint="default" w:ascii="宋体" w:hAnsi="宋体" w:eastAsia="宋体" w:cs="宋体"/>
          <w:b/>
          <w:sz w:val="21"/>
          <w:szCs w:val="21"/>
          <w:highlight w:val="none"/>
          <w:lang w:val="en-US" w:eastAsia="zh-CN"/>
        </w:rPr>
      </w:pPr>
    </w:p>
    <w:p w14:paraId="6EDE3E87">
      <w:pPr>
        <w:bidi w:val="0"/>
        <w:jc w:val="center"/>
        <w:rPr>
          <w:rFonts w:hint="eastAsia"/>
          <w:lang w:eastAsia="zh-CN"/>
        </w:rPr>
      </w:pPr>
    </w:p>
    <w:sectPr>
      <w:footerReference r:id="rId6" w:type="default"/>
      <w:pgSz w:w="11905" w:h="16838"/>
      <w:pgMar w:top="1417" w:right="1701" w:bottom="1417" w:left="1701"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F08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2342">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2DD40">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2DD40">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12D7">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CE12E">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B8CE12E">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24A2">
    <w:pPr>
      <w:pStyle w:val="20"/>
      <w:pBdr>
        <w:bottom w:val="none" w:color="auto" w:sz="0" w:space="1"/>
      </w:pBdr>
      <w:jc w:val="right"/>
      <w:rPr>
        <w:sz w:val="8"/>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08D09"/>
    <w:multiLevelType w:val="singleLevel"/>
    <w:tmpl w:val="B6808D09"/>
    <w:lvl w:ilvl="0" w:tentative="0">
      <w:start w:val="5"/>
      <w:numFmt w:val="decimal"/>
      <w:suff w:val="nothing"/>
      <w:lvlText w:val="%1．"/>
      <w:lvlJc w:val="left"/>
    </w:lvl>
  </w:abstractNum>
  <w:abstractNum w:abstractNumId="1">
    <w:nsid w:val="BCA6E654"/>
    <w:multiLevelType w:val="singleLevel"/>
    <w:tmpl w:val="BCA6E654"/>
    <w:lvl w:ilvl="0" w:tentative="0">
      <w:start w:val="1"/>
      <w:numFmt w:val="chineseCounting"/>
      <w:suff w:val="nothing"/>
      <w:lvlText w:val="%1、"/>
      <w:lvlJc w:val="left"/>
      <w:rPr>
        <w:rFonts w:hint="eastAsia"/>
      </w:rPr>
    </w:lvl>
  </w:abstractNum>
  <w:abstractNum w:abstractNumId="2">
    <w:nsid w:val="E130AF98"/>
    <w:multiLevelType w:val="singleLevel"/>
    <w:tmpl w:val="E130AF98"/>
    <w:lvl w:ilvl="0" w:tentative="0">
      <w:start w:val="1"/>
      <w:numFmt w:val="chineseCounting"/>
      <w:suff w:val="space"/>
      <w:lvlText w:val="第%1章"/>
      <w:lvlJc w:val="left"/>
      <w:rPr>
        <w:rFonts w:hint="eastAsia"/>
      </w:rPr>
    </w:lvl>
  </w:abstractNum>
  <w:abstractNum w:abstractNumId="3">
    <w:nsid w:val="0000000E"/>
    <w:multiLevelType w:val="multilevel"/>
    <w:tmpl w:val="0000000E"/>
    <w:lvl w:ilvl="0" w:tentative="0">
      <w:start w:val="1"/>
      <w:numFmt w:val="bullet"/>
      <w:pStyle w:val="1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83C604A"/>
    <w:multiLevelType w:val="multilevel"/>
    <w:tmpl w:val="183C604A"/>
    <w:lvl w:ilvl="0" w:tentative="0">
      <w:start w:val="1"/>
      <w:numFmt w:val="japaneseCounting"/>
      <w:lvlText w:val="%1、"/>
      <w:lvlJc w:val="left"/>
      <w:pPr>
        <w:tabs>
          <w:tab w:val="left" w:pos="960"/>
        </w:tabs>
        <w:ind w:left="4950" w:hanging="48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
    <w:nsid w:val="56EEE892"/>
    <w:multiLevelType w:val="singleLevel"/>
    <w:tmpl w:val="56EEE892"/>
    <w:lvl w:ilvl="0" w:tentative="0">
      <w:start w:val="1"/>
      <w:numFmt w:val="decimal"/>
      <w:lvlText w:val="%1."/>
      <w:lvlJc w:val="left"/>
      <w:pPr>
        <w:ind w:left="425" w:hanging="425"/>
      </w:pPr>
      <w:rPr>
        <w:rFonts w:hint="default"/>
      </w:rPr>
    </w:lvl>
  </w:abstractNum>
  <w:abstractNum w:abstractNumId="7">
    <w:nsid w:val="580F9DBF"/>
    <w:multiLevelType w:val="singleLevel"/>
    <w:tmpl w:val="580F9DBF"/>
    <w:lvl w:ilvl="0" w:tentative="0">
      <w:start w:val="5"/>
      <w:numFmt w:val="chineseCounting"/>
      <w:suff w:val="space"/>
      <w:lvlText w:val="第%1章"/>
      <w:lvlJc w:val="left"/>
      <w:rPr>
        <w:rFonts w:hint="eastAsia"/>
      </w:rPr>
    </w:lvl>
  </w:abstractNum>
  <w:abstractNum w:abstractNumId="8">
    <w:nsid w:val="59AE446A"/>
    <w:multiLevelType w:val="multilevel"/>
    <w:tmpl w:val="59AE446A"/>
    <w:lvl w:ilvl="0" w:tentative="0">
      <w:start w:val="1"/>
      <w:numFmt w:val="decimal"/>
      <w:lvlText w:val="%1."/>
      <w:lvlJc w:val="left"/>
      <w:pPr>
        <w:tabs>
          <w:tab w:val="left" w:pos="425"/>
        </w:tabs>
        <w:ind w:left="425" w:hanging="425"/>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709"/>
        </w:tabs>
        <w:ind w:left="709" w:hanging="709"/>
      </w:pPr>
      <w:rPr>
        <w:rFonts w:hint="default"/>
        <w:u w:val="none"/>
      </w:rPr>
    </w:lvl>
    <w:lvl w:ilvl="3" w:tentative="0">
      <w:start w:val="1"/>
      <w:numFmt w:val="decimal"/>
      <w:lvlText w:val="%1.%2.%3.%4."/>
      <w:lvlJc w:val="left"/>
      <w:pPr>
        <w:tabs>
          <w:tab w:val="left" w:pos="851"/>
        </w:tabs>
        <w:ind w:left="851" w:hanging="851"/>
      </w:pPr>
      <w:rPr>
        <w:rFonts w:hint="default"/>
        <w:u w:val="none"/>
      </w:rPr>
    </w:lvl>
    <w:lvl w:ilvl="4" w:tentative="0">
      <w:start w:val="1"/>
      <w:numFmt w:val="decimal"/>
      <w:lvlText w:val="%1.%2.%3.%4.%5."/>
      <w:lvlJc w:val="left"/>
      <w:pPr>
        <w:tabs>
          <w:tab w:val="left" w:pos="992"/>
        </w:tabs>
        <w:ind w:left="992" w:hanging="992"/>
      </w:pPr>
      <w:rPr>
        <w:rFonts w:hint="default"/>
        <w:u w:val="none"/>
      </w:rPr>
    </w:lvl>
    <w:lvl w:ilvl="5" w:tentative="0">
      <w:start w:val="1"/>
      <w:numFmt w:val="decimal"/>
      <w:lvlText w:val="%1.%2.%3.%4.%5.%6."/>
      <w:lvlJc w:val="left"/>
      <w:pPr>
        <w:tabs>
          <w:tab w:val="left" w:pos="1134"/>
        </w:tabs>
        <w:ind w:left="1134" w:hanging="1134"/>
      </w:pPr>
      <w:rPr>
        <w:rFonts w:hint="default"/>
        <w:u w:val="none"/>
      </w:rPr>
    </w:lvl>
    <w:lvl w:ilvl="6" w:tentative="0">
      <w:start w:val="1"/>
      <w:numFmt w:val="decimal"/>
      <w:lvlText w:val="%1.%2.%3.%4.%5.%6.%7."/>
      <w:lvlJc w:val="left"/>
      <w:pPr>
        <w:tabs>
          <w:tab w:val="left" w:pos="1276"/>
        </w:tabs>
        <w:ind w:left="1276" w:hanging="1276"/>
      </w:pPr>
      <w:rPr>
        <w:rFonts w:hint="default"/>
        <w:u w:val="none"/>
      </w:rPr>
    </w:lvl>
    <w:lvl w:ilvl="7" w:tentative="0">
      <w:start w:val="1"/>
      <w:numFmt w:val="decimal"/>
      <w:lvlText w:val="%1.%2.%3.%4.%5.%6.%7.%8."/>
      <w:lvlJc w:val="left"/>
      <w:pPr>
        <w:tabs>
          <w:tab w:val="left" w:pos="1418"/>
        </w:tabs>
        <w:ind w:left="1418" w:hanging="1418"/>
      </w:pPr>
      <w:rPr>
        <w:rFonts w:hint="default"/>
        <w:u w:val="none"/>
      </w:rPr>
    </w:lvl>
    <w:lvl w:ilvl="8" w:tentative="0">
      <w:start w:val="1"/>
      <w:numFmt w:val="decimal"/>
      <w:lvlText w:val="%1.%2.%3.%4.%5.%6.%7.%8.%9."/>
      <w:lvlJc w:val="left"/>
      <w:pPr>
        <w:tabs>
          <w:tab w:val="left" w:pos="1559"/>
        </w:tabs>
        <w:ind w:left="1559" w:hanging="1559"/>
      </w:pPr>
      <w:rPr>
        <w:rFonts w:hint="default"/>
        <w:u w:val="none"/>
      </w:rPr>
    </w:lvl>
  </w:abstractNum>
  <w:abstractNum w:abstractNumId="9">
    <w:nsid w:val="5D907901"/>
    <w:multiLevelType w:val="singleLevel"/>
    <w:tmpl w:val="5D907901"/>
    <w:lvl w:ilvl="0" w:tentative="0">
      <w:start w:val="1"/>
      <w:numFmt w:val="decimal"/>
      <w:suff w:val="nothing"/>
      <w:lvlText w:val="%1．"/>
      <w:lvlJc w:val="left"/>
    </w:lvl>
  </w:abstractNum>
  <w:abstractNum w:abstractNumId="10">
    <w:nsid w:val="68875A81"/>
    <w:multiLevelType w:val="multilevel"/>
    <w:tmpl w:val="68875A81"/>
    <w:lvl w:ilvl="0" w:tentative="0">
      <w:start w:val="1"/>
      <w:numFmt w:val="decimal"/>
      <w:lvlText w:val="%1."/>
      <w:lvlJc w:val="left"/>
      <w:pPr>
        <w:tabs>
          <w:tab w:val="left" w:pos="425"/>
        </w:tabs>
        <w:ind w:left="425" w:hanging="425"/>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709"/>
        </w:tabs>
        <w:ind w:left="709" w:hanging="709"/>
      </w:pPr>
      <w:rPr>
        <w:rFonts w:hint="default"/>
        <w:u w:val="none"/>
      </w:rPr>
    </w:lvl>
    <w:lvl w:ilvl="3" w:tentative="0">
      <w:start w:val="1"/>
      <w:numFmt w:val="decimal"/>
      <w:lvlText w:val="%1.%2.%3.%4."/>
      <w:lvlJc w:val="left"/>
      <w:pPr>
        <w:tabs>
          <w:tab w:val="left" w:pos="851"/>
        </w:tabs>
        <w:ind w:left="851" w:hanging="851"/>
      </w:pPr>
      <w:rPr>
        <w:rFonts w:hint="default"/>
        <w:u w:val="none"/>
      </w:rPr>
    </w:lvl>
    <w:lvl w:ilvl="4" w:tentative="0">
      <w:start w:val="1"/>
      <w:numFmt w:val="decimal"/>
      <w:lvlText w:val="%1.%2.%3.%4.%5."/>
      <w:lvlJc w:val="left"/>
      <w:pPr>
        <w:tabs>
          <w:tab w:val="left" w:pos="992"/>
        </w:tabs>
        <w:ind w:left="992" w:hanging="992"/>
      </w:pPr>
      <w:rPr>
        <w:rFonts w:hint="default"/>
        <w:u w:val="none"/>
      </w:rPr>
    </w:lvl>
    <w:lvl w:ilvl="5" w:tentative="0">
      <w:start w:val="1"/>
      <w:numFmt w:val="decimal"/>
      <w:lvlText w:val="%1.%2.%3.%4.%5.%6."/>
      <w:lvlJc w:val="left"/>
      <w:pPr>
        <w:tabs>
          <w:tab w:val="left" w:pos="1134"/>
        </w:tabs>
        <w:ind w:left="1134" w:hanging="1134"/>
      </w:pPr>
      <w:rPr>
        <w:rFonts w:hint="default"/>
        <w:u w:val="none"/>
      </w:rPr>
    </w:lvl>
    <w:lvl w:ilvl="6" w:tentative="0">
      <w:start w:val="1"/>
      <w:numFmt w:val="decimal"/>
      <w:lvlText w:val="%1.%2.%3.%4.%5.%6.%7."/>
      <w:lvlJc w:val="left"/>
      <w:pPr>
        <w:tabs>
          <w:tab w:val="left" w:pos="1276"/>
        </w:tabs>
        <w:ind w:left="1276" w:hanging="1276"/>
      </w:pPr>
      <w:rPr>
        <w:rFonts w:hint="default"/>
        <w:u w:val="none"/>
      </w:rPr>
    </w:lvl>
    <w:lvl w:ilvl="7" w:tentative="0">
      <w:start w:val="1"/>
      <w:numFmt w:val="decimal"/>
      <w:lvlText w:val="%1.%2.%3.%4.%5.%6.%7.%8."/>
      <w:lvlJc w:val="left"/>
      <w:pPr>
        <w:tabs>
          <w:tab w:val="left" w:pos="1418"/>
        </w:tabs>
        <w:ind w:left="1418" w:hanging="1418"/>
      </w:pPr>
      <w:rPr>
        <w:rFonts w:hint="default"/>
        <w:u w:val="none"/>
      </w:rPr>
    </w:lvl>
    <w:lvl w:ilvl="8" w:tentative="0">
      <w:start w:val="1"/>
      <w:numFmt w:val="decimal"/>
      <w:lvlText w:val="%1.%2.%3.%4.%5.%6.%7.%8.%9."/>
      <w:lvlJc w:val="left"/>
      <w:pPr>
        <w:tabs>
          <w:tab w:val="left" w:pos="1559"/>
        </w:tabs>
        <w:ind w:left="1559" w:hanging="1559"/>
      </w:pPr>
      <w:rPr>
        <w:rFonts w:hint="default"/>
        <w:u w:val="none"/>
      </w:rPr>
    </w:lvl>
  </w:abstractNum>
  <w:num w:numId="1">
    <w:abstractNumId w:val="3"/>
  </w:num>
  <w:num w:numId="2">
    <w:abstractNumId w:val="2"/>
  </w:num>
  <w:num w:numId="3">
    <w:abstractNumId w:val="0"/>
  </w:num>
  <w:num w:numId="4">
    <w:abstractNumId w:val="5"/>
  </w:num>
  <w:num w:numId="5">
    <w:abstractNumId w:val="10"/>
  </w:num>
  <w:num w:numId="6">
    <w:abstractNumId w:val="8"/>
  </w:num>
  <w:num w:numId="7">
    <w:abstractNumId w:val="7"/>
  </w:num>
  <w:num w:numId="8">
    <w:abstractNumId w:val="6"/>
  </w:num>
  <w:num w:numId="9">
    <w:abstractNumId w:val="1"/>
  </w:num>
  <w:num w:numId="10">
    <w:abstractNumId w:val="4"/>
    <w:lvlOverride w:ilvl="0">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NDMyZGQ3YTg5YTY2NTkxN2VlYmM1ZmRmMzQ0MjUifQ=="/>
  </w:docVars>
  <w:rsids>
    <w:rsidRoot w:val="002C68AD"/>
    <w:rsid w:val="00082468"/>
    <w:rsid w:val="0019271F"/>
    <w:rsid w:val="00235D6E"/>
    <w:rsid w:val="00254EF8"/>
    <w:rsid w:val="00280392"/>
    <w:rsid w:val="002C68AD"/>
    <w:rsid w:val="00301AC8"/>
    <w:rsid w:val="0056129C"/>
    <w:rsid w:val="00614DBE"/>
    <w:rsid w:val="00622283"/>
    <w:rsid w:val="0063055B"/>
    <w:rsid w:val="006551D2"/>
    <w:rsid w:val="0067704E"/>
    <w:rsid w:val="00752DDA"/>
    <w:rsid w:val="00757763"/>
    <w:rsid w:val="007E0840"/>
    <w:rsid w:val="008B5A49"/>
    <w:rsid w:val="00931A98"/>
    <w:rsid w:val="009823A6"/>
    <w:rsid w:val="00A10005"/>
    <w:rsid w:val="00A26365"/>
    <w:rsid w:val="00A44D18"/>
    <w:rsid w:val="00AC7C8F"/>
    <w:rsid w:val="00B23160"/>
    <w:rsid w:val="00CE1F22"/>
    <w:rsid w:val="00D104E2"/>
    <w:rsid w:val="00E000B7"/>
    <w:rsid w:val="00E05AD3"/>
    <w:rsid w:val="00E756E2"/>
    <w:rsid w:val="00F43E3F"/>
    <w:rsid w:val="00F6415F"/>
    <w:rsid w:val="00FF4B4C"/>
    <w:rsid w:val="01695955"/>
    <w:rsid w:val="01D408F4"/>
    <w:rsid w:val="027A5940"/>
    <w:rsid w:val="02987B74"/>
    <w:rsid w:val="02F97B00"/>
    <w:rsid w:val="036A646D"/>
    <w:rsid w:val="03B93666"/>
    <w:rsid w:val="03BA5B61"/>
    <w:rsid w:val="03BE360A"/>
    <w:rsid w:val="03E219EE"/>
    <w:rsid w:val="044B4AF6"/>
    <w:rsid w:val="044E498E"/>
    <w:rsid w:val="04E51C24"/>
    <w:rsid w:val="05513A31"/>
    <w:rsid w:val="05572D7F"/>
    <w:rsid w:val="055C132D"/>
    <w:rsid w:val="055F2128"/>
    <w:rsid w:val="061F2CD6"/>
    <w:rsid w:val="062E3F1D"/>
    <w:rsid w:val="0636392C"/>
    <w:rsid w:val="068F3F23"/>
    <w:rsid w:val="075B5D40"/>
    <w:rsid w:val="078F1268"/>
    <w:rsid w:val="08646A8E"/>
    <w:rsid w:val="08A119AE"/>
    <w:rsid w:val="08CA0292"/>
    <w:rsid w:val="08D51B22"/>
    <w:rsid w:val="08F54E38"/>
    <w:rsid w:val="08FA5590"/>
    <w:rsid w:val="09E6481E"/>
    <w:rsid w:val="0ADF27E4"/>
    <w:rsid w:val="0B0C10FF"/>
    <w:rsid w:val="0B8B574F"/>
    <w:rsid w:val="0CEC5C79"/>
    <w:rsid w:val="0D1B1ACD"/>
    <w:rsid w:val="0D214712"/>
    <w:rsid w:val="0D246BD4"/>
    <w:rsid w:val="0D59531C"/>
    <w:rsid w:val="0E353664"/>
    <w:rsid w:val="0E5434E9"/>
    <w:rsid w:val="0EA71E5A"/>
    <w:rsid w:val="0ECD2F96"/>
    <w:rsid w:val="0ED32660"/>
    <w:rsid w:val="0EF34AB0"/>
    <w:rsid w:val="0F0F2946"/>
    <w:rsid w:val="0F994181"/>
    <w:rsid w:val="0FE964E2"/>
    <w:rsid w:val="0FFF686D"/>
    <w:rsid w:val="10D168C4"/>
    <w:rsid w:val="10D431D5"/>
    <w:rsid w:val="10FE773C"/>
    <w:rsid w:val="118D6B09"/>
    <w:rsid w:val="11DA5AB3"/>
    <w:rsid w:val="134C20C4"/>
    <w:rsid w:val="138F10FE"/>
    <w:rsid w:val="13C952C9"/>
    <w:rsid w:val="13F700A6"/>
    <w:rsid w:val="14546E50"/>
    <w:rsid w:val="14914DD4"/>
    <w:rsid w:val="149E6CA8"/>
    <w:rsid w:val="15D265C4"/>
    <w:rsid w:val="16135A37"/>
    <w:rsid w:val="161D68B6"/>
    <w:rsid w:val="16F07B27"/>
    <w:rsid w:val="17E07B9B"/>
    <w:rsid w:val="182201B4"/>
    <w:rsid w:val="18B76B4E"/>
    <w:rsid w:val="19123E25"/>
    <w:rsid w:val="197C0155"/>
    <w:rsid w:val="19E219A9"/>
    <w:rsid w:val="1A2521DD"/>
    <w:rsid w:val="1A817B0D"/>
    <w:rsid w:val="1AA9696A"/>
    <w:rsid w:val="1AD63C9F"/>
    <w:rsid w:val="1ADB27F6"/>
    <w:rsid w:val="1B0105E7"/>
    <w:rsid w:val="1B0167A6"/>
    <w:rsid w:val="1B174F9D"/>
    <w:rsid w:val="1BCF2401"/>
    <w:rsid w:val="1C766D20"/>
    <w:rsid w:val="1C8E406A"/>
    <w:rsid w:val="1CCE090A"/>
    <w:rsid w:val="1CD57357"/>
    <w:rsid w:val="1D9C4561"/>
    <w:rsid w:val="1DBA30A6"/>
    <w:rsid w:val="1EB15DEE"/>
    <w:rsid w:val="1ED043E0"/>
    <w:rsid w:val="1EE25178"/>
    <w:rsid w:val="1EF72A3E"/>
    <w:rsid w:val="1F43738D"/>
    <w:rsid w:val="2042042A"/>
    <w:rsid w:val="20806897"/>
    <w:rsid w:val="20B1649F"/>
    <w:rsid w:val="21E8421C"/>
    <w:rsid w:val="220D5A31"/>
    <w:rsid w:val="2215665B"/>
    <w:rsid w:val="22D33831"/>
    <w:rsid w:val="22FB1E36"/>
    <w:rsid w:val="233D2346"/>
    <w:rsid w:val="239C094E"/>
    <w:rsid w:val="23AD5EA6"/>
    <w:rsid w:val="245E6AA8"/>
    <w:rsid w:val="25262FBE"/>
    <w:rsid w:val="260E6A19"/>
    <w:rsid w:val="2611055F"/>
    <w:rsid w:val="265F7C74"/>
    <w:rsid w:val="268E067C"/>
    <w:rsid w:val="27552B59"/>
    <w:rsid w:val="27B8618D"/>
    <w:rsid w:val="28E63387"/>
    <w:rsid w:val="29053906"/>
    <w:rsid w:val="293700FD"/>
    <w:rsid w:val="299A0972"/>
    <w:rsid w:val="29F319B0"/>
    <w:rsid w:val="2A1738F0"/>
    <w:rsid w:val="2A614B6C"/>
    <w:rsid w:val="2A8757D8"/>
    <w:rsid w:val="2A993974"/>
    <w:rsid w:val="2BEC4909"/>
    <w:rsid w:val="2C985DD2"/>
    <w:rsid w:val="2CA64AB8"/>
    <w:rsid w:val="2CA8632F"/>
    <w:rsid w:val="2D3E1194"/>
    <w:rsid w:val="2D7124F1"/>
    <w:rsid w:val="2D962AC9"/>
    <w:rsid w:val="2DB73D7E"/>
    <w:rsid w:val="2EE5731B"/>
    <w:rsid w:val="2F197547"/>
    <w:rsid w:val="2F4F0B9A"/>
    <w:rsid w:val="2F5636D8"/>
    <w:rsid w:val="2F7E3224"/>
    <w:rsid w:val="2FEF49C8"/>
    <w:rsid w:val="2FF30679"/>
    <w:rsid w:val="2FFB15BE"/>
    <w:rsid w:val="300828A5"/>
    <w:rsid w:val="302F3016"/>
    <w:rsid w:val="30366BF2"/>
    <w:rsid w:val="30656A38"/>
    <w:rsid w:val="30C6669C"/>
    <w:rsid w:val="3107504E"/>
    <w:rsid w:val="310C3632"/>
    <w:rsid w:val="31880FE3"/>
    <w:rsid w:val="32010F74"/>
    <w:rsid w:val="32035418"/>
    <w:rsid w:val="321D3A6E"/>
    <w:rsid w:val="32673BD9"/>
    <w:rsid w:val="332C1A8F"/>
    <w:rsid w:val="34547EF7"/>
    <w:rsid w:val="35313546"/>
    <w:rsid w:val="353A716D"/>
    <w:rsid w:val="35E46651"/>
    <w:rsid w:val="3677302F"/>
    <w:rsid w:val="36D63791"/>
    <w:rsid w:val="36EA6FC8"/>
    <w:rsid w:val="37222922"/>
    <w:rsid w:val="377C2140"/>
    <w:rsid w:val="377E4FAF"/>
    <w:rsid w:val="37D10236"/>
    <w:rsid w:val="37E8067A"/>
    <w:rsid w:val="37F039D3"/>
    <w:rsid w:val="387862D1"/>
    <w:rsid w:val="388819BF"/>
    <w:rsid w:val="38AF1198"/>
    <w:rsid w:val="38C84008"/>
    <w:rsid w:val="38F829EA"/>
    <w:rsid w:val="3A2449CB"/>
    <w:rsid w:val="3AAD2E60"/>
    <w:rsid w:val="3B800BCA"/>
    <w:rsid w:val="3BF6745B"/>
    <w:rsid w:val="3C371BD0"/>
    <w:rsid w:val="3C812055"/>
    <w:rsid w:val="3C946469"/>
    <w:rsid w:val="3D941E63"/>
    <w:rsid w:val="3DA218FC"/>
    <w:rsid w:val="3DBD4357"/>
    <w:rsid w:val="3E7A5DA4"/>
    <w:rsid w:val="3E8308D2"/>
    <w:rsid w:val="3EB76FF8"/>
    <w:rsid w:val="3EBA2645"/>
    <w:rsid w:val="3ECA6D2C"/>
    <w:rsid w:val="3F386232"/>
    <w:rsid w:val="3F3D7724"/>
    <w:rsid w:val="3FCD30FD"/>
    <w:rsid w:val="4019120D"/>
    <w:rsid w:val="40AF7F21"/>
    <w:rsid w:val="40B05E0F"/>
    <w:rsid w:val="40B557B9"/>
    <w:rsid w:val="4105404B"/>
    <w:rsid w:val="410A340F"/>
    <w:rsid w:val="41526B64"/>
    <w:rsid w:val="41B076DA"/>
    <w:rsid w:val="424566C9"/>
    <w:rsid w:val="429B6FDC"/>
    <w:rsid w:val="42AC7142"/>
    <w:rsid w:val="43655275"/>
    <w:rsid w:val="43C64FAF"/>
    <w:rsid w:val="43D24211"/>
    <w:rsid w:val="43E651FC"/>
    <w:rsid w:val="440A03C3"/>
    <w:rsid w:val="4427252A"/>
    <w:rsid w:val="442B3331"/>
    <w:rsid w:val="445B67A6"/>
    <w:rsid w:val="4496320C"/>
    <w:rsid w:val="44B33FBF"/>
    <w:rsid w:val="44F248E6"/>
    <w:rsid w:val="451231DA"/>
    <w:rsid w:val="4523432D"/>
    <w:rsid w:val="45303661"/>
    <w:rsid w:val="459534C4"/>
    <w:rsid w:val="459B487C"/>
    <w:rsid w:val="45B778DE"/>
    <w:rsid w:val="45D3296A"/>
    <w:rsid w:val="460B3884"/>
    <w:rsid w:val="473F5DDD"/>
    <w:rsid w:val="47490A0A"/>
    <w:rsid w:val="477041E8"/>
    <w:rsid w:val="4796261D"/>
    <w:rsid w:val="47D93B3C"/>
    <w:rsid w:val="47EC1AC1"/>
    <w:rsid w:val="47F44E19"/>
    <w:rsid w:val="47FA57B0"/>
    <w:rsid w:val="4840005F"/>
    <w:rsid w:val="48951961"/>
    <w:rsid w:val="49C344E0"/>
    <w:rsid w:val="49C65F43"/>
    <w:rsid w:val="4A266DE0"/>
    <w:rsid w:val="4A407EA2"/>
    <w:rsid w:val="4A486353"/>
    <w:rsid w:val="4A9B5A20"/>
    <w:rsid w:val="4B4D15D7"/>
    <w:rsid w:val="4B9F4FDD"/>
    <w:rsid w:val="4BC0573E"/>
    <w:rsid w:val="4BEE0E98"/>
    <w:rsid w:val="4C003EEC"/>
    <w:rsid w:val="4CF66F3E"/>
    <w:rsid w:val="4D1614DE"/>
    <w:rsid w:val="4D7D140D"/>
    <w:rsid w:val="4D9D385D"/>
    <w:rsid w:val="4DA4699A"/>
    <w:rsid w:val="4DAE15C6"/>
    <w:rsid w:val="4E4F6905"/>
    <w:rsid w:val="4E98094C"/>
    <w:rsid w:val="4EB470B0"/>
    <w:rsid w:val="4EE8448F"/>
    <w:rsid w:val="4F4259B2"/>
    <w:rsid w:val="4F8D5578"/>
    <w:rsid w:val="4FD40505"/>
    <w:rsid w:val="4FDE84CB"/>
    <w:rsid w:val="507620B9"/>
    <w:rsid w:val="507B60D8"/>
    <w:rsid w:val="50F639B0"/>
    <w:rsid w:val="5119144D"/>
    <w:rsid w:val="51280258"/>
    <w:rsid w:val="516E79EA"/>
    <w:rsid w:val="51756E0B"/>
    <w:rsid w:val="519928C8"/>
    <w:rsid w:val="51B51175"/>
    <w:rsid w:val="523C1897"/>
    <w:rsid w:val="526605EB"/>
    <w:rsid w:val="529B516A"/>
    <w:rsid w:val="5338205E"/>
    <w:rsid w:val="534327B1"/>
    <w:rsid w:val="5372418F"/>
    <w:rsid w:val="53C5766A"/>
    <w:rsid w:val="53DD3B85"/>
    <w:rsid w:val="54956F96"/>
    <w:rsid w:val="56051371"/>
    <w:rsid w:val="56A33C92"/>
    <w:rsid w:val="56B74CF8"/>
    <w:rsid w:val="56C63E25"/>
    <w:rsid w:val="56DA744F"/>
    <w:rsid w:val="56F40992"/>
    <w:rsid w:val="573B036F"/>
    <w:rsid w:val="575F1095"/>
    <w:rsid w:val="57692CF1"/>
    <w:rsid w:val="57AE6D93"/>
    <w:rsid w:val="581A2410"/>
    <w:rsid w:val="581A5ED7"/>
    <w:rsid w:val="583D1EC5"/>
    <w:rsid w:val="58A41775"/>
    <w:rsid w:val="58D77C23"/>
    <w:rsid w:val="58E97957"/>
    <w:rsid w:val="591C41D0"/>
    <w:rsid w:val="59271254"/>
    <w:rsid w:val="59F54C92"/>
    <w:rsid w:val="5A0B1340"/>
    <w:rsid w:val="5A24333C"/>
    <w:rsid w:val="5A2B28D0"/>
    <w:rsid w:val="5A9D7CB2"/>
    <w:rsid w:val="5AB16AF8"/>
    <w:rsid w:val="5AB75F5E"/>
    <w:rsid w:val="5AC57630"/>
    <w:rsid w:val="5ADD6D24"/>
    <w:rsid w:val="5B2B7ED3"/>
    <w:rsid w:val="5B640F33"/>
    <w:rsid w:val="5BAE2C31"/>
    <w:rsid w:val="5C2238AB"/>
    <w:rsid w:val="5C242A3E"/>
    <w:rsid w:val="5C4D0717"/>
    <w:rsid w:val="5C6410B3"/>
    <w:rsid w:val="5CD0199A"/>
    <w:rsid w:val="5D647EF4"/>
    <w:rsid w:val="5D7A1CD7"/>
    <w:rsid w:val="5DA67D6D"/>
    <w:rsid w:val="5DFF2818"/>
    <w:rsid w:val="5E2F4A8F"/>
    <w:rsid w:val="5E3C554A"/>
    <w:rsid w:val="5E59557E"/>
    <w:rsid w:val="5F9C5E4C"/>
    <w:rsid w:val="603D7BC0"/>
    <w:rsid w:val="604469CE"/>
    <w:rsid w:val="60D94755"/>
    <w:rsid w:val="610D2D79"/>
    <w:rsid w:val="612E5056"/>
    <w:rsid w:val="6150543A"/>
    <w:rsid w:val="61930A77"/>
    <w:rsid w:val="61EB2991"/>
    <w:rsid w:val="62A0377C"/>
    <w:rsid w:val="62C06917"/>
    <w:rsid w:val="62E843D5"/>
    <w:rsid w:val="630B6281"/>
    <w:rsid w:val="6324615B"/>
    <w:rsid w:val="636B628A"/>
    <w:rsid w:val="63954BE0"/>
    <w:rsid w:val="643644C2"/>
    <w:rsid w:val="64370110"/>
    <w:rsid w:val="657B5375"/>
    <w:rsid w:val="662841B4"/>
    <w:rsid w:val="66546D57"/>
    <w:rsid w:val="666845B1"/>
    <w:rsid w:val="66D439F4"/>
    <w:rsid w:val="66DD3784"/>
    <w:rsid w:val="66FA190D"/>
    <w:rsid w:val="67661B93"/>
    <w:rsid w:val="67B41533"/>
    <w:rsid w:val="67F105D6"/>
    <w:rsid w:val="67F82B71"/>
    <w:rsid w:val="68246BFD"/>
    <w:rsid w:val="68F96F46"/>
    <w:rsid w:val="69391E5C"/>
    <w:rsid w:val="69AB1384"/>
    <w:rsid w:val="69CE0AFD"/>
    <w:rsid w:val="6A1D1B56"/>
    <w:rsid w:val="6A367E98"/>
    <w:rsid w:val="6A4964A7"/>
    <w:rsid w:val="6A7E25F5"/>
    <w:rsid w:val="6A8E28D5"/>
    <w:rsid w:val="6AE305E5"/>
    <w:rsid w:val="6B014FD4"/>
    <w:rsid w:val="6B732EB8"/>
    <w:rsid w:val="6B7A5599"/>
    <w:rsid w:val="6BC90AF3"/>
    <w:rsid w:val="6C6677E4"/>
    <w:rsid w:val="6C6A0E20"/>
    <w:rsid w:val="6C786C47"/>
    <w:rsid w:val="6CAB201D"/>
    <w:rsid w:val="6CB527DF"/>
    <w:rsid w:val="6CF941B4"/>
    <w:rsid w:val="6D013069"/>
    <w:rsid w:val="6DFF3A4C"/>
    <w:rsid w:val="6E133B3C"/>
    <w:rsid w:val="6E166FE8"/>
    <w:rsid w:val="6E3A0F28"/>
    <w:rsid w:val="6EC10D02"/>
    <w:rsid w:val="6FBB7E47"/>
    <w:rsid w:val="709224C4"/>
    <w:rsid w:val="70EC7B43"/>
    <w:rsid w:val="71014508"/>
    <w:rsid w:val="71093CFD"/>
    <w:rsid w:val="71193A93"/>
    <w:rsid w:val="714D2D21"/>
    <w:rsid w:val="71970C76"/>
    <w:rsid w:val="71E32DAB"/>
    <w:rsid w:val="727349D0"/>
    <w:rsid w:val="72734F9A"/>
    <w:rsid w:val="72936A5B"/>
    <w:rsid w:val="73557A33"/>
    <w:rsid w:val="737C5B3F"/>
    <w:rsid w:val="73C2407E"/>
    <w:rsid w:val="73C3418E"/>
    <w:rsid w:val="74746816"/>
    <w:rsid w:val="7516167C"/>
    <w:rsid w:val="75846F2D"/>
    <w:rsid w:val="76447089"/>
    <w:rsid w:val="770E6AAE"/>
    <w:rsid w:val="77426FD8"/>
    <w:rsid w:val="77732DB5"/>
    <w:rsid w:val="77813724"/>
    <w:rsid w:val="77E25935"/>
    <w:rsid w:val="780A371A"/>
    <w:rsid w:val="783243B6"/>
    <w:rsid w:val="785E34A6"/>
    <w:rsid w:val="787B4617"/>
    <w:rsid w:val="79786DA9"/>
    <w:rsid w:val="797A147A"/>
    <w:rsid w:val="799534B7"/>
    <w:rsid w:val="7B38733B"/>
    <w:rsid w:val="7B430CF1"/>
    <w:rsid w:val="7BC617DD"/>
    <w:rsid w:val="7BC9569A"/>
    <w:rsid w:val="7BCC4F67"/>
    <w:rsid w:val="7C0E4D1C"/>
    <w:rsid w:val="7D957F29"/>
    <w:rsid w:val="7D9F66B2"/>
    <w:rsid w:val="7DD963E0"/>
    <w:rsid w:val="7EC16AFC"/>
    <w:rsid w:val="7F8F11DE"/>
    <w:rsid w:val="7F9076DB"/>
    <w:rsid w:val="7FFE26F2"/>
    <w:rsid w:val="DFBD7354"/>
    <w:rsid w:val="E53E9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0"/>
    <w:pPr>
      <w:keepNext/>
      <w:keepLines/>
      <w:spacing w:before="220" w:after="210" w:line="480" w:lineRule="auto"/>
      <w:jc w:val="center"/>
      <w:outlineLvl w:val="0"/>
    </w:pPr>
    <w:rPr>
      <w:b/>
      <w:kern w:val="44"/>
      <w:sz w:val="44"/>
    </w:rPr>
  </w:style>
  <w:style w:type="paragraph" w:styleId="4">
    <w:name w:val="heading 2"/>
    <w:basedOn w:val="1"/>
    <w:next w:val="1"/>
    <w:link w:val="48"/>
    <w:autoRedefine/>
    <w:unhideWhenUsed/>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49"/>
    <w:unhideWhenUsed/>
    <w:qFormat/>
    <w:uiPriority w:val="0"/>
    <w:pPr>
      <w:keepNext/>
      <w:keepLines/>
      <w:spacing w:before="260" w:after="260" w:line="410" w:lineRule="auto"/>
      <w:outlineLvl w:val="2"/>
    </w:pPr>
    <w:rPr>
      <w:b/>
      <w:sz w:val="32"/>
    </w:rPr>
  </w:style>
  <w:style w:type="paragraph" w:styleId="6">
    <w:name w:val="heading 4"/>
    <w:basedOn w:val="1"/>
    <w:next w:val="1"/>
    <w:link w:val="50"/>
    <w:unhideWhenUsed/>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51"/>
    <w:autoRedefine/>
    <w:unhideWhenUsed/>
    <w:qFormat/>
    <w:uiPriority w:val="0"/>
    <w:pPr>
      <w:keepNext/>
      <w:keepLines/>
      <w:spacing w:before="280" w:after="290" w:line="374" w:lineRule="auto"/>
      <w:outlineLvl w:val="4"/>
    </w:pPr>
    <w:rPr>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8">
    <w:name w:val="Normal Indent"/>
    <w:basedOn w:val="1"/>
    <w:qFormat/>
    <w:uiPriority w:val="0"/>
    <w:pPr>
      <w:ind w:firstLine="420"/>
    </w:pPr>
  </w:style>
  <w:style w:type="paragraph" w:styleId="9">
    <w:name w:val="Document Map"/>
    <w:basedOn w:val="1"/>
    <w:link w:val="62"/>
    <w:unhideWhenUsed/>
    <w:qFormat/>
    <w:uiPriority w:val="0"/>
    <w:rPr>
      <w:rFonts w:ascii="宋体"/>
      <w:sz w:val="18"/>
      <w:szCs w:val="18"/>
    </w:rPr>
  </w:style>
  <w:style w:type="paragraph" w:styleId="10">
    <w:name w:val="annotation text"/>
    <w:basedOn w:val="1"/>
    <w:link w:val="53"/>
    <w:unhideWhenUsed/>
    <w:qFormat/>
    <w:uiPriority w:val="0"/>
    <w:pPr>
      <w:jc w:val="left"/>
    </w:pPr>
  </w:style>
  <w:style w:type="paragraph" w:styleId="11">
    <w:name w:val="Body Text 3"/>
    <w:basedOn w:val="1"/>
    <w:link w:val="60"/>
    <w:unhideWhenUsed/>
    <w:qFormat/>
    <w:uiPriority w:val="0"/>
    <w:pPr>
      <w:spacing w:after="120"/>
    </w:pPr>
    <w:rPr>
      <w:sz w:val="16"/>
      <w:szCs w:val="16"/>
    </w:rPr>
  </w:style>
  <w:style w:type="paragraph" w:styleId="12">
    <w:name w:val="Body Text"/>
    <w:basedOn w:val="1"/>
    <w:next w:val="13"/>
    <w:link w:val="57"/>
    <w:unhideWhenUsed/>
    <w:qFormat/>
    <w:uiPriority w:val="0"/>
    <w:rPr>
      <w:rFonts w:eastAsia="楷体_GB2312"/>
      <w:sz w:val="30"/>
    </w:rPr>
  </w:style>
  <w:style w:type="paragraph" w:styleId="13">
    <w:name w:val="Body Text First Indent"/>
    <w:basedOn w:val="12"/>
    <w:autoRedefine/>
    <w:qFormat/>
    <w:uiPriority w:val="0"/>
    <w:pPr>
      <w:spacing w:line="240" w:lineRule="auto"/>
      <w:ind w:firstLine="420"/>
    </w:pPr>
    <w:rPr>
      <w:rFonts w:eastAsia="楷体_GB2312"/>
      <w:sz w:val="32"/>
    </w:rPr>
  </w:style>
  <w:style w:type="paragraph" w:styleId="14">
    <w:name w:val="Body Text Indent"/>
    <w:basedOn w:val="1"/>
    <w:next w:val="1"/>
    <w:link w:val="58"/>
    <w:autoRedefine/>
    <w:unhideWhenUsed/>
    <w:qFormat/>
    <w:uiPriority w:val="0"/>
    <w:pPr>
      <w:spacing w:after="120"/>
      <w:ind w:left="200" w:leftChars="200"/>
    </w:pPr>
  </w:style>
  <w:style w:type="paragraph" w:styleId="15">
    <w:name w:val="Plain Text"/>
    <w:basedOn w:val="1"/>
    <w:link w:val="63"/>
    <w:unhideWhenUsed/>
    <w:qFormat/>
    <w:uiPriority w:val="0"/>
    <w:rPr>
      <w:rFonts w:ascii="宋体"/>
    </w:rPr>
  </w:style>
  <w:style w:type="paragraph" w:styleId="16">
    <w:name w:val="Date"/>
    <w:basedOn w:val="1"/>
    <w:next w:val="1"/>
    <w:link w:val="59"/>
    <w:autoRedefine/>
    <w:unhideWhenUsed/>
    <w:qFormat/>
    <w:uiPriority w:val="0"/>
    <w:pPr>
      <w:ind w:left="2500" w:leftChars="2500"/>
    </w:pPr>
    <w:rPr>
      <w:sz w:val="36"/>
    </w:rPr>
  </w:style>
  <w:style w:type="paragraph" w:styleId="17">
    <w:name w:val="Body Text Indent 2"/>
    <w:basedOn w:val="1"/>
    <w:link w:val="61"/>
    <w:autoRedefine/>
    <w:unhideWhenUsed/>
    <w:qFormat/>
    <w:uiPriority w:val="0"/>
    <w:pPr>
      <w:spacing w:after="120" w:line="480" w:lineRule="auto"/>
      <w:ind w:left="200" w:leftChars="200"/>
    </w:pPr>
  </w:style>
  <w:style w:type="paragraph" w:styleId="18">
    <w:name w:val="Balloon Text"/>
    <w:basedOn w:val="1"/>
    <w:link w:val="64"/>
    <w:autoRedefine/>
    <w:unhideWhenUsed/>
    <w:qFormat/>
    <w:uiPriority w:val="0"/>
    <w:rPr>
      <w:sz w:val="18"/>
    </w:rPr>
  </w:style>
  <w:style w:type="paragraph" w:styleId="19">
    <w:name w:val="footer"/>
    <w:basedOn w:val="1"/>
    <w:link w:val="55"/>
    <w:unhideWhenUsed/>
    <w:qFormat/>
    <w:uiPriority w:val="0"/>
    <w:pPr>
      <w:tabs>
        <w:tab w:val="center" w:pos="4153"/>
        <w:tab w:val="right" w:pos="8306"/>
      </w:tabs>
      <w:snapToGrid w:val="0"/>
      <w:jc w:val="left"/>
    </w:pPr>
    <w:rPr>
      <w:sz w:val="18"/>
    </w:rPr>
  </w:style>
  <w:style w:type="paragraph" w:styleId="20">
    <w:name w:val="header"/>
    <w:basedOn w:val="1"/>
    <w:link w:val="54"/>
    <w:unhideWhenUsed/>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0"/>
  </w:style>
  <w:style w:type="paragraph" w:styleId="22">
    <w:name w:val="footnote text"/>
    <w:basedOn w:val="1"/>
    <w:link w:val="52"/>
    <w:autoRedefine/>
    <w:unhideWhenUsed/>
    <w:qFormat/>
    <w:uiPriority w:val="0"/>
    <w:pPr>
      <w:snapToGrid w:val="0"/>
      <w:jc w:val="left"/>
    </w:pPr>
    <w:rPr>
      <w:rFonts w:ascii="Calibri" w:hAnsi="Calibri"/>
      <w:sz w:val="18"/>
      <w:szCs w:val="18"/>
    </w:rPr>
  </w:style>
  <w:style w:type="paragraph" w:styleId="23">
    <w:name w:val="toc 9"/>
    <w:basedOn w:val="1"/>
    <w:next w:val="1"/>
    <w:autoRedefine/>
    <w:unhideWhenUsed/>
    <w:qFormat/>
    <w:uiPriority w:val="0"/>
    <w:pPr>
      <w:ind w:left="3360"/>
    </w:pPr>
  </w:style>
  <w:style w:type="paragraph" w:styleId="2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5">
    <w:name w:val="Normal (Web)"/>
    <w:basedOn w:val="1"/>
    <w:unhideWhenUsed/>
    <w:qFormat/>
    <w:uiPriority w:val="0"/>
    <w:pPr>
      <w:widowControl/>
      <w:spacing w:before="100" w:beforeAutospacing="1" w:after="100" w:afterAutospacing="1"/>
      <w:jc w:val="left"/>
    </w:pPr>
    <w:rPr>
      <w:rFonts w:ascii="宋体"/>
      <w:kern w:val="0"/>
      <w:sz w:val="24"/>
    </w:rPr>
  </w:style>
  <w:style w:type="paragraph" w:styleId="26">
    <w:name w:val="annotation subject"/>
    <w:basedOn w:val="10"/>
    <w:next w:val="10"/>
    <w:link w:val="92"/>
    <w:unhideWhenUsed/>
    <w:qFormat/>
    <w:uiPriority w:val="99"/>
    <w:rPr>
      <w:b/>
      <w:bCs/>
    </w:rPr>
  </w:style>
  <w:style w:type="paragraph" w:styleId="27">
    <w:name w:val="Body Text First Indent 2"/>
    <w:basedOn w:val="14"/>
    <w:autoRedefine/>
    <w:qFormat/>
    <w:uiPriority w:val="0"/>
    <w:pPr>
      <w:spacing w:after="120"/>
      <w:ind w:left="420" w:leftChars="200" w:firstLine="420" w:firstLineChars="200"/>
    </w:pPr>
    <w:rPr>
      <w:rFonts w:ascii="Times New Roman"/>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rFonts w:ascii="微软雅黑" w:hAnsi="微软雅黑" w:eastAsia="微软雅黑" w:cs="微软雅黑"/>
      <w:color w:val="02396F"/>
      <w:u w:val="singl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unhideWhenUsed/>
    <w:qFormat/>
    <w:uiPriority w:val="0"/>
    <w:rPr>
      <w:color w:val="0000FF"/>
      <w:u w:val="single"/>
    </w:rPr>
  </w:style>
  <w:style w:type="character" w:styleId="39">
    <w:name w:val="HTML Code"/>
    <w:basedOn w:val="30"/>
    <w:semiHidden/>
    <w:unhideWhenUsed/>
    <w:qFormat/>
    <w:uiPriority w:val="99"/>
    <w:rPr>
      <w:rFonts w:ascii="monospace" w:hAnsi="monospace" w:eastAsia="monospace" w:cs="monospace"/>
      <w:sz w:val="20"/>
    </w:rPr>
  </w:style>
  <w:style w:type="character" w:styleId="40">
    <w:name w:val="annotation reference"/>
    <w:basedOn w:val="30"/>
    <w:unhideWhenUsed/>
    <w:qFormat/>
    <w:uiPriority w:val="99"/>
    <w:rPr>
      <w:sz w:val="21"/>
      <w:szCs w:val="21"/>
    </w:rPr>
  </w:style>
  <w:style w:type="character" w:styleId="41">
    <w:name w:val="HTML Cite"/>
    <w:basedOn w:val="30"/>
    <w:semiHidden/>
    <w:unhideWhenUsed/>
    <w:qFormat/>
    <w:uiPriority w:val="99"/>
  </w:style>
  <w:style w:type="character" w:styleId="42">
    <w:name w:val="footnote reference"/>
    <w:unhideWhenUsed/>
    <w:qFormat/>
    <w:uiPriority w:val="0"/>
    <w:rPr>
      <w:vertAlign w:val="superscript"/>
    </w:rPr>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style4"/>
    <w:basedOn w:val="1"/>
    <w:next w:val="46"/>
    <w:qFormat/>
    <w:uiPriority w:val="0"/>
    <w:pPr>
      <w:widowControl/>
      <w:autoSpaceDE/>
      <w:autoSpaceDN/>
      <w:spacing w:before="280" w:after="280" w:line="240" w:lineRule="auto"/>
      <w:ind w:left="0" w:firstLine="0"/>
      <w:jc w:val="both"/>
    </w:pPr>
    <w:rPr>
      <w:rFonts w:ascii="宋体" w:eastAsia="宋体"/>
      <w:sz w:val="18"/>
    </w:rPr>
  </w:style>
  <w:style w:type="paragraph" w:customStyle="1" w:styleId="46">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47">
    <w:name w:val="标题 1 Char"/>
    <w:basedOn w:val="30"/>
    <w:link w:val="3"/>
    <w:qFormat/>
    <w:uiPriority w:val="0"/>
    <w:rPr>
      <w:rFonts w:ascii="Times New Roman" w:hAnsi="Times New Roman" w:eastAsia="宋体" w:cs="Times New Roman"/>
      <w:b/>
      <w:kern w:val="44"/>
      <w:sz w:val="44"/>
      <w:szCs w:val="20"/>
    </w:rPr>
  </w:style>
  <w:style w:type="character" w:customStyle="1" w:styleId="48">
    <w:name w:val="标题 2 Char"/>
    <w:basedOn w:val="30"/>
    <w:link w:val="4"/>
    <w:semiHidden/>
    <w:qFormat/>
    <w:uiPriority w:val="0"/>
    <w:rPr>
      <w:rFonts w:ascii="Arial" w:hAnsi="Arial" w:eastAsia="黑体" w:cs="Times New Roman"/>
      <w:b/>
      <w:bCs/>
      <w:sz w:val="32"/>
      <w:szCs w:val="32"/>
    </w:rPr>
  </w:style>
  <w:style w:type="character" w:customStyle="1" w:styleId="49">
    <w:name w:val="标题 3 Char"/>
    <w:basedOn w:val="30"/>
    <w:link w:val="5"/>
    <w:semiHidden/>
    <w:qFormat/>
    <w:uiPriority w:val="0"/>
    <w:rPr>
      <w:rFonts w:ascii="Times New Roman" w:hAnsi="Times New Roman" w:eastAsia="宋体" w:cs="Times New Roman"/>
      <w:b/>
      <w:sz w:val="32"/>
      <w:szCs w:val="20"/>
    </w:rPr>
  </w:style>
  <w:style w:type="character" w:customStyle="1" w:styleId="50">
    <w:name w:val="标题 4 Char"/>
    <w:basedOn w:val="30"/>
    <w:link w:val="6"/>
    <w:semiHidden/>
    <w:qFormat/>
    <w:uiPriority w:val="0"/>
    <w:rPr>
      <w:rFonts w:ascii="Arial" w:hAnsi="Arial" w:eastAsia="黑体" w:cs="Times New Roman"/>
      <w:b/>
      <w:bCs/>
      <w:sz w:val="28"/>
      <w:szCs w:val="28"/>
    </w:rPr>
  </w:style>
  <w:style w:type="character" w:customStyle="1" w:styleId="51">
    <w:name w:val="标题 5 Char"/>
    <w:basedOn w:val="30"/>
    <w:link w:val="7"/>
    <w:semiHidden/>
    <w:qFormat/>
    <w:uiPriority w:val="0"/>
    <w:rPr>
      <w:rFonts w:ascii="Times New Roman" w:hAnsi="Times New Roman" w:eastAsia="宋体" w:cs="Times New Roman"/>
      <w:b/>
      <w:bCs/>
      <w:sz w:val="28"/>
      <w:szCs w:val="28"/>
    </w:rPr>
  </w:style>
  <w:style w:type="character" w:customStyle="1" w:styleId="52">
    <w:name w:val="脚注文本 Char"/>
    <w:basedOn w:val="30"/>
    <w:link w:val="22"/>
    <w:semiHidden/>
    <w:qFormat/>
    <w:uiPriority w:val="0"/>
    <w:rPr>
      <w:rFonts w:ascii="Calibri" w:hAnsi="Calibri" w:eastAsia="宋体" w:cs="Times New Roman"/>
      <w:sz w:val="18"/>
      <w:szCs w:val="18"/>
    </w:rPr>
  </w:style>
  <w:style w:type="character" w:customStyle="1" w:styleId="53">
    <w:name w:val="批注文字 Char"/>
    <w:basedOn w:val="30"/>
    <w:link w:val="10"/>
    <w:semiHidden/>
    <w:qFormat/>
    <w:uiPriority w:val="0"/>
    <w:rPr>
      <w:rFonts w:ascii="Times New Roman" w:hAnsi="Times New Roman" w:eastAsia="宋体" w:cs="Times New Roman"/>
      <w:szCs w:val="20"/>
    </w:rPr>
  </w:style>
  <w:style w:type="character" w:customStyle="1" w:styleId="54">
    <w:name w:val="页眉 Char"/>
    <w:basedOn w:val="30"/>
    <w:link w:val="20"/>
    <w:qFormat/>
    <w:uiPriority w:val="0"/>
    <w:rPr>
      <w:rFonts w:ascii="Times New Roman" w:hAnsi="Times New Roman" w:eastAsia="宋体" w:cs="Times New Roman"/>
      <w:sz w:val="18"/>
      <w:szCs w:val="20"/>
    </w:rPr>
  </w:style>
  <w:style w:type="character" w:customStyle="1" w:styleId="55">
    <w:name w:val="页脚 Char"/>
    <w:basedOn w:val="30"/>
    <w:link w:val="19"/>
    <w:semiHidden/>
    <w:qFormat/>
    <w:uiPriority w:val="0"/>
    <w:rPr>
      <w:rFonts w:ascii="Times New Roman" w:hAnsi="Times New Roman" w:eastAsia="宋体" w:cs="Times New Roman"/>
      <w:sz w:val="18"/>
      <w:szCs w:val="20"/>
    </w:rPr>
  </w:style>
  <w:style w:type="character" w:customStyle="1" w:styleId="56">
    <w:name w:val="标题 Char"/>
    <w:basedOn w:val="30"/>
    <w:link w:val="2"/>
    <w:qFormat/>
    <w:uiPriority w:val="0"/>
    <w:rPr>
      <w:rFonts w:ascii="Cambria" w:hAnsi="Cambria" w:eastAsia="宋体" w:cs="Times New Roman"/>
      <w:b/>
      <w:bCs/>
      <w:sz w:val="32"/>
      <w:szCs w:val="32"/>
    </w:rPr>
  </w:style>
  <w:style w:type="character" w:customStyle="1" w:styleId="57">
    <w:name w:val="正文文本 Char"/>
    <w:basedOn w:val="30"/>
    <w:link w:val="12"/>
    <w:semiHidden/>
    <w:qFormat/>
    <w:uiPriority w:val="0"/>
    <w:rPr>
      <w:rFonts w:ascii="Times New Roman" w:hAnsi="Times New Roman" w:eastAsia="楷体_GB2312" w:cs="Times New Roman"/>
      <w:sz w:val="30"/>
      <w:szCs w:val="20"/>
    </w:rPr>
  </w:style>
  <w:style w:type="character" w:customStyle="1" w:styleId="58">
    <w:name w:val="正文文本缩进 Char"/>
    <w:basedOn w:val="30"/>
    <w:link w:val="14"/>
    <w:semiHidden/>
    <w:qFormat/>
    <w:uiPriority w:val="0"/>
    <w:rPr>
      <w:rFonts w:ascii="Times New Roman" w:hAnsi="Times New Roman" w:eastAsia="宋体" w:cs="Times New Roman"/>
      <w:szCs w:val="20"/>
    </w:rPr>
  </w:style>
  <w:style w:type="character" w:customStyle="1" w:styleId="59">
    <w:name w:val="日期 Char"/>
    <w:basedOn w:val="30"/>
    <w:link w:val="16"/>
    <w:qFormat/>
    <w:uiPriority w:val="0"/>
    <w:rPr>
      <w:rFonts w:ascii="Times New Roman" w:hAnsi="Times New Roman" w:eastAsia="宋体" w:cs="Times New Roman"/>
      <w:sz w:val="36"/>
      <w:szCs w:val="20"/>
    </w:rPr>
  </w:style>
  <w:style w:type="character" w:customStyle="1" w:styleId="60">
    <w:name w:val="正文文本 3 Char"/>
    <w:basedOn w:val="30"/>
    <w:link w:val="11"/>
    <w:semiHidden/>
    <w:qFormat/>
    <w:uiPriority w:val="0"/>
    <w:rPr>
      <w:rFonts w:ascii="Times New Roman" w:hAnsi="Times New Roman" w:eastAsia="宋体" w:cs="Times New Roman"/>
      <w:sz w:val="16"/>
      <w:szCs w:val="16"/>
    </w:rPr>
  </w:style>
  <w:style w:type="character" w:customStyle="1" w:styleId="61">
    <w:name w:val="正文文本缩进 2 Char"/>
    <w:basedOn w:val="30"/>
    <w:link w:val="17"/>
    <w:semiHidden/>
    <w:qFormat/>
    <w:uiPriority w:val="0"/>
    <w:rPr>
      <w:rFonts w:ascii="Times New Roman" w:hAnsi="Times New Roman" w:eastAsia="宋体" w:cs="Times New Roman"/>
      <w:szCs w:val="20"/>
    </w:rPr>
  </w:style>
  <w:style w:type="character" w:customStyle="1" w:styleId="62">
    <w:name w:val="文档结构图 Char"/>
    <w:basedOn w:val="30"/>
    <w:link w:val="9"/>
    <w:semiHidden/>
    <w:qFormat/>
    <w:uiPriority w:val="0"/>
    <w:rPr>
      <w:rFonts w:ascii="宋体" w:hAnsi="Times New Roman" w:eastAsia="宋体" w:cs="Times New Roman"/>
      <w:sz w:val="18"/>
      <w:szCs w:val="18"/>
    </w:rPr>
  </w:style>
  <w:style w:type="character" w:customStyle="1" w:styleId="63">
    <w:name w:val="纯文本 Char"/>
    <w:basedOn w:val="30"/>
    <w:link w:val="15"/>
    <w:semiHidden/>
    <w:qFormat/>
    <w:uiPriority w:val="0"/>
    <w:rPr>
      <w:rFonts w:ascii="宋体" w:hAnsi="Times New Roman" w:eastAsia="宋体" w:cs="Times New Roman"/>
      <w:szCs w:val="20"/>
    </w:rPr>
  </w:style>
  <w:style w:type="character" w:customStyle="1" w:styleId="64">
    <w:name w:val="批注框文本 Char"/>
    <w:basedOn w:val="30"/>
    <w:link w:val="18"/>
    <w:semiHidden/>
    <w:qFormat/>
    <w:uiPriority w:val="0"/>
    <w:rPr>
      <w:rFonts w:ascii="Times New Roman" w:hAnsi="Times New Roman" w:eastAsia="宋体" w:cs="Times New Roman"/>
      <w:sz w:val="18"/>
      <w:szCs w:val="20"/>
    </w:rPr>
  </w:style>
  <w:style w:type="paragraph" w:customStyle="1" w:styleId="65">
    <w:name w:val="List Paragraph"/>
    <w:basedOn w:val="1"/>
    <w:qFormat/>
    <w:uiPriority w:val="0"/>
    <w:pPr>
      <w:ind w:firstLine="200" w:firstLineChars="200"/>
    </w:pPr>
    <w:rPr>
      <w:sz w:val="36"/>
    </w:rPr>
  </w:style>
  <w:style w:type="paragraph" w:customStyle="1" w:styleId="66">
    <w:name w:val="列出段落1"/>
    <w:next w:val="2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7">
    <w:name w:val="正文文本样式"/>
    <w:basedOn w:val="1"/>
    <w:qFormat/>
    <w:uiPriority w:val="0"/>
    <w:pPr>
      <w:spacing w:line="360" w:lineRule="auto"/>
      <w:ind w:firstLine="482"/>
    </w:pPr>
    <w:rPr>
      <w:rFonts w:cs="宋体"/>
      <w:sz w:val="24"/>
    </w:rPr>
  </w:style>
  <w:style w:type="paragraph" w:customStyle="1" w:styleId="68">
    <w:name w:val="章标题"/>
    <w:next w:val="1"/>
    <w:qFormat/>
    <w:uiPriority w:val="0"/>
    <w:pPr>
      <w:tabs>
        <w:tab w:val="left" w:pos="0"/>
      </w:tabs>
      <w:spacing w:beforeLines="50" w:afterLines="50"/>
      <w:ind w:left="1322" w:hanging="420"/>
      <w:jc w:val="both"/>
      <w:outlineLvl w:val="1"/>
    </w:pPr>
    <w:rPr>
      <w:rFonts w:ascii="黑体" w:hAnsi="Times New Roman" w:eastAsia="黑体" w:cs="Times New Roman"/>
      <w:sz w:val="21"/>
      <w:lang w:val="en-US" w:eastAsia="zh-CN" w:bidi="ar-SA"/>
    </w:rPr>
  </w:style>
  <w:style w:type="paragraph" w:customStyle="1" w:styleId="69">
    <w:name w:val="默认段落字体 Para Char"/>
    <w:basedOn w:val="1"/>
    <w:qFormat/>
    <w:uiPriority w:val="0"/>
    <w:rPr>
      <w:rFonts w:ascii="Tahoma" w:hAnsi="Tahoma"/>
      <w:sz w:val="24"/>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Char Char Char"/>
    <w:basedOn w:val="1"/>
    <w:qFormat/>
    <w:uiPriority w:val="0"/>
  </w:style>
  <w:style w:type="paragraph" w:customStyle="1" w:styleId="72">
    <w:name w:val="Char"/>
    <w:basedOn w:val="1"/>
    <w:qFormat/>
    <w:uiPriority w:val="0"/>
    <w:pPr>
      <w:adjustRightInd w:val="0"/>
      <w:spacing w:line="360" w:lineRule="auto"/>
    </w:pPr>
    <w:rPr>
      <w:kern w:val="0"/>
      <w:sz w:val="24"/>
    </w:rPr>
  </w:style>
  <w:style w:type="paragraph" w:customStyle="1" w:styleId="7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4">
    <w:name w:val="正文(首行缩进)"/>
    <w:basedOn w:val="1"/>
    <w:next w:val="1"/>
    <w:qFormat/>
    <w:uiPriority w:val="0"/>
    <w:pPr>
      <w:spacing w:before="120" w:line="360" w:lineRule="auto"/>
      <w:ind w:firstLine="200" w:firstLineChars="200"/>
    </w:pPr>
    <w:rPr>
      <w:sz w:val="24"/>
      <w:szCs w:val="24"/>
    </w:rPr>
  </w:style>
  <w:style w:type="paragraph" w:customStyle="1" w:styleId="75">
    <w:name w:val="List Paragraph1"/>
    <w:basedOn w:val="1"/>
    <w:qFormat/>
    <w:uiPriority w:val="0"/>
    <w:pPr>
      <w:ind w:firstLine="200" w:firstLineChars="200"/>
    </w:pPr>
    <w:rPr>
      <w:szCs w:val="24"/>
    </w:rPr>
  </w:style>
  <w:style w:type="paragraph" w:customStyle="1" w:styleId="76">
    <w:name w:val="项目符号1"/>
    <w:basedOn w:val="67"/>
    <w:qFormat/>
    <w:uiPriority w:val="0"/>
    <w:pPr>
      <w:tabs>
        <w:tab w:val="left" w:pos="0"/>
      </w:tabs>
      <w:ind w:left="902" w:hanging="420"/>
    </w:pPr>
  </w:style>
  <w:style w:type="paragraph" w:customStyle="1" w:styleId="77">
    <w:name w:val="项目编号1"/>
    <w:basedOn w:val="1"/>
    <w:qFormat/>
    <w:uiPriority w:val="0"/>
    <w:pPr>
      <w:tabs>
        <w:tab w:val="left" w:pos="0"/>
      </w:tabs>
      <w:spacing w:before="100" w:beforeAutospacing="1" w:after="100" w:afterAutospacing="1" w:line="360" w:lineRule="auto"/>
      <w:ind w:left="420" w:hanging="420"/>
    </w:pPr>
    <w:rPr>
      <w:sz w:val="24"/>
      <w:szCs w:val="24"/>
    </w:rPr>
  </w:style>
  <w:style w:type="paragraph" w:customStyle="1" w:styleId="78">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eastAsia="楷体_GB2312"/>
      <w:kern w:val="0"/>
      <w:sz w:val="24"/>
      <w:szCs w:val="24"/>
    </w:rPr>
  </w:style>
  <w:style w:type="paragraph" w:customStyle="1" w:styleId="80">
    <w:name w:val="pa-6"/>
    <w:basedOn w:val="1"/>
    <w:qFormat/>
    <w:uiPriority w:val="0"/>
    <w:pPr>
      <w:widowControl/>
      <w:spacing w:before="100" w:beforeAutospacing="1" w:after="100" w:afterAutospacing="1"/>
      <w:jc w:val="left"/>
    </w:pPr>
    <w:rPr>
      <w:kern w:val="0"/>
      <w:sz w:val="24"/>
      <w:szCs w:val="24"/>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82">
    <w:name w:val="白皮书 正文"/>
    <w:basedOn w:val="1"/>
    <w:qFormat/>
    <w:uiPriority w:val="0"/>
    <w:pPr>
      <w:spacing w:line="360" w:lineRule="auto"/>
      <w:ind w:firstLine="200" w:firstLineChars="200"/>
    </w:pPr>
    <w:rPr>
      <w:rFonts w:ascii="宋体"/>
      <w:kern w:val="0"/>
      <w:sz w:val="20"/>
    </w:rPr>
  </w:style>
  <w:style w:type="paragraph" w:customStyle="1" w:styleId="83">
    <w:name w:val="默认段落字体 Para Char Char Char Char"/>
    <w:basedOn w:val="1"/>
    <w:qFormat/>
    <w:uiPriority w:val="0"/>
  </w:style>
  <w:style w:type="paragraph" w:customStyle="1" w:styleId="84">
    <w:name w:val="项目符号2"/>
    <w:basedOn w:val="67"/>
    <w:qFormat/>
    <w:uiPriority w:val="0"/>
    <w:pPr>
      <w:tabs>
        <w:tab w:val="left" w:pos="0"/>
      </w:tabs>
      <w:ind w:left="902" w:hanging="420"/>
    </w:pPr>
  </w:style>
  <w:style w:type="paragraph" w:customStyle="1" w:styleId="85">
    <w:name w:val="Char1"/>
    <w:basedOn w:val="1"/>
    <w:qFormat/>
    <w:uiPriority w:val="0"/>
    <w:rPr>
      <w:rFonts w:ascii="Tahoma" w:hAnsi="Tahoma"/>
      <w:sz w:val="24"/>
    </w:rPr>
  </w:style>
  <w:style w:type="character" w:customStyle="1" w:styleId="86">
    <w:name w:val="g1481"/>
    <w:basedOn w:val="30"/>
    <w:qFormat/>
    <w:uiPriority w:val="0"/>
    <w:rPr>
      <w:color w:val="5F897B"/>
      <w:sz w:val="22"/>
    </w:rPr>
  </w:style>
  <w:style w:type="character" w:customStyle="1" w:styleId="87">
    <w:name w:val="label_list"/>
    <w:qFormat/>
    <w:uiPriority w:val="0"/>
  </w:style>
  <w:style w:type="character" w:customStyle="1" w:styleId="88">
    <w:name w:val="Title Char"/>
    <w:basedOn w:val="30"/>
    <w:qFormat/>
    <w:uiPriority w:val="0"/>
    <w:rPr>
      <w:rFonts w:hint="default" w:ascii="Cambria" w:hAnsi="Cambria" w:eastAsia="宋体" w:cs="Times New Roman"/>
      <w:b/>
      <w:bCs/>
      <w:sz w:val="32"/>
      <w:szCs w:val="32"/>
      <w:lang w:bidi="ar-SA"/>
    </w:rPr>
  </w:style>
  <w:style w:type="character" w:customStyle="1" w:styleId="89">
    <w:name w:val="font41"/>
    <w:qFormat/>
    <w:uiPriority w:val="0"/>
    <w:rPr>
      <w:rFonts w:hint="default" w:ascii="Wingdings 2" w:hAnsi="Wingdings 2" w:eastAsia="Wingdings 2" w:cs="Wingdings 2"/>
      <w:color w:val="000000"/>
      <w:sz w:val="20"/>
      <w:szCs w:val="20"/>
      <w:u w:val="none"/>
      <w:lang w:bidi="ar-SA"/>
    </w:rPr>
  </w:style>
  <w:style w:type="character" w:customStyle="1" w:styleId="90">
    <w:name w:val="font81"/>
    <w:qFormat/>
    <w:uiPriority w:val="0"/>
    <w:rPr>
      <w:rFonts w:hint="eastAsia" w:ascii="宋体" w:hAnsi="宋体" w:eastAsia="宋体" w:cs="宋体"/>
      <w:color w:val="000000"/>
      <w:sz w:val="20"/>
      <w:szCs w:val="20"/>
      <w:u w:val="none"/>
      <w:lang w:bidi="ar-SA"/>
    </w:rPr>
  </w:style>
  <w:style w:type="character" w:customStyle="1" w:styleId="91">
    <w:name w:val="font51"/>
    <w:qFormat/>
    <w:uiPriority w:val="0"/>
    <w:rPr>
      <w:rFonts w:hint="eastAsia" w:ascii="微软雅黑" w:hAnsi="微软雅黑" w:eastAsia="微软雅黑" w:cs="微软雅黑"/>
      <w:color w:val="000000"/>
      <w:sz w:val="20"/>
      <w:szCs w:val="20"/>
      <w:u w:val="none"/>
      <w:lang w:bidi="ar-SA"/>
    </w:rPr>
  </w:style>
  <w:style w:type="character" w:customStyle="1" w:styleId="92">
    <w:name w:val="批注主题 Char"/>
    <w:basedOn w:val="53"/>
    <w:link w:val="26"/>
    <w:semiHidden/>
    <w:qFormat/>
    <w:uiPriority w:val="99"/>
    <w:rPr>
      <w:rFonts w:ascii="Times New Roman" w:hAnsi="Times New Roman" w:eastAsia="宋体" w:cs="Times New Roman"/>
      <w:b/>
      <w:bCs/>
      <w:szCs w:val="20"/>
    </w:rPr>
  </w:style>
  <w:style w:type="paragraph" w:customStyle="1" w:styleId="93">
    <w:name w:val="p0"/>
    <w:basedOn w:val="1"/>
    <w:qFormat/>
    <w:uiPriority w:val="0"/>
    <w:pPr>
      <w:widowControl/>
    </w:pPr>
    <w:rPr>
      <w:rFonts w:ascii="Calibri" w:hAnsi="Calibri" w:cs="Calibri"/>
      <w:kern w:val="0"/>
      <w:szCs w:val="21"/>
    </w:rPr>
  </w:style>
  <w:style w:type="character" w:customStyle="1" w:styleId="94">
    <w:name w:val="font01"/>
    <w:basedOn w:val="30"/>
    <w:qFormat/>
    <w:uiPriority w:val="0"/>
    <w:rPr>
      <w:rFonts w:hint="eastAsia" w:ascii="宋体" w:hAnsi="宋体" w:eastAsia="宋体" w:cs="宋体"/>
      <w:color w:val="FF0000"/>
      <w:sz w:val="24"/>
      <w:szCs w:val="24"/>
      <w:u w:val="none"/>
    </w:rPr>
  </w:style>
  <w:style w:type="character" w:customStyle="1" w:styleId="95">
    <w:name w:val="redfilefwwh"/>
    <w:basedOn w:val="30"/>
    <w:qFormat/>
    <w:uiPriority w:val="0"/>
    <w:rPr>
      <w:color w:val="BA2636"/>
      <w:sz w:val="18"/>
      <w:szCs w:val="18"/>
    </w:rPr>
  </w:style>
  <w:style w:type="character" w:customStyle="1" w:styleId="96">
    <w:name w:val="redfilenumber"/>
    <w:basedOn w:val="30"/>
    <w:qFormat/>
    <w:uiPriority w:val="0"/>
    <w:rPr>
      <w:color w:val="BA2636"/>
      <w:sz w:val="18"/>
      <w:szCs w:val="18"/>
    </w:rPr>
  </w:style>
  <w:style w:type="character" w:customStyle="1" w:styleId="97">
    <w:name w:val="displayarti"/>
    <w:basedOn w:val="30"/>
    <w:qFormat/>
    <w:uiPriority w:val="0"/>
    <w:rPr>
      <w:color w:val="FFFFFF"/>
      <w:shd w:val="clear" w:fill="A00000"/>
    </w:rPr>
  </w:style>
  <w:style w:type="character" w:customStyle="1" w:styleId="98">
    <w:name w:val="gjfg"/>
    <w:basedOn w:val="30"/>
    <w:qFormat/>
    <w:uiPriority w:val="0"/>
  </w:style>
  <w:style w:type="character" w:customStyle="1" w:styleId="99">
    <w:name w:val="cfdate"/>
    <w:basedOn w:val="30"/>
    <w:qFormat/>
    <w:uiPriority w:val="0"/>
    <w:rPr>
      <w:color w:val="333333"/>
      <w:sz w:val="18"/>
      <w:szCs w:val="18"/>
    </w:rPr>
  </w:style>
  <w:style w:type="character" w:customStyle="1" w:styleId="100">
    <w:name w:val="qxdate"/>
    <w:basedOn w:val="30"/>
    <w:qFormat/>
    <w:uiPriority w:val="0"/>
    <w:rPr>
      <w:color w:val="333333"/>
      <w:sz w:val="18"/>
      <w:szCs w:val="18"/>
    </w:rPr>
  </w:style>
  <w:style w:type="paragraph" w:customStyle="1" w:styleId="101">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2">
    <w:name w:val="font131"/>
    <w:basedOn w:val="30"/>
    <w:qFormat/>
    <w:uiPriority w:val="0"/>
    <w:rPr>
      <w:rFonts w:ascii="font-weight : 400" w:hAnsi="font-weight : 400" w:eastAsia="font-weight : 400" w:cs="font-weight : 400"/>
      <w:color w:val="FF0000"/>
      <w:sz w:val="18"/>
      <w:szCs w:val="18"/>
      <w:u w:val="none"/>
    </w:rPr>
  </w:style>
  <w:style w:type="character" w:customStyle="1" w:styleId="103">
    <w:name w:val="font91"/>
    <w:basedOn w:val="30"/>
    <w:qFormat/>
    <w:uiPriority w:val="0"/>
    <w:rPr>
      <w:rFonts w:hint="eastAsia" w:ascii="宋体" w:hAnsi="宋体" w:eastAsia="宋体" w:cs="宋体"/>
      <w:color w:val="000000"/>
      <w:sz w:val="18"/>
      <w:szCs w:val="18"/>
      <w:u w:val="none"/>
    </w:rPr>
  </w:style>
  <w:style w:type="paragraph" w:customStyle="1" w:styleId="104">
    <w:name w:val="Table Paragraph"/>
    <w:basedOn w:val="1"/>
    <w:unhideWhenUsed/>
    <w:qFormat/>
    <w:uiPriority w:val="1"/>
    <w:pPr>
      <w:spacing w:beforeLines="0" w:afterLines="0"/>
    </w:pPr>
    <w:rPr>
      <w:rFonts w:hint="default"/>
      <w:sz w:val="24"/>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numPr>
        <w:ilvl w:val="0"/>
        <w:numId w:val="1"/>
      </w:numPr>
      <w:spacing w:line="360" w:lineRule="auto"/>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11009</Words>
  <Characters>11752</Characters>
  <Lines>366</Lines>
  <Paragraphs>103</Paragraphs>
  <TotalTime>156</TotalTime>
  <ScaleCrop>false</ScaleCrop>
  <LinksUpToDate>false</LinksUpToDate>
  <CharactersWithSpaces>11924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2018-08-09T01:30:00Z</dcterms:created>
  <dc:creator>apple</dc:creator>
  <cp:lastModifiedBy>卍</cp:lastModifiedBy>
  <cp:lastPrinted>2021-04-27T06:44:00Z</cp:lastPrinted>
  <dcterms:modified xsi:type="dcterms:W3CDTF">2025-06-20T04:13:15Z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9AE3460177DB464DA8222667A6211C84_13</vt:lpwstr>
  </property>
  <property fmtid="{D5CDD505-2E9C-101B-9397-08002B2CF9AE}" pid="4" name="KSOTemplateDocerSaveRecord">
    <vt:lpwstr>eyJoZGlkIjoiNmU4YzkxYzU0ZDI5MzcxMzAwN2JkMDcwZjJmOTE4NWQiLCJ1c2VySWQiOiI0NTAzOTY1NDcifQ==</vt:lpwstr>
  </property>
</Properties>
</file>