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0" w:lineRule="auto"/>
        <w:rPr>
          <w:color w:val="auto"/>
          <w:highlight w:val="none"/>
        </w:rPr>
      </w:pPr>
      <w:bookmarkStart w:id="0" w:name="OLE_LINK2"/>
      <w:bookmarkStart w:id="1" w:name="OLE_LINK4"/>
      <w:bookmarkStart w:id="2" w:name="OLE_LINK5"/>
      <w:bookmarkStart w:id="3" w:name="OLE_LINK6"/>
      <w:bookmarkStart w:id="4" w:name="OLE_LINK8"/>
      <w:bookmarkStart w:id="5" w:name="OLE_LINK9"/>
    </w:p>
    <w:p>
      <w:pPr>
        <w:spacing w:line="260" w:lineRule="auto"/>
        <w:rPr>
          <w:color w:val="auto"/>
          <w:highlight w:val="none"/>
        </w:rPr>
      </w:pPr>
    </w:p>
    <w:p>
      <w:pPr>
        <w:spacing w:line="260" w:lineRule="auto"/>
        <w:rPr>
          <w:color w:val="auto"/>
          <w:highlight w:val="none"/>
        </w:rPr>
      </w:pPr>
    </w:p>
    <w:p>
      <w:pPr>
        <w:jc w:val="center"/>
        <w:rPr>
          <w:rFonts w:ascii="宋体" w:hAnsi="宋体"/>
          <w:b/>
          <w:bCs/>
          <w:color w:val="auto"/>
          <w:sz w:val="48"/>
          <w:szCs w:val="48"/>
          <w:highlight w:val="none"/>
          <w:lang w:eastAsia="zh-CN"/>
        </w:rPr>
      </w:pPr>
      <w:r>
        <w:rPr>
          <w:rFonts w:hint="eastAsia" w:ascii="宋体" w:hAnsi="宋体" w:eastAsia="宋体"/>
          <w:b/>
          <w:bCs/>
          <w:color w:val="auto"/>
          <w:sz w:val="48"/>
          <w:szCs w:val="48"/>
          <w:highlight w:val="none"/>
          <w:lang w:eastAsia="zh-CN"/>
        </w:rPr>
        <w:t>梅河口市2025年大中型水库移民后期扶持专项资金项目监理服务</w:t>
      </w:r>
    </w:p>
    <w:p>
      <w:pPr>
        <w:rPr>
          <w:color w:val="auto"/>
          <w:highlight w:val="none"/>
          <w:lang w:eastAsia="zh-CN"/>
        </w:rPr>
      </w:pPr>
    </w:p>
    <w:p>
      <w:pPr>
        <w:rPr>
          <w:color w:val="auto"/>
          <w:highlight w:val="none"/>
          <w:lang w:eastAsia="zh-CN"/>
        </w:rPr>
      </w:pPr>
    </w:p>
    <w:p>
      <w:pPr>
        <w:rPr>
          <w:color w:val="auto"/>
          <w:highlight w:val="none"/>
          <w:lang w:eastAsia="zh-CN"/>
        </w:rPr>
      </w:pPr>
    </w:p>
    <w:p>
      <w:pPr>
        <w:rPr>
          <w:color w:val="auto"/>
          <w:highlight w:val="none"/>
          <w:lang w:eastAsia="zh-CN"/>
        </w:rPr>
      </w:pPr>
    </w:p>
    <w:p>
      <w:pPr>
        <w:rPr>
          <w:color w:val="auto"/>
          <w:highlight w:val="none"/>
          <w:lang w:eastAsia="zh-CN"/>
        </w:rPr>
      </w:pPr>
    </w:p>
    <w:p>
      <w:pPr>
        <w:rPr>
          <w:color w:val="auto"/>
          <w:highlight w:val="none"/>
          <w:lang w:eastAsia="zh-CN"/>
        </w:rPr>
      </w:pPr>
    </w:p>
    <w:p>
      <w:pPr>
        <w:rPr>
          <w:color w:val="auto"/>
          <w:highlight w:val="none"/>
          <w:lang w:eastAsia="zh-CN"/>
        </w:rPr>
      </w:pPr>
    </w:p>
    <w:p>
      <w:pPr>
        <w:rPr>
          <w:color w:val="auto"/>
          <w:highlight w:val="none"/>
          <w:lang w:eastAsia="zh-CN"/>
        </w:rPr>
      </w:pPr>
    </w:p>
    <w:p>
      <w:pPr>
        <w:pStyle w:val="2"/>
        <w:ind w:firstLine="480"/>
        <w:rPr>
          <w:rFonts w:hint="eastAsia"/>
          <w:color w:val="auto"/>
          <w:highlight w:val="none"/>
          <w:lang w:eastAsia="zh-CN"/>
        </w:rPr>
      </w:pPr>
    </w:p>
    <w:p>
      <w:pPr>
        <w:spacing w:line="360" w:lineRule="auto"/>
        <w:jc w:val="center"/>
        <w:rPr>
          <w:rFonts w:hint="eastAsia" w:ascii="黑体" w:hAnsi="黑体" w:eastAsia="黑体" w:cs="黑体"/>
          <w:b/>
          <w:bCs/>
          <w:color w:val="auto"/>
          <w:sz w:val="72"/>
          <w:szCs w:val="72"/>
          <w:highlight w:val="none"/>
          <w:lang w:eastAsia="zh-CN"/>
        </w:rPr>
      </w:pPr>
      <w:r>
        <w:rPr>
          <w:rFonts w:hint="eastAsia" w:ascii="黑体" w:hAnsi="黑体" w:eastAsia="黑体" w:cs="黑体"/>
          <w:b/>
          <w:bCs/>
          <w:color w:val="auto"/>
          <w:sz w:val="72"/>
          <w:szCs w:val="72"/>
          <w:highlight w:val="none"/>
          <w:lang w:eastAsia="zh-CN"/>
        </w:rPr>
        <w:t>竞争性磋商文件</w:t>
      </w:r>
    </w:p>
    <w:p>
      <w:pPr>
        <w:spacing w:line="600" w:lineRule="auto"/>
        <w:jc w:val="center"/>
        <w:rPr>
          <w:rFonts w:hint="eastAsia" w:ascii="宋体" w:hAnsi="宋体" w:eastAsiaTheme="minorEastAsia"/>
          <w:b/>
          <w:bCs/>
          <w:color w:val="auto"/>
          <w:sz w:val="28"/>
          <w:szCs w:val="32"/>
          <w:highlight w:val="none"/>
          <w:lang w:eastAsia="zh-CN"/>
        </w:rPr>
      </w:pPr>
      <w:r>
        <w:rPr>
          <w:rFonts w:hint="eastAsia" w:ascii="宋体" w:hAnsi="宋体"/>
          <w:b/>
          <w:bCs/>
          <w:color w:val="auto"/>
          <w:sz w:val="28"/>
          <w:szCs w:val="32"/>
          <w:highlight w:val="none"/>
          <w:lang w:eastAsia="zh-CN"/>
        </w:rPr>
        <w:t>项目编号：</w:t>
      </w:r>
      <w:r>
        <w:rPr>
          <w:rFonts w:hint="eastAsia" w:ascii="宋体" w:hAnsi="宋体" w:eastAsiaTheme="minorEastAsia"/>
          <w:b/>
          <w:bCs/>
          <w:color w:val="auto"/>
          <w:sz w:val="28"/>
          <w:szCs w:val="32"/>
          <w:highlight w:val="none"/>
          <w:lang w:eastAsia="zh-CN"/>
        </w:rPr>
        <w:t>JLHX2025-0701</w:t>
      </w:r>
    </w:p>
    <w:p>
      <w:pPr>
        <w:rPr>
          <w:rFonts w:hint="eastAsia" w:ascii="黑体" w:hAnsi="黑体" w:eastAsia="黑体" w:cs="黑体"/>
          <w:b/>
          <w:bCs/>
          <w:color w:val="auto"/>
          <w:sz w:val="32"/>
          <w:szCs w:val="32"/>
          <w:highlight w:val="none"/>
          <w:lang w:eastAsia="zh-CN"/>
        </w:rPr>
      </w:pPr>
    </w:p>
    <w:p>
      <w:pPr>
        <w:ind w:firstLine="964" w:firstLineChars="300"/>
        <w:rPr>
          <w:rFonts w:hint="eastAsia" w:ascii="黑体" w:hAnsi="黑体" w:eastAsia="黑体" w:cs="黑体"/>
          <w:b/>
          <w:bCs/>
          <w:color w:val="auto"/>
          <w:sz w:val="32"/>
          <w:szCs w:val="32"/>
          <w:highlight w:val="none"/>
          <w:lang w:eastAsia="zh-CN"/>
        </w:rPr>
      </w:pPr>
    </w:p>
    <w:p>
      <w:pPr>
        <w:ind w:firstLine="964" w:firstLineChars="300"/>
        <w:rPr>
          <w:rFonts w:hint="eastAsia" w:ascii="黑体" w:hAnsi="黑体" w:eastAsia="黑体" w:cs="黑体"/>
          <w:b/>
          <w:bCs/>
          <w:color w:val="auto"/>
          <w:sz w:val="32"/>
          <w:szCs w:val="32"/>
          <w:highlight w:val="none"/>
          <w:lang w:eastAsia="zh-CN"/>
        </w:rPr>
      </w:pPr>
    </w:p>
    <w:p>
      <w:pPr>
        <w:pStyle w:val="31"/>
        <w:ind w:firstLine="643"/>
        <w:rPr>
          <w:rFonts w:hint="eastAsia" w:ascii="黑体" w:hAnsi="黑体" w:eastAsia="黑体" w:cs="黑体"/>
          <w:b/>
          <w:bCs/>
          <w:color w:val="auto"/>
          <w:sz w:val="32"/>
          <w:szCs w:val="32"/>
          <w:highlight w:val="none"/>
        </w:rPr>
      </w:pPr>
    </w:p>
    <w:p>
      <w:pPr>
        <w:pStyle w:val="31"/>
        <w:ind w:firstLine="643"/>
        <w:rPr>
          <w:rFonts w:hint="eastAsia" w:ascii="黑体" w:hAnsi="黑体" w:eastAsia="黑体" w:cs="黑体"/>
          <w:b/>
          <w:bCs/>
          <w:color w:val="auto"/>
          <w:sz w:val="32"/>
          <w:szCs w:val="32"/>
          <w:highlight w:val="none"/>
        </w:rPr>
      </w:pPr>
    </w:p>
    <w:p>
      <w:pPr>
        <w:pStyle w:val="31"/>
        <w:ind w:firstLine="643"/>
        <w:rPr>
          <w:rFonts w:hint="eastAsia" w:ascii="黑体" w:hAnsi="黑体" w:eastAsia="黑体" w:cs="黑体"/>
          <w:b/>
          <w:bCs/>
          <w:color w:val="auto"/>
          <w:sz w:val="32"/>
          <w:szCs w:val="32"/>
          <w:highlight w:val="none"/>
        </w:rPr>
      </w:pPr>
    </w:p>
    <w:p>
      <w:pPr>
        <w:spacing w:line="360" w:lineRule="auto"/>
        <w:rPr>
          <w:rFonts w:ascii="宋体" w:hAnsi="宋体" w:cs="黑体"/>
          <w:b/>
          <w:bCs/>
          <w:color w:val="auto"/>
          <w:sz w:val="32"/>
          <w:szCs w:val="30"/>
          <w:highlight w:val="none"/>
          <w:lang w:eastAsia="zh-CN"/>
        </w:rPr>
      </w:pPr>
    </w:p>
    <w:p>
      <w:pPr>
        <w:pStyle w:val="31"/>
        <w:ind w:firstLine="643"/>
        <w:rPr>
          <w:rFonts w:hAnsi="宋体" w:cs="黑体"/>
          <w:b/>
          <w:bCs/>
          <w:color w:val="auto"/>
          <w:sz w:val="32"/>
          <w:szCs w:val="30"/>
          <w:highlight w:val="none"/>
        </w:rPr>
      </w:pPr>
    </w:p>
    <w:p>
      <w:pPr>
        <w:pStyle w:val="31"/>
        <w:ind w:firstLine="643"/>
        <w:rPr>
          <w:rFonts w:hAnsi="宋体" w:cs="黑体"/>
          <w:b/>
          <w:bCs/>
          <w:color w:val="auto"/>
          <w:sz w:val="32"/>
          <w:szCs w:val="30"/>
          <w:highlight w:val="none"/>
        </w:rPr>
      </w:pPr>
    </w:p>
    <w:p>
      <w:pPr>
        <w:spacing w:line="360" w:lineRule="auto"/>
        <w:ind w:left="0" w:leftChars="0" w:firstLine="1060" w:firstLineChars="331"/>
        <w:jc w:val="left"/>
        <w:rPr>
          <w:rFonts w:ascii="宋体" w:hAnsi="宋体" w:cs="黑体"/>
          <w:b/>
          <w:bCs/>
          <w:color w:val="auto"/>
          <w:sz w:val="32"/>
          <w:szCs w:val="30"/>
          <w:highlight w:val="none"/>
          <w:lang w:eastAsia="zh-CN"/>
        </w:rPr>
      </w:pPr>
      <w:r>
        <w:rPr>
          <w:rFonts w:hint="eastAsia" w:ascii="宋体" w:hAnsi="宋体" w:cs="黑体"/>
          <w:b/>
          <w:bCs/>
          <w:color w:val="auto"/>
          <w:sz w:val="32"/>
          <w:szCs w:val="30"/>
          <w:highlight w:val="none"/>
          <w:lang w:eastAsia="zh-CN"/>
        </w:rPr>
        <w:t>采购人：</w:t>
      </w:r>
      <w:r>
        <w:rPr>
          <w:rFonts w:hint="eastAsia" w:ascii="宋体" w:hAnsi="宋体" w:eastAsia="宋体" w:cs="宋体"/>
          <w:b/>
          <w:color w:val="auto"/>
          <w:sz w:val="32"/>
          <w:szCs w:val="32"/>
          <w:highlight w:val="none"/>
          <w:lang w:eastAsia="zh-CN"/>
        </w:rPr>
        <w:t>梅河口市水库移民服务中心</w:t>
      </w:r>
    </w:p>
    <w:p>
      <w:pPr>
        <w:spacing w:line="360" w:lineRule="auto"/>
        <w:ind w:left="0" w:leftChars="0" w:firstLine="1060" w:firstLineChars="331"/>
        <w:jc w:val="left"/>
        <w:rPr>
          <w:rFonts w:hint="eastAsia" w:ascii="黑体" w:hAnsi="黑体" w:eastAsia="黑体" w:cs="黑体"/>
          <w:b/>
          <w:bCs/>
          <w:color w:val="auto"/>
          <w:sz w:val="32"/>
          <w:szCs w:val="32"/>
          <w:highlight w:val="none"/>
          <w:lang w:eastAsia="zh-CN"/>
        </w:rPr>
      </w:pPr>
      <w:r>
        <w:rPr>
          <w:rFonts w:hint="eastAsia" w:ascii="宋体" w:hAnsi="宋体" w:cs="黑体"/>
          <w:b/>
          <w:bCs/>
          <w:color w:val="auto"/>
          <w:sz w:val="32"/>
          <w:szCs w:val="30"/>
          <w:highlight w:val="none"/>
          <w:lang w:eastAsia="zh-CN"/>
        </w:rPr>
        <w:t>采购代理机构：吉林省</w:t>
      </w:r>
      <w:r>
        <w:rPr>
          <w:rFonts w:hint="eastAsia" w:ascii="宋体" w:hAnsi="宋体" w:eastAsia="宋体" w:cs="宋体"/>
          <w:b/>
          <w:bCs/>
          <w:color w:val="auto"/>
          <w:sz w:val="32"/>
          <w:szCs w:val="30"/>
          <w:highlight w:val="none"/>
          <w:lang w:eastAsia="zh-CN"/>
        </w:rPr>
        <w:t>弘鑫工程建设招投标有限责任公司</w:t>
      </w:r>
    </w:p>
    <w:p>
      <w:pPr>
        <w:jc w:val="center"/>
        <w:rPr>
          <w:rFonts w:ascii="宋体" w:hAnsi="宋体" w:cs="黑体"/>
          <w:b/>
          <w:bCs/>
          <w:color w:val="auto"/>
          <w:sz w:val="32"/>
          <w:szCs w:val="30"/>
          <w:highlight w:val="none"/>
        </w:rPr>
      </w:pPr>
      <w:r>
        <w:rPr>
          <w:rFonts w:hint="eastAsia" w:ascii="宋体" w:hAnsi="宋体" w:cs="黑体"/>
          <w:b/>
          <w:bCs/>
          <w:color w:val="auto"/>
          <w:sz w:val="32"/>
          <w:szCs w:val="30"/>
          <w:highlight w:val="none"/>
        </w:rPr>
        <w:t>二〇二</w:t>
      </w:r>
      <w:r>
        <w:rPr>
          <w:rFonts w:hint="eastAsia" w:ascii="宋体" w:hAnsi="宋体" w:cs="黑体"/>
          <w:b/>
          <w:bCs/>
          <w:color w:val="auto"/>
          <w:sz w:val="32"/>
          <w:szCs w:val="30"/>
          <w:highlight w:val="none"/>
          <w:lang w:eastAsia="zh-CN"/>
        </w:rPr>
        <w:t>五</w:t>
      </w:r>
      <w:r>
        <w:rPr>
          <w:rFonts w:hint="eastAsia" w:ascii="宋体" w:hAnsi="宋体" w:cs="黑体"/>
          <w:b/>
          <w:bCs/>
          <w:color w:val="auto"/>
          <w:sz w:val="32"/>
          <w:szCs w:val="30"/>
          <w:highlight w:val="none"/>
        </w:rPr>
        <w:t>年</w:t>
      </w:r>
      <w:r>
        <w:rPr>
          <w:rFonts w:hint="eastAsia" w:ascii="宋体" w:hAnsi="宋体" w:eastAsia="宋体" w:cs="宋体"/>
          <w:b/>
          <w:bCs/>
          <w:color w:val="auto"/>
          <w:sz w:val="32"/>
          <w:szCs w:val="30"/>
          <w:highlight w:val="none"/>
          <w:lang w:eastAsia="zh-CN"/>
        </w:rPr>
        <w:t>七</w:t>
      </w:r>
      <w:r>
        <w:rPr>
          <w:rFonts w:hint="eastAsia" w:ascii="宋体" w:hAnsi="宋体" w:cs="黑体"/>
          <w:b/>
          <w:bCs/>
          <w:color w:val="auto"/>
          <w:sz w:val="32"/>
          <w:szCs w:val="30"/>
          <w:highlight w:val="none"/>
        </w:rPr>
        <w:t>月</w:t>
      </w:r>
    </w:p>
    <w:p>
      <w:pPr>
        <w:rPr>
          <w:rFonts w:hint="eastAsia" w:ascii="黑体" w:hAnsi="黑体" w:eastAsia="黑体" w:cs="黑体"/>
          <w:b/>
          <w:bCs/>
          <w:color w:val="auto"/>
          <w:sz w:val="44"/>
          <w:szCs w:val="44"/>
          <w:highlight w:val="none"/>
        </w:rPr>
        <w:sectPr>
          <w:pgSz w:w="11906" w:h="16838"/>
          <w:pgMar w:top="1440" w:right="1080" w:bottom="1440" w:left="1080" w:header="851" w:footer="992" w:gutter="0"/>
          <w:pgNumType w:fmt="decimal" w:start="1"/>
          <w:cols w:space="720" w:num="1"/>
          <w:docGrid w:type="lines" w:linePitch="312" w:charSpace="0"/>
        </w:sectPr>
      </w:pPr>
    </w:p>
    <w:p>
      <w:pPr>
        <w:spacing w:line="252" w:lineRule="auto"/>
        <w:rPr>
          <w:color w:val="auto"/>
          <w:highlight w:val="none"/>
        </w:rPr>
      </w:pPr>
    </w:p>
    <w:p>
      <w:pPr>
        <w:spacing w:line="253" w:lineRule="auto"/>
        <w:rPr>
          <w:color w:val="auto"/>
          <w:highlight w:val="none"/>
        </w:rPr>
      </w:pPr>
    </w:p>
    <w:p>
      <w:pPr>
        <w:spacing w:line="253" w:lineRule="auto"/>
        <w:rPr>
          <w:color w:val="auto"/>
          <w:highlight w:val="none"/>
        </w:rPr>
      </w:pPr>
    </w:p>
    <w:sdt>
      <w:sdtPr>
        <w:rPr>
          <w:rFonts w:ascii="宋体" w:hAnsi="宋体" w:eastAsia="宋体"/>
          <w:color w:val="auto"/>
          <w:highlight w:val="none"/>
        </w:rPr>
        <w:id w:val="147468056"/>
        <w15:color w:val="DBDBDB"/>
        <w:docPartObj>
          <w:docPartGallery w:val="Table of Contents"/>
          <w:docPartUnique/>
        </w:docPartObj>
      </w:sdtPr>
      <w:sdtEndPr>
        <w:rPr>
          <w:rFonts w:ascii="Arial" w:hAnsi="Arial" w:eastAsia="Arial"/>
          <w:b/>
          <w:bCs/>
          <w:color w:val="auto"/>
          <w:szCs w:val="24"/>
          <w:highlight w:val="none"/>
        </w:rPr>
      </w:sdtEndPr>
      <w:sdtContent>
        <w:p>
          <w:pPr>
            <w:jc w:val="center"/>
            <w:rPr>
              <w:rFonts w:hint="eastAsia" w:ascii="宋体" w:hAnsi="宋体" w:eastAsia="宋体"/>
              <w:b/>
              <w:bCs/>
              <w:color w:val="auto"/>
              <w:sz w:val="40"/>
              <w:szCs w:val="40"/>
              <w:highlight w:val="none"/>
              <w:lang w:eastAsia="zh-CN"/>
            </w:rPr>
          </w:pPr>
          <w:r>
            <w:rPr>
              <w:rFonts w:ascii="宋体" w:hAnsi="宋体" w:eastAsia="宋体"/>
              <w:b/>
              <w:bCs/>
              <w:color w:val="auto"/>
              <w:sz w:val="40"/>
              <w:szCs w:val="40"/>
              <w:highlight w:val="none"/>
            </w:rPr>
            <w:t>目</w:t>
          </w:r>
          <w:r>
            <w:rPr>
              <w:rFonts w:hint="eastAsia" w:ascii="宋体" w:hAnsi="宋体" w:eastAsia="宋体"/>
              <w:b/>
              <w:bCs/>
              <w:color w:val="auto"/>
              <w:sz w:val="40"/>
              <w:szCs w:val="40"/>
              <w:highlight w:val="none"/>
              <w:lang w:eastAsia="zh-CN"/>
            </w:rPr>
            <w:t xml:space="preserve">  </w:t>
          </w:r>
          <w:r>
            <w:rPr>
              <w:rFonts w:ascii="宋体" w:hAnsi="宋体" w:eastAsia="宋体"/>
              <w:b/>
              <w:bCs/>
              <w:color w:val="auto"/>
              <w:sz w:val="40"/>
              <w:szCs w:val="40"/>
              <w:highlight w:val="none"/>
            </w:rPr>
            <w:t>录</w:t>
          </w:r>
        </w:p>
        <w:p>
          <w:pPr>
            <w:pStyle w:val="45"/>
            <w:spacing w:before="48" w:after="48"/>
            <w:ind w:firstLine="480"/>
            <w:rPr>
              <w:color w:val="auto"/>
              <w:highlight w:val="none"/>
              <w:lang w:eastAsia="zh-CN"/>
            </w:rPr>
          </w:pPr>
        </w:p>
        <w:p>
          <w:pPr>
            <w:pStyle w:val="20"/>
            <w:keepNext w:val="0"/>
            <w:keepLines w:val="0"/>
            <w:pageBreakBefore w:val="0"/>
            <w:widowControl/>
            <w:tabs>
              <w:tab w:val="right" w:leader="dot" w:pos="9176"/>
            </w:tabs>
            <w:kinsoku w:val="0"/>
            <w:wordWrap/>
            <w:overflowPunct/>
            <w:topLinePunct w:val="0"/>
            <w:autoSpaceDE w:val="0"/>
            <w:autoSpaceDN w:val="0"/>
            <w:bidi w:val="0"/>
            <w:adjustRightInd w:val="0"/>
            <w:snapToGrid w:val="0"/>
            <w:spacing w:line="720" w:lineRule="auto"/>
            <w:textAlignment w:val="baseline"/>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snapToGrid/>
              <w:color w:val="auto"/>
              <w:sz w:val="28"/>
              <w:szCs w:val="28"/>
              <w:highlight w:val="none"/>
              <w:lang w:eastAsia="zh-CN"/>
            </w:rPr>
            <w:fldChar w:fldCharType="begin"/>
          </w:r>
          <w:r>
            <w:rPr>
              <w:rFonts w:hint="eastAsia" w:asciiTheme="minorEastAsia" w:hAnsiTheme="minorEastAsia" w:eastAsiaTheme="minorEastAsia" w:cstheme="minorEastAsia"/>
              <w:b/>
              <w:bCs/>
              <w:snapToGrid/>
              <w:color w:val="auto"/>
              <w:sz w:val="28"/>
              <w:szCs w:val="28"/>
              <w:highlight w:val="none"/>
              <w:lang w:eastAsia="zh-CN"/>
            </w:rPr>
            <w:instrText xml:space="preserve"> TOC \o "1-1" \h \z \u </w:instrText>
          </w:r>
          <w:r>
            <w:rPr>
              <w:rFonts w:hint="eastAsia" w:asciiTheme="minorEastAsia" w:hAnsiTheme="minorEastAsia" w:eastAsiaTheme="minorEastAsia" w:cstheme="minorEastAsia"/>
              <w:b/>
              <w:bCs/>
              <w:snapToGrid/>
              <w:color w:val="auto"/>
              <w:sz w:val="28"/>
              <w:szCs w:val="28"/>
              <w:highlight w:val="none"/>
              <w:lang w:eastAsia="zh-CN"/>
            </w:rPr>
            <w:fldChar w:fldCharType="separate"/>
          </w:r>
          <w:r>
            <w:rPr>
              <w:rFonts w:hint="eastAsia" w:asciiTheme="minorEastAsia" w:hAnsiTheme="minorEastAsia" w:eastAsiaTheme="minorEastAsia" w:cstheme="minorEastAsia"/>
              <w:b/>
              <w:bCs/>
              <w:snapToGrid/>
              <w:color w:val="auto"/>
              <w:sz w:val="28"/>
              <w:szCs w:val="28"/>
              <w:highlight w:val="none"/>
              <w:lang w:eastAsia="zh-CN"/>
            </w:rPr>
            <w:fldChar w:fldCharType="begin"/>
          </w:r>
          <w:r>
            <w:rPr>
              <w:rFonts w:hint="eastAsia" w:asciiTheme="minorEastAsia" w:hAnsiTheme="minorEastAsia" w:eastAsiaTheme="minorEastAsia" w:cstheme="minorEastAsia"/>
              <w:b/>
              <w:bCs/>
              <w:snapToGrid/>
              <w:color w:val="auto"/>
              <w:sz w:val="28"/>
              <w:szCs w:val="28"/>
              <w:highlight w:val="none"/>
              <w:lang w:eastAsia="zh-CN"/>
            </w:rPr>
            <w:instrText xml:space="preserve"> HYPERLINK \l _Toc25756 </w:instrText>
          </w:r>
          <w:r>
            <w:rPr>
              <w:rFonts w:hint="eastAsia" w:asciiTheme="minorEastAsia" w:hAnsiTheme="minorEastAsia" w:eastAsiaTheme="minorEastAsia" w:cstheme="minorEastAsia"/>
              <w:b/>
              <w:bCs/>
              <w:snapToGrid/>
              <w:color w:val="auto"/>
              <w:sz w:val="28"/>
              <w:szCs w:val="28"/>
              <w:highlight w:val="none"/>
              <w:lang w:eastAsia="zh-CN"/>
            </w:rPr>
            <w:fldChar w:fldCharType="separate"/>
          </w:r>
          <w:r>
            <w:rPr>
              <w:rFonts w:hint="eastAsia" w:asciiTheme="minorEastAsia" w:hAnsiTheme="minorEastAsia" w:eastAsiaTheme="minorEastAsia" w:cstheme="minorEastAsia"/>
              <w:b/>
              <w:bCs/>
              <w:color w:val="auto"/>
              <w:sz w:val="28"/>
              <w:szCs w:val="28"/>
              <w:highlight w:val="none"/>
              <w:lang w:val="zh-CN" w:eastAsia="zh-CN"/>
            </w:rPr>
            <w:t>第一章  竞争性</w:t>
          </w:r>
          <w:r>
            <w:rPr>
              <w:rFonts w:hint="eastAsia" w:asciiTheme="minorEastAsia" w:hAnsiTheme="minorEastAsia" w:eastAsiaTheme="minorEastAsia" w:cstheme="minorEastAsia"/>
              <w:b/>
              <w:bCs/>
              <w:color w:val="auto"/>
              <w:sz w:val="28"/>
              <w:szCs w:val="28"/>
              <w:highlight w:val="none"/>
              <w:lang w:eastAsia="zh-CN"/>
            </w:rPr>
            <w:t>磋商公告</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_Toc25756 \h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1</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snapToGrid/>
              <w:color w:val="auto"/>
              <w:sz w:val="28"/>
              <w:szCs w:val="28"/>
              <w:highlight w:val="none"/>
              <w:lang w:eastAsia="zh-CN"/>
            </w:rPr>
            <w:fldChar w:fldCharType="end"/>
          </w:r>
        </w:p>
        <w:p>
          <w:pPr>
            <w:pStyle w:val="20"/>
            <w:keepNext w:val="0"/>
            <w:keepLines w:val="0"/>
            <w:pageBreakBefore w:val="0"/>
            <w:widowControl/>
            <w:tabs>
              <w:tab w:val="right" w:leader="dot" w:pos="9176"/>
            </w:tabs>
            <w:kinsoku w:val="0"/>
            <w:wordWrap/>
            <w:overflowPunct/>
            <w:topLinePunct w:val="0"/>
            <w:autoSpaceDE w:val="0"/>
            <w:autoSpaceDN w:val="0"/>
            <w:bidi w:val="0"/>
            <w:adjustRightInd w:val="0"/>
            <w:snapToGrid w:val="0"/>
            <w:spacing w:line="720" w:lineRule="auto"/>
            <w:textAlignment w:val="baseline"/>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snapToGrid/>
              <w:color w:val="auto"/>
              <w:sz w:val="28"/>
              <w:szCs w:val="28"/>
              <w:highlight w:val="none"/>
              <w:lang w:eastAsia="zh-CN"/>
            </w:rPr>
            <w:fldChar w:fldCharType="begin"/>
          </w:r>
          <w:r>
            <w:rPr>
              <w:rFonts w:hint="eastAsia" w:asciiTheme="minorEastAsia" w:hAnsiTheme="minorEastAsia" w:eastAsiaTheme="minorEastAsia" w:cstheme="minorEastAsia"/>
              <w:b/>
              <w:bCs/>
              <w:snapToGrid/>
              <w:color w:val="auto"/>
              <w:sz w:val="28"/>
              <w:szCs w:val="28"/>
              <w:highlight w:val="none"/>
              <w:lang w:eastAsia="zh-CN"/>
            </w:rPr>
            <w:instrText xml:space="preserve"> HYPERLINK \l _Toc30244 </w:instrText>
          </w:r>
          <w:r>
            <w:rPr>
              <w:rFonts w:hint="eastAsia" w:asciiTheme="minorEastAsia" w:hAnsiTheme="minorEastAsia" w:eastAsiaTheme="minorEastAsia" w:cstheme="minorEastAsia"/>
              <w:b/>
              <w:bCs/>
              <w:snapToGrid/>
              <w:color w:val="auto"/>
              <w:sz w:val="28"/>
              <w:szCs w:val="28"/>
              <w:highlight w:val="none"/>
              <w:lang w:eastAsia="zh-CN"/>
            </w:rPr>
            <w:fldChar w:fldCharType="separate"/>
          </w:r>
          <w:r>
            <w:rPr>
              <w:rFonts w:hint="eastAsia" w:asciiTheme="minorEastAsia" w:hAnsiTheme="minorEastAsia" w:eastAsiaTheme="minorEastAsia" w:cstheme="minorEastAsia"/>
              <w:b/>
              <w:bCs/>
              <w:color w:val="auto"/>
              <w:sz w:val="28"/>
              <w:szCs w:val="28"/>
              <w:highlight w:val="none"/>
              <w:lang w:eastAsia="zh-CN"/>
            </w:rPr>
            <w:t>第二章供应商须知</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_Toc30244 \h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4</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snapToGrid/>
              <w:color w:val="auto"/>
              <w:sz w:val="28"/>
              <w:szCs w:val="28"/>
              <w:highlight w:val="none"/>
              <w:lang w:eastAsia="zh-CN"/>
            </w:rPr>
            <w:fldChar w:fldCharType="end"/>
          </w:r>
        </w:p>
        <w:p>
          <w:pPr>
            <w:pStyle w:val="20"/>
            <w:keepNext w:val="0"/>
            <w:keepLines w:val="0"/>
            <w:pageBreakBefore w:val="0"/>
            <w:widowControl/>
            <w:tabs>
              <w:tab w:val="right" w:leader="dot" w:pos="9176"/>
            </w:tabs>
            <w:kinsoku w:val="0"/>
            <w:wordWrap/>
            <w:overflowPunct/>
            <w:topLinePunct w:val="0"/>
            <w:autoSpaceDE w:val="0"/>
            <w:autoSpaceDN w:val="0"/>
            <w:bidi w:val="0"/>
            <w:adjustRightInd w:val="0"/>
            <w:snapToGrid w:val="0"/>
            <w:spacing w:line="720" w:lineRule="auto"/>
            <w:textAlignment w:val="baseline"/>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snapToGrid/>
              <w:color w:val="auto"/>
              <w:sz w:val="28"/>
              <w:szCs w:val="28"/>
              <w:highlight w:val="none"/>
              <w:lang w:eastAsia="zh-CN"/>
            </w:rPr>
            <w:fldChar w:fldCharType="begin"/>
          </w:r>
          <w:r>
            <w:rPr>
              <w:rFonts w:hint="eastAsia" w:asciiTheme="minorEastAsia" w:hAnsiTheme="minorEastAsia" w:eastAsiaTheme="minorEastAsia" w:cstheme="minorEastAsia"/>
              <w:b/>
              <w:bCs/>
              <w:snapToGrid/>
              <w:color w:val="auto"/>
              <w:sz w:val="28"/>
              <w:szCs w:val="28"/>
              <w:highlight w:val="none"/>
              <w:lang w:eastAsia="zh-CN"/>
            </w:rPr>
            <w:instrText xml:space="preserve"> HYPERLINK \l _Toc13030 </w:instrText>
          </w:r>
          <w:r>
            <w:rPr>
              <w:rFonts w:hint="eastAsia" w:asciiTheme="minorEastAsia" w:hAnsiTheme="minorEastAsia" w:eastAsiaTheme="minorEastAsia" w:cstheme="minorEastAsia"/>
              <w:b/>
              <w:bCs/>
              <w:snapToGrid/>
              <w:color w:val="auto"/>
              <w:sz w:val="28"/>
              <w:szCs w:val="28"/>
              <w:highlight w:val="none"/>
              <w:lang w:eastAsia="zh-CN"/>
            </w:rPr>
            <w:fldChar w:fldCharType="separate"/>
          </w:r>
          <w:r>
            <w:rPr>
              <w:rFonts w:hint="eastAsia" w:asciiTheme="minorEastAsia" w:hAnsiTheme="minorEastAsia" w:eastAsiaTheme="minorEastAsia" w:cstheme="minorEastAsia"/>
              <w:b/>
              <w:bCs/>
              <w:color w:val="auto"/>
              <w:sz w:val="28"/>
              <w:szCs w:val="28"/>
              <w:highlight w:val="none"/>
              <w:lang w:eastAsia="zh-CN"/>
            </w:rPr>
            <w:t>第三章评标办法</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_Toc13030 \h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23</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snapToGrid/>
              <w:color w:val="auto"/>
              <w:sz w:val="28"/>
              <w:szCs w:val="28"/>
              <w:highlight w:val="none"/>
              <w:lang w:eastAsia="zh-CN"/>
            </w:rPr>
            <w:fldChar w:fldCharType="end"/>
          </w:r>
        </w:p>
        <w:p>
          <w:pPr>
            <w:pStyle w:val="20"/>
            <w:keepNext w:val="0"/>
            <w:keepLines w:val="0"/>
            <w:pageBreakBefore w:val="0"/>
            <w:widowControl/>
            <w:tabs>
              <w:tab w:val="right" w:leader="dot" w:pos="9176"/>
            </w:tabs>
            <w:kinsoku w:val="0"/>
            <w:wordWrap/>
            <w:overflowPunct/>
            <w:topLinePunct w:val="0"/>
            <w:autoSpaceDE w:val="0"/>
            <w:autoSpaceDN w:val="0"/>
            <w:bidi w:val="0"/>
            <w:adjustRightInd w:val="0"/>
            <w:snapToGrid w:val="0"/>
            <w:spacing w:line="720" w:lineRule="auto"/>
            <w:textAlignment w:val="baseline"/>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snapToGrid/>
              <w:color w:val="auto"/>
              <w:sz w:val="28"/>
              <w:szCs w:val="28"/>
              <w:highlight w:val="none"/>
              <w:lang w:eastAsia="zh-CN"/>
            </w:rPr>
            <w:fldChar w:fldCharType="begin"/>
          </w:r>
          <w:r>
            <w:rPr>
              <w:rFonts w:hint="eastAsia" w:asciiTheme="minorEastAsia" w:hAnsiTheme="minorEastAsia" w:eastAsiaTheme="minorEastAsia" w:cstheme="minorEastAsia"/>
              <w:b/>
              <w:bCs/>
              <w:snapToGrid/>
              <w:color w:val="auto"/>
              <w:sz w:val="28"/>
              <w:szCs w:val="28"/>
              <w:highlight w:val="none"/>
              <w:lang w:eastAsia="zh-CN"/>
            </w:rPr>
            <w:instrText xml:space="preserve"> HYPERLINK \l _Toc18947 </w:instrText>
          </w:r>
          <w:r>
            <w:rPr>
              <w:rFonts w:hint="eastAsia" w:asciiTheme="minorEastAsia" w:hAnsiTheme="minorEastAsia" w:eastAsiaTheme="minorEastAsia" w:cstheme="minorEastAsia"/>
              <w:b/>
              <w:bCs/>
              <w:snapToGrid/>
              <w:color w:val="auto"/>
              <w:sz w:val="28"/>
              <w:szCs w:val="28"/>
              <w:highlight w:val="none"/>
              <w:lang w:eastAsia="zh-CN"/>
            </w:rPr>
            <w:fldChar w:fldCharType="separate"/>
          </w:r>
          <w:r>
            <w:rPr>
              <w:rFonts w:hint="eastAsia" w:asciiTheme="minorEastAsia" w:hAnsiTheme="minorEastAsia" w:eastAsiaTheme="minorEastAsia" w:cstheme="minorEastAsia"/>
              <w:b/>
              <w:bCs/>
              <w:color w:val="auto"/>
              <w:sz w:val="28"/>
              <w:szCs w:val="28"/>
              <w:highlight w:val="none"/>
              <w:lang w:eastAsia="zh-CN"/>
            </w:rPr>
            <w:t>第四章合同条款及格式</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_Toc18947 \h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33</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snapToGrid/>
              <w:color w:val="auto"/>
              <w:sz w:val="28"/>
              <w:szCs w:val="28"/>
              <w:highlight w:val="none"/>
              <w:lang w:eastAsia="zh-CN"/>
            </w:rPr>
            <w:fldChar w:fldCharType="end"/>
          </w:r>
        </w:p>
        <w:p>
          <w:pPr>
            <w:pStyle w:val="20"/>
            <w:keepNext w:val="0"/>
            <w:keepLines w:val="0"/>
            <w:pageBreakBefore w:val="0"/>
            <w:widowControl/>
            <w:tabs>
              <w:tab w:val="right" w:leader="dot" w:pos="9176"/>
            </w:tabs>
            <w:kinsoku w:val="0"/>
            <w:wordWrap/>
            <w:overflowPunct/>
            <w:topLinePunct w:val="0"/>
            <w:autoSpaceDE w:val="0"/>
            <w:autoSpaceDN w:val="0"/>
            <w:bidi w:val="0"/>
            <w:adjustRightInd w:val="0"/>
            <w:snapToGrid w:val="0"/>
            <w:spacing w:line="720" w:lineRule="auto"/>
            <w:textAlignment w:val="baseline"/>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snapToGrid/>
              <w:color w:val="auto"/>
              <w:sz w:val="28"/>
              <w:szCs w:val="28"/>
              <w:highlight w:val="none"/>
              <w:lang w:eastAsia="zh-CN"/>
            </w:rPr>
            <w:fldChar w:fldCharType="begin"/>
          </w:r>
          <w:r>
            <w:rPr>
              <w:rFonts w:hint="eastAsia" w:asciiTheme="minorEastAsia" w:hAnsiTheme="minorEastAsia" w:eastAsiaTheme="minorEastAsia" w:cstheme="minorEastAsia"/>
              <w:b/>
              <w:bCs/>
              <w:snapToGrid/>
              <w:color w:val="auto"/>
              <w:sz w:val="28"/>
              <w:szCs w:val="28"/>
              <w:highlight w:val="none"/>
              <w:lang w:eastAsia="zh-CN"/>
            </w:rPr>
            <w:instrText xml:space="preserve"> HYPERLINK \l _Toc30768 </w:instrText>
          </w:r>
          <w:r>
            <w:rPr>
              <w:rFonts w:hint="eastAsia" w:asciiTheme="minorEastAsia" w:hAnsiTheme="minorEastAsia" w:eastAsiaTheme="minorEastAsia" w:cstheme="minorEastAsia"/>
              <w:b/>
              <w:bCs/>
              <w:snapToGrid/>
              <w:color w:val="auto"/>
              <w:sz w:val="28"/>
              <w:szCs w:val="28"/>
              <w:highlight w:val="none"/>
              <w:lang w:eastAsia="zh-CN"/>
            </w:rPr>
            <w:fldChar w:fldCharType="separate"/>
          </w:r>
          <w:r>
            <w:rPr>
              <w:rFonts w:hint="eastAsia" w:asciiTheme="minorEastAsia" w:hAnsiTheme="minorEastAsia" w:eastAsiaTheme="minorEastAsia" w:cstheme="minorEastAsia"/>
              <w:b/>
              <w:bCs/>
              <w:color w:val="auto"/>
              <w:sz w:val="28"/>
              <w:szCs w:val="28"/>
              <w:highlight w:val="none"/>
              <w:lang w:eastAsia="zh-CN"/>
            </w:rPr>
            <w:t>第五章 项目采购需求</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_Toc30768 \h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36</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snapToGrid/>
              <w:color w:val="auto"/>
              <w:sz w:val="28"/>
              <w:szCs w:val="28"/>
              <w:highlight w:val="none"/>
              <w:lang w:eastAsia="zh-CN"/>
            </w:rPr>
            <w:fldChar w:fldCharType="end"/>
          </w:r>
        </w:p>
        <w:p>
          <w:pPr>
            <w:pStyle w:val="20"/>
            <w:keepNext w:val="0"/>
            <w:keepLines w:val="0"/>
            <w:pageBreakBefore w:val="0"/>
            <w:widowControl/>
            <w:tabs>
              <w:tab w:val="right" w:leader="dot" w:pos="9176"/>
            </w:tabs>
            <w:kinsoku w:val="0"/>
            <w:wordWrap/>
            <w:overflowPunct/>
            <w:topLinePunct w:val="0"/>
            <w:autoSpaceDE w:val="0"/>
            <w:autoSpaceDN w:val="0"/>
            <w:bidi w:val="0"/>
            <w:adjustRightInd w:val="0"/>
            <w:snapToGrid w:val="0"/>
            <w:spacing w:line="720" w:lineRule="auto"/>
            <w:textAlignment w:val="baseline"/>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snapToGrid/>
              <w:color w:val="auto"/>
              <w:sz w:val="28"/>
              <w:szCs w:val="28"/>
              <w:highlight w:val="none"/>
              <w:lang w:eastAsia="zh-CN"/>
            </w:rPr>
            <w:fldChar w:fldCharType="begin"/>
          </w:r>
          <w:r>
            <w:rPr>
              <w:rFonts w:hint="eastAsia" w:asciiTheme="minorEastAsia" w:hAnsiTheme="minorEastAsia" w:eastAsiaTheme="minorEastAsia" w:cstheme="minorEastAsia"/>
              <w:b/>
              <w:bCs/>
              <w:snapToGrid/>
              <w:color w:val="auto"/>
              <w:sz w:val="28"/>
              <w:szCs w:val="28"/>
              <w:highlight w:val="none"/>
              <w:lang w:eastAsia="zh-CN"/>
            </w:rPr>
            <w:instrText xml:space="preserve"> HYPERLINK \l _Toc16390 </w:instrText>
          </w:r>
          <w:r>
            <w:rPr>
              <w:rFonts w:hint="eastAsia" w:asciiTheme="minorEastAsia" w:hAnsiTheme="minorEastAsia" w:eastAsiaTheme="minorEastAsia" w:cstheme="minorEastAsia"/>
              <w:b/>
              <w:bCs/>
              <w:snapToGrid/>
              <w:color w:val="auto"/>
              <w:sz w:val="28"/>
              <w:szCs w:val="28"/>
              <w:highlight w:val="none"/>
              <w:lang w:eastAsia="zh-CN"/>
            </w:rPr>
            <w:fldChar w:fldCharType="separate"/>
          </w:r>
          <w:r>
            <w:rPr>
              <w:rFonts w:hint="eastAsia" w:asciiTheme="minorEastAsia" w:hAnsiTheme="minorEastAsia" w:eastAsiaTheme="minorEastAsia" w:cstheme="minorEastAsia"/>
              <w:b/>
              <w:bCs/>
              <w:color w:val="auto"/>
              <w:sz w:val="28"/>
              <w:szCs w:val="28"/>
              <w:highlight w:val="none"/>
              <w:lang w:eastAsia="zh-CN"/>
            </w:rPr>
            <w:t>第六章响应文件格式</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_Toc16390 \h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41</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snapToGrid/>
              <w:color w:val="auto"/>
              <w:sz w:val="28"/>
              <w:szCs w:val="28"/>
              <w:highlight w:val="none"/>
              <w:lang w:eastAsia="zh-CN"/>
            </w:rPr>
            <w:fldChar w:fldCharType="end"/>
          </w:r>
        </w:p>
        <w:p>
          <w:pPr>
            <w:keepNext w:val="0"/>
            <w:keepLines w:val="0"/>
            <w:pageBreakBefore w:val="0"/>
            <w:widowControl/>
            <w:kinsoku w:val="0"/>
            <w:wordWrap/>
            <w:overflowPunct/>
            <w:topLinePunct w:val="0"/>
            <w:autoSpaceDE w:val="0"/>
            <w:autoSpaceDN w:val="0"/>
            <w:bidi w:val="0"/>
            <w:adjustRightInd w:val="0"/>
            <w:snapToGrid w:val="0"/>
            <w:spacing w:line="720" w:lineRule="auto"/>
            <w:textAlignment w:val="baseline"/>
            <w:rPr>
              <w:b/>
              <w:bCs/>
              <w:color w:val="auto"/>
              <w:sz w:val="24"/>
              <w:szCs w:val="24"/>
              <w:highlight w:val="none"/>
            </w:rPr>
            <w:sectPr>
              <w:pgSz w:w="11906" w:h="16839"/>
              <w:pgMar w:top="1431" w:right="1360" w:bottom="0" w:left="1370" w:header="0" w:footer="0" w:gutter="0"/>
              <w:pgNumType w:fmt="decimal"/>
              <w:cols w:space="720" w:num="1"/>
            </w:sectPr>
          </w:pPr>
          <w:r>
            <w:rPr>
              <w:rFonts w:hint="eastAsia" w:asciiTheme="minorEastAsia" w:hAnsiTheme="minorEastAsia" w:eastAsiaTheme="minorEastAsia" w:cstheme="minorEastAsia"/>
              <w:b/>
              <w:bCs/>
              <w:snapToGrid/>
              <w:color w:val="auto"/>
              <w:sz w:val="28"/>
              <w:szCs w:val="28"/>
              <w:highlight w:val="none"/>
              <w:lang w:eastAsia="zh-CN"/>
            </w:rPr>
            <w:fldChar w:fldCharType="end"/>
          </w:r>
        </w:p>
      </w:sdtContent>
    </w:sdt>
    <w:p>
      <w:pPr>
        <w:pStyle w:val="3"/>
        <w:bidi w:val="0"/>
        <w:rPr>
          <w:rFonts w:hint="eastAsia"/>
          <w:color w:val="auto"/>
          <w:highlight w:val="none"/>
          <w:lang w:eastAsia="zh-CN"/>
        </w:rPr>
      </w:pPr>
      <w:bookmarkStart w:id="6" w:name="_Toc459187164"/>
      <w:bookmarkStart w:id="7" w:name="_Toc25756"/>
      <w:r>
        <w:rPr>
          <w:rFonts w:hint="eastAsia"/>
          <w:color w:val="auto"/>
          <w:highlight w:val="none"/>
          <w:lang w:val="zh-CN" w:eastAsia="zh-CN"/>
        </w:rPr>
        <w:t xml:space="preserve">第一章 </w:t>
      </w:r>
      <w:r>
        <w:rPr>
          <w:color w:val="auto"/>
          <w:highlight w:val="none"/>
          <w:lang w:val="zh-CN" w:eastAsia="zh-CN"/>
        </w:rPr>
        <w:t xml:space="preserve"> </w:t>
      </w:r>
      <w:bookmarkEnd w:id="6"/>
      <w:r>
        <w:rPr>
          <w:rFonts w:hint="eastAsia"/>
          <w:color w:val="auto"/>
          <w:highlight w:val="none"/>
          <w:lang w:val="zh-CN" w:eastAsia="zh-CN"/>
        </w:rPr>
        <w:t>竞争性</w:t>
      </w:r>
      <w:r>
        <w:rPr>
          <w:rFonts w:hint="eastAsia"/>
          <w:color w:val="auto"/>
          <w:highlight w:val="none"/>
          <w:lang w:eastAsia="zh-CN"/>
        </w:rPr>
        <w:t>磋商公告</w:t>
      </w:r>
      <w:bookmarkEnd w:id="7"/>
    </w:p>
    <w:p>
      <w:pPr>
        <w:spacing w:line="420" w:lineRule="exact"/>
        <w:ind w:firstLine="200"/>
        <w:rPr>
          <w:b/>
          <w:color w:val="auto"/>
          <w:sz w:val="24"/>
          <w:szCs w:val="24"/>
          <w:highlight w:val="none"/>
          <w:lang w:eastAsia="zh-CN"/>
        </w:rPr>
      </w:pPr>
      <w:r>
        <w:rPr>
          <w:rFonts w:hint="eastAsia"/>
          <w:b/>
          <w:color w:val="auto"/>
          <w:sz w:val="24"/>
          <w:szCs w:val="24"/>
          <w:highlight w:val="none"/>
          <w:lang w:eastAsia="zh-CN"/>
        </w:rPr>
        <w:t>项目概况：</w:t>
      </w:r>
    </w:p>
    <w:p>
      <w:pPr>
        <w:spacing w:line="420" w:lineRule="exact"/>
        <w:ind w:firstLine="480" w:firstLineChars="200"/>
        <w:rPr>
          <w:color w:val="auto"/>
          <w:sz w:val="24"/>
          <w:szCs w:val="24"/>
          <w:highlight w:val="none"/>
        </w:rPr>
      </w:pPr>
      <w:r>
        <w:rPr>
          <w:rFonts w:hint="eastAsia" w:ascii="宋体" w:hAnsi="宋体" w:eastAsia="宋体" w:cs="宋体"/>
          <w:color w:val="auto"/>
          <w:sz w:val="24"/>
          <w:szCs w:val="24"/>
          <w:highlight w:val="none"/>
          <w:lang w:eastAsia="zh-CN"/>
        </w:rPr>
        <w:t>梅河口市2025年大中型水库移民后期扶持专项资金项目监理服务</w:t>
      </w:r>
      <w:r>
        <w:rPr>
          <w:rFonts w:hint="eastAsia"/>
          <w:color w:val="auto"/>
          <w:sz w:val="24"/>
          <w:szCs w:val="24"/>
          <w:highlight w:val="none"/>
        </w:rPr>
        <w:t>的潜在供应商应在</w:t>
      </w:r>
      <w:r>
        <w:rPr>
          <w:rFonts w:hint="eastAsia" w:ascii="宋体" w:hAnsi="宋体" w:cs="宋体"/>
          <w:bCs/>
          <w:color w:val="auto"/>
          <w:sz w:val="24"/>
          <w:szCs w:val="24"/>
          <w:highlight w:val="none"/>
          <w:lang w:eastAsia="zh-CN"/>
        </w:rPr>
        <w:t>政府采购云平台（http:// www.zcygov.cn）</w:t>
      </w:r>
      <w:r>
        <w:rPr>
          <w:rFonts w:hint="eastAsia"/>
          <w:color w:val="auto"/>
          <w:sz w:val="24"/>
          <w:szCs w:val="24"/>
          <w:highlight w:val="none"/>
        </w:rPr>
        <w:t>获取磋商文件，并于</w:t>
      </w:r>
      <w:r>
        <w:rPr>
          <w:rFonts w:hint="eastAsia"/>
          <w:color w:val="auto"/>
          <w:sz w:val="24"/>
          <w:szCs w:val="24"/>
          <w:highlight w:val="none"/>
          <w:lang w:eastAsia="zh-CN"/>
        </w:rPr>
        <w:t>2025年07月</w:t>
      </w:r>
      <w:r>
        <w:rPr>
          <w:rFonts w:hint="eastAsia" w:eastAsiaTheme="minorEastAsia"/>
          <w:color w:val="auto"/>
          <w:sz w:val="24"/>
          <w:szCs w:val="24"/>
          <w:highlight w:val="none"/>
          <w:lang w:eastAsia="zh-CN"/>
        </w:rPr>
        <w:t>14</w:t>
      </w:r>
      <w:r>
        <w:rPr>
          <w:rFonts w:hint="eastAsia"/>
          <w:color w:val="auto"/>
          <w:sz w:val="24"/>
          <w:szCs w:val="24"/>
          <w:highlight w:val="none"/>
          <w:lang w:eastAsia="zh-CN"/>
        </w:rPr>
        <w:t>日</w:t>
      </w:r>
      <w:r>
        <w:rPr>
          <w:rFonts w:hint="eastAsia" w:eastAsiaTheme="minorEastAsia"/>
          <w:color w:val="auto"/>
          <w:sz w:val="24"/>
          <w:szCs w:val="24"/>
          <w:highlight w:val="none"/>
          <w:lang w:eastAsia="zh-CN"/>
        </w:rPr>
        <w:t>9</w:t>
      </w:r>
      <w:r>
        <w:rPr>
          <w:rFonts w:hint="eastAsia"/>
          <w:color w:val="auto"/>
          <w:sz w:val="24"/>
          <w:szCs w:val="24"/>
          <w:highlight w:val="none"/>
          <w:lang w:eastAsia="zh-CN"/>
        </w:rPr>
        <w:t>时</w:t>
      </w:r>
      <w:r>
        <w:rPr>
          <w:rFonts w:hint="eastAsia" w:eastAsiaTheme="minorEastAsia"/>
          <w:color w:val="auto"/>
          <w:sz w:val="24"/>
          <w:szCs w:val="24"/>
          <w:highlight w:val="none"/>
          <w:lang w:eastAsia="zh-CN"/>
        </w:rPr>
        <w:t>00</w:t>
      </w:r>
      <w:r>
        <w:rPr>
          <w:rFonts w:hint="eastAsia"/>
          <w:color w:val="auto"/>
          <w:sz w:val="24"/>
          <w:szCs w:val="24"/>
          <w:highlight w:val="none"/>
          <w:lang w:eastAsia="zh-CN"/>
        </w:rPr>
        <w:t>分</w:t>
      </w:r>
      <w:r>
        <w:rPr>
          <w:rFonts w:hint="eastAsia"/>
          <w:color w:val="auto"/>
          <w:sz w:val="24"/>
          <w:szCs w:val="24"/>
          <w:highlight w:val="none"/>
        </w:rPr>
        <w:t>（北京时间）前提交响应文件。</w:t>
      </w:r>
    </w:p>
    <w:p>
      <w:pPr>
        <w:spacing w:line="420" w:lineRule="exact"/>
        <w:ind w:firstLine="200"/>
        <w:outlineLvl w:val="1"/>
        <w:rPr>
          <w:b/>
          <w:color w:val="auto"/>
          <w:sz w:val="24"/>
          <w:szCs w:val="24"/>
          <w:highlight w:val="none"/>
          <w:lang w:eastAsia="zh-CN"/>
        </w:rPr>
      </w:pPr>
      <w:r>
        <w:rPr>
          <w:rFonts w:hint="eastAsia"/>
          <w:b/>
          <w:color w:val="auto"/>
          <w:sz w:val="24"/>
          <w:szCs w:val="24"/>
          <w:highlight w:val="none"/>
          <w:lang w:eastAsia="zh-CN"/>
        </w:rPr>
        <w:t>一、项目基本情况</w:t>
      </w:r>
    </w:p>
    <w:p>
      <w:pPr>
        <w:pStyle w:val="2"/>
        <w:spacing w:line="420" w:lineRule="exact"/>
        <w:ind w:firstLine="480"/>
        <w:rPr>
          <w:rFonts w:hint="eastAsia"/>
          <w:color w:val="auto"/>
          <w:szCs w:val="24"/>
          <w:highlight w:val="none"/>
          <w:lang w:eastAsia="zh-CN"/>
        </w:rPr>
      </w:pPr>
      <w:r>
        <w:rPr>
          <w:rFonts w:hint="eastAsia"/>
          <w:color w:val="auto"/>
          <w:szCs w:val="24"/>
          <w:highlight w:val="none"/>
          <w:lang w:eastAsia="zh-CN"/>
        </w:rPr>
        <w:t>1.采购编号：采购计划-[2025]-00119号</w:t>
      </w:r>
    </w:p>
    <w:p>
      <w:pPr>
        <w:pStyle w:val="2"/>
        <w:spacing w:line="420" w:lineRule="exact"/>
        <w:ind w:firstLine="480"/>
        <w:rPr>
          <w:rFonts w:hint="eastAsia"/>
          <w:color w:val="auto"/>
          <w:szCs w:val="24"/>
          <w:highlight w:val="none"/>
          <w:lang w:eastAsia="zh-CN"/>
        </w:rPr>
      </w:pPr>
      <w:r>
        <w:rPr>
          <w:rFonts w:hint="eastAsia"/>
          <w:color w:val="auto"/>
          <w:szCs w:val="24"/>
          <w:highlight w:val="none"/>
          <w:lang w:eastAsia="zh-CN"/>
        </w:rPr>
        <w:t>2．项目编号：</w:t>
      </w:r>
      <w:r>
        <w:rPr>
          <w:rFonts w:hint="eastAsia"/>
          <w:color w:val="auto"/>
          <w:szCs w:val="24"/>
          <w:highlight w:val="none"/>
          <w:lang w:eastAsia="zh-CN" w:bidi="ar"/>
        </w:rPr>
        <w:t>JLHX2025-0701</w:t>
      </w:r>
    </w:p>
    <w:p>
      <w:pPr>
        <w:pStyle w:val="2"/>
        <w:spacing w:line="420" w:lineRule="exact"/>
        <w:ind w:firstLine="480"/>
        <w:rPr>
          <w:rFonts w:hint="eastAsia"/>
          <w:color w:val="auto"/>
          <w:szCs w:val="24"/>
          <w:highlight w:val="none"/>
          <w:lang w:eastAsia="zh-CN"/>
        </w:rPr>
      </w:pPr>
      <w:r>
        <w:rPr>
          <w:rFonts w:hint="eastAsia"/>
          <w:color w:val="auto"/>
          <w:szCs w:val="24"/>
          <w:highlight w:val="none"/>
          <w:lang w:eastAsia="zh-CN"/>
        </w:rPr>
        <w:t>3．项目名称：</w:t>
      </w:r>
      <w:r>
        <w:rPr>
          <w:rFonts w:hint="eastAsia"/>
          <w:color w:val="auto"/>
          <w:szCs w:val="24"/>
          <w:highlight w:val="none"/>
          <w:lang w:eastAsia="zh-CN"/>
        </w:rPr>
        <w:t>梅河口市2025年大中型水库移民后期扶持专项资金项目监理服务</w:t>
      </w:r>
    </w:p>
    <w:p>
      <w:pPr>
        <w:pStyle w:val="2"/>
        <w:spacing w:line="420" w:lineRule="exact"/>
        <w:ind w:firstLine="480"/>
        <w:rPr>
          <w:rFonts w:hint="eastAsia"/>
          <w:color w:val="auto"/>
          <w:szCs w:val="24"/>
          <w:highlight w:val="none"/>
          <w:lang w:eastAsia="zh-CN"/>
        </w:rPr>
      </w:pPr>
      <w:r>
        <w:rPr>
          <w:rFonts w:hint="eastAsia"/>
          <w:color w:val="auto"/>
          <w:szCs w:val="24"/>
          <w:highlight w:val="none"/>
          <w:lang w:eastAsia="zh-CN"/>
        </w:rPr>
        <w:t>4．采购方式：竞争性磋商</w:t>
      </w:r>
    </w:p>
    <w:p>
      <w:pPr>
        <w:pStyle w:val="2"/>
        <w:spacing w:line="420" w:lineRule="exact"/>
        <w:ind w:firstLine="480"/>
        <w:rPr>
          <w:rFonts w:hint="eastAsia"/>
          <w:color w:val="auto"/>
          <w:szCs w:val="24"/>
          <w:highlight w:val="none"/>
          <w:lang w:eastAsia="zh-CN"/>
        </w:rPr>
      </w:pPr>
      <w:r>
        <w:rPr>
          <w:rFonts w:hint="eastAsia"/>
          <w:color w:val="auto"/>
          <w:szCs w:val="24"/>
          <w:highlight w:val="none"/>
          <w:lang w:eastAsia="zh-CN"/>
        </w:rPr>
        <w:t>5．预算金额：35.6107万元</w:t>
      </w:r>
    </w:p>
    <w:p>
      <w:pPr>
        <w:pStyle w:val="2"/>
        <w:spacing w:line="420" w:lineRule="exact"/>
        <w:ind w:firstLine="480"/>
        <w:rPr>
          <w:rFonts w:hint="eastAsia"/>
          <w:color w:val="auto"/>
          <w:szCs w:val="24"/>
          <w:highlight w:val="none"/>
          <w:lang w:eastAsia="zh-CN"/>
        </w:rPr>
      </w:pPr>
      <w:r>
        <w:rPr>
          <w:rFonts w:hint="eastAsia"/>
          <w:color w:val="auto"/>
          <w:szCs w:val="24"/>
          <w:highlight w:val="none"/>
          <w:lang w:eastAsia="zh-CN"/>
        </w:rPr>
        <w:t>6．最高限价：35.6107万元</w:t>
      </w:r>
    </w:p>
    <w:p>
      <w:pPr>
        <w:pStyle w:val="2"/>
        <w:spacing w:line="420" w:lineRule="exact"/>
        <w:ind w:firstLine="480"/>
        <w:rPr>
          <w:rFonts w:hint="eastAsia"/>
          <w:color w:val="auto"/>
          <w:szCs w:val="24"/>
          <w:highlight w:val="none"/>
          <w:lang w:eastAsia="zh-CN"/>
        </w:rPr>
      </w:pPr>
      <w:r>
        <w:rPr>
          <w:rFonts w:hint="eastAsia"/>
          <w:color w:val="auto"/>
          <w:szCs w:val="24"/>
          <w:highlight w:val="none"/>
          <w:lang w:eastAsia="zh-CN"/>
        </w:rPr>
        <w:t>7．采购需求：</w:t>
      </w:r>
      <w:r>
        <w:rPr>
          <w:rFonts w:hint="eastAsia"/>
          <w:color w:val="auto"/>
          <w:highlight w:val="none"/>
          <w:lang w:eastAsia="zh-CN"/>
        </w:rPr>
        <w:t>对采购人指定的项目施工阶段及保修阶段全过程监理</w:t>
      </w:r>
      <w:r>
        <w:rPr>
          <w:rFonts w:hint="eastAsia"/>
          <w:color w:val="auto"/>
          <w:szCs w:val="24"/>
          <w:highlight w:val="none"/>
          <w:lang w:eastAsia="zh-CN"/>
        </w:rPr>
        <w:t>。</w:t>
      </w:r>
    </w:p>
    <w:p>
      <w:pPr>
        <w:pStyle w:val="2"/>
        <w:spacing w:line="420" w:lineRule="exact"/>
        <w:ind w:firstLine="480"/>
        <w:rPr>
          <w:rFonts w:hint="eastAsia"/>
          <w:color w:val="auto"/>
          <w:szCs w:val="24"/>
          <w:highlight w:val="none"/>
          <w:lang w:eastAsia="zh-CN"/>
        </w:rPr>
      </w:pPr>
      <w:bookmarkStart w:id="8" w:name="_Hlk201869753"/>
      <w:r>
        <w:rPr>
          <w:rFonts w:hint="eastAsia"/>
          <w:color w:val="auto"/>
          <w:szCs w:val="24"/>
          <w:highlight w:val="none"/>
          <w:lang w:eastAsia="zh-CN"/>
        </w:rPr>
        <w:t>8．合同履行期限：</w:t>
      </w:r>
      <w:r>
        <w:rPr>
          <w:rFonts w:hint="eastAsia"/>
          <w:color w:val="auto"/>
          <w:szCs w:val="24"/>
          <w:highlight w:val="none"/>
          <w:lang w:eastAsia="zh-CN"/>
        </w:rPr>
        <w:t>自签订合同之日起至工程竣工验收合格且保修期届满之日止。</w:t>
      </w:r>
    </w:p>
    <w:p>
      <w:pPr>
        <w:pStyle w:val="49"/>
        <w:spacing w:line="420" w:lineRule="exact"/>
        <w:ind w:firstLine="480" w:firstLineChars="200"/>
        <w:rPr>
          <w:rFonts w:hint="eastAsia" w:hAnsi="宋体"/>
          <w:color w:val="auto"/>
          <w:highlight w:val="none"/>
        </w:rPr>
      </w:pPr>
      <w:r>
        <w:rPr>
          <w:rFonts w:hint="eastAsia" w:hAnsi="宋体"/>
          <w:color w:val="auto"/>
          <w:highlight w:val="none"/>
        </w:rPr>
        <w:t>9</w:t>
      </w:r>
      <w:r>
        <w:rPr>
          <w:rFonts w:hint="eastAsia"/>
          <w:color w:val="auto"/>
          <w:highlight w:val="none"/>
        </w:rPr>
        <w:t>．</w:t>
      </w:r>
      <w:r>
        <w:rPr>
          <w:rFonts w:hint="eastAsia" w:hAnsi="宋体"/>
          <w:color w:val="auto"/>
          <w:highlight w:val="none"/>
        </w:rPr>
        <w:t>质量标准：符合国家现行监理规范的合格标准。</w:t>
      </w:r>
    </w:p>
    <w:bookmarkEnd w:id="8"/>
    <w:p>
      <w:pPr>
        <w:spacing w:line="420" w:lineRule="exact"/>
        <w:ind w:firstLine="200"/>
        <w:outlineLvl w:val="1"/>
        <w:rPr>
          <w:b/>
          <w:color w:val="auto"/>
          <w:sz w:val="24"/>
          <w:szCs w:val="24"/>
          <w:highlight w:val="none"/>
          <w:lang w:eastAsia="zh-CN"/>
        </w:rPr>
      </w:pPr>
      <w:r>
        <w:rPr>
          <w:rFonts w:hint="eastAsia"/>
          <w:b/>
          <w:color w:val="auto"/>
          <w:sz w:val="24"/>
          <w:szCs w:val="24"/>
          <w:highlight w:val="none"/>
          <w:lang w:eastAsia="zh-CN"/>
        </w:rPr>
        <w:t>二、申请人的资格要求：</w:t>
      </w:r>
    </w:p>
    <w:p>
      <w:pPr>
        <w:kinsoku/>
        <w:autoSpaceDE/>
        <w:autoSpaceDN/>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1．满足《中华人民共和国政府采购法》第二十二条规定。</w:t>
      </w:r>
    </w:p>
    <w:p>
      <w:pPr>
        <w:pStyle w:val="49"/>
        <w:spacing w:line="420" w:lineRule="exact"/>
        <w:ind w:firstLine="480" w:firstLineChars="200"/>
        <w:rPr>
          <w:rFonts w:hint="eastAsia" w:hAnsi="宋体"/>
          <w:color w:val="auto"/>
          <w:highlight w:val="none"/>
          <w:lang w:bidi="ar"/>
        </w:rPr>
      </w:pPr>
      <w:r>
        <w:rPr>
          <w:rFonts w:hint="eastAsia" w:hAnsi="宋体"/>
          <w:color w:val="auto"/>
          <w:highlight w:val="none"/>
          <w:lang w:bidi="ar"/>
        </w:rPr>
        <w:t>2．落实政府采购政策需满足的资格要求：</w:t>
      </w:r>
      <w:r>
        <w:rPr>
          <w:rFonts w:hint="eastAsia" w:hAnsi="宋体"/>
          <w:color w:val="auto"/>
          <w:highlight w:val="none"/>
        </w:rPr>
        <w:t>本项目专门面向中小企业。</w:t>
      </w:r>
      <w:r>
        <w:rPr>
          <w:rFonts w:hint="eastAsia" w:hAnsi="宋体"/>
          <w:color w:val="auto"/>
          <w:highlight w:val="none"/>
          <w:lang w:bidi="ar"/>
        </w:rPr>
        <w:t>投标人须提交有效的《中小企业声明函》。详见《政府采购促进中小企业发展管理办法》（财库〔</w:t>
      </w:r>
      <w:r>
        <w:rPr>
          <w:rFonts w:hAnsi="宋体"/>
          <w:color w:val="auto"/>
          <w:highlight w:val="none"/>
          <w:lang w:bidi="ar"/>
        </w:rPr>
        <w:t>2020</w:t>
      </w:r>
      <w:r>
        <w:rPr>
          <w:rFonts w:hint="eastAsia" w:hAnsi="宋体"/>
          <w:color w:val="auto"/>
          <w:highlight w:val="none"/>
          <w:lang w:bidi="ar"/>
        </w:rPr>
        <w:t>〕</w:t>
      </w:r>
      <w:r>
        <w:rPr>
          <w:rFonts w:hAnsi="宋体"/>
          <w:color w:val="auto"/>
          <w:highlight w:val="none"/>
          <w:lang w:bidi="ar"/>
        </w:rPr>
        <w:t>46</w:t>
      </w:r>
      <w:r>
        <w:rPr>
          <w:rFonts w:hint="eastAsia" w:hAnsi="宋体"/>
          <w:color w:val="auto"/>
          <w:highlight w:val="none"/>
          <w:lang w:bidi="ar"/>
        </w:rPr>
        <w:t>号）、《关于政府采购支持监狱企业发展有关问题的通知》（财库〔</w:t>
      </w:r>
      <w:r>
        <w:rPr>
          <w:rFonts w:hAnsi="宋体"/>
          <w:color w:val="auto"/>
          <w:highlight w:val="none"/>
          <w:lang w:bidi="ar"/>
        </w:rPr>
        <w:t>2014</w:t>
      </w:r>
      <w:r>
        <w:rPr>
          <w:rFonts w:hint="eastAsia" w:hAnsi="宋体"/>
          <w:color w:val="auto"/>
          <w:highlight w:val="none"/>
          <w:lang w:bidi="ar"/>
        </w:rPr>
        <w:t>〕</w:t>
      </w:r>
      <w:r>
        <w:rPr>
          <w:rFonts w:hAnsi="宋体"/>
          <w:color w:val="auto"/>
          <w:highlight w:val="none"/>
          <w:lang w:bidi="ar"/>
        </w:rPr>
        <w:t>68</w:t>
      </w:r>
      <w:r>
        <w:rPr>
          <w:rFonts w:hint="eastAsia" w:hAnsi="宋体"/>
          <w:color w:val="auto"/>
          <w:highlight w:val="none"/>
          <w:lang w:bidi="ar"/>
        </w:rPr>
        <w:t>号）、《财政部、民政部、中国残疾人联合会关于促进残疾人就业政府采购政策的通知》</w:t>
      </w:r>
      <w:r>
        <w:rPr>
          <w:rFonts w:hAnsi="宋体"/>
          <w:color w:val="auto"/>
          <w:highlight w:val="none"/>
          <w:lang w:bidi="ar"/>
        </w:rPr>
        <w:t>(</w:t>
      </w:r>
      <w:r>
        <w:rPr>
          <w:rFonts w:hint="eastAsia" w:hAnsi="宋体"/>
          <w:color w:val="auto"/>
          <w:highlight w:val="none"/>
          <w:lang w:bidi="ar"/>
        </w:rPr>
        <w:t>财库〔</w:t>
      </w:r>
      <w:r>
        <w:rPr>
          <w:rFonts w:hAnsi="宋体"/>
          <w:color w:val="auto"/>
          <w:highlight w:val="none"/>
          <w:lang w:bidi="ar"/>
        </w:rPr>
        <w:t>2017</w:t>
      </w:r>
      <w:r>
        <w:rPr>
          <w:rFonts w:hint="eastAsia" w:hAnsi="宋体"/>
          <w:color w:val="auto"/>
          <w:highlight w:val="none"/>
          <w:lang w:bidi="ar"/>
        </w:rPr>
        <w:t>〕</w:t>
      </w:r>
      <w:r>
        <w:rPr>
          <w:rFonts w:hAnsi="宋体"/>
          <w:color w:val="auto"/>
          <w:highlight w:val="none"/>
          <w:lang w:bidi="ar"/>
        </w:rPr>
        <w:t>141</w:t>
      </w:r>
      <w:r>
        <w:rPr>
          <w:rFonts w:hint="eastAsia" w:hAnsi="宋体"/>
          <w:color w:val="auto"/>
          <w:highlight w:val="none"/>
          <w:lang w:bidi="ar"/>
        </w:rPr>
        <w:t>号</w:t>
      </w:r>
      <w:r>
        <w:rPr>
          <w:rFonts w:hAnsi="宋体"/>
          <w:color w:val="auto"/>
          <w:highlight w:val="none"/>
          <w:lang w:bidi="ar"/>
        </w:rPr>
        <w:t>)</w:t>
      </w:r>
      <w:r>
        <w:rPr>
          <w:rFonts w:hint="eastAsia" w:hAnsi="宋体"/>
          <w:color w:val="auto"/>
          <w:highlight w:val="none"/>
          <w:lang w:bidi="ar"/>
        </w:rPr>
        <w:t>文件；</w:t>
      </w:r>
    </w:p>
    <w:p>
      <w:pPr>
        <w:tabs>
          <w:tab w:val="left" w:pos="480"/>
        </w:tabs>
        <w:kinsoku/>
        <w:autoSpaceDE/>
        <w:autoSpaceDN/>
        <w:adjustRightInd/>
        <w:snapToGrid/>
        <w:spacing w:line="420" w:lineRule="exact"/>
        <w:ind w:firstLine="200"/>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3．本项目的特定资格要求：</w:t>
      </w:r>
    </w:p>
    <w:p>
      <w:pPr>
        <w:kinsoku/>
        <w:autoSpaceDE/>
        <w:autoSpaceDN/>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（1）供应商须是具有</w:t>
      </w:r>
      <w:r>
        <w:rPr>
          <w:rFonts w:hint="eastAsia" w:ascii="宋体" w:hAnsi="宋体" w:eastAsia="宋体" w:cs="宋体"/>
          <w:color w:val="auto"/>
          <w:sz w:val="24"/>
          <w:szCs w:val="24"/>
          <w:highlight w:val="none"/>
          <w:lang w:eastAsia="zh-CN" w:bidi="ar"/>
        </w:rPr>
        <w:t>中华人民共和国住房和城乡建设部颁发的工程监理综合资质的独立法人单位</w:t>
      </w:r>
      <w:r>
        <w:rPr>
          <w:rFonts w:hint="eastAsia" w:ascii="宋体" w:hAnsi="宋体" w:eastAsia="宋体" w:cs="宋体"/>
          <w:color w:val="auto"/>
          <w:sz w:val="24"/>
          <w:szCs w:val="24"/>
          <w:highlight w:val="none"/>
          <w:lang w:eastAsia="zh-CN" w:bidi="ar"/>
        </w:rPr>
        <w:t>，并具有履行合同所必需的设备和专业技术能力；</w:t>
      </w:r>
    </w:p>
    <w:p>
      <w:pPr>
        <w:kinsoku/>
        <w:autoSpaceDE/>
        <w:autoSpaceDN/>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（2）供应商拟派出的</w:t>
      </w:r>
      <w:r>
        <w:rPr>
          <w:rFonts w:hint="eastAsia" w:ascii="宋体" w:hAnsi="宋体" w:eastAsia="宋体" w:cs="宋体"/>
          <w:color w:val="auto"/>
          <w:sz w:val="24"/>
          <w:szCs w:val="24"/>
          <w:highlight w:val="none"/>
          <w:lang w:eastAsia="zh-CN" w:bidi="ar"/>
        </w:rPr>
        <w:t>总监理工程师须具有市政公用工程建设总监理工程师岗位证书或具有市政公用工程建设监理工程师资格证书且具有本单位出具的总监理工程师聘用书以及类似工程监理经验</w:t>
      </w:r>
      <w:r>
        <w:rPr>
          <w:rFonts w:hint="eastAsia" w:ascii="宋体" w:hAnsi="宋体" w:eastAsia="宋体" w:cs="宋体"/>
          <w:color w:val="auto"/>
          <w:kern w:val="2"/>
          <w:sz w:val="24"/>
          <w:szCs w:val="24"/>
          <w:highlight w:val="none"/>
          <w:lang w:eastAsia="zh-CN"/>
        </w:rPr>
        <w:t>。</w:t>
      </w:r>
    </w:p>
    <w:p>
      <w:pPr>
        <w:kinsoku/>
        <w:autoSpaceDE/>
        <w:autoSpaceDN/>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（3）本项目不接受联合体；</w:t>
      </w:r>
    </w:p>
    <w:p>
      <w:pPr>
        <w:kinsoku/>
        <w:autoSpaceDE/>
        <w:autoSpaceDN/>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（4）外省入吉建筑业企业应按照要求办理入吉建筑业企业信息登记；</w:t>
      </w:r>
    </w:p>
    <w:p>
      <w:pPr>
        <w:pStyle w:val="49"/>
        <w:spacing w:line="420" w:lineRule="exact"/>
        <w:ind w:firstLine="480" w:firstLineChars="200"/>
        <w:rPr>
          <w:rFonts w:hint="eastAsia" w:hAnsi="宋体"/>
          <w:color w:val="auto"/>
          <w:highlight w:val="none"/>
        </w:rPr>
      </w:pPr>
      <w:r>
        <w:rPr>
          <w:rFonts w:hint="eastAsia" w:hAnsi="宋体"/>
          <w:color w:val="auto"/>
          <w:highlight w:val="none"/>
          <w:lang w:bidi="ar"/>
        </w:rPr>
        <w:t>（5）信用要求</w:t>
      </w:r>
      <w:r>
        <w:rPr>
          <w:rFonts w:hint="eastAsia" w:hAnsi="宋体"/>
          <w:color w:val="auto"/>
          <w:highlight w:val="none"/>
        </w:rPr>
        <w:t>未被市场监督管理部门在全国企业信用信息公示系统（http://www.gsxt.gov.cn/index.html）中列入严重违法失信企业名单；未被最高人民法院在“信用中国”网站（www.creditchina.gov.cn）或各级信用信息共享平台列入失信被执行人名单；供应商、法定代表人、总监理工程师在中国裁判文书网无行贿犯罪记录。</w:t>
      </w:r>
    </w:p>
    <w:p>
      <w:pPr>
        <w:kinsoku/>
        <w:autoSpaceDE/>
        <w:autoSpaceDN/>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（6）企业名称不同但法定代表人为同一个自然人的两个或者两个以上的供应商不得参加同一项目的投标。如果出现上述情况，相关供应商的投标均将被拒绝。</w:t>
      </w:r>
    </w:p>
    <w:p>
      <w:pPr>
        <w:kinsoku/>
        <w:autoSpaceDE/>
        <w:autoSpaceDN/>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（7）拒绝列入政府不良行为记录期间的企业或个人投标；</w:t>
      </w:r>
    </w:p>
    <w:p>
      <w:pPr>
        <w:kinsoku/>
        <w:autoSpaceDE/>
        <w:autoSpaceDN/>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（8）资格审查方式：资格后审；</w:t>
      </w:r>
    </w:p>
    <w:p>
      <w:pPr>
        <w:spacing w:line="420" w:lineRule="exact"/>
        <w:ind w:firstLine="200"/>
        <w:outlineLvl w:val="1"/>
        <w:rPr>
          <w:b/>
          <w:color w:val="auto"/>
          <w:sz w:val="24"/>
          <w:szCs w:val="24"/>
          <w:highlight w:val="none"/>
          <w:lang w:eastAsia="zh-CN"/>
        </w:rPr>
      </w:pPr>
      <w:r>
        <w:rPr>
          <w:rFonts w:hint="eastAsia"/>
          <w:b/>
          <w:color w:val="auto"/>
          <w:sz w:val="24"/>
          <w:szCs w:val="24"/>
          <w:highlight w:val="none"/>
          <w:lang w:eastAsia="zh-CN"/>
        </w:rPr>
        <w:t>三、获取磋商文件</w:t>
      </w:r>
    </w:p>
    <w:p>
      <w:pPr>
        <w:spacing w:line="420" w:lineRule="exact"/>
        <w:ind w:firstLine="480" w:firstLineChars="200"/>
        <w:rPr>
          <w:color w:val="auto"/>
          <w:sz w:val="24"/>
          <w:szCs w:val="24"/>
          <w:highlight w:val="none"/>
          <w:lang w:eastAsia="zh-CN"/>
        </w:rPr>
      </w:pPr>
      <w:r>
        <w:rPr>
          <w:rFonts w:hint="eastAsia"/>
          <w:color w:val="auto"/>
          <w:sz w:val="24"/>
          <w:szCs w:val="24"/>
          <w:highlight w:val="none"/>
          <w:lang w:eastAsia="zh-CN"/>
        </w:rPr>
        <w:t>1</w:t>
      </w:r>
      <w:r>
        <w:rPr>
          <w:rFonts w:hint="eastAsia" w:ascii="宋体" w:hAnsi="宋体" w:eastAsia="宋体" w:cs="宋体"/>
          <w:color w:val="auto"/>
          <w:sz w:val="24"/>
          <w:szCs w:val="24"/>
          <w:highlight w:val="none"/>
          <w:lang w:eastAsia="zh-CN"/>
        </w:rPr>
        <w:t>．</w:t>
      </w:r>
      <w:r>
        <w:rPr>
          <w:rFonts w:hint="eastAsia"/>
          <w:color w:val="auto"/>
          <w:sz w:val="24"/>
          <w:szCs w:val="24"/>
          <w:highlight w:val="none"/>
          <w:lang w:eastAsia="zh-CN"/>
        </w:rPr>
        <w:t>时间：</w:t>
      </w:r>
      <w:r>
        <w:rPr>
          <w:rFonts w:hint="eastAsia"/>
          <w:color w:val="auto"/>
          <w:sz w:val="24"/>
          <w:szCs w:val="24"/>
          <w:highlight w:val="none"/>
          <w:lang w:eastAsia="zh-CN"/>
        </w:rPr>
        <w:t>2025年7月</w:t>
      </w:r>
      <w:r>
        <w:rPr>
          <w:rFonts w:hint="eastAsia" w:eastAsiaTheme="minorEastAsia"/>
          <w:color w:val="auto"/>
          <w:sz w:val="24"/>
          <w:szCs w:val="24"/>
          <w:highlight w:val="none"/>
          <w:lang w:eastAsia="zh-CN"/>
        </w:rPr>
        <w:t>3</w:t>
      </w:r>
      <w:r>
        <w:rPr>
          <w:rFonts w:hint="eastAsia"/>
          <w:color w:val="auto"/>
          <w:sz w:val="24"/>
          <w:szCs w:val="24"/>
          <w:highlight w:val="none"/>
          <w:lang w:eastAsia="zh-CN"/>
        </w:rPr>
        <w:t>日至2025年7月</w:t>
      </w:r>
      <w:r>
        <w:rPr>
          <w:rFonts w:hint="eastAsia" w:eastAsiaTheme="minorEastAsia"/>
          <w:color w:val="auto"/>
          <w:sz w:val="24"/>
          <w:szCs w:val="24"/>
          <w:highlight w:val="none"/>
          <w:lang w:eastAsia="zh-CN"/>
        </w:rPr>
        <w:t>9</w:t>
      </w:r>
      <w:r>
        <w:rPr>
          <w:rFonts w:hint="eastAsia"/>
          <w:color w:val="auto"/>
          <w:sz w:val="24"/>
          <w:szCs w:val="24"/>
          <w:highlight w:val="none"/>
          <w:lang w:eastAsia="zh-CN"/>
        </w:rPr>
        <w:t xml:space="preserve">日，每天8时30分至16时30分（北京时间，法定节假日除外）（北京时间，法定节假日除外）。 </w:t>
      </w:r>
    </w:p>
    <w:p>
      <w:pPr>
        <w:spacing w:line="420" w:lineRule="exact"/>
        <w:ind w:firstLine="480" w:firstLineChars="200"/>
        <w:rPr>
          <w:rFonts w:eastAsia="宋体"/>
          <w:color w:val="auto"/>
          <w:sz w:val="24"/>
          <w:szCs w:val="24"/>
          <w:highlight w:val="none"/>
          <w:lang w:eastAsia="zh-CN"/>
        </w:rPr>
      </w:pPr>
      <w:r>
        <w:rPr>
          <w:rFonts w:hint="eastAsia"/>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color w:val="auto"/>
          <w:sz w:val="24"/>
          <w:szCs w:val="24"/>
          <w:highlight w:val="none"/>
        </w:rPr>
        <w:t>地点：</w:t>
      </w:r>
      <w:r>
        <w:rPr>
          <w:rFonts w:hint="eastAsia" w:ascii="宋体" w:hAnsi="宋体" w:eastAsia="宋体" w:cs="宋体"/>
          <w:bCs/>
          <w:color w:val="auto"/>
          <w:sz w:val="24"/>
          <w:szCs w:val="24"/>
          <w:highlight w:val="none"/>
        </w:rPr>
        <w:t>政府采购云平台（http://www.zcygov.cn）</w:t>
      </w:r>
      <w:r>
        <w:rPr>
          <w:rFonts w:hint="eastAsia" w:ascii="宋体" w:hAnsi="宋体" w:eastAsia="宋体" w:cs="宋体"/>
          <w:bCs/>
          <w:color w:val="auto"/>
          <w:sz w:val="24"/>
          <w:szCs w:val="24"/>
          <w:highlight w:val="none"/>
          <w:lang w:eastAsia="zh-CN"/>
        </w:rPr>
        <w:t>。</w:t>
      </w:r>
    </w:p>
    <w:p>
      <w:pPr>
        <w:spacing w:line="420" w:lineRule="exact"/>
        <w:ind w:firstLine="480" w:firstLineChars="200"/>
        <w:rPr>
          <w:color w:val="auto"/>
          <w:sz w:val="24"/>
          <w:szCs w:val="24"/>
          <w:highlight w:val="none"/>
          <w:lang w:eastAsia="zh-CN"/>
        </w:rPr>
      </w:pPr>
      <w:r>
        <w:rPr>
          <w:rFonts w:hint="eastAsia"/>
          <w:color w:val="auto"/>
          <w:sz w:val="24"/>
          <w:szCs w:val="24"/>
          <w:highlight w:val="none"/>
          <w:lang w:eastAsia="zh-CN"/>
        </w:rPr>
        <w:t>3</w:t>
      </w:r>
      <w:r>
        <w:rPr>
          <w:rFonts w:hint="eastAsia" w:ascii="宋体" w:hAnsi="宋体" w:eastAsia="宋体" w:cs="宋体"/>
          <w:color w:val="auto"/>
          <w:sz w:val="24"/>
          <w:szCs w:val="24"/>
          <w:highlight w:val="none"/>
          <w:lang w:eastAsia="zh-CN"/>
        </w:rPr>
        <w:t>．</w:t>
      </w:r>
      <w:r>
        <w:rPr>
          <w:rFonts w:hint="eastAsia"/>
          <w:color w:val="auto"/>
          <w:sz w:val="24"/>
          <w:szCs w:val="24"/>
          <w:highlight w:val="none"/>
          <w:lang w:eastAsia="zh-CN"/>
        </w:rPr>
        <w:t>方式：</w:t>
      </w:r>
      <w:r>
        <w:rPr>
          <w:rFonts w:hint="eastAsia" w:ascii="宋体" w:hAnsi="宋体" w:eastAsia="宋体" w:cs="宋体"/>
          <w:bCs/>
          <w:color w:val="auto"/>
          <w:sz w:val="24"/>
          <w:szCs w:val="24"/>
          <w:highlight w:val="none"/>
          <w:lang w:eastAsia="zh-CN"/>
        </w:rPr>
        <w:t>潜在供应商自行登录政府采购云平台（网址同上）下载采购文件（操作路径：登录“政采云”平台-项目采购-获取采购文件-找到本项目-点击“申请获取采购文件”），其他途径获取的采购文件开标时一律按无效投标处理。未进行网上注册的供应商将无法参与本次采购活动。</w:t>
      </w:r>
    </w:p>
    <w:p>
      <w:pPr>
        <w:spacing w:line="420" w:lineRule="exact"/>
        <w:ind w:firstLine="480" w:firstLineChars="200"/>
        <w:rPr>
          <w:color w:val="auto"/>
          <w:sz w:val="24"/>
          <w:szCs w:val="24"/>
          <w:highlight w:val="none"/>
          <w:lang w:eastAsia="zh-CN"/>
        </w:rPr>
      </w:pPr>
      <w:r>
        <w:rPr>
          <w:rFonts w:hint="eastAsia"/>
          <w:color w:val="auto"/>
          <w:sz w:val="24"/>
          <w:szCs w:val="24"/>
          <w:highlight w:val="none"/>
          <w:lang w:eastAsia="zh-CN"/>
        </w:rPr>
        <w:t>4</w:t>
      </w:r>
      <w:r>
        <w:rPr>
          <w:rFonts w:hint="eastAsia" w:ascii="宋体" w:hAnsi="宋体" w:eastAsia="宋体" w:cs="宋体"/>
          <w:color w:val="auto"/>
          <w:sz w:val="24"/>
          <w:szCs w:val="24"/>
          <w:highlight w:val="none"/>
          <w:lang w:eastAsia="zh-CN"/>
        </w:rPr>
        <w:t>．</w:t>
      </w:r>
      <w:r>
        <w:rPr>
          <w:rFonts w:hint="eastAsia"/>
          <w:color w:val="auto"/>
          <w:sz w:val="24"/>
          <w:szCs w:val="24"/>
          <w:highlight w:val="none"/>
          <w:lang w:eastAsia="zh-CN"/>
        </w:rPr>
        <w:t>售价：</w:t>
      </w:r>
      <w:r>
        <w:rPr>
          <w:rFonts w:hint="eastAsia" w:eastAsiaTheme="minorEastAsia"/>
          <w:color w:val="auto"/>
          <w:sz w:val="24"/>
          <w:szCs w:val="24"/>
          <w:highlight w:val="none"/>
          <w:lang w:eastAsia="zh-CN"/>
        </w:rPr>
        <w:t>0元</w:t>
      </w:r>
      <w:r>
        <w:rPr>
          <w:rFonts w:hint="eastAsia"/>
          <w:color w:val="auto"/>
          <w:sz w:val="24"/>
          <w:szCs w:val="24"/>
          <w:highlight w:val="none"/>
          <w:lang w:eastAsia="zh-CN"/>
        </w:rPr>
        <w:t>。</w:t>
      </w:r>
    </w:p>
    <w:p>
      <w:pPr>
        <w:spacing w:line="420" w:lineRule="exact"/>
        <w:ind w:firstLine="200"/>
        <w:outlineLvl w:val="1"/>
        <w:rPr>
          <w:b/>
          <w:color w:val="auto"/>
          <w:sz w:val="24"/>
          <w:szCs w:val="24"/>
          <w:highlight w:val="none"/>
          <w:lang w:eastAsia="zh-CN"/>
        </w:rPr>
      </w:pPr>
      <w:r>
        <w:rPr>
          <w:rFonts w:hint="eastAsia"/>
          <w:b/>
          <w:color w:val="auto"/>
          <w:sz w:val="24"/>
          <w:szCs w:val="24"/>
          <w:highlight w:val="none"/>
          <w:lang w:eastAsia="zh-CN"/>
        </w:rPr>
        <w:t>四、响应文件提交</w:t>
      </w:r>
    </w:p>
    <w:p>
      <w:pPr>
        <w:spacing w:line="42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1．投标文件递交的截止时间（开标时间）：</w:t>
      </w:r>
      <w:r>
        <w:rPr>
          <w:rFonts w:hint="eastAsia" w:ascii="宋体" w:hAnsi="宋体" w:eastAsia="宋体" w:cs="宋体"/>
          <w:bCs/>
          <w:color w:val="auto"/>
          <w:sz w:val="24"/>
          <w:szCs w:val="24"/>
          <w:highlight w:val="none"/>
          <w:lang w:eastAsia="zh-CN"/>
        </w:rPr>
        <w:t>2025年7月14日9点00分（北京时间）</w:t>
      </w:r>
      <w:r>
        <w:rPr>
          <w:rFonts w:hint="eastAsia" w:ascii="宋体" w:hAnsi="宋体" w:eastAsia="宋体" w:cs="宋体"/>
          <w:bCs/>
          <w:color w:val="auto"/>
          <w:sz w:val="24"/>
          <w:szCs w:val="24"/>
          <w:highlight w:val="none"/>
          <w:lang w:eastAsia="zh-CN"/>
        </w:rPr>
        <w:t>。</w:t>
      </w:r>
    </w:p>
    <w:p>
      <w:pPr>
        <w:spacing w:line="42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2．地点：</w:t>
      </w:r>
      <w:bookmarkStart w:id="9" w:name="_Hlk201872072"/>
      <w:r>
        <w:rPr>
          <w:rFonts w:hint="eastAsia" w:ascii="宋体" w:hAnsi="宋体" w:eastAsia="宋体" w:cs="宋体"/>
          <w:bCs/>
          <w:color w:val="auto"/>
          <w:sz w:val="24"/>
          <w:szCs w:val="24"/>
          <w:highlight w:val="none"/>
          <w:lang w:eastAsia="zh-CN"/>
        </w:rPr>
        <w:t>梅河口市公共资源交易中心第一开标室</w:t>
      </w:r>
      <w:bookmarkEnd w:id="9"/>
      <w:r>
        <w:rPr>
          <w:rFonts w:hint="eastAsia" w:ascii="宋体" w:hAnsi="宋体" w:eastAsia="宋体" w:cs="宋体"/>
          <w:bCs/>
          <w:color w:val="auto"/>
          <w:sz w:val="24"/>
          <w:szCs w:val="24"/>
          <w:highlight w:val="none"/>
          <w:lang w:eastAsia="zh-CN"/>
        </w:rPr>
        <w:t>。</w:t>
      </w:r>
    </w:p>
    <w:p>
      <w:pPr>
        <w:spacing w:line="42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本项目执行电子化招投标，须通过政府采购云平台（网址：http://www.zcygov.cn）递交电子版投标文件。投标操作流程：供应商在政府采购云平台注册入库成为正式供应商后，按政府采购云平台要求进行投标操作。数字证书办理及投标技术咨询：供应商须办理数字证书方可参加投标。</w:t>
      </w:r>
    </w:p>
    <w:p>
      <w:pPr>
        <w:spacing w:line="42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4．若对项目采购电子交易系统操作有疑问，可登录“政采云”平台（https://www.zcygov.cn）点击右侧咨询小采，获取采小蜜智能服务管家帮助，或拨打政采云服务热线95763获取热线服务帮助。</w:t>
      </w:r>
    </w:p>
    <w:p>
      <w:pPr>
        <w:spacing w:line="420" w:lineRule="exact"/>
        <w:ind w:firstLine="200"/>
        <w:outlineLvl w:val="1"/>
        <w:rPr>
          <w:b/>
          <w:color w:val="auto"/>
          <w:sz w:val="24"/>
          <w:szCs w:val="24"/>
          <w:highlight w:val="none"/>
          <w:lang w:eastAsia="zh-CN"/>
        </w:rPr>
      </w:pPr>
      <w:r>
        <w:rPr>
          <w:rFonts w:hint="eastAsia"/>
          <w:b/>
          <w:color w:val="auto"/>
          <w:sz w:val="24"/>
          <w:szCs w:val="24"/>
          <w:highlight w:val="none"/>
          <w:lang w:eastAsia="zh-CN"/>
        </w:rPr>
        <w:t>五、开启</w:t>
      </w:r>
    </w:p>
    <w:p>
      <w:pPr>
        <w:spacing w:line="420" w:lineRule="exact"/>
        <w:ind w:firstLine="480" w:firstLineChars="200"/>
        <w:rPr>
          <w:color w:val="auto"/>
          <w:sz w:val="24"/>
          <w:szCs w:val="24"/>
          <w:highlight w:val="none"/>
          <w:lang w:eastAsia="zh-CN"/>
        </w:rPr>
      </w:pPr>
      <w:r>
        <w:rPr>
          <w:rFonts w:hint="eastAsia"/>
          <w:color w:val="auto"/>
          <w:sz w:val="24"/>
          <w:szCs w:val="24"/>
          <w:highlight w:val="none"/>
          <w:lang w:eastAsia="zh-CN"/>
        </w:rPr>
        <w:t>时间：</w:t>
      </w:r>
      <w:r>
        <w:rPr>
          <w:rFonts w:hint="eastAsia"/>
          <w:color w:val="auto"/>
          <w:sz w:val="24"/>
          <w:szCs w:val="24"/>
          <w:highlight w:val="none"/>
          <w:lang w:eastAsia="zh-CN"/>
        </w:rPr>
        <w:t>2025年</w:t>
      </w:r>
      <w:r>
        <w:rPr>
          <w:rFonts w:hint="eastAsia" w:eastAsiaTheme="minorEastAsia"/>
          <w:color w:val="auto"/>
          <w:sz w:val="24"/>
          <w:szCs w:val="24"/>
          <w:highlight w:val="none"/>
          <w:lang w:eastAsia="zh-CN"/>
        </w:rPr>
        <w:t>7</w:t>
      </w:r>
      <w:r>
        <w:rPr>
          <w:rFonts w:hint="eastAsia"/>
          <w:color w:val="auto"/>
          <w:sz w:val="24"/>
          <w:szCs w:val="24"/>
          <w:highlight w:val="none"/>
          <w:lang w:eastAsia="zh-CN"/>
        </w:rPr>
        <w:t>月</w:t>
      </w:r>
      <w:r>
        <w:rPr>
          <w:rFonts w:hint="eastAsia" w:eastAsiaTheme="minorEastAsia"/>
          <w:color w:val="auto"/>
          <w:sz w:val="24"/>
          <w:szCs w:val="24"/>
          <w:highlight w:val="none"/>
          <w:lang w:eastAsia="zh-CN"/>
        </w:rPr>
        <w:t>14</w:t>
      </w:r>
      <w:r>
        <w:rPr>
          <w:rFonts w:hint="eastAsia"/>
          <w:color w:val="auto"/>
          <w:sz w:val="24"/>
          <w:szCs w:val="24"/>
          <w:highlight w:val="none"/>
          <w:lang w:eastAsia="zh-CN"/>
        </w:rPr>
        <w:t>日</w:t>
      </w:r>
      <w:r>
        <w:rPr>
          <w:rFonts w:hint="eastAsia" w:eastAsiaTheme="minorEastAsia"/>
          <w:color w:val="auto"/>
          <w:sz w:val="24"/>
          <w:szCs w:val="24"/>
          <w:highlight w:val="none"/>
          <w:lang w:eastAsia="zh-CN"/>
        </w:rPr>
        <w:t>9</w:t>
      </w:r>
      <w:r>
        <w:rPr>
          <w:rFonts w:hint="eastAsia" w:ascii="宋体" w:hAnsi="宋体" w:eastAsia="宋体" w:cs="宋体"/>
          <w:color w:val="auto"/>
          <w:sz w:val="24"/>
          <w:szCs w:val="24"/>
          <w:highlight w:val="none"/>
          <w:lang w:eastAsia="zh-CN"/>
        </w:rPr>
        <w:t>点</w:t>
      </w:r>
      <w:r>
        <w:rPr>
          <w:rFonts w:hint="eastAsia" w:eastAsiaTheme="minorEastAsia"/>
          <w:color w:val="auto"/>
          <w:sz w:val="24"/>
          <w:szCs w:val="24"/>
          <w:highlight w:val="none"/>
          <w:lang w:eastAsia="zh-CN"/>
        </w:rPr>
        <w:t>00</w:t>
      </w:r>
      <w:r>
        <w:rPr>
          <w:rFonts w:hint="eastAsia"/>
          <w:color w:val="auto"/>
          <w:sz w:val="24"/>
          <w:szCs w:val="24"/>
          <w:highlight w:val="none"/>
          <w:lang w:eastAsia="zh-CN"/>
        </w:rPr>
        <w:t>分（北京时间）</w:t>
      </w:r>
    </w:p>
    <w:p>
      <w:pPr>
        <w:spacing w:line="420" w:lineRule="exact"/>
        <w:ind w:firstLine="480" w:firstLineChars="200"/>
        <w:rPr>
          <w:rFonts w:eastAsia="宋体"/>
          <w:color w:val="auto"/>
          <w:sz w:val="24"/>
          <w:szCs w:val="24"/>
          <w:highlight w:val="none"/>
          <w:lang w:eastAsia="zh-CN"/>
        </w:rPr>
      </w:pPr>
      <w:r>
        <w:rPr>
          <w:rFonts w:hint="eastAsia"/>
          <w:color w:val="auto"/>
          <w:sz w:val="24"/>
          <w:szCs w:val="24"/>
          <w:highlight w:val="none"/>
          <w:lang w:eastAsia="zh-CN"/>
        </w:rPr>
        <w:t>地点：</w:t>
      </w:r>
      <w:r>
        <w:rPr>
          <w:rFonts w:hint="eastAsia" w:ascii="宋体" w:hAnsi="宋体" w:eastAsia="宋体" w:cs="宋体"/>
          <w:bCs/>
          <w:color w:val="auto"/>
          <w:sz w:val="24"/>
          <w:szCs w:val="24"/>
          <w:highlight w:val="none"/>
          <w:lang w:eastAsia="zh-CN"/>
        </w:rPr>
        <w:t>梅河口市公共资源交易中心第一开标室。</w:t>
      </w:r>
    </w:p>
    <w:p>
      <w:pPr>
        <w:spacing w:line="420" w:lineRule="exact"/>
        <w:ind w:firstLine="200"/>
        <w:outlineLvl w:val="1"/>
        <w:rPr>
          <w:b/>
          <w:color w:val="auto"/>
          <w:sz w:val="24"/>
          <w:szCs w:val="24"/>
          <w:highlight w:val="none"/>
          <w:lang w:eastAsia="zh-CN"/>
        </w:rPr>
      </w:pPr>
      <w:r>
        <w:rPr>
          <w:rFonts w:hint="eastAsia"/>
          <w:b/>
          <w:color w:val="auto"/>
          <w:sz w:val="24"/>
          <w:szCs w:val="24"/>
          <w:highlight w:val="none"/>
          <w:lang w:eastAsia="zh-CN"/>
        </w:rPr>
        <w:t>六、公告期限</w:t>
      </w:r>
    </w:p>
    <w:p>
      <w:pPr>
        <w:spacing w:line="420" w:lineRule="exact"/>
        <w:ind w:firstLine="480" w:firstLineChars="200"/>
        <w:rPr>
          <w:color w:val="auto"/>
          <w:sz w:val="24"/>
          <w:szCs w:val="24"/>
          <w:highlight w:val="none"/>
          <w:lang w:eastAsia="zh-CN"/>
        </w:rPr>
      </w:pPr>
      <w:r>
        <w:rPr>
          <w:rFonts w:hint="eastAsia"/>
          <w:color w:val="auto"/>
          <w:sz w:val="24"/>
          <w:szCs w:val="24"/>
          <w:highlight w:val="none"/>
          <w:lang w:eastAsia="zh-CN"/>
        </w:rPr>
        <w:t>自本公告发布之日起5个工作日。</w:t>
      </w:r>
    </w:p>
    <w:p>
      <w:pPr>
        <w:spacing w:line="420" w:lineRule="exact"/>
        <w:ind w:firstLine="200"/>
        <w:outlineLvl w:val="1"/>
        <w:rPr>
          <w:b/>
          <w:color w:val="auto"/>
          <w:sz w:val="24"/>
          <w:szCs w:val="24"/>
          <w:highlight w:val="none"/>
        </w:rPr>
      </w:pPr>
      <w:r>
        <w:rPr>
          <w:rFonts w:hint="eastAsia"/>
          <w:b/>
          <w:color w:val="auto"/>
          <w:sz w:val="24"/>
          <w:szCs w:val="24"/>
          <w:highlight w:val="none"/>
        </w:rPr>
        <w:t>七、其他补充事宜</w:t>
      </w:r>
    </w:p>
    <w:p>
      <w:pPr>
        <w:spacing w:line="420" w:lineRule="exact"/>
        <w:ind w:firstLine="480" w:firstLineChars="200"/>
        <w:rPr>
          <w:color w:val="auto"/>
          <w:sz w:val="24"/>
          <w:szCs w:val="24"/>
          <w:highlight w:val="none"/>
          <w:lang w:eastAsia="zh-CN"/>
        </w:rPr>
      </w:pPr>
      <w:r>
        <w:rPr>
          <w:rFonts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本次公告在政府采购云平台（</w:t>
      </w:r>
      <w:r>
        <w:rPr>
          <w:rFonts w:ascii="宋体" w:hAnsi="宋体" w:eastAsia="宋体" w:cs="宋体"/>
          <w:bCs/>
          <w:color w:val="auto"/>
          <w:sz w:val="24"/>
          <w:szCs w:val="24"/>
          <w:highlight w:val="none"/>
        </w:rPr>
        <w:t>http://www.zcygov.cn</w:t>
      </w:r>
      <w:r>
        <w:rPr>
          <w:rFonts w:hint="eastAsia" w:ascii="宋体" w:hAnsi="宋体" w:eastAsia="宋体" w:cs="宋体"/>
          <w:bCs/>
          <w:color w:val="auto"/>
          <w:sz w:val="24"/>
          <w:szCs w:val="24"/>
          <w:highlight w:val="none"/>
        </w:rPr>
        <w:t>）发布，</w:t>
      </w:r>
      <w:bookmarkStart w:id="10" w:name="_Hlk201872153"/>
      <w:r>
        <w:rPr>
          <w:rFonts w:hint="eastAsia" w:ascii="宋体" w:hAnsi="宋体" w:eastAsia="宋体" w:cs="宋体"/>
          <w:bCs/>
          <w:color w:val="auto"/>
          <w:sz w:val="24"/>
          <w:szCs w:val="24"/>
          <w:highlight w:val="none"/>
        </w:rPr>
        <w:t>同步推送到吉林省</w:t>
      </w:r>
      <w:r>
        <w:rPr>
          <w:rFonts w:hint="eastAsia" w:ascii="宋体" w:hAnsi="宋体" w:eastAsia="宋体" w:cs="宋体"/>
          <w:bCs/>
          <w:color w:val="auto"/>
          <w:sz w:val="24"/>
          <w:szCs w:val="24"/>
          <w:highlight w:val="none"/>
          <w:lang w:eastAsia="zh-CN"/>
        </w:rPr>
        <w:t>政府采购网、吉林省公共资源交易公共服务平台</w:t>
      </w:r>
      <w:bookmarkEnd w:id="10"/>
      <w:r>
        <w:rPr>
          <w:rFonts w:hint="eastAsia" w:ascii="宋体" w:hAnsi="宋体" w:eastAsia="宋体" w:cs="宋体"/>
          <w:bCs/>
          <w:color w:val="auto"/>
          <w:sz w:val="24"/>
          <w:szCs w:val="24"/>
          <w:highlight w:val="none"/>
          <w:lang w:eastAsia="zh-CN"/>
        </w:rPr>
        <w:t>。</w:t>
      </w:r>
    </w:p>
    <w:p>
      <w:pPr>
        <w:spacing w:line="420" w:lineRule="exact"/>
        <w:ind w:firstLine="200"/>
        <w:outlineLvl w:val="1"/>
        <w:rPr>
          <w:b/>
          <w:color w:val="auto"/>
          <w:sz w:val="24"/>
          <w:szCs w:val="24"/>
          <w:highlight w:val="none"/>
          <w:lang w:eastAsia="zh-CN"/>
        </w:rPr>
      </w:pPr>
      <w:r>
        <w:rPr>
          <w:rFonts w:hint="eastAsia"/>
          <w:b/>
          <w:color w:val="auto"/>
          <w:sz w:val="24"/>
          <w:szCs w:val="24"/>
          <w:highlight w:val="none"/>
          <w:lang w:eastAsia="zh-CN"/>
        </w:rPr>
        <w:t>八、凡对本次采购提出询问，请按以下方式联系：</w:t>
      </w:r>
    </w:p>
    <w:p>
      <w:pPr>
        <w:spacing w:line="420" w:lineRule="exact"/>
        <w:ind w:firstLine="480" w:firstLineChars="200"/>
        <w:outlineLvl w:val="2"/>
        <w:rPr>
          <w:rFonts w:hint="eastAsia" w:ascii="宋体" w:hAnsi="宋体" w:eastAsia="宋体" w:cs="宋体"/>
          <w:bCs/>
          <w:color w:val="auto"/>
          <w:sz w:val="24"/>
          <w:szCs w:val="24"/>
          <w:highlight w:val="none"/>
          <w:lang w:eastAsia="zh-CN"/>
        </w:rPr>
      </w:pPr>
      <w:bookmarkStart w:id="11" w:name="_Hlk201872192"/>
      <w:r>
        <w:rPr>
          <w:rFonts w:hint="eastAsia" w:ascii="宋体" w:hAnsi="宋体" w:eastAsia="宋体" w:cs="宋体"/>
          <w:bCs/>
          <w:color w:val="auto"/>
          <w:sz w:val="24"/>
          <w:szCs w:val="24"/>
          <w:highlight w:val="none"/>
          <w:lang w:eastAsia="zh-CN"/>
        </w:rPr>
        <w:t>1．采购人信息</w:t>
      </w:r>
    </w:p>
    <w:p>
      <w:pPr>
        <w:spacing w:line="42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名称：梅河口市水库移民服务中心</w:t>
      </w:r>
    </w:p>
    <w:p>
      <w:pPr>
        <w:spacing w:line="42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地址：梅河口市银河大街2061号</w:t>
      </w:r>
    </w:p>
    <w:p>
      <w:pPr>
        <w:spacing w:line="42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联系人:孙志刚</w:t>
      </w:r>
    </w:p>
    <w:p>
      <w:pPr>
        <w:spacing w:line="42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电  话：0435-5096030</w:t>
      </w:r>
    </w:p>
    <w:p>
      <w:pPr>
        <w:spacing w:line="420" w:lineRule="exact"/>
        <w:ind w:firstLine="480" w:firstLineChars="200"/>
        <w:outlineLvl w:val="2"/>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2．采购代理机构信息</w:t>
      </w:r>
    </w:p>
    <w:p>
      <w:pPr>
        <w:spacing w:line="42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采购代理机构：吉林省弘鑫工程建设招投标有限责任公司</w:t>
      </w:r>
    </w:p>
    <w:p>
      <w:pPr>
        <w:spacing w:line="42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联系人：</w:t>
      </w:r>
      <w:bookmarkStart w:id="12" w:name="_Hlk201862381"/>
      <w:r>
        <w:rPr>
          <w:rFonts w:hint="eastAsia" w:ascii="宋体" w:hAnsi="宋体" w:eastAsia="宋体" w:cs="宋体"/>
          <w:bCs/>
          <w:color w:val="auto"/>
          <w:sz w:val="24"/>
          <w:szCs w:val="24"/>
          <w:highlight w:val="none"/>
          <w:lang w:eastAsia="zh-CN"/>
        </w:rPr>
        <w:t>王工</w:t>
      </w:r>
      <w:bookmarkEnd w:id="12"/>
    </w:p>
    <w:p>
      <w:pPr>
        <w:spacing w:line="42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联系电话：</w:t>
      </w:r>
      <w:bookmarkStart w:id="13" w:name="_Hlk201862393"/>
      <w:r>
        <w:rPr>
          <w:rFonts w:hint="eastAsia" w:ascii="宋体" w:hAnsi="宋体" w:eastAsia="宋体" w:cs="宋体"/>
          <w:bCs/>
          <w:color w:val="auto"/>
          <w:sz w:val="24"/>
          <w:szCs w:val="24"/>
          <w:highlight w:val="none"/>
          <w:lang w:eastAsia="zh-CN"/>
        </w:rPr>
        <w:t>0431-80862999</w:t>
      </w:r>
      <w:bookmarkEnd w:id="13"/>
      <w:r>
        <w:rPr>
          <w:rFonts w:hint="eastAsia" w:ascii="宋体" w:hAnsi="宋体" w:eastAsia="宋体" w:cs="宋体"/>
          <w:bCs/>
          <w:color w:val="auto"/>
          <w:sz w:val="24"/>
          <w:szCs w:val="24"/>
          <w:highlight w:val="none"/>
          <w:lang w:eastAsia="zh-CN"/>
        </w:rPr>
        <w:t xml:space="preserve"> </w:t>
      </w:r>
    </w:p>
    <w:p>
      <w:pPr>
        <w:spacing w:line="420" w:lineRule="exact"/>
        <w:ind w:firstLine="480" w:firstLineChars="200"/>
        <w:outlineLvl w:val="2"/>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3．项目联系方式</w:t>
      </w:r>
    </w:p>
    <w:p>
      <w:pPr>
        <w:spacing w:line="42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联系人：王工</w:t>
      </w:r>
    </w:p>
    <w:p>
      <w:pPr>
        <w:spacing w:line="42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 xml:space="preserve">联系电话：0431-80862999 </w:t>
      </w:r>
    </w:p>
    <w:p>
      <w:pPr>
        <w:spacing w:line="420" w:lineRule="exact"/>
        <w:ind w:firstLine="480" w:firstLineChars="200"/>
        <w:outlineLvl w:val="2"/>
        <w:rPr>
          <w:rFonts w:hint="eastAsia"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4.</w:t>
      </w:r>
      <w:r>
        <w:rPr>
          <w:rFonts w:hint="eastAsia" w:ascii="宋体" w:hAnsi="宋体" w:eastAsia="宋体" w:cs="宋体"/>
          <w:bCs/>
          <w:color w:val="auto"/>
          <w:sz w:val="24"/>
          <w:szCs w:val="24"/>
          <w:highlight w:val="none"/>
          <w:lang w:eastAsia="zh-CN"/>
        </w:rPr>
        <w:t>技术服务</w:t>
      </w:r>
    </w:p>
    <w:p>
      <w:pPr>
        <w:spacing w:line="42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政采云平台客服电话：</w:t>
      </w:r>
      <w:r>
        <w:rPr>
          <w:rFonts w:ascii="宋体" w:hAnsi="宋体" w:eastAsia="宋体" w:cs="宋体"/>
          <w:bCs/>
          <w:color w:val="auto"/>
          <w:sz w:val="24"/>
          <w:szCs w:val="24"/>
          <w:highlight w:val="none"/>
          <w:lang w:eastAsia="zh-CN"/>
        </w:rPr>
        <w:t>95763</w:t>
      </w:r>
    </w:p>
    <w:bookmarkEnd w:id="11"/>
    <w:p>
      <w:pPr>
        <w:spacing w:line="360" w:lineRule="auto"/>
        <w:jc w:val="right"/>
        <w:rPr>
          <w:color w:val="auto"/>
          <w:sz w:val="24"/>
          <w:szCs w:val="24"/>
          <w:highlight w:val="none"/>
          <w:lang w:eastAsia="zh-CN"/>
        </w:rPr>
      </w:pPr>
    </w:p>
    <w:p>
      <w:pPr>
        <w:kinsoku/>
        <w:autoSpaceDE/>
        <w:autoSpaceDN/>
        <w:adjustRightInd/>
        <w:snapToGrid/>
        <w:textAlignment w:val="auto"/>
        <w:rPr>
          <w:rFonts w:hint="eastAsia" w:ascii="宋体" w:hAnsi="宋体" w:eastAsia="宋体" w:cs="宋体"/>
          <w:color w:val="auto"/>
          <w:spacing w:val="8"/>
          <w:sz w:val="24"/>
          <w:szCs w:val="24"/>
          <w:highlight w:val="none"/>
          <w:lang w:eastAsia="zh-CN"/>
          <w14:textOutline w14:w="6540" w14:cap="sq" w14:cmpd="sng" w14:algn="ctr">
            <w14:solidFill>
              <w14:srgbClr w14:val="000000"/>
            </w14:solidFill>
            <w14:prstDash w14:val="solid"/>
            <w14:bevel/>
          </w14:textOutline>
        </w:rPr>
      </w:pPr>
      <w:r>
        <w:rPr>
          <w:rFonts w:hint="eastAsia" w:ascii="宋体" w:hAnsi="宋体" w:eastAsia="宋体" w:cs="宋体"/>
          <w:color w:val="auto"/>
          <w:spacing w:val="8"/>
          <w:sz w:val="24"/>
          <w:szCs w:val="24"/>
          <w:highlight w:val="none"/>
          <w:lang w:eastAsia="zh-CN"/>
          <w14:textOutline w14:w="6540" w14:cap="sq" w14:cmpd="sng" w14:algn="ctr">
            <w14:solidFill>
              <w14:srgbClr w14:val="000000"/>
            </w14:solidFill>
            <w14:prstDash w14:val="solid"/>
            <w14:bevel/>
          </w14:textOutline>
        </w:rPr>
        <w:br w:type="page"/>
      </w:r>
    </w:p>
    <w:p>
      <w:pPr>
        <w:pStyle w:val="3"/>
        <w:bidi w:val="0"/>
        <w:rPr>
          <w:rFonts w:hint="eastAsia"/>
          <w:color w:val="auto"/>
          <w:highlight w:val="none"/>
          <w:lang w:eastAsia="zh-CN"/>
        </w:rPr>
      </w:pPr>
      <w:bookmarkStart w:id="14" w:name="_Toc30244"/>
      <w:r>
        <w:rPr>
          <w:color w:val="auto"/>
          <w:highlight w:val="none"/>
          <w:lang w:eastAsia="zh-CN"/>
        </w:rPr>
        <w:t>第二章</w:t>
      </w:r>
      <w:r>
        <w:rPr>
          <w:rFonts w:hint="eastAsia"/>
          <w:color w:val="auto"/>
          <w:highlight w:val="none"/>
          <w:lang w:eastAsia="zh-CN"/>
        </w:rPr>
        <w:t>供应商</w:t>
      </w:r>
      <w:r>
        <w:rPr>
          <w:color w:val="auto"/>
          <w:highlight w:val="none"/>
          <w:lang w:eastAsia="zh-CN"/>
        </w:rPr>
        <w:t>须知</w:t>
      </w:r>
      <w:bookmarkEnd w:id="14"/>
    </w:p>
    <w:p>
      <w:pPr>
        <w:pStyle w:val="2"/>
        <w:spacing w:before="91"/>
        <w:ind w:left="345" w:firstLine="478"/>
        <w:rPr>
          <w:rFonts w:hint="eastAsia"/>
          <w:b/>
          <w:bCs/>
          <w:color w:val="auto"/>
          <w:szCs w:val="24"/>
          <w:highlight w:val="none"/>
          <w:lang w:eastAsia="zh-CN"/>
        </w:rPr>
      </w:pPr>
      <w:r>
        <w:rPr>
          <w:rFonts w:hint="eastAsia"/>
          <w:b/>
          <w:bCs/>
          <w:color w:val="auto"/>
          <w:spacing w:val="-2"/>
          <w:szCs w:val="24"/>
          <w:highlight w:val="none"/>
          <w:lang w:eastAsia="zh-CN"/>
        </w:rPr>
        <w:t>供应商须知前附表</w:t>
      </w:r>
    </w:p>
    <w:tbl>
      <w:tblPr>
        <w:tblStyle w:val="47"/>
        <w:tblW w:w="992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3"/>
        <w:gridCol w:w="6"/>
        <w:gridCol w:w="2093"/>
        <w:gridCol w:w="68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029" w:type="dxa"/>
            <w:gridSpan w:val="2"/>
          </w:tcPr>
          <w:p>
            <w:pPr>
              <w:pStyle w:val="48"/>
              <w:spacing w:before="154" w:line="360" w:lineRule="auto"/>
              <w:ind w:left="204"/>
              <w:jc w:val="center"/>
              <w:rPr>
                <w:rFonts w:hint="eastAsia"/>
                <w:color w:val="auto"/>
                <w:highlight w:val="none"/>
              </w:rPr>
            </w:pPr>
            <w:r>
              <w:rPr>
                <w:rFonts w:hint="eastAsia"/>
                <w:color w:val="auto"/>
                <w:spacing w:val="7"/>
                <w:highlight w:val="none"/>
                <w14:textOutline w14:w="3797" w14:cap="sq" w14:cmpd="sng" w14:algn="ctr">
                  <w14:solidFill>
                    <w14:srgbClr w14:val="000000"/>
                  </w14:solidFill>
                  <w14:prstDash w14:val="solid"/>
                  <w14:bevel/>
                </w14:textOutline>
              </w:rPr>
              <w:t>条款号</w:t>
            </w:r>
          </w:p>
        </w:tc>
        <w:tc>
          <w:tcPr>
            <w:tcW w:w="2093" w:type="dxa"/>
          </w:tcPr>
          <w:p>
            <w:pPr>
              <w:pStyle w:val="48"/>
              <w:spacing w:before="154" w:line="360" w:lineRule="auto"/>
              <w:ind w:left="754"/>
              <w:jc w:val="center"/>
              <w:rPr>
                <w:rFonts w:hint="eastAsia"/>
                <w:color w:val="auto"/>
                <w:highlight w:val="none"/>
              </w:rPr>
            </w:pPr>
            <w:r>
              <w:rPr>
                <w:rFonts w:hint="eastAsia"/>
                <w:color w:val="auto"/>
                <w:spacing w:val="8"/>
                <w:highlight w:val="none"/>
                <w14:textOutline w14:w="3797" w14:cap="sq" w14:cmpd="sng" w14:algn="ctr">
                  <w14:solidFill>
                    <w14:srgbClr w14:val="000000"/>
                  </w14:solidFill>
                  <w14:prstDash w14:val="solid"/>
                  <w14:bevel/>
                </w14:textOutline>
              </w:rPr>
              <w:t>条款名称</w:t>
            </w:r>
          </w:p>
        </w:tc>
        <w:tc>
          <w:tcPr>
            <w:tcW w:w="6804" w:type="dxa"/>
          </w:tcPr>
          <w:p>
            <w:pPr>
              <w:pStyle w:val="48"/>
              <w:spacing w:before="154" w:line="360" w:lineRule="auto"/>
              <w:ind w:left="2818"/>
              <w:rPr>
                <w:rFonts w:hint="eastAsia"/>
                <w:color w:val="auto"/>
                <w:highlight w:val="none"/>
              </w:rPr>
            </w:pPr>
            <w:r>
              <w:rPr>
                <w:rFonts w:hint="eastAsia"/>
                <w:color w:val="auto"/>
                <w:spacing w:val="8"/>
                <w:highlight w:val="none"/>
                <w14:textOutline w14:w="3797" w14:cap="sq" w14:cmpd="sng" w14:algn="ctr">
                  <w14:solidFill>
                    <w14:srgbClr w14:val="000000"/>
                  </w14:solidFill>
                  <w14:prstDash w14:val="solid"/>
                  <w14:bevel/>
                </w14:textOutline>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9" w:type="dxa"/>
            <w:gridSpan w:val="2"/>
            <w:vAlign w:val="center"/>
          </w:tcPr>
          <w:p>
            <w:pPr>
              <w:pStyle w:val="48"/>
              <w:ind w:left="105" w:leftChars="50" w:right="105" w:rightChars="50"/>
              <w:rPr>
                <w:rFonts w:hint="eastAsia"/>
                <w:color w:val="auto"/>
                <w:highlight w:val="none"/>
                <w:lang w:eastAsia="zh-CN"/>
              </w:rPr>
            </w:pPr>
            <w:r>
              <w:rPr>
                <w:rFonts w:hint="eastAsia"/>
                <w:color w:val="auto"/>
                <w:highlight w:val="none"/>
                <w:lang w:eastAsia="zh-CN"/>
              </w:rPr>
              <w:t>1.1.2</w:t>
            </w:r>
          </w:p>
        </w:tc>
        <w:tc>
          <w:tcPr>
            <w:tcW w:w="2093" w:type="dxa"/>
            <w:vAlign w:val="center"/>
          </w:tcPr>
          <w:p>
            <w:pPr>
              <w:pStyle w:val="48"/>
              <w:ind w:left="105" w:leftChars="50" w:right="105" w:rightChars="50"/>
              <w:jc w:val="center"/>
              <w:rPr>
                <w:rFonts w:hint="eastAsia"/>
                <w:color w:val="auto"/>
                <w:highlight w:val="none"/>
                <w:lang w:eastAsia="zh-CN"/>
              </w:rPr>
            </w:pPr>
            <w:r>
              <w:rPr>
                <w:rFonts w:hint="eastAsia"/>
                <w:color w:val="auto"/>
                <w:highlight w:val="none"/>
                <w:lang w:eastAsia="zh-CN"/>
              </w:rPr>
              <w:t>采购人</w:t>
            </w:r>
          </w:p>
        </w:tc>
        <w:tc>
          <w:tcPr>
            <w:tcW w:w="6804" w:type="dxa"/>
          </w:tcPr>
          <w:p>
            <w:pPr>
              <w:pStyle w:val="48"/>
              <w:ind w:left="105" w:leftChars="50" w:right="105" w:rightChars="50"/>
              <w:rPr>
                <w:rFonts w:hint="eastAsia"/>
                <w:color w:val="auto"/>
                <w:highlight w:val="none"/>
                <w:lang w:eastAsia="zh-CN"/>
              </w:rPr>
            </w:pPr>
            <w:r>
              <w:rPr>
                <w:rFonts w:hint="eastAsia"/>
                <w:color w:val="auto"/>
                <w:highlight w:val="none"/>
                <w:lang w:eastAsia="zh-CN"/>
              </w:rPr>
              <w:t>名称：梅河口市水库移民服务中心</w:t>
            </w:r>
          </w:p>
          <w:p>
            <w:pPr>
              <w:pStyle w:val="48"/>
              <w:ind w:left="105" w:leftChars="50" w:right="105" w:rightChars="50"/>
              <w:rPr>
                <w:rFonts w:hint="eastAsia"/>
                <w:color w:val="auto"/>
                <w:highlight w:val="none"/>
                <w:lang w:eastAsia="zh-CN"/>
              </w:rPr>
            </w:pPr>
            <w:r>
              <w:rPr>
                <w:rFonts w:hint="eastAsia"/>
                <w:color w:val="auto"/>
                <w:highlight w:val="none"/>
                <w:lang w:eastAsia="zh-CN"/>
              </w:rPr>
              <w:t>地址：梅河口市银河大街2061号</w:t>
            </w:r>
          </w:p>
          <w:p>
            <w:pPr>
              <w:pStyle w:val="48"/>
              <w:ind w:left="105" w:leftChars="50" w:right="105" w:rightChars="50"/>
              <w:rPr>
                <w:rFonts w:hint="eastAsia"/>
                <w:color w:val="auto"/>
                <w:highlight w:val="none"/>
                <w:lang w:eastAsia="zh-CN"/>
              </w:rPr>
            </w:pPr>
            <w:r>
              <w:rPr>
                <w:rFonts w:hint="eastAsia"/>
                <w:color w:val="auto"/>
                <w:highlight w:val="none"/>
                <w:lang w:eastAsia="zh-CN"/>
              </w:rPr>
              <w:t>联系人:孙志刚</w:t>
            </w:r>
          </w:p>
          <w:p>
            <w:pPr>
              <w:pStyle w:val="48"/>
              <w:ind w:left="105" w:leftChars="50" w:right="105" w:rightChars="50"/>
              <w:rPr>
                <w:rFonts w:hint="eastAsia"/>
                <w:color w:val="auto"/>
                <w:highlight w:val="none"/>
                <w:lang w:eastAsia="zh-CN"/>
              </w:rPr>
            </w:pPr>
            <w:r>
              <w:rPr>
                <w:rFonts w:hint="eastAsia"/>
                <w:color w:val="auto"/>
                <w:highlight w:val="none"/>
                <w:lang w:eastAsia="zh-CN"/>
              </w:rPr>
              <w:t>电  话：</w:t>
            </w:r>
            <w:r>
              <w:rPr>
                <w:rFonts w:hint="eastAsia"/>
                <w:color w:val="auto"/>
                <w:highlight w:val="none"/>
                <w:lang w:eastAsia="zh-CN"/>
              </w:rPr>
              <w:t>0435-5096030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29" w:type="dxa"/>
            <w:gridSpan w:val="2"/>
            <w:vAlign w:val="center"/>
          </w:tcPr>
          <w:p>
            <w:pPr>
              <w:pStyle w:val="48"/>
              <w:ind w:left="105" w:leftChars="50" w:right="105" w:rightChars="50"/>
              <w:rPr>
                <w:rFonts w:hint="eastAsia"/>
                <w:color w:val="auto"/>
                <w:highlight w:val="none"/>
                <w:lang w:eastAsia="zh-CN"/>
              </w:rPr>
            </w:pPr>
            <w:r>
              <w:rPr>
                <w:rFonts w:hint="eastAsia"/>
                <w:color w:val="auto"/>
                <w:highlight w:val="none"/>
                <w:lang w:eastAsia="zh-CN"/>
              </w:rPr>
              <w:t>1.1.3</w:t>
            </w:r>
          </w:p>
        </w:tc>
        <w:tc>
          <w:tcPr>
            <w:tcW w:w="2093" w:type="dxa"/>
            <w:vAlign w:val="center"/>
          </w:tcPr>
          <w:p>
            <w:pPr>
              <w:pStyle w:val="48"/>
              <w:ind w:left="105" w:leftChars="50" w:right="105" w:rightChars="50"/>
              <w:jc w:val="center"/>
              <w:rPr>
                <w:rFonts w:hint="eastAsia"/>
                <w:color w:val="auto"/>
                <w:highlight w:val="none"/>
                <w:lang w:eastAsia="zh-CN"/>
              </w:rPr>
            </w:pPr>
            <w:r>
              <w:rPr>
                <w:rFonts w:hint="eastAsia"/>
                <w:color w:val="auto"/>
                <w:highlight w:val="none"/>
                <w:lang w:eastAsia="zh-CN"/>
              </w:rPr>
              <w:t>采购代理机构</w:t>
            </w:r>
          </w:p>
        </w:tc>
        <w:tc>
          <w:tcPr>
            <w:tcW w:w="6804" w:type="dxa"/>
          </w:tcPr>
          <w:p>
            <w:pPr>
              <w:pStyle w:val="48"/>
              <w:ind w:left="105" w:leftChars="50" w:right="105" w:rightChars="50"/>
              <w:rPr>
                <w:rFonts w:hint="eastAsia"/>
                <w:color w:val="auto"/>
                <w:highlight w:val="none"/>
                <w:lang w:eastAsia="zh-CN"/>
              </w:rPr>
            </w:pPr>
            <w:r>
              <w:rPr>
                <w:rFonts w:hint="eastAsia"/>
                <w:color w:val="auto"/>
                <w:highlight w:val="none"/>
                <w:lang w:eastAsia="zh-CN"/>
              </w:rPr>
              <w:t>采购代理机构：吉林省弘鑫工程建设招投标有限责任公司</w:t>
            </w:r>
          </w:p>
          <w:p>
            <w:pPr>
              <w:pStyle w:val="48"/>
              <w:ind w:left="105" w:leftChars="50" w:right="105" w:rightChars="50"/>
              <w:rPr>
                <w:rFonts w:hint="eastAsia"/>
                <w:color w:val="auto"/>
                <w:highlight w:val="none"/>
                <w:lang w:eastAsia="zh-CN"/>
              </w:rPr>
            </w:pPr>
            <w:r>
              <w:rPr>
                <w:rFonts w:hint="eastAsia"/>
                <w:color w:val="auto"/>
                <w:highlight w:val="none"/>
                <w:lang w:eastAsia="zh-CN"/>
              </w:rPr>
              <w:t>联系人：王工</w:t>
            </w:r>
          </w:p>
          <w:p>
            <w:pPr>
              <w:pStyle w:val="48"/>
              <w:ind w:left="105" w:leftChars="50" w:right="105" w:rightChars="50"/>
              <w:rPr>
                <w:rFonts w:hint="eastAsia"/>
                <w:color w:val="auto"/>
                <w:highlight w:val="none"/>
                <w:lang w:eastAsia="zh-CN"/>
              </w:rPr>
            </w:pPr>
            <w:r>
              <w:rPr>
                <w:rFonts w:hint="eastAsia"/>
                <w:color w:val="auto"/>
                <w:highlight w:val="none"/>
                <w:lang w:eastAsia="zh-CN"/>
              </w:rPr>
              <w:t xml:space="preserve">联系电话：0431-80862999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29" w:type="dxa"/>
            <w:gridSpan w:val="2"/>
            <w:vAlign w:val="center"/>
          </w:tcPr>
          <w:p>
            <w:pPr>
              <w:pStyle w:val="48"/>
              <w:ind w:left="105" w:leftChars="50" w:right="105" w:rightChars="50"/>
              <w:rPr>
                <w:rFonts w:hint="eastAsia"/>
                <w:color w:val="auto"/>
                <w:highlight w:val="none"/>
                <w:lang w:eastAsia="zh-CN"/>
              </w:rPr>
            </w:pPr>
            <w:r>
              <w:rPr>
                <w:rFonts w:hint="eastAsia"/>
                <w:color w:val="auto"/>
                <w:highlight w:val="none"/>
                <w:lang w:eastAsia="zh-CN"/>
              </w:rPr>
              <w:t>1.1.4</w:t>
            </w:r>
          </w:p>
        </w:tc>
        <w:tc>
          <w:tcPr>
            <w:tcW w:w="2093" w:type="dxa"/>
            <w:vAlign w:val="center"/>
          </w:tcPr>
          <w:p>
            <w:pPr>
              <w:pStyle w:val="48"/>
              <w:ind w:left="105" w:leftChars="50" w:right="105" w:rightChars="50"/>
              <w:jc w:val="center"/>
              <w:rPr>
                <w:rFonts w:hint="eastAsia"/>
                <w:color w:val="auto"/>
                <w:highlight w:val="none"/>
                <w:lang w:eastAsia="zh-CN"/>
              </w:rPr>
            </w:pPr>
            <w:r>
              <w:rPr>
                <w:rFonts w:hint="eastAsia"/>
                <w:color w:val="auto"/>
                <w:highlight w:val="none"/>
                <w:lang w:val="en-US" w:eastAsia="zh-CN"/>
              </w:rPr>
              <w:t>项目</w:t>
            </w:r>
            <w:r>
              <w:rPr>
                <w:rFonts w:hint="eastAsia"/>
                <w:color w:val="auto"/>
                <w:highlight w:val="none"/>
                <w:lang w:eastAsia="zh-CN"/>
              </w:rPr>
              <w:t>名称及编号</w:t>
            </w:r>
          </w:p>
        </w:tc>
        <w:tc>
          <w:tcPr>
            <w:tcW w:w="6804" w:type="dxa"/>
            <w:vAlign w:val="center"/>
          </w:tcPr>
          <w:p>
            <w:pPr>
              <w:pStyle w:val="48"/>
              <w:ind w:left="105" w:leftChars="50" w:right="105" w:rightChars="50"/>
              <w:rPr>
                <w:rFonts w:hint="eastAsia"/>
                <w:color w:val="auto"/>
                <w:highlight w:val="none"/>
                <w:lang w:eastAsia="zh-CN"/>
              </w:rPr>
            </w:pPr>
            <w:r>
              <w:rPr>
                <w:rFonts w:hint="eastAsia"/>
                <w:color w:val="auto"/>
                <w:highlight w:val="none"/>
                <w:lang w:val="en-US" w:eastAsia="zh-CN"/>
              </w:rPr>
              <w:t>项目</w:t>
            </w:r>
            <w:r>
              <w:rPr>
                <w:rFonts w:hint="eastAsia"/>
                <w:color w:val="auto"/>
                <w:highlight w:val="none"/>
                <w:lang w:eastAsia="zh-CN"/>
              </w:rPr>
              <w:t>名称：</w:t>
            </w:r>
            <w:r>
              <w:rPr>
                <w:rFonts w:hint="eastAsia"/>
                <w:color w:val="auto"/>
                <w:highlight w:val="none"/>
                <w:lang w:eastAsia="zh-CN"/>
              </w:rPr>
              <w:t>梅河口市2025年大中型水库移民后期扶持专项资金项目监理服务</w:t>
            </w:r>
          </w:p>
          <w:p>
            <w:pPr>
              <w:pStyle w:val="48"/>
              <w:ind w:left="105" w:leftChars="50" w:right="105" w:rightChars="50"/>
              <w:rPr>
                <w:rFonts w:hint="eastAsia"/>
                <w:color w:val="auto"/>
                <w:highlight w:val="none"/>
                <w:lang w:eastAsia="zh-CN"/>
              </w:rPr>
            </w:pPr>
            <w:r>
              <w:rPr>
                <w:rFonts w:hint="eastAsia"/>
                <w:color w:val="auto"/>
                <w:highlight w:val="none"/>
                <w:lang w:eastAsia="zh-CN"/>
              </w:rPr>
              <w:t>项目编号：JLHX2025-0701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29" w:type="dxa"/>
            <w:gridSpan w:val="2"/>
            <w:vAlign w:val="center"/>
          </w:tcPr>
          <w:p>
            <w:pPr>
              <w:pStyle w:val="48"/>
              <w:ind w:left="105" w:leftChars="50" w:right="105" w:rightChars="50"/>
              <w:rPr>
                <w:rFonts w:hint="eastAsia"/>
                <w:color w:val="auto"/>
                <w:highlight w:val="none"/>
                <w:lang w:eastAsia="zh-CN"/>
              </w:rPr>
            </w:pPr>
            <w:r>
              <w:rPr>
                <w:rFonts w:hint="eastAsia"/>
                <w:color w:val="auto"/>
                <w:highlight w:val="none"/>
                <w:lang w:eastAsia="zh-CN"/>
              </w:rPr>
              <w:t>1.1.5</w:t>
            </w:r>
          </w:p>
        </w:tc>
        <w:tc>
          <w:tcPr>
            <w:tcW w:w="2093" w:type="dxa"/>
            <w:vAlign w:val="center"/>
          </w:tcPr>
          <w:p>
            <w:pPr>
              <w:pStyle w:val="48"/>
              <w:ind w:left="105" w:leftChars="50" w:right="105" w:rightChars="50"/>
              <w:jc w:val="center"/>
              <w:rPr>
                <w:rFonts w:hint="eastAsia"/>
                <w:color w:val="auto"/>
                <w:highlight w:val="none"/>
                <w:lang w:eastAsia="zh-CN"/>
              </w:rPr>
            </w:pPr>
            <w:r>
              <w:rPr>
                <w:rFonts w:hint="eastAsia"/>
                <w:color w:val="auto"/>
                <w:highlight w:val="none"/>
                <w:lang w:eastAsia="zh-CN"/>
              </w:rPr>
              <w:t>项目地点</w:t>
            </w:r>
          </w:p>
        </w:tc>
        <w:tc>
          <w:tcPr>
            <w:tcW w:w="6804" w:type="dxa"/>
            <w:vAlign w:val="center"/>
          </w:tcPr>
          <w:p>
            <w:pPr>
              <w:pStyle w:val="48"/>
              <w:ind w:left="105" w:leftChars="50" w:right="105" w:rightChars="50"/>
              <w:rPr>
                <w:rFonts w:hint="eastAsia"/>
                <w:color w:val="auto"/>
                <w:highlight w:val="none"/>
                <w:lang w:eastAsia="zh-CN"/>
              </w:rPr>
            </w:pPr>
            <w:r>
              <w:rPr>
                <w:rFonts w:hint="eastAsia"/>
                <w:color w:val="auto"/>
                <w:highlight w:val="none"/>
                <w:lang w:eastAsia="zh-CN"/>
              </w:rPr>
              <w:t>吉林省梅河口市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029" w:type="dxa"/>
            <w:gridSpan w:val="2"/>
            <w:vAlign w:val="center"/>
          </w:tcPr>
          <w:p>
            <w:pPr>
              <w:pStyle w:val="48"/>
              <w:ind w:left="105" w:leftChars="50" w:right="105" w:rightChars="50"/>
              <w:jc w:val="center"/>
              <w:rPr>
                <w:rFonts w:hint="eastAsia"/>
                <w:color w:val="auto"/>
                <w:highlight w:val="none"/>
                <w:lang w:eastAsia="zh-CN"/>
              </w:rPr>
            </w:pPr>
            <w:r>
              <w:rPr>
                <w:rFonts w:hint="eastAsia"/>
                <w:color w:val="auto"/>
                <w:highlight w:val="none"/>
                <w:lang w:eastAsia="zh-CN"/>
              </w:rPr>
              <w:t>1.1.6</w:t>
            </w:r>
          </w:p>
        </w:tc>
        <w:tc>
          <w:tcPr>
            <w:tcW w:w="2093" w:type="dxa"/>
            <w:vAlign w:val="center"/>
          </w:tcPr>
          <w:p>
            <w:pPr>
              <w:pStyle w:val="48"/>
              <w:ind w:left="105" w:leftChars="50" w:right="105" w:rightChars="50"/>
              <w:jc w:val="center"/>
              <w:rPr>
                <w:rFonts w:hint="eastAsia"/>
                <w:color w:val="auto"/>
                <w:highlight w:val="none"/>
                <w:lang w:eastAsia="zh-CN"/>
              </w:rPr>
            </w:pPr>
            <w:r>
              <w:rPr>
                <w:rFonts w:hint="eastAsia"/>
                <w:color w:val="auto"/>
                <w:highlight w:val="none"/>
                <w:lang w:eastAsia="zh-CN"/>
              </w:rPr>
              <w:t>监理范围</w:t>
            </w:r>
          </w:p>
        </w:tc>
        <w:tc>
          <w:tcPr>
            <w:tcW w:w="6804" w:type="dxa"/>
            <w:vAlign w:val="center"/>
          </w:tcPr>
          <w:p>
            <w:pPr>
              <w:pStyle w:val="48"/>
              <w:ind w:left="105" w:leftChars="50" w:right="105" w:rightChars="50"/>
              <w:jc w:val="both"/>
              <w:rPr>
                <w:rFonts w:hint="eastAsia"/>
                <w:color w:val="auto"/>
                <w:highlight w:val="none"/>
                <w:lang w:eastAsia="zh-CN"/>
              </w:rPr>
            </w:pPr>
            <w:bookmarkStart w:id="15" w:name="_Hlk202173561"/>
            <w:r>
              <w:rPr>
                <w:rFonts w:hint="eastAsia"/>
                <w:color w:val="auto"/>
                <w:highlight w:val="none"/>
                <w:lang w:eastAsia="zh-CN"/>
              </w:rPr>
              <w:t>对采购人指定的项目施工阶段及保修阶段全过程监理</w:t>
            </w:r>
            <w:bookmarkEnd w:id="15"/>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29" w:type="dxa"/>
            <w:gridSpan w:val="2"/>
            <w:vAlign w:val="center"/>
          </w:tcPr>
          <w:p>
            <w:pPr>
              <w:pStyle w:val="48"/>
              <w:ind w:left="105" w:leftChars="50" w:right="105" w:rightChars="50"/>
              <w:jc w:val="center"/>
              <w:rPr>
                <w:rFonts w:hint="eastAsia"/>
                <w:color w:val="auto"/>
                <w:highlight w:val="none"/>
                <w:lang w:eastAsia="zh-CN"/>
              </w:rPr>
            </w:pPr>
            <w:r>
              <w:rPr>
                <w:rFonts w:hint="eastAsia"/>
                <w:color w:val="auto"/>
                <w:highlight w:val="none"/>
                <w:lang w:eastAsia="zh-CN"/>
              </w:rPr>
              <w:t>1.1.7</w:t>
            </w:r>
          </w:p>
        </w:tc>
        <w:tc>
          <w:tcPr>
            <w:tcW w:w="2093" w:type="dxa"/>
            <w:vAlign w:val="center"/>
          </w:tcPr>
          <w:p>
            <w:pPr>
              <w:pStyle w:val="48"/>
              <w:ind w:left="105" w:leftChars="50" w:right="105" w:rightChars="50"/>
              <w:jc w:val="center"/>
              <w:rPr>
                <w:rFonts w:hint="eastAsia"/>
                <w:color w:val="auto"/>
                <w:highlight w:val="none"/>
                <w:lang w:eastAsia="zh-CN"/>
              </w:rPr>
            </w:pPr>
            <w:r>
              <w:rPr>
                <w:rFonts w:hint="eastAsia"/>
                <w:color w:val="auto"/>
                <w:highlight w:val="none"/>
                <w:lang w:eastAsia="zh-CN"/>
              </w:rPr>
              <w:t>招标控制价</w:t>
            </w:r>
          </w:p>
          <w:p>
            <w:pPr>
              <w:pStyle w:val="48"/>
              <w:ind w:left="105" w:leftChars="50" w:right="105" w:rightChars="50"/>
              <w:jc w:val="center"/>
              <w:rPr>
                <w:rFonts w:hint="eastAsia"/>
                <w:color w:val="auto"/>
                <w:highlight w:val="none"/>
                <w:lang w:eastAsia="zh-CN"/>
              </w:rPr>
            </w:pPr>
            <w:r>
              <w:rPr>
                <w:rFonts w:hint="eastAsia"/>
                <w:color w:val="auto"/>
                <w:highlight w:val="none"/>
                <w:lang w:eastAsia="zh-CN"/>
              </w:rPr>
              <w:t>（万元）</w:t>
            </w:r>
          </w:p>
        </w:tc>
        <w:tc>
          <w:tcPr>
            <w:tcW w:w="6804" w:type="dxa"/>
            <w:vAlign w:val="center"/>
          </w:tcPr>
          <w:p>
            <w:pPr>
              <w:pStyle w:val="48"/>
              <w:ind w:left="105" w:leftChars="50" w:right="105" w:rightChars="50"/>
              <w:jc w:val="both"/>
              <w:rPr>
                <w:rFonts w:hint="eastAsia"/>
                <w:color w:val="auto"/>
                <w:highlight w:val="none"/>
                <w:lang w:eastAsia="zh-CN"/>
              </w:rPr>
            </w:pPr>
            <w:bookmarkStart w:id="16" w:name="_Hlk202173601"/>
            <w:r>
              <w:rPr>
                <w:rFonts w:hint="eastAsia"/>
                <w:color w:val="auto"/>
                <w:highlight w:val="none"/>
                <w:lang w:eastAsia="zh-CN"/>
              </w:rPr>
              <w:t>35.6107</w:t>
            </w:r>
            <w:bookmarkEnd w:id="16"/>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029" w:type="dxa"/>
            <w:gridSpan w:val="2"/>
            <w:vAlign w:val="center"/>
          </w:tcPr>
          <w:p>
            <w:pPr>
              <w:pStyle w:val="48"/>
              <w:ind w:left="105" w:leftChars="50" w:right="105" w:rightChars="50"/>
              <w:jc w:val="center"/>
              <w:rPr>
                <w:rFonts w:hint="eastAsia"/>
                <w:color w:val="auto"/>
                <w:highlight w:val="none"/>
                <w:lang w:eastAsia="zh-CN"/>
              </w:rPr>
            </w:pPr>
            <w:r>
              <w:rPr>
                <w:rFonts w:hint="eastAsia"/>
                <w:color w:val="auto"/>
                <w:highlight w:val="none"/>
                <w:lang w:eastAsia="zh-CN"/>
              </w:rPr>
              <w:t>l.2.1</w:t>
            </w:r>
          </w:p>
        </w:tc>
        <w:tc>
          <w:tcPr>
            <w:tcW w:w="2093" w:type="dxa"/>
            <w:vAlign w:val="center"/>
          </w:tcPr>
          <w:p>
            <w:pPr>
              <w:pStyle w:val="48"/>
              <w:ind w:left="105" w:leftChars="50" w:right="105" w:rightChars="50"/>
              <w:jc w:val="center"/>
              <w:rPr>
                <w:rFonts w:hint="eastAsia"/>
                <w:color w:val="auto"/>
                <w:highlight w:val="none"/>
                <w:lang w:eastAsia="zh-CN"/>
              </w:rPr>
            </w:pPr>
            <w:r>
              <w:rPr>
                <w:rFonts w:hint="eastAsia"/>
                <w:color w:val="auto"/>
                <w:highlight w:val="none"/>
                <w:lang w:eastAsia="zh-CN"/>
              </w:rPr>
              <w:t>资金来源及比例</w:t>
            </w:r>
          </w:p>
        </w:tc>
        <w:tc>
          <w:tcPr>
            <w:tcW w:w="6804" w:type="dxa"/>
            <w:vAlign w:val="center"/>
          </w:tcPr>
          <w:p>
            <w:pPr>
              <w:pStyle w:val="48"/>
              <w:ind w:left="105" w:leftChars="50" w:right="105" w:rightChars="50"/>
              <w:jc w:val="both"/>
              <w:rPr>
                <w:rFonts w:hint="eastAsia"/>
                <w:color w:val="auto"/>
                <w:highlight w:val="none"/>
                <w:lang w:eastAsia="zh-CN"/>
              </w:rPr>
            </w:pPr>
            <w:r>
              <w:rPr>
                <w:rFonts w:hint="eastAsia"/>
                <w:color w:val="auto"/>
                <w:szCs w:val="21"/>
                <w:highlight w:val="none"/>
                <w:lang w:eastAsia="zh-CN"/>
              </w:rPr>
              <w:t>中央及省级资金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29" w:type="dxa"/>
            <w:gridSpan w:val="2"/>
            <w:vAlign w:val="center"/>
          </w:tcPr>
          <w:p>
            <w:pPr>
              <w:pStyle w:val="48"/>
              <w:ind w:left="105" w:leftChars="50" w:right="105" w:rightChars="50"/>
              <w:jc w:val="center"/>
              <w:rPr>
                <w:rFonts w:hint="eastAsia"/>
                <w:color w:val="auto"/>
                <w:highlight w:val="none"/>
                <w:lang w:eastAsia="zh-CN"/>
              </w:rPr>
            </w:pPr>
            <w:r>
              <w:rPr>
                <w:rFonts w:hint="eastAsia"/>
                <w:color w:val="auto"/>
                <w:highlight w:val="none"/>
                <w:lang w:eastAsia="zh-CN"/>
              </w:rPr>
              <w:t>1.2.2</w:t>
            </w:r>
          </w:p>
        </w:tc>
        <w:tc>
          <w:tcPr>
            <w:tcW w:w="2093" w:type="dxa"/>
            <w:vAlign w:val="center"/>
          </w:tcPr>
          <w:p>
            <w:pPr>
              <w:pStyle w:val="48"/>
              <w:ind w:left="105" w:leftChars="50" w:right="105" w:rightChars="50"/>
              <w:jc w:val="center"/>
              <w:rPr>
                <w:rFonts w:hint="eastAsia"/>
                <w:color w:val="auto"/>
                <w:highlight w:val="none"/>
                <w:lang w:eastAsia="zh-CN"/>
              </w:rPr>
            </w:pPr>
            <w:r>
              <w:rPr>
                <w:rFonts w:hint="eastAsia"/>
                <w:color w:val="auto"/>
                <w:highlight w:val="none"/>
                <w:lang w:eastAsia="zh-CN"/>
              </w:rPr>
              <w:t>资金落实情况</w:t>
            </w:r>
          </w:p>
        </w:tc>
        <w:tc>
          <w:tcPr>
            <w:tcW w:w="6804" w:type="dxa"/>
            <w:vAlign w:val="center"/>
          </w:tcPr>
          <w:p>
            <w:pPr>
              <w:pStyle w:val="48"/>
              <w:ind w:left="105" w:leftChars="50" w:right="105" w:rightChars="50"/>
              <w:jc w:val="both"/>
              <w:rPr>
                <w:rFonts w:hint="eastAsia"/>
                <w:color w:val="auto"/>
                <w:highlight w:val="none"/>
                <w:lang w:eastAsia="zh-CN"/>
              </w:rPr>
            </w:pPr>
            <w:r>
              <w:rPr>
                <w:rFonts w:hint="eastAsia"/>
                <w:color w:val="auto"/>
                <w:highlight w:val="none"/>
                <w:lang w:eastAsia="zh-CN"/>
              </w:rPr>
              <w:t>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9" w:type="dxa"/>
            <w:gridSpan w:val="2"/>
            <w:vAlign w:val="center"/>
          </w:tcPr>
          <w:p>
            <w:pPr>
              <w:pStyle w:val="48"/>
              <w:ind w:left="105" w:leftChars="50" w:right="105" w:rightChars="50"/>
              <w:jc w:val="center"/>
              <w:rPr>
                <w:rFonts w:hint="eastAsia"/>
                <w:color w:val="auto"/>
                <w:highlight w:val="none"/>
                <w:lang w:eastAsia="zh-CN"/>
              </w:rPr>
            </w:pPr>
            <w:r>
              <w:rPr>
                <w:rFonts w:hint="eastAsia"/>
                <w:color w:val="auto"/>
                <w:highlight w:val="none"/>
                <w:lang w:eastAsia="zh-CN"/>
              </w:rPr>
              <w:t>1.3.1</w:t>
            </w:r>
          </w:p>
        </w:tc>
        <w:tc>
          <w:tcPr>
            <w:tcW w:w="2093" w:type="dxa"/>
            <w:vAlign w:val="center"/>
          </w:tcPr>
          <w:p>
            <w:pPr>
              <w:pStyle w:val="48"/>
              <w:ind w:left="105" w:leftChars="50" w:right="105" w:rightChars="50"/>
              <w:jc w:val="center"/>
              <w:rPr>
                <w:rFonts w:hint="eastAsia"/>
                <w:color w:val="auto"/>
                <w:highlight w:val="none"/>
                <w:lang w:eastAsia="zh-CN"/>
              </w:rPr>
            </w:pPr>
            <w:r>
              <w:rPr>
                <w:rFonts w:hint="eastAsia"/>
                <w:color w:val="auto"/>
                <w:highlight w:val="none"/>
                <w:lang w:eastAsia="zh-CN"/>
              </w:rPr>
              <w:t>监理周期</w:t>
            </w:r>
          </w:p>
        </w:tc>
        <w:tc>
          <w:tcPr>
            <w:tcW w:w="6804" w:type="dxa"/>
          </w:tcPr>
          <w:p>
            <w:pPr>
              <w:pStyle w:val="48"/>
              <w:ind w:left="105" w:leftChars="50" w:right="105" w:rightChars="50"/>
              <w:rPr>
                <w:rFonts w:hint="eastAsia"/>
                <w:color w:val="auto"/>
                <w:highlight w:val="none"/>
                <w:lang w:eastAsia="zh-CN"/>
              </w:rPr>
            </w:pPr>
            <w:bookmarkStart w:id="17" w:name="_Hlk202173685"/>
            <w:r>
              <w:rPr>
                <w:rFonts w:hint="eastAsia"/>
                <w:color w:val="auto"/>
                <w:highlight w:val="none"/>
                <w:lang w:eastAsia="zh-CN"/>
              </w:rPr>
              <w:t>自签订合同之日起至工程竣工验收合格且保修期届满之日止。</w:t>
            </w:r>
            <w:bookmarkEnd w:id="17"/>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9" w:type="dxa"/>
            <w:gridSpan w:val="2"/>
            <w:vAlign w:val="center"/>
          </w:tcPr>
          <w:p>
            <w:pPr>
              <w:pStyle w:val="48"/>
              <w:ind w:left="105" w:leftChars="50" w:right="105" w:rightChars="50"/>
              <w:jc w:val="center"/>
              <w:rPr>
                <w:rFonts w:hint="eastAsia"/>
                <w:color w:val="auto"/>
                <w:highlight w:val="none"/>
                <w:lang w:eastAsia="zh-CN"/>
              </w:rPr>
            </w:pPr>
            <w:r>
              <w:rPr>
                <w:rFonts w:hint="eastAsia"/>
                <w:color w:val="auto"/>
                <w:highlight w:val="none"/>
                <w:lang w:eastAsia="zh-CN"/>
              </w:rPr>
              <w:t>1.3.2</w:t>
            </w:r>
          </w:p>
        </w:tc>
        <w:tc>
          <w:tcPr>
            <w:tcW w:w="2093" w:type="dxa"/>
            <w:vAlign w:val="center"/>
          </w:tcPr>
          <w:p>
            <w:pPr>
              <w:pStyle w:val="48"/>
              <w:ind w:left="105" w:leftChars="50" w:right="105" w:rightChars="50"/>
              <w:jc w:val="center"/>
              <w:rPr>
                <w:rFonts w:hint="eastAsia"/>
                <w:color w:val="auto"/>
                <w:highlight w:val="none"/>
                <w:lang w:eastAsia="zh-CN"/>
              </w:rPr>
            </w:pPr>
            <w:r>
              <w:rPr>
                <w:rFonts w:hint="eastAsia"/>
                <w:color w:val="auto"/>
                <w:highlight w:val="none"/>
                <w:lang w:eastAsia="zh-CN"/>
              </w:rPr>
              <w:t>质量标准</w:t>
            </w:r>
          </w:p>
        </w:tc>
        <w:tc>
          <w:tcPr>
            <w:tcW w:w="6804" w:type="dxa"/>
          </w:tcPr>
          <w:p>
            <w:pPr>
              <w:pStyle w:val="48"/>
              <w:ind w:left="105" w:leftChars="50" w:right="105" w:rightChars="50"/>
              <w:rPr>
                <w:rFonts w:hint="eastAsia"/>
                <w:color w:val="auto"/>
                <w:highlight w:val="none"/>
                <w:lang w:eastAsia="zh-CN"/>
              </w:rPr>
            </w:pPr>
            <w:r>
              <w:rPr>
                <w:rFonts w:hint="eastAsia"/>
                <w:color w:val="auto"/>
                <w:highlight w:val="none"/>
                <w:lang w:eastAsia="zh-CN"/>
              </w:rPr>
              <w:t>符合国家现行监理规范的合格标准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1029" w:type="dxa"/>
            <w:gridSpan w:val="2"/>
            <w:vAlign w:val="center"/>
          </w:tcPr>
          <w:p>
            <w:pPr>
              <w:pStyle w:val="48"/>
              <w:ind w:left="105" w:leftChars="50" w:right="105" w:rightChars="50"/>
              <w:jc w:val="center"/>
              <w:rPr>
                <w:rFonts w:hint="eastAsia"/>
                <w:color w:val="auto"/>
                <w:highlight w:val="none"/>
                <w:lang w:eastAsia="zh-CN"/>
              </w:rPr>
            </w:pPr>
            <w:r>
              <w:rPr>
                <w:rFonts w:hint="eastAsia"/>
                <w:color w:val="auto"/>
                <w:highlight w:val="none"/>
                <w:lang w:eastAsia="zh-CN"/>
              </w:rPr>
              <w:t>1.4.1</w:t>
            </w:r>
          </w:p>
        </w:tc>
        <w:tc>
          <w:tcPr>
            <w:tcW w:w="2093" w:type="dxa"/>
            <w:vAlign w:val="center"/>
          </w:tcPr>
          <w:p>
            <w:pPr>
              <w:pStyle w:val="48"/>
              <w:ind w:left="105" w:leftChars="50" w:right="105" w:rightChars="50"/>
              <w:rPr>
                <w:rFonts w:hint="eastAsia"/>
                <w:color w:val="auto"/>
                <w:highlight w:val="none"/>
                <w:lang w:eastAsia="zh-CN"/>
              </w:rPr>
            </w:pPr>
            <w:r>
              <w:rPr>
                <w:rFonts w:hint="eastAsia"/>
                <w:color w:val="auto"/>
                <w:highlight w:val="none"/>
                <w:lang w:eastAsia="zh-CN"/>
              </w:rPr>
              <w:t>供应商资质条件、能力和信誉</w:t>
            </w:r>
          </w:p>
        </w:tc>
        <w:tc>
          <w:tcPr>
            <w:tcW w:w="6804" w:type="dxa"/>
          </w:tcPr>
          <w:p>
            <w:pPr>
              <w:pStyle w:val="48"/>
              <w:kinsoku/>
              <w:ind w:left="105" w:leftChars="50" w:right="105" w:rightChars="50"/>
              <w:rPr>
                <w:rFonts w:hint="eastAsia"/>
                <w:color w:val="auto"/>
                <w:highlight w:val="none"/>
                <w:lang w:eastAsia="zh-CN"/>
              </w:rPr>
            </w:pPr>
            <w:r>
              <w:rPr>
                <w:rFonts w:hint="eastAsia"/>
                <w:color w:val="auto"/>
                <w:highlight w:val="none"/>
                <w:lang w:eastAsia="zh-CN"/>
              </w:rPr>
              <w:t>1.满足《中华人民共和国政府采购法》第二十二条规定。</w:t>
            </w:r>
          </w:p>
          <w:p>
            <w:pPr>
              <w:pStyle w:val="48"/>
              <w:kinsoku/>
              <w:ind w:left="105" w:leftChars="50" w:right="105" w:rightChars="50"/>
              <w:rPr>
                <w:rFonts w:hint="eastAsia"/>
                <w:color w:val="auto"/>
                <w:highlight w:val="none"/>
                <w:lang w:eastAsia="zh-CN"/>
              </w:rPr>
            </w:pPr>
            <w:r>
              <w:rPr>
                <w:rFonts w:hint="eastAsia"/>
                <w:color w:val="auto"/>
                <w:highlight w:val="none"/>
                <w:lang w:eastAsia="zh-CN"/>
              </w:rPr>
              <w:t>2.落实政府采购政策需满足的资格要求：本项目专门面向中小企业。投标人须提交有效的《中小企业声明函》。详见《政府采购促进中小企业发展管理办法》（财库〔</w:t>
            </w:r>
            <w:r>
              <w:rPr>
                <w:color w:val="auto"/>
                <w:highlight w:val="none"/>
                <w:lang w:eastAsia="zh-CN"/>
              </w:rPr>
              <w:t>2020</w:t>
            </w:r>
            <w:r>
              <w:rPr>
                <w:rFonts w:hint="eastAsia"/>
                <w:color w:val="auto"/>
                <w:highlight w:val="none"/>
                <w:lang w:eastAsia="zh-CN"/>
              </w:rPr>
              <w:t>〕</w:t>
            </w:r>
            <w:r>
              <w:rPr>
                <w:color w:val="auto"/>
                <w:highlight w:val="none"/>
                <w:lang w:eastAsia="zh-CN"/>
              </w:rPr>
              <w:t>46</w:t>
            </w:r>
            <w:r>
              <w:rPr>
                <w:rFonts w:hint="eastAsia"/>
                <w:color w:val="auto"/>
                <w:highlight w:val="none"/>
                <w:lang w:eastAsia="zh-CN"/>
              </w:rPr>
              <w:t>号）、《关于政府采购支持监狱企业发展有关问题的通知》（财库〔</w:t>
            </w:r>
            <w:r>
              <w:rPr>
                <w:color w:val="auto"/>
                <w:highlight w:val="none"/>
                <w:lang w:eastAsia="zh-CN"/>
              </w:rPr>
              <w:t>2014</w:t>
            </w:r>
            <w:r>
              <w:rPr>
                <w:rFonts w:hint="eastAsia"/>
                <w:color w:val="auto"/>
                <w:highlight w:val="none"/>
                <w:lang w:eastAsia="zh-CN"/>
              </w:rPr>
              <w:t>〕</w:t>
            </w:r>
            <w:r>
              <w:rPr>
                <w:color w:val="auto"/>
                <w:highlight w:val="none"/>
                <w:lang w:eastAsia="zh-CN"/>
              </w:rPr>
              <w:t>68</w:t>
            </w:r>
            <w:r>
              <w:rPr>
                <w:rFonts w:hint="eastAsia"/>
                <w:color w:val="auto"/>
                <w:highlight w:val="none"/>
                <w:lang w:eastAsia="zh-CN"/>
              </w:rPr>
              <w:t>号）、《财政部、民政部、中国残疾人联合会关于促进残疾人就业政府采购政策的通知》</w:t>
            </w:r>
            <w:r>
              <w:rPr>
                <w:color w:val="auto"/>
                <w:highlight w:val="none"/>
                <w:lang w:eastAsia="zh-CN"/>
              </w:rPr>
              <w:t>(</w:t>
            </w:r>
            <w:r>
              <w:rPr>
                <w:rFonts w:hint="eastAsia"/>
                <w:color w:val="auto"/>
                <w:highlight w:val="none"/>
                <w:lang w:eastAsia="zh-CN"/>
              </w:rPr>
              <w:t>财库〔</w:t>
            </w:r>
            <w:r>
              <w:rPr>
                <w:color w:val="auto"/>
                <w:highlight w:val="none"/>
                <w:lang w:eastAsia="zh-CN"/>
              </w:rPr>
              <w:t>2017</w:t>
            </w:r>
            <w:r>
              <w:rPr>
                <w:rFonts w:hint="eastAsia"/>
                <w:color w:val="auto"/>
                <w:highlight w:val="none"/>
                <w:lang w:eastAsia="zh-CN"/>
              </w:rPr>
              <w:t>〕</w:t>
            </w:r>
            <w:r>
              <w:rPr>
                <w:color w:val="auto"/>
                <w:highlight w:val="none"/>
                <w:lang w:eastAsia="zh-CN"/>
              </w:rPr>
              <w:t>141</w:t>
            </w:r>
            <w:r>
              <w:rPr>
                <w:rFonts w:hint="eastAsia"/>
                <w:color w:val="auto"/>
                <w:highlight w:val="none"/>
                <w:lang w:eastAsia="zh-CN"/>
              </w:rPr>
              <w:t>号</w:t>
            </w:r>
            <w:r>
              <w:rPr>
                <w:color w:val="auto"/>
                <w:highlight w:val="none"/>
                <w:lang w:eastAsia="zh-CN"/>
              </w:rPr>
              <w:t>)</w:t>
            </w:r>
            <w:r>
              <w:rPr>
                <w:rFonts w:hint="eastAsia"/>
                <w:color w:val="auto"/>
                <w:highlight w:val="none"/>
                <w:lang w:eastAsia="zh-CN"/>
              </w:rPr>
              <w:t>文件；</w:t>
            </w:r>
          </w:p>
          <w:p>
            <w:pPr>
              <w:pStyle w:val="48"/>
              <w:kinsoku/>
              <w:ind w:left="105" w:leftChars="50" w:right="105" w:rightChars="50"/>
              <w:rPr>
                <w:rFonts w:hint="eastAsia"/>
                <w:color w:val="auto"/>
                <w:highlight w:val="none"/>
                <w:lang w:eastAsia="zh-CN"/>
              </w:rPr>
            </w:pPr>
            <w:r>
              <w:rPr>
                <w:rFonts w:hint="eastAsia"/>
                <w:color w:val="auto"/>
                <w:highlight w:val="none"/>
                <w:lang w:eastAsia="zh-CN"/>
              </w:rPr>
              <w:t>3.本项目的特定资格要求：</w:t>
            </w:r>
          </w:p>
          <w:p>
            <w:pPr>
              <w:pStyle w:val="48"/>
              <w:kinsoku/>
              <w:ind w:left="105" w:leftChars="50" w:right="105" w:rightChars="50"/>
              <w:rPr>
                <w:rFonts w:hint="eastAsia"/>
                <w:color w:val="auto"/>
                <w:highlight w:val="none"/>
                <w:lang w:eastAsia="zh-CN"/>
              </w:rPr>
            </w:pPr>
            <w:r>
              <w:rPr>
                <w:rFonts w:hint="eastAsia"/>
                <w:color w:val="auto"/>
                <w:highlight w:val="none"/>
                <w:lang w:eastAsia="zh-CN"/>
              </w:rPr>
              <w:t>（1）</w:t>
            </w:r>
            <w:r>
              <w:rPr>
                <w:rFonts w:hint="eastAsia"/>
                <w:color w:val="auto"/>
                <w:highlight w:val="none"/>
                <w:lang w:eastAsia="zh-CN" w:bidi="ar"/>
              </w:rPr>
              <w:t>供应商须是具有</w:t>
            </w:r>
            <w:r>
              <w:rPr>
                <w:rFonts w:hint="eastAsia"/>
                <w:color w:val="auto"/>
                <w:highlight w:val="none"/>
                <w:lang w:eastAsia="zh-CN" w:bidi="ar"/>
              </w:rPr>
              <w:t>中华人民共和国住房和城乡建设部颁发的工程监理综合资质的独立法人单位</w:t>
            </w:r>
            <w:r>
              <w:rPr>
                <w:rFonts w:hint="eastAsia"/>
                <w:color w:val="auto"/>
                <w:highlight w:val="none"/>
                <w:lang w:eastAsia="zh-CN" w:bidi="ar"/>
              </w:rPr>
              <w:t>，并具有履行合同所必需的设备和专业技术能力</w:t>
            </w:r>
            <w:r>
              <w:rPr>
                <w:rFonts w:hint="eastAsia"/>
                <w:color w:val="auto"/>
                <w:highlight w:val="none"/>
                <w:lang w:eastAsia="zh-CN"/>
              </w:rPr>
              <w:t>；外省入吉建筑业企业应按照要求办理入吉建筑业企业信息登记。</w:t>
            </w:r>
          </w:p>
          <w:p>
            <w:pPr>
              <w:pStyle w:val="48"/>
              <w:kinsoku/>
              <w:ind w:left="105" w:leftChars="50" w:right="105" w:rightChars="50"/>
              <w:rPr>
                <w:rFonts w:hint="eastAsia"/>
                <w:color w:val="auto"/>
                <w:highlight w:val="none"/>
                <w:lang w:eastAsia="zh-CN"/>
              </w:rPr>
            </w:pPr>
            <w:r>
              <w:rPr>
                <w:rFonts w:hint="eastAsia"/>
                <w:color w:val="auto"/>
                <w:highlight w:val="none"/>
                <w:lang w:eastAsia="zh-CN"/>
              </w:rPr>
              <w:t>（2）</w:t>
            </w:r>
            <w:r>
              <w:rPr>
                <w:rFonts w:hint="eastAsia"/>
                <w:color w:val="auto"/>
                <w:highlight w:val="none"/>
                <w:lang w:eastAsia="zh-CN" w:bidi="ar"/>
              </w:rPr>
              <w:t>供应商拟派出的总监理工程师</w:t>
            </w:r>
            <w:r>
              <w:rPr>
                <w:color w:val="auto"/>
                <w:highlight w:val="none"/>
                <w:lang w:eastAsia="zh-CN" w:bidi="ar"/>
              </w:rPr>
              <w:t>须具有市政公用工程建设总监理工程师岗位证书或具有市政公用工程建设监理工程师资格证书且具有本单位出具的总监理工程师聘用书以及类似工程监理经验</w:t>
            </w:r>
            <w:r>
              <w:rPr>
                <w:color w:val="auto"/>
                <w:kern w:val="2"/>
                <w:highlight w:val="none"/>
                <w:lang w:eastAsia="zh-CN"/>
              </w:rPr>
              <w:t>。</w:t>
            </w:r>
          </w:p>
          <w:p>
            <w:pPr>
              <w:pStyle w:val="48"/>
              <w:kinsoku/>
              <w:ind w:left="105" w:leftChars="50" w:right="105" w:rightChars="50"/>
              <w:rPr>
                <w:rFonts w:hint="eastAsia"/>
                <w:color w:val="auto"/>
                <w:highlight w:val="none"/>
                <w:lang w:eastAsia="zh-CN"/>
              </w:rPr>
            </w:pPr>
            <w:r>
              <w:rPr>
                <w:rFonts w:hint="eastAsia"/>
                <w:color w:val="auto"/>
                <w:highlight w:val="none"/>
                <w:lang w:eastAsia="zh-CN"/>
              </w:rPr>
              <w:t>（3）本项目不接受联合体；</w:t>
            </w:r>
          </w:p>
          <w:p>
            <w:pPr>
              <w:pStyle w:val="48"/>
              <w:kinsoku/>
              <w:ind w:left="105" w:leftChars="50" w:right="105" w:rightChars="50"/>
              <w:rPr>
                <w:rFonts w:hint="eastAsia"/>
                <w:color w:val="auto"/>
                <w:highlight w:val="none"/>
                <w:lang w:eastAsia="zh-CN"/>
              </w:rPr>
            </w:pPr>
            <w:r>
              <w:rPr>
                <w:rFonts w:hint="eastAsia"/>
                <w:color w:val="auto"/>
                <w:highlight w:val="none"/>
                <w:lang w:eastAsia="zh-CN"/>
              </w:rPr>
              <w:t>（4）提供近三年（</w:t>
            </w:r>
            <w:r>
              <w:rPr>
                <w:color w:val="auto"/>
                <w:highlight w:val="none"/>
                <w:lang w:eastAsia="zh-CN"/>
              </w:rPr>
              <w:t>202</w:t>
            </w:r>
            <w:r>
              <w:rPr>
                <w:rFonts w:hint="eastAsia"/>
                <w:color w:val="auto"/>
                <w:highlight w:val="none"/>
                <w:lang w:eastAsia="zh-CN"/>
              </w:rPr>
              <w:t>2年</w:t>
            </w:r>
            <w:r>
              <w:rPr>
                <w:color w:val="auto"/>
                <w:highlight w:val="none"/>
                <w:lang w:eastAsia="zh-CN"/>
              </w:rPr>
              <w:t>-202</w:t>
            </w:r>
            <w:r>
              <w:rPr>
                <w:rFonts w:hint="eastAsia"/>
                <w:color w:val="auto"/>
                <w:highlight w:val="none"/>
                <w:lang w:eastAsia="zh-CN"/>
              </w:rPr>
              <w:t>4年）经会计师事务所或审计机构出具的财务审计报告（供应商成立不足三年的，提供自成立年份至</w:t>
            </w:r>
            <w:r>
              <w:rPr>
                <w:color w:val="auto"/>
                <w:highlight w:val="none"/>
                <w:lang w:eastAsia="zh-CN"/>
              </w:rPr>
              <w:t>202</w:t>
            </w:r>
            <w:r>
              <w:rPr>
                <w:rFonts w:hint="eastAsia"/>
                <w:color w:val="auto"/>
                <w:highlight w:val="none"/>
                <w:lang w:eastAsia="zh-CN"/>
              </w:rPr>
              <w:t>4年的经审计的财务报告，供应商自</w:t>
            </w:r>
            <w:r>
              <w:rPr>
                <w:color w:val="auto"/>
                <w:highlight w:val="none"/>
                <w:lang w:eastAsia="zh-CN"/>
              </w:rPr>
              <w:t>202</w:t>
            </w:r>
            <w:r>
              <w:rPr>
                <w:rFonts w:hint="eastAsia"/>
                <w:color w:val="auto"/>
                <w:highlight w:val="none"/>
                <w:lang w:eastAsia="zh-CN"/>
              </w:rPr>
              <w:t>5年之后成立，无财务审计报告的，需提供一份财务状况良好承诺书）</w:t>
            </w:r>
          </w:p>
          <w:p>
            <w:pPr>
              <w:pStyle w:val="48"/>
              <w:kinsoku/>
              <w:ind w:left="105" w:leftChars="50" w:right="105" w:rightChars="50"/>
              <w:rPr>
                <w:rFonts w:hint="eastAsia"/>
                <w:color w:val="auto"/>
                <w:highlight w:val="none"/>
                <w:lang w:eastAsia="zh-CN"/>
              </w:rPr>
            </w:pPr>
            <w:r>
              <w:rPr>
                <w:rFonts w:hint="eastAsia"/>
                <w:color w:val="auto"/>
                <w:highlight w:val="none"/>
                <w:lang w:eastAsia="zh-CN"/>
              </w:rPr>
              <w:t>（5）</w:t>
            </w:r>
            <w:r>
              <w:rPr>
                <w:rFonts w:hint="eastAsia"/>
                <w:color w:val="auto"/>
                <w:highlight w:val="none"/>
                <w:lang w:bidi="ar"/>
              </w:rPr>
              <w:t>信用要求</w:t>
            </w:r>
            <w:r>
              <w:rPr>
                <w:rFonts w:hint="eastAsia"/>
                <w:color w:val="auto"/>
                <w:highlight w:val="none"/>
              </w:rPr>
              <w:t>未被市场监督管理部门在全国企业信用信息公示系统</w:t>
            </w:r>
            <w:r>
              <w:rPr>
                <w:rFonts w:hint="eastAsia"/>
                <w:color w:val="auto"/>
                <w:highlight w:val="none"/>
                <w:lang w:eastAsia="zh-CN"/>
              </w:rPr>
              <w:t>公示系统（http://www.gsxt.gov.cn/index.html）中列入严重违法失信企业名单；未被最高人民法院在“信用中国”网站（www.creditchina.gov.cn）或各级信用信息共享平台列入失信被执行人名单；供应商、法定代表人、总监理工程师在中国裁判文书网无行贿犯罪记录。</w:t>
            </w:r>
          </w:p>
          <w:p>
            <w:pPr>
              <w:pStyle w:val="48"/>
              <w:kinsoku/>
              <w:ind w:left="105" w:leftChars="50" w:right="105" w:rightChars="50"/>
              <w:rPr>
                <w:rFonts w:hint="eastAsia"/>
                <w:color w:val="auto"/>
                <w:highlight w:val="none"/>
                <w:lang w:eastAsia="zh-CN"/>
              </w:rPr>
            </w:pPr>
            <w:r>
              <w:rPr>
                <w:rFonts w:hint="eastAsia"/>
                <w:color w:val="auto"/>
                <w:highlight w:val="none"/>
                <w:lang w:eastAsia="zh-CN"/>
              </w:rPr>
              <w:t>（6）企业名称不同但法定代表人为同一个自然人的两个或者两个以上的供应商不得参加同一项目的投标。如果出现上述情况，相关供应商的投标均将被拒绝。</w:t>
            </w:r>
          </w:p>
          <w:p>
            <w:pPr>
              <w:pStyle w:val="48"/>
              <w:kinsoku/>
              <w:ind w:left="105" w:leftChars="50" w:right="105" w:rightChars="50"/>
              <w:rPr>
                <w:rFonts w:hint="eastAsia"/>
                <w:color w:val="auto"/>
                <w:highlight w:val="none"/>
                <w:lang w:eastAsia="zh-CN"/>
              </w:rPr>
            </w:pPr>
            <w:r>
              <w:rPr>
                <w:rFonts w:hint="eastAsia"/>
                <w:color w:val="auto"/>
                <w:highlight w:val="none"/>
                <w:lang w:eastAsia="zh-CN"/>
              </w:rPr>
              <w:t>（7）拒绝列入政府不良行为记录期间的企业或个人投标；</w:t>
            </w:r>
          </w:p>
          <w:p>
            <w:pPr>
              <w:pStyle w:val="48"/>
              <w:kinsoku/>
              <w:ind w:left="105" w:leftChars="50" w:right="105" w:rightChars="50"/>
              <w:rPr>
                <w:rFonts w:hint="eastAsia"/>
                <w:color w:val="auto"/>
                <w:highlight w:val="none"/>
                <w:lang w:eastAsia="zh-CN"/>
              </w:rPr>
            </w:pPr>
            <w:r>
              <w:rPr>
                <w:rFonts w:hint="eastAsia"/>
                <w:color w:val="auto"/>
                <w:highlight w:val="none"/>
                <w:lang w:eastAsia="zh-CN"/>
              </w:rPr>
              <w:t>（8）资格审查方式：资格后审；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29" w:type="dxa"/>
            <w:gridSpan w:val="2"/>
            <w:vAlign w:val="center"/>
          </w:tcPr>
          <w:p>
            <w:pPr>
              <w:pStyle w:val="48"/>
              <w:ind w:left="105" w:leftChars="50" w:right="105" w:rightChars="50"/>
              <w:rPr>
                <w:rFonts w:hint="eastAsia"/>
                <w:color w:val="auto"/>
                <w:highlight w:val="none"/>
                <w:lang w:eastAsia="zh-CN"/>
              </w:rPr>
            </w:pPr>
            <w:r>
              <w:rPr>
                <w:rFonts w:hint="eastAsia"/>
                <w:color w:val="auto"/>
                <w:highlight w:val="none"/>
                <w:lang w:eastAsia="zh-CN"/>
              </w:rPr>
              <w:t>1.4.2</w:t>
            </w:r>
          </w:p>
        </w:tc>
        <w:tc>
          <w:tcPr>
            <w:tcW w:w="2093" w:type="dxa"/>
            <w:vAlign w:val="center"/>
          </w:tcPr>
          <w:p>
            <w:pPr>
              <w:pStyle w:val="48"/>
              <w:ind w:left="105" w:leftChars="50" w:right="105" w:rightChars="50"/>
              <w:rPr>
                <w:rFonts w:hint="eastAsia"/>
                <w:color w:val="auto"/>
                <w:highlight w:val="none"/>
                <w:lang w:eastAsia="zh-CN"/>
              </w:rPr>
            </w:pPr>
            <w:r>
              <w:rPr>
                <w:rFonts w:hint="eastAsia"/>
                <w:color w:val="auto"/>
                <w:highlight w:val="none"/>
                <w:lang w:eastAsia="zh-CN"/>
              </w:rPr>
              <w:t>是否接受联合体投标</w:t>
            </w:r>
          </w:p>
        </w:tc>
        <w:tc>
          <w:tcPr>
            <w:tcW w:w="6804" w:type="dxa"/>
            <w:vAlign w:val="center"/>
          </w:tcPr>
          <w:p>
            <w:pPr>
              <w:pStyle w:val="48"/>
              <w:kinsoku/>
              <w:ind w:left="105" w:leftChars="50" w:right="105" w:rightChars="50"/>
              <w:rPr>
                <w:rFonts w:hint="eastAsia"/>
                <w:color w:val="auto"/>
                <w:highlight w:val="none"/>
                <w:lang w:eastAsia="zh-CN"/>
              </w:rPr>
            </w:pPr>
            <w:r>
              <w:rPr>
                <w:rFonts w:hint="eastAsia"/>
                <w:color w:val="auto"/>
                <w:highlight w:val="none"/>
                <w:lang w:eastAsia="zh-CN"/>
              </w:rPr>
              <w:t>不接受。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1029" w:type="dxa"/>
            <w:gridSpan w:val="2"/>
            <w:vAlign w:val="center"/>
          </w:tcPr>
          <w:p>
            <w:pPr>
              <w:pStyle w:val="48"/>
              <w:ind w:left="105" w:leftChars="50" w:right="105" w:rightChars="50"/>
              <w:rPr>
                <w:rFonts w:hint="eastAsia"/>
                <w:color w:val="auto"/>
                <w:highlight w:val="none"/>
                <w:lang w:eastAsia="zh-CN"/>
              </w:rPr>
            </w:pPr>
            <w:r>
              <w:rPr>
                <w:rFonts w:hint="eastAsia"/>
                <w:color w:val="auto"/>
                <w:highlight w:val="none"/>
                <w:lang w:eastAsia="zh-CN"/>
              </w:rPr>
              <w:t>1.4.3</w:t>
            </w:r>
          </w:p>
        </w:tc>
        <w:tc>
          <w:tcPr>
            <w:tcW w:w="2093" w:type="dxa"/>
            <w:vAlign w:val="center"/>
          </w:tcPr>
          <w:p>
            <w:pPr>
              <w:pStyle w:val="48"/>
              <w:ind w:left="105" w:leftChars="50" w:right="105" w:rightChars="50"/>
              <w:rPr>
                <w:rFonts w:hint="eastAsia"/>
                <w:color w:val="auto"/>
                <w:highlight w:val="none"/>
                <w:lang w:eastAsia="zh-CN"/>
              </w:rPr>
            </w:pPr>
            <w:r>
              <w:rPr>
                <w:rFonts w:hint="eastAsia"/>
                <w:color w:val="auto"/>
                <w:highlight w:val="none"/>
                <w:lang w:eastAsia="zh-CN"/>
              </w:rPr>
              <w:t>供应商不得存在的其他情形</w:t>
            </w:r>
          </w:p>
        </w:tc>
        <w:tc>
          <w:tcPr>
            <w:tcW w:w="6804" w:type="dxa"/>
          </w:tcPr>
          <w:p>
            <w:pPr>
              <w:pStyle w:val="48"/>
              <w:kinsoku/>
              <w:ind w:left="105" w:leftChars="50" w:right="105" w:rightChars="50"/>
              <w:rPr>
                <w:rFonts w:hint="eastAsia"/>
                <w:color w:val="auto"/>
                <w:highlight w:val="none"/>
                <w:lang w:eastAsia="zh-CN"/>
              </w:rPr>
            </w:pPr>
            <w:r>
              <w:rPr>
                <w:rFonts w:hint="eastAsia"/>
                <w:color w:val="auto"/>
                <w:highlight w:val="none"/>
                <w:lang w:eastAsia="zh-CN"/>
              </w:rPr>
              <w:t>（1）为招标人不具有独立法人资格的附属机构（单位）</w:t>
            </w:r>
          </w:p>
          <w:p>
            <w:pPr>
              <w:pStyle w:val="48"/>
              <w:kinsoku/>
              <w:ind w:left="105" w:leftChars="50" w:right="105" w:rightChars="50"/>
              <w:rPr>
                <w:rFonts w:hint="eastAsia"/>
                <w:color w:val="auto"/>
                <w:highlight w:val="none"/>
                <w:lang w:eastAsia="zh-CN"/>
              </w:rPr>
            </w:pPr>
            <w:r>
              <w:rPr>
                <w:rFonts w:hint="eastAsia"/>
                <w:color w:val="auto"/>
                <w:highlight w:val="none"/>
                <w:lang w:eastAsia="zh-CN"/>
              </w:rPr>
              <w:t>（2）与招标人存在利害关系且可能影响招标公正性；</w:t>
            </w:r>
          </w:p>
          <w:p>
            <w:pPr>
              <w:pStyle w:val="48"/>
              <w:kinsoku/>
              <w:ind w:left="105" w:leftChars="50" w:right="105" w:rightChars="50"/>
              <w:rPr>
                <w:rFonts w:hint="eastAsia"/>
                <w:color w:val="auto"/>
                <w:highlight w:val="none"/>
                <w:lang w:eastAsia="zh-CN"/>
              </w:rPr>
            </w:pPr>
            <w:r>
              <w:rPr>
                <w:rFonts w:hint="eastAsia"/>
                <w:color w:val="auto"/>
                <w:highlight w:val="none"/>
                <w:lang w:eastAsia="zh-CN"/>
              </w:rPr>
              <w:t>（3）与本招标项目的其他供应商为同一个单位负责人；</w:t>
            </w:r>
          </w:p>
          <w:p>
            <w:pPr>
              <w:pStyle w:val="48"/>
              <w:kinsoku/>
              <w:ind w:left="105" w:leftChars="50" w:right="105" w:rightChars="50"/>
              <w:rPr>
                <w:rFonts w:hint="eastAsia"/>
                <w:color w:val="auto"/>
                <w:highlight w:val="none"/>
                <w:lang w:eastAsia="zh-CN"/>
              </w:rPr>
            </w:pPr>
            <w:r>
              <w:rPr>
                <w:rFonts w:hint="eastAsia"/>
                <w:color w:val="auto"/>
                <w:highlight w:val="none"/>
                <w:lang w:eastAsia="zh-CN"/>
              </w:rPr>
              <w:t>（4）与本招标项目的其他供应商存在控股、管理关系；</w:t>
            </w:r>
          </w:p>
          <w:p>
            <w:pPr>
              <w:pStyle w:val="48"/>
              <w:kinsoku/>
              <w:ind w:left="105" w:leftChars="50" w:right="105" w:rightChars="50"/>
              <w:rPr>
                <w:rFonts w:hint="eastAsia"/>
                <w:color w:val="auto"/>
                <w:highlight w:val="none"/>
                <w:lang w:eastAsia="zh-CN"/>
              </w:rPr>
            </w:pPr>
            <w:r>
              <w:rPr>
                <w:rFonts w:hint="eastAsia"/>
                <w:color w:val="auto"/>
                <w:highlight w:val="none"/>
                <w:lang w:eastAsia="zh-CN"/>
              </w:rPr>
              <w:t>（5）为本招标项目的代建人；</w:t>
            </w:r>
          </w:p>
          <w:p>
            <w:pPr>
              <w:pStyle w:val="48"/>
              <w:kinsoku/>
              <w:ind w:left="105" w:leftChars="50" w:right="105" w:rightChars="50"/>
              <w:rPr>
                <w:rFonts w:hint="eastAsia"/>
                <w:color w:val="auto"/>
                <w:highlight w:val="none"/>
                <w:lang w:eastAsia="zh-CN"/>
              </w:rPr>
            </w:pPr>
            <w:r>
              <w:rPr>
                <w:rFonts w:hint="eastAsia"/>
                <w:color w:val="auto"/>
                <w:highlight w:val="none"/>
                <w:lang w:eastAsia="zh-CN"/>
              </w:rPr>
              <w:t>（6）为本招标项目的招标代理机构；</w:t>
            </w:r>
          </w:p>
          <w:p>
            <w:pPr>
              <w:pStyle w:val="48"/>
              <w:kinsoku/>
              <w:ind w:left="105" w:leftChars="50" w:right="105" w:rightChars="50"/>
              <w:rPr>
                <w:rFonts w:hint="eastAsia"/>
                <w:color w:val="auto"/>
                <w:highlight w:val="none"/>
                <w:lang w:eastAsia="zh-CN"/>
              </w:rPr>
            </w:pPr>
            <w:r>
              <w:rPr>
                <w:rFonts w:hint="eastAsia"/>
                <w:color w:val="auto"/>
                <w:highlight w:val="none"/>
                <w:lang w:eastAsia="zh-CN"/>
              </w:rPr>
              <w:t>（7）与本招标项目的代建人或招标代理机构同为一个法定代表人；</w:t>
            </w:r>
          </w:p>
          <w:p>
            <w:pPr>
              <w:pStyle w:val="48"/>
              <w:kinsoku/>
              <w:ind w:left="105" w:leftChars="50" w:right="105" w:rightChars="50"/>
              <w:rPr>
                <w:rFonts w:hint="eastAsia"/>
                <w:color w:val="auto"/>
                <w:highlight w:val="none"/>
                <w:lang w:eastAsia="zh-CN"/>
              </w:rPr>
            </w:pPr>
            <w:r>
              <w:rPr>
                <w:rFonts w:hint="eastAsia"/>
                <w:color w:val="auto"/>
                <w:highlight w:val="none"/>
                <w:lang w:eastAsia="zh-CN"/>
              </w:rPr>
              <w:t>（8）与本招标项目的代建人或招标代理机构存在控股或参股关系；</w:t>
            </w:r>
          </w:p>
          <w:p>
            <w:pPr>
              <w:pStyle w:val="48"/>
              <w:kinsoku/>
              <w:ind w:left="105" w:leftChars="50" w:right="105" w:rightChars="50"/>
              <w:rPr>
                <w:rFonts w:hint="eastAsia"/>
                <w:color w:val="auto"/>
                <w:highlight w:val="none"/>
                <w:lang w:eastAsia="zh-CN"/>
              </w:rPr>
            </w:pPr>
            <w:r>
              <w:rPr>
                <w:rFonts w:hint="eastAsia"/>
                <w:color w:val="auto"/>
                <w:highlight w:val="none"/>
                <w:lang w:eastAsia="zh-CN"/>
              </w:rPr>
              <w:t>（9）与本招标项目的施工承包人以及建筑材料、建筑构配件和设备供应商有隶属关系或者其他利害关系；</w:t>
            </w:r>
          </w:p>
          <w:p>
            <w:pPr>
              <w:pStyle w:val="48"/>
              <w:kinsoku/>
              <w:ind w:left="105" w:leftChars="50" w:right="105" w:rightChars="50"/>
              <w:rPr>
                <w:rFonts w:hint="eastAsia"/>
                <w:color w:val="auto"/>
                <w:highlight w:val="none"/>
                <w:lang w:eastAsia="zh-CN"/>
              </w:rPr>
            </w:pPr>
            <w:r>
              <w:rPr>
                <w:rFonts w:hint="eastAsia"/>
                <w:color w:val="auto"/>
                <w:highlight w:val="none"/>
                <w:lang w:eastAsia="zh-CN"/>
              </w:rPr>
              <w:t>（10）被依法暂停或者取消投标资格；</w:t>
            </w:r>
          </w:p>
          <w:p>
            <w:pPr>
              <w:pStyle w:val="48"/>
              <w:kinsoku/>
              <w:ind w:left="105" w:leftChars="50" w:right="105" w:rightChars="50"/>
              <w:rPr>
                <w:rFonts w:hint="eastAsia"/>
                <w:color w:val="auto"/>
                <w:highlight w:val="none"/>
                <w:lang w:eastAsia="zh-CN"/>
              </w:rPr>
            </w:pPr>
            <w:r>
              <w:rPr>
                <w:rFonts w:hint="eastAsia"/>
                <w:color w:val="auto"/>
                <w:highlight w:val="none"/>
                <w:lang w:eastAsia="zh-CN"/>
              </w:rPr>
              <w:t>（11）被责令停产停业、暂扣或者吊销许可证、暂扣或者吊销执照；</w:t>
            </w:r>
          </w:p>
          <w:p>
            <w:pPr>
              <w:pStyle w:val="48"/>
              <w:kinsoku/>
              <w:ind w:left="105" w:leftChars="50" w:right="105" w:rightChars="50"/>
              <w:rPr>
                <w:rFonts w:hint="eastAsia"/>
                <w:color w:val="auto"/>
                <w:highlight w:val="none"/>
                <w:lang w:eastAsia="zh-CN"/>
              </w:rPr>
            </w:pPr>
            <w:r>
              <w:rPr>
                <w:rFonts w:hint="eastAsia"/>
                <w:color w:val="auto"/>
                <w:highlight w:val="none"/>
                <w:lang w:eastAsia="zh-CN"/>
              </w:rPr>
              <w:t>（12）进入清算程序，或被宣告破产，或其他丧失履约能力的情形；</w:t>
            </w:r>
          </w:p>
          <w:p>
            <w:pPr>
              <w:pStyle w:val="48"/>
              <w:kinsoku/>
              <w:ind w:left="105" w:leftChars="50" w:right="105" w:rightChars="50"/>
              <w:rPr>
                <w:rFonts w:hint="eastAsia"/>
                <w:color w:val="auto"/>
                <w:highlight w:val="none"/>
                <w:lang w:eastAsia="zh-CN"/>
              </w:rPr>
            </w:pPr>
            <w:r>
              <w:rPr>
                <w:rFonts w:hint="eastAsia"/>
                <w:color w:val="auto"/>
                <w:highlight w:val="none"/>
                <w:lang w:eastAsia="zh-CN"/>
              </w:rPr>
              <w:t>（13）在最近三年内发生重大监理质量问题（以相关行业主管部门的行政处罚决定或司法机关出具的有关法律文书为准）；</w:t>
            </w:r>
          </w:p>
          <w:p>
            <w:pPr>
              <w:pStyle w:val="48"/>
              <w:kinsoku/>
              <w:ind w:left="105" w:leftChars="50" w:right="105" w:rightChars="50"/>
              <w:rPr>
                <w:rFonts w:hint="eastAsia"/>
                <w:color w:val="auto"/>
                <w:highlight w:val="none"/>
                <w:lang w:eastAsia="zh-CN"/>
              </w:rPr>
            </w:pPr>
            <w:r>
              <w:rPr>
                <w:rFonts w:hint="eastAsia"/>
                <w:color w:val="auto"/>
                <w:highlight w:val="none"/>
                <w:lang w:eastAsia="zh-CN"/>
              </w:rPr>
              <w:t>（14）法律法规或供应商须知前附表规定的其他情形。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29" w:type="dxa"/>
            <w:gridSpan w:val="2"/>
            <w:vAlign w:val="center"/>
          </w:tcPr>
          <w:p>
            <w:pPr>
              <w:pStyle w:val="48"/>
              <w:ind w:left="105" w:leftChars="50" w:right="105" w:rightChars="50"/>
              <w:jc w:val="both"/>
              <w:rPr>
                <w:rFonts w:hint="eastAsia"/>
                <w:color w:val="auto"/>
                <w:highlight w:val="none"/>
                <w:lang w:eastAsia="zh-CN"/>
              </w:rPr>
            </w:pPr>
            <w:r>
              <w:rPr>
                <w:rFonts w:hint="eastAsia"/>
                <w:color w:val="auto"/>
                <w:highlight w:val="none"/>
                <w:lang w:eastAsia="zh-CN"/>
              </w:rPr>
              <w:t>1.9.1</w:t>
            </w:r>
          </w:p>
        </w:tc>
        <w:tc>
          <w:tcPr>
            <w:tcW w:w="2093" w:type="dxa"/>
            <w:vAlign w:val="center"/>
          </w:tcPr>
          <w:p>
            <w:pPr>
              <w:pStyle w:val="48"/>
              <w:ind w:left="105" w:leftChars="50" w:right="105" w:rightChars="50"/>
              <w:jc w:val="both"/>
              <w:rPr>
                <w:rFonts w:hint="eastAsia"/>
                <w:color w:val="auto"/>
                <w:highlight w:val="none"/>
                <w:lang w:eastAsia="zh-CN"/>
              </w:rPr>
            </w:pPr>
            <w:r>
              <w:rPr>
                <w:rFonts w:hint="eastAsia"/>
                <w:color w:val="auto"/>
                <w:highlight w:val="none"/>
                <w:lang w:eastAsia="zh-CN"/>
              </w:rPr>
              <w:t>踏勘现场</w:t>
            </w:r>
          </w:p>
        </w:tc>
        <w:tc>
          <w:tcPr>
            <w:tcW w:w="6804" w:type="dxa"/>
          </w:tcPr>
          <w:p>
            <w:pPr>
              <w:pStyle w:val="48"/>
              <w:ind w:left="105" w:leftChars="50" w:right="105" w:rightChars="50"/>
              <w:rPr>
                <w:rFonts w:hint="eastAsia"/>
                <w:color w:val="auto"/>
                <w:highlight w:val="none"/>
                <w:lang w:eastAsia="zh-CN"/>
              </w:rPr>
            </w:pPr>
            <w:r>
              <w:rPr>
                <w:rFonts w:hint="eastAsia"/>
                <w:color w:val="auto"/>
                <w:highlight w:val="none"/>
                <w:lang w:eastAsia="zh-CN"/>
              </w:rPr>
              <w:drawing>
                <wp:inline distT="0" distB="0" distL="0" distR="0">
                  <wp:extent cx="106680" cy="102235"/>
                  <wp:effectExtent l="0" t="0" r="0" b="0"/>
                  <wp:docPr id="1" name="IM 4"/>
                  <wp:cNvGraphicFramePr/>
                  <a:graphic xmlns:a="http://schemas.openxmlformats.org/drawingml/2006/main">
                    <a:graphicData uri="http://schemas.openxmlformats.org/drawingml/2006/picture">
                      <pic:pic xmlns:pic="http://schemas.openxmlformats.org/drawingml/2006/picture">
                        <pic:nvPicPr>
                          <pic:cNvPr id="1" name="IM 4"/>
                          <pic:cNvPicPr/>
                        </pic:nvPicPr>
                        <pic:blipFill>
                          <a:blip r:embed="rId6"/>
                          <a:stretch>
                            <a:fillRect/>
                          </a:stretch>
                        </pic:blipFill>
                        <pic:spPr>
                          <a:xfrm>
                            <a:off x="0" y="0"/>
                            <a:ext cx="107101" cy="102588"/>
                          </a:xfrm>
                          <a:prstGeom prst="rect">
                            <a:avLst/>
                          </a:prstGeom>
                        </pic:spPr>
                      </pic:pic>
                    </a:graphicData>
                  </a:graphic>
                </wp:inline>
              </w:drawing>
            </w:r>
            <w:r>
              <w:rPr>
                <w:rFonts w:hint="eastAsia"/>
                <w:color w:val="auto"/>
                <w:highlight w:val="none"/>
                <w:lang w:eastAsia="zh-CN"/>
              </w:rPr>
              <w:t>不组织（供应商自行踏勘现场）</w:t>
            </w:r>
          </w:p>
          <w:p>
            <w:pPr>
              <w:pStyle w:val="48"/>
              <w:ind w:left="105" w:leftChars="50" w:right="105" w:rightChars="50"/>
              <w:rPr>
                <w:rFonts w:hint="eastAsia"/>
                <w:color w:val="auto"/>
                <w:highlight w:val="none"/>
                <w:lang w:eastAsia="zh-CN"/>
              </w:rPr>
            </w:pPr>
            <w:r>
              <w:rPr>
                <w:rFonts w:hint="eastAsia"/>
                <w:color w:val="auto"/>
                <w:highlight w:val="none"/>
                <w:lang w:eastAsia="zh-CN"/>
              </w:rPr>
              <w:t>□组织，踏勘时间：</w:t>
            </w:r>
          </w:p>
          <w:p>
            <w:pPr>
              <w:pStyle w:val="48"/>
              <w:ind w:left="105" w:leftChars="50" w:right="105" w:rightChars="50"/>
              <w:rPr>
                <w:rFonts w:hint="eastAsia"/>
                <w:color w:val="auto"/>
                <w:highlight w:val="none"/>
                <w:lang w:eastAsia="zh-CN"/>
              </w:rPr>
            </w:pPr>
            <w:r>
              <w:rPr>
                <w:rFonts w:hint="eastAsia"/>
                <w:color w:val="auto"/>
                <w:highlight w:val="none"/>
                <w:lang w:eastAsia="zh-CN"/>
              </w:rPr>
              <w:t>踏勘集中地点：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29" w:type="dxa"/>
            <w:gridSpan w:val="2"/>
            <w:vAlign w:val="center"/>
          </w:tcPr>
          <w:p>
            <w:pPr>
              <w:pStyle w:val="48"/>
              <w:ind w:left="105" w:leftChars="50" w:right="105" w:rightChars="50"/>
              <w:jc w:val="both"/>
              <w:rPr>
                <w:rFonts w:hint="eastAsia"/>
                <w:color w:val="auto"/>
                <w:highlight w:val="none"/>
                <w:lang w:eastAsia="zh-CN"/>
              </w:rPr>
            </w:pPr>
            <w:r>
              <w:rPr>
                <w:rFonts w:hint="eastAsia"/>
                <w:color w:val="auto"/>
                <w:highlight w:val="none"/>
                <w:lang w:eastAsia="zh-CN"/>
              </w:rPr>
              <w:t>1.10.1</w:t>
            </w:r>
          </w:p>
        </w:tc>
        <w:tc>
          <w:tcPr>
            <w:tcW w:w="2093" w:type="dxa"/>
            <w:vAlign w:val="center"/>
          </w:tcPr>
          <w:p>
            <w:pPr>
              <w:pStyle w:val="48"/>
              <w:ind w:left="105" w:leftChars="50" w:right="105" w:rightChars="50"/>
              <w:jc w:val="both"/>
              <w:rPr>
                <w:rFonts w:hint="eastAsia"/>
                <w:color w:val="auto"/>
                <w:highlight w:val="none"/>
                <w:lang w:eastAsia="zh-CN"/>
              </w:rPr>
            </w:pPr>
            <w:r>
              <w:rPr>
                <w:rFonts w:hint="eastAsia"/>
                <w:color w:val="auto"/>
                <w:highlight w:val="none"/>
                <w:lang w:eastAsia="zh-CN"/>
              </w:rPr>
              <w:t>投标预备会</w:t>
            </w:r>
          </w:p>
        </w:tc>
        <w:tc>
          <w:tcPr>
            <w:tcW w:w="6804" w:type="dxa"/>
          </w:tcPr>
          <w:p>
            <w:pPr>
              <w:pStyle w:val="48"/>
              <w:ind w:left="105" w:leftChars="50" w:right="105" w:rightChars="50"/>
              <w:rPr>
                <w:rFonts w:hint="eastAsia"/>
                <w:color w:val="auto"/>
                <w:highlight w:val="none"/>
                <w:lang w:eastAsia="zh-CN"/>
              </w:rPr>
            </w:pPr>
            <w:r>
              <w:rPr>
                <w:rFonts w:hint="eastAsia"/>
                <w:color w:val="auto"/>
                <w:highlight w:val="none"/>
                <w:lang w:eastAsia="zh-CN"/>
              </w:rPr>
              <w:t>不召开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29" w:type="dxa"/>
            <w:gridSpan w:val="2"/>
            <w:vAlign w:val="center"/>
          </w:tcPr>
          <w:p>
            <w:pPr>
              <w:pStyle w:val="48"/>
              <w:ind w:left="105" w:leftChars="50" w:right="105" w:rightChars="50"/>
              <w:jc w:val="both"/>
              <w:rPr>
                <w:rFonts w:hint="eastAsia"/>
                <w:color w:val="auto"/>
                <w:highlight w:val="none"/>
                <w:lang w:eastAsia="zh-CN"/>
              </w:rPr>
            </w:pPr>
            <w:r>
              <w:rPr>
                <w:rFonts w:hint="eastAsia"/>
                <w:color w:val="auto"/>
                <w:highlight w:val="none"/>
                <w:lang w:eastAsia="zh-CN"/>
              </w:rPr>
              <w:t>1.10.2</w:t>
            </w:r>
          </w:p>
        </w:tc>
        <w:tc>
          <w:tcPr>
            <w:tcW w:w="2093" w:type="dxa"/>
            <w:vAlign w:val="center"/>
          </w:tcPr>
          <w:p>
            <w:pPr>
              <w:pStyle w:val="48"/>
              <w:ind w:left="105" w:leftChars="50" w:right="105" w:rightChars="50"/>
              <w:jc w:val="both"/>
              <w:rPr>
                <w:rFonts w:hint="eastAsia"/>
                <w:color w:val="auto"/>
                <w:highlight w:val="none"/>
                <w:lang w:eastAsia="zh-CN"/>
              </w:rPr>
            </w:pPr>
            <w:r>
              <w:rPr>
                <w:rFonts w:hint="eastAsia"/>
                <w:color w:val="auto"/>
                <w:highlight w:val="none"/>
                <w:lang w:eastAsia="zh-CN"/>
              </w:rPr>
              <w:t>供应商提出问题的截止时间</w:t>
            </w:r>
          </w:p>
        </w:tc>
        <w:tc>
          <w:tcPr>
            <w:tcW w:w="6804" w:type="dxa"/>
          </w:tcPr>
          <w:p>
            <w:pPr>
              <w:pStyle w:val="48"/>
              <w:ind w:left="105" w:leftChars="50" w:right="105" w:rightChars="50"/>
              <w:rPr>
                <w:rFonts w:hint="eastAsia"/>
                <w:color w:val="auto"/>
                <w:highlight w:val="none"/>
                <w:lang w:eastAsia="zh-CN"/>
              </w:rPr>
            </w:pPr>
            <w:r>
              <w:rPr>
                <w:rFonts w:hint="eastAsia"/>
                <w:color w:val="auto"/>
                <w:highlight w:val="none"/>
                <w:lang w:eastAsia="zh-CN"/>
              </w:rPr>
              <w:t>如对竞争性磋商文件有异议,请于竞争性磋商文件发布之日起7个工作日内提出书面质疑,逾期不予处理。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29" w:type="dxa"/>
            <w:gridSpan w:val="2"/>
            <w:vAlign w:val="center"/>
          </w:tcPr>
          <w:p>
            <w:pPr>
              <w:pStyle w:val="48"/>
              <w:ind w:left="105" w:leftChars="50" w:right="105" w:rightChars="50"/>
              <w:jc w:val="both"/>
              <w:rPr>
                <w:rFonts w:hint="eastAsia"/>
                <w:color w:val="auto"/>
                <w:highlight w:val="none"/>
                <w:lang w:eastAsia="zh-CN"/>
              </w:rPr>
            </w:pPr>
            <w:r>
              <w:rPr>
                <w:rFonts w:hint="eastAsia"/>
                <w:color w:val="auto"/>
                <w:highlight w:val="none"/>
                <w:lang w:eastAsia="zh-CN"/>
              </w:rPr>
              <w:t>1.10.3</w:t>
            </w:r>
          </w:p>
        </w:tc>
        <w:tc>
          <w:tcPr>
            <w:tcW w:w="2093" w:type="dxa"/>
            <w:vAlign w:val="center"/>
          </w:tcPr>
          <w:p>
            <w:pPr>
              <w:pStyle w:val="48"/>
              <w:ind w:left="105" w:leftChars="50" w:right="105" w:rightChars="50"/>
              <w:jc w:val="both"/>
              <w:rPr>
                <w:rFonts w:hint="eastAsia"/>
                <w:color w:val="auto"/>
                <w:highlight w:val="none"/>
                <w:lang w:eastAsia="zh-CN"/>
              </w:rPr>
            </w:pPr>
            <w:r>
              <w:rPr>
                <w:rFonts w:hint="eastAsia"/>
                <w:color w:val="auto"/>
                <w:highlight w:val="none"/>
                <w:lang w:eastAsia="zh-CN"/>
              </w:rPr>
              <w:t>采购人书面澄清的时间</w:t>
            </w:r>
          </w:p>
        </w:tc>
        <w:tc>
          <w:tcPr>
            <w:tcW w:w="6804" w:type="dxa"/>
          </w:tcPr>
          <w:p>
            <w:pPr>
              <w:pStyle w:val="48"/>
              <w:ind w:left="105" w:leftChars="50" w:right="105" w:rightChars="50"/>
              <w:rPr>
                <w:rFonts w:hint="eastAsia"/>
                <w:color w:val="auto"/>
                <w:highlight w:val="none"/>
                <w:lang w:eastAsia="zh-CN"/>
              </w:rPr>
            </w:pPr>
            <w:r>
              <w:rPr>
                <w:rFonts w:hint="eastAsia"/>
                <w:color w:val="auto"/>
                <w:highlight w:val="none"/>
                <w:lang w:eastAsia="zh-CN"/>
              </w:rPr>
              <w:t>采购人或者采购代理机构发布澄清公告并以书面形式通知潜在供应商的时间，应当在提交首次响应文件截止之日3个工作日前；不足上述时间的，应当顺延提交响应文件的截止时间。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29" w:type="dxa"/>
            <w:gridSpan w:val="2"/>
            <w:vAlign w:val="center"/>
          </w:tcPr>
          <w:p>
            <w:pPr>
              <w:pStyle w:val="48"/>
              <w:ind w:left="105" w:leftChars="50" w:right="105" w:rightChars="50"/>
              <w:jc w:val="both"/>
              <w:rPr>
                <w:rFonts w:hint="eastAsia"/>
                <w:color w:val="auto"/>
                <w:highlight w:val="none"/>
                <w:lang w:eastAsia="zh-CN"/>
              </w:rPr>
            </w:pPr>
            <w:r>
              <w:rPr>
                <w:rFonts w:hint="eastAsia"/>
                <w:color w:val="auto"/>
                <w:highlight w:val="none"/>
                <w:lang w:eastAsia="zh-CN"/>
              </w:rPr>
              <w:t>1.11.1</w:t>
            </w:r>
          </w:p>
        </w:tc>
        <w:tc>
          <w:tcPr>
            <w:tcW w:w="2093" w:type="dxa"/>
            <w:vAlign w:val="center"/>
          </w:tcPr>
          <w:p>
            <w:pPr>
              <w:pStyle w:val="48"/>
              <w:ind w:left="105" w:leftChars="50" w:right="105" w:rightChars="50"/>
              <w:jc w:val="both"/>
              <w:rPr>
                <w:rFonts w:hint="eastAsia"/>
                <w:color w:val="auto"/>
                <w:highlight w:val="none"/>
                <w:lang w:eastAsia="zh-CN"/>
              </w:rPr>
            </w:pPr>
            <w:r>
              <w:rPr>
                <w:rFonts w:hint="eastAsia"/>
                <w:color w:val="auto"/>
                <w:highlight w:val="none"/>
                <w:lang w:eastAsia="zh-CN"/>
              </w:rPr>
              <w:t>分包</w:t>
            </w:r>
          </w:p>
        </w:tc>
        <w:tc>
          <w:tcPr>
            <w:tcW w:w="6804" w:type="dxa"/>
          </w:tcPr>
          <w:p>
            <w:pPr>
              <w:pStyle w:val="48"/>
              <w:ind w:left="105" w:leftChars="50" w:right="105" w:rightChars="50"/>
              <w:rPr>
                <w:rFonts w:hint="eastAsia"/>
                <w:color w:val="auto"/>
                <w:highlight w:val="none"/>
                <w:lang w:eastAsia="zh-CN"/>
              </w:rPr>
            </w:pPr>
            <w:r>
              <w:rPr>
                <w:rFonts w:hint="eastAsia"/>
                <w:color w:val="auto"/>
                <w:highlight w:val="none"/>
                <w:lang w:eastAsia="zh-CN"/>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29" w:type="dxa"/>
            <w:gridSpan w:val="2"/>
            <w:vAlign w:val="center"/>
          </w:tcPr>
          <w:p>
            <w:pPr>
              <w:pStyle w:val="48"/>
              <w:ind w:left="105" w:leftChars="50" w:right="105" w:rightChars="50"/>
              <w:jc w:val="both"/>
              <w:rPr>
                <w:rFonts w:hint="eastAsia"/>
                <w:color w:val="auto"/>
                <w:highlight w:val="none"/>
                <w:lang w:eastAsia="zh-CN"/>
              </w:rPr>
            </w:pPr>
            <w:r>
              <w:rPr>
                <w:rFonts w:hint="eastAsia"/>
                <w:color w:val="auto"/>
                <w:highlight w:val="none"/>
                <w:lang w:eastAsia="zh-CN"/>
              </w:rPr>
              <w:t>1.12.1</w:t>
            </w:r>
          </w:p>
        </w:tc>
        <w:tc>
          <w:tcPr>
            <w:tcW w:w="2093" w:type="dxa"/>
            <w:vAlign w:val="center"/>
          </w:tcPr>
          <w:p>
            <w:pPr>
              <w:pStyle w:val="48"/>
              <w:ind w:left="105" w:leftChars="50" w:right="105" w:rightChars="50"/>
              <w:jc w:val="both"/>
              <w:rPr>
                <w:rFonts w:hint="eastAsia"/>
                <w:color w:val="auto"/>
                <w:highlight w:val="none"/>
                <w:lang w:eastAsia="zh-CN"/>
              </w:rPr>
            </w:pPr>
            <w:r>
              <w:rPr>
                <w:rFonts w:hint="eastAsia"/>
                <w:color w:val="auto"/>
                <w:highlight w:val="none"/>
                <w:lang w:eastAsia="zh-CN"/>
              </w:rPr>
              <w:t>偏差</w:t>
            </w:r>
          </w:p>
        </w:tc>
        <w:tc>
          <w:tcPr>
            <w:tcW w:w="6804" w:type="dxa"/>
          </w:tcPr>
          <w:p>
            <w:pPr>
              <w:pStyle w:val="48"/>
              <w:ind w:left="105" w:leftChars="50" w:right="105" w:rightChars="50"/>
              <w:rPr>
                <w:rFonts w:hint="eastAsia"/>
                <w:color w:val="auto"/>
                <w:highlight w:val="none"/>
                <w:lang w:eastAsia="zh-CN"/>
              </w:rPr>
            </w:pPr>
            <w:r>
              <w:rPr>
                <w:rFonts w:hint="eastAsia"/>
                <w:color w:val="auto"/>
                <w:highlight w:val="none"/>
                <w:lang w:eastAsia="zh-CN"/>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29" w:type="dxa"/>
            <w:gridSpan w:val="2"/>
            <w:vAlign w:val="center"/>
          </w:tcPr>
          <w:p>
            <w:pPr>
              <w:pStyle w:val="48"/>
              <w:ind w:left="105" w:leftChars="50" w:right="105" w:rightChars="50"/>
              <w:jc w:val="both"/>
              <w:rPr>
                <w:rFonts w:hint="eastAsia"/>
                <w:color w:val="auto"/>
                <w:highlight w:val="none"/>
                <w:lang w:eastAsia="zh-CN"/>
              </w:rPr>
            </w:pPr>
            <w:r>
              <w:rPr>
                <w:rFonts w:hint="eastAsia"/>
                <w:color w:val="auto"/>
                <w:highlight w:val="none"/>
                <w:lang w:eastAsia="zh-CN"/>
              </w:rPr>
              <w:t>2.1</w:t>
            </w:r>
          </w:p>
        </w:tc>
        <w:tc>
          <w:tcPr>
            <w:tcW w:w="2093" w:type="dxa"/>
            <w:vAlign w:val="center"/>
          </w:tcPr>
          <w:p>
            <w:pPr>
              <w:pStyle w:val="48"/>
              <w:ind w:left="105" w:leftChars="50" w:right="105" w:rightChars="50"/>
              <w:jc w:val="both"/>
              <w:rPr>
                <w:rFonts w:hint="eastAsia"/>
                <w:color w:val="auto"/>
                <w:highlight w:val="none"/>
                <w:lang w:eastAsia="zh-CN"/>
              </w:rPr>
            </w:pPr>
            <w:r>
              <w:rPr>
                <w:rFonts w:hint="eastAsia"/>
                <w:color w:val="auto"/>
                <w:highlight w:val="none"/>
                <w:lang w:eastAsia="zh-CN"/>
              </w:rPr>
              <w:t>构成磋商文件的其他材料</w:t>
            </w:r>
          </w:p>
        </w:tc>
        <w:tc>
          <w:tcPr>
            <w:tcW w:w="6804" w:type="dxa"/>
          </w:tcPr>
          <w:p>
            <w:pPr>
              <w:pStyle w:val="48"/>
              <w:ind w:left="105" w:leftChars="50" w:right="105" w:rightChars="50"/>
              <w:rPr>
                <w:rFonts w:hint="eastAsia"/>
                <w:color w:val="auto"/>
                <w:highlight w:val="none"/>
                <w:lang w:eastAsia="zh-CN"/>
              </w:rPr>
            </w:pPr>
            <w:r>
              <w:rPr>
                <w:rFonts w:hint="eastAsia"/>
                <w:color w:val="auto"/>
                <w:highlight w:val="none"/>
                <w:lang w:eastAsia="zh-CN"/>
              </w:rPr>
              <w:t>答疑（如有）、补遗文件（如有）等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29" w:type="dxa"/>
            <w:gridSpan w:val="2"/>
            <w:vAlign w:val="center"/>
          </w:tcPr>
          <w:p>
            <w:pPr>
              <w:pStyle w:val="48"/>
              <w:ind w:left="105" w:leftChars="50" w:right="105" w:rightChars="50"/>
              <w:jc w:val="both"/>
              <w:rPr>
                <w:rFonts w:hint="eastAsia"/>
                <w:color w:val="auto"/>
                <w:highlight w:val="none"/>
                <w:lang w:eastAsia="zh-CN"/>
              </w:rPr>
            </w:pPr>
            <w:r>
              <w:rPr>
                <w:rFonts w:hint="eastAsia"/>
                <w:color w:val="auto"/>
                <w:highlight w:val="none"/>
                <w:lang w:eastAsia="zh-CN"/>
              </w:rPr>
              <w:t>2.2.1</w:t>
            </w:r>
          </w:p>
        </w:tc>
        <w:tc>
          <w:tcPr>
            <w:tcW w:w="2093" w:type="dxa"/>
            <w:vAlign w:val="center"/>
          </w:tcPr>
          <w:p>
            <w:pPr>
              <w:pStyle w:val="48"/>
              <w:ind w:left="105" w:leftChars="50" w:right="105" w:rightChars="50"/>
              <w:jc w:val="both"/>
              <w:rPr>
                <w:rFonts w:hint="eastAsia"/>
                <w:color w:val="auto"/>
                <w:highlight w:val="none"/>
                <w:lang w:eastAsia="zh-CN"/>
              </w:rPr>
            </w:pPr>
            <w:r>
              <w:rPr>
                <w:rFonts w:hint="eastAsia"/>
                <w:color w:val="auto"/>
                <w:highlight w:val="none"/>
                <w:lang w:eastAsia="zh-CN"/>
              </w:rPr>
              <w:t>供应商要求澄清磋商文件的截止时间</w:t>
            </w:r>
          </w:p>
        </w:tc>
        <w:tc>
          <w:tcPr>
            <w:tcW w:w="6804" w:type="dxa"/>
          </w:tcPr>
          <w:p>
            <w:pPr>
              <w:pStyle w:val="48"/>
              <w:ind w:left="105" w:leftChars="50" w:right="105" w:rightChars="50"/>
              <w:rPr>
                <w:rFonts w:hint="eastAsia"/>
                <w:color w:val="auto"/>
                <w:highlight w:val="none"/>
                <w:lang w:eastAsia="zh-CN"/>
              </w:rPr>
            </w:pPr>
            <w:r>
              <w:rPr>
                <w:rFonts w:hint="eastAsia"/>
                <w:color w:val="auto"/>
                <w:highlight w:val="none"/>
                <w:lang w:eastAsia="zh-CN"/>
              </w:rPr>
              <w:t>24小时内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29" w:type="dxa"/>
            <w:gridSpan w:val="2"/>
            <w:vAlign w:val="center"/>
          </w:tcPr>
          <w:p>
            <w:pPr>
              <w:pStyle w:val="48"/>
              <w:ind w:left="105" w:leftChars="50" w:right="105" w:rightChars="50"/>
              <w:jc w:val="both"/>
              <w:rPr>
                <w:rFonts w:hint="eastAsia"/>
                <w:color w:val="auto"/>
                <w:highlight w:val="none"/>
                <w:lang w:eastAsia="zh-CN"/>
              </w:rPr>
            </w:pPr>
            <w:r>
              <w:rPr>
                <w:rFonts w:hint="eastAsia"/>
                <w:color w:val="auto"/>
                <w:highlight w:val="none"/>
                <w:lang w:eastAsia="zh-CN"/>
              </w:rPr>
              <w:t>2.2.2</w:t>
            </w:r>
          </w:p>
        </w:tc>
        <w:tc>
          <w:tcPr>
            <w:tcW w:w="2093" w:type="dxa"/>
            <w:vAlign w:val="center"/>
          </w:tcPr>
          <w:p>
            <w:pPr>
              <w:pStyle w:val="48"/>
              <w:ind w:left="105" w:leftChars="50" w:right="105" w:rightChars="50"/>
              <w:jc w:val="both"/>
              <w:rPr>
                <w:rFonts w:hint="eastAsia"/>
                <w:color w:val="auto"/>
                <w:highlight w:val="none"/>
                <w:lang w:eastAsia="zh-CN"/>
              </w:rPr>
            </w:pPr>
            <w:r>
              <w:rPr>
                <w:rFonts w:hint="eastAsia"/>
                <w:color w:val="auto"/>
                <w:highlight w:val="none"/>
                <w:lang w:eastAsia="zh-CN"/>
              </w:rPr>
              <w:t>磋商文件澄清发出的形式</w:t>
            </w:r>
          </w:p>
        </w:tc>
        <w:tc>
          <w:tcPr>
            <w:tcW w:w="6804" w:type="dxa"/>
          </w:tcPr>
          <w:p>
            <w:pPr>
              <w:pStyle w:val="48"/>
              <w:ind w:left="105" w:leftChars="50" w:right="105" w:rightChars="50"/>
              <w:rPr>
                <w:rFonts w:hint="eastAsia"/>
                <w:color w:val="auto"/>
                <w:highlight w:val="none"/>
                <w:lang w:eastAsia="zh-CN"/>
              </w:rPr>
            </w:pPr>
            <w:r>
              <w:rPr>
                <w:rFonts w:hint="eastAsia"/>
                <w:color w:val="auto"/>
                <w:highlight w:val="none"/>
                <w:lang w:eastAsia="zh-CN"/>
              </w:rPr>
              <w:t>在“政采云”平台（https://www.zcygov.cn/）中发布，供应商无需回复确认。因供应商自身原因未能及时查阅所导致的对本项目有关文件理解错误由供应商自行承担。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29" w:type="dxa"/>
            <w:gridSpan w:val="2"/>
            <w:vAlign w:val="center"/>
          </w:tcPr>
          <w:p>
            <w:pPr>
              <w:pStyle w:val="48"/>
              <w:ind w:left="105" w:leftChars="50" w:right="105" w:rightChars="50"/>
              <w:jc w:val="both"/>
              <w:rPr>
                <w:rFonts w:hint="eastAsia"/>
                <w:color w:val="auto"/>
                <w:highlight w:val="none"/>
                <w:lang w:eastAsia="zh-CN"/>
              </w:rPr>
            </w:pPr>
            <w:r>
              <w:rPr>
                <w:rFonts w:hint="eastAsia"/>
                <w:color w:val="auto"/>
                <w:highlight w:val="none"/>
                <w:lang w:eastAsia="zh-CN"/>
              </w:rPr>
              <w:t>2.2.3</w:t>
            </w:r>
          </w:p>
        </w:tc>
        <w:tc>
          <w:tcPr>
            <w:tcW w:w="2093" w:type="dxa"/>
            <w:vAlign w:val="center"/>
          </w:tcPr>
          <w:p>
            <w:pPr>
              <w:pStyle w:val="48"/>
              <w:ind w:left="105" w:leftChars="50" w:right="105" w:rightChars="50"/>
              <w:jc w:val="both"/>
              <w:rPr>
                <w:rFonts w:hint="eastAsia"/>
                <w:color w:val="auto"/>
                <w:highlight w:val="none"/>
                <w:lang w:eastAsia="zh-CN"/>
              </w:rPr>
            </w:pPr>
            <w:r>
              <w:rPr>
                <w:rFonts w:hint="eastAsia"/>
                <w:color w:val="auto"/>
                <w:highlight w:val="none"/>
                <w:lang w:eastAsia="zh-CN"/>
              </w:rPr>
              <w:t>供应商确认收到磋商文件澄清的时间</w:t>
            </w:r>
          </w:p>
        </w:tc>
        <w:tc>
          <w:tcPr>
            <w:tcW w:w="6804" w:type="dxa"/>
          </w:tcPr>
          <w:p>
            <w:pPr>
              <w:pStyle w:val="48"/>
              <w:ind w:left="105" w:leftChars="50" w:right="105" w:rightChars="50"/>
              <w:rPr>
                <w:rFonts w:hint="eastAsia"/>
                <w:color w:val="auto"/>
                <w:highlight w:val="none"/>
                <w:lang w:eastAsia="zh-CN"/>
              </w:rPr>
            </w:pPr>
            <w:r>
              <w:rPr>
                <w:rFonts w:hint="eastAsia"/>
                <w:color w:val="auto"/>
                <w:highlight w:val="none"/>
                <w:lang w:eastAsia="zh-CN"/>
              </w:rPr>
              <w:t>24小时内。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29" w:type="dxa"/>
            <w:gridSpan w:val="2"/>
            <w:vAlign w:val="center"/>
          </w:tcPr>
          <w:p>
            <w:pPr>
              <w:pStyle w:val="48"/>
              <w:ind w:left="105" w:leftChars="50" w:right="105" w:rightChars="50"/>
              <w:jc w:val="both"/>
              <w:rPr>
                <w:rFonts w:hint="eastAsia"/>
                <w:color w:val="auto"/>
                <w:highlight w:val="none"/>
                <w:lang w:eastAsia="zh-CN"/>
              </w:rPr>
            </w:pPr>
            <w:r>
              <w:rPr>
                <w:rFonts w:hint="eastAsia"/>
                <w:color w:val="auto"/>
                <w:highlight w:val="none"/>
                <w:lang w:eastAsia="zh-CN"/>
              </w:rPr>
              <w:t>2.3.1</w:t>
            </w:r>
          </w:p>
        </w:tc>
        <w:tc>
          <w:tcPr>
            <w:tcW w:w="2093" w:type="dxa"/>
            <w:vAlign w:val="center"/>
          </w:tcPr>
          <w:p>
            <w:pPr>
              <w:pStyle w:val="48"/>
              <w:ind w:left="105" w:leftChars="50" w:right="105" w:rightChars="50"/>
              <w:jc w:val="both"/>
              <w:rPr>
                <w:rFonts w:hint="eastAsia"/>
                <w:color w:val="auto"/>
                <w:highlight w:val="none"/>
                <w:lang w:eastAsia="zh-CN"/>
              </w:rPr>
            </w:pPr>
            <w:r>
              <w:rPr>
                <w:rFonts w:hint="eastAsia"/>
                <w:color w:val="auto"/>
                <w:highlight w:val="none"/>
                <w:lang w:eastAsia="zh-CN"/>
              </w:rPr>
              <w:t>磋商文件修改发出的形式</w:t>
            </w:r>
          </w:p>
        </w:tc>
        <w:tc>
          <w:tcPr>
            <w:tcW w:w="6804" w:type="dxa"/>
          </w:tcPr>
          <w:p>
            <w:pPr>
              <w:pStyle w:val="48"/>
              <w:ind w:left="105" w:leftChars="50" w:right="105" w:rightChars="50"/>
              <w:rPr>
                <w:rFonts w:hint="eastAsia"/>
                <w:color w:val="auto"/>
                <w:highlight w:val="none"/>
                <w:lang w:eastAsia="zh-CN"/>
              </w:rPr>
            </w:pPr>
            <w:r>
              <w:rPr>
                <w:rFonts w:hint="eastAsia"/>
                <w:color w:val="auto"/>
                <w:highlight w:val="none"/>
                <w:lang w:eastAsia="zh-CN"/>
              </w:rPr>
              <w:t>在“政采云”平台（https://www.zcygov.cn/）中发布，供应商无需回复确认。因供应商自身原因未能及时查阅所导致的对本项目有关文件理解错误由供应商自行承担。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29" w:type="dxa"/>
            <w:gridSpan w:val="2"/>
            <w:vAlign w:val="center"/>
          </w:tcPr>
          <w:p>
            <w:pPr>
              <w:pStyle w:val="48"/>
              <w:ind w:left="105" w:leftChars="50" w:right="105" w:rightChars="50"/>
              <w:jc w:val="both"/>
              <w:rPr>
                <w:rFonts w:hint="eastAsia"/>
                <w:color w:val="auto"/>
                <w:highlight w:val="none"/>
                <w:lang w:eastAsia="zh-CN"/>
              </w:rPr>
            </w:pPr>
            <w:r>
              <w:rPr>
                <w:rFonts w:hint="eastAsia"/>
                <w:color w:val="auto"/>
                <w:highlight w:val="none"/>
                <w:lang w:eastAsia="zh-CN"/>
              </w:rPr>
              <w:t>2.3.2</w:t>
            </w:r>
          </w:p>
        </w:tc>
        <w:tc>
          <w:tcPr>
            <w:tcW w:w="2093" w:type="dxa"/>
            <w:vAlign w:val="center"/>
          </w:tcPr>
          <w:p>
            <w:pPr>
              <w:pStyle w:val="48"/>
              <w:ind w:left="105" w:leftChars="50" w:right="105" w:rightChars="50"/>
              <w:jc w:val="both"/>
              <w:rPr>
                <w:rFonts w:hint="eastAsia"/>
                <w:color w:val="auto"/>
                <w:highlight w:val="none"/>
                <w:lang w:eastAsia="zh-CN"/>
              </w:rPr>
            </w:pPr>
            <w:r>
              <w:rPr>
                <w:rFonts w:hint="eastAsia"/>
                <w:color w:val="auto"/>
                <w:highlight w:val="none"/>
                <w:lang w:eastAsia="zh-CN"/>
              </w:rPr>
              <w:t>供应商确认收到磋商文件修改的时间</w:t>
            </w:r>
          </w:p>
        </w:tc>
        <w:tc>
          <w:tcPr>
            <w:tcW w:w="6804" w:type="dxa"/>
            <w:vAlign w:val="center"/>
          </w:tcPr>
          <w:p>
            <w:pPr>
              <w:pStyle w:val="48"/>
              <w:ind w:left="105" w:leftChars="50" w:right="105" w:rightChars="50"/>
              <w:jc w:val="both"/>
              <w:rPr>
                <w:rFonts w:hint="eastAsia"/>
                <w:color w:val="auto"/>
                <w:highlight w:val="none"/>
                <w:lang w:eastAsia="zh-CN"/>
              </w:rPr>
            </w:pPr>
            <w:r>
              <w:rPr>
                <w:rFonts w:hint="eastAsia"/>
                <w:color w:val="auto"/>
                <w:highlight w:val="none"/>
                <w:lang w:eastAsia="zh-CN"/>
              </w:rPr>
              <w:t>24小时内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29" w:type="dxa"/>
            <w:gridSpan w:val="2"/>
            <w:vAlign w:val="center"/>
          </w:tcPr>
          <w:p>
            <w:pPr>
              <w:pStyle w:val="48"/>
              <w:ind w:left="105" w:leftChars="50" w:right="105" w:rightChars="50"/>
              <w:jc w:val="both"/>
              <w:rPr>
                <w:rFonts w:hint="eastAsia"/>
                <w:color w:val="auto"/>
                <w:highlight w:val="none"/>
                <w:lang w:eastAsia="zh-CN"/>
              </w:rPr>
            </w:pPr>
            <w:r>
              <w:rPr>
                <w:rFonts w:hint="eastAsia"/>
                <w:color w:val="auto"/>
                <w:highlight w:val="none"/>
                <w:lang w:eastAsia="zh-CN"/>
              </w:rPr>
              <w:t>3.1.1</w:t>
            </w:r>
          </w:p>
        </w:tc>
        <w:tc>
          <w:tcPr>
            <w:tcW w:w="2093" w:type="dxa"/>
            <w:vAlign w:val="center"/>
          </w:tcPr>
          <w:p>
            <w:pPr>
              <w:pStyle w:val="48"/>
              <w:ind w:left="105" w:leftChars="50" w:right="105" w:rightChars="50"/>
              <w:jc w:val="both"/>
              <w:rPr>
                <w:rFonts w:hint="eastAsia"/>
                <w:color w:val="auto"/>
                <w:highlight w:val="none"/>
                <w:lang w:eastAsia="zh-CN"/>
              </w:rPr>
            </w:pPr>
            <w:r>
              <w:rPr>
                <w:rFonts w:hint="eastAsia"/>
                <w:color w:val="auto"/>
                <w:highlight w:val="none"/>
                <w:lang w:eastAsia="zh-CN"/>
              </w:rPr>
              <w:t>构成响应文件的</w:t>
            </w:r>
          </w:p>
          <w:p>
            <w:pPr>
              <w:pStyle w:val="48"/>
              <w:ind w:left="105" w:leftChars="50" w:right="105" w:rightChars="50"/>
              <w:jc w:val="both"/>
              <w:rPr>
                <w:rFonts w:hint="eastAsia"/>
                <w:color w:val="auto"/>
                <w:highlight w:val="none"/>
                <w:lang w:eastAsia="zh-CN"/>
              </w:rPr>
            </w:pPr>
            <w:r>
              <w:rPr>
                <w:rFonts w:hint="eastAsia"/>
                <w:color w:val="auto"/>
                <w:highlight w:val="none"/>
                <w:lang w:eastAsia="zh-CN"/>
              </w:rPr>
              <w:t>其他材料</w:t>
            </w:r>
          </w:p>
        </w:tc>
        <w:tc>
          <w:tcPr>
            <w:tcW w:w="6804" w:type="dxa"/>
          </w:tcPr>
          <w:p>
            <w:pPr>
              <w:pStyle w:val="48"/>
              <w:ind w:left="105" w:leftChars="50" w:right="105" w:rightChars="50"/>
              <w:rPr>
                <w:rFonts w:hint="eastAsia"/>
                <w:color w:val="auto"/>
                <w:highlight w:val="none"/>
                <w:lang w:eastAsia="zh-CN"/>
              </w:rPr>
            </w:pPr>
            <w:r>
              <w:rPr>
                <w:rFonts w:hint="eastAsia"/>
                <w:color w:val="auto"/>
                <w:highlight w:val="none"/>
                <w:lang w:eastAsia="zh-CN"/>
              </w:rPr>
              <w:t>企业法人营业执照副本、资质证书副本、总监理工程师证书等扫描件及证明资料</w:t>
            </w:r>
            <w:r>
              <w:rPr>
                <w:rFonts w:hint="eastAsia"/>
                <w:color w:val="auto"/>
                <w:highlight w:val="none"/>
                <w:lang w:val="en-US" w:eastAsia="zh-CN"/>
              </w:rPr>
              <w:t>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29" w:type="dxa"/>
            <w:gridSpan w:val="2"/>
            <w:vAlign w:val="center"/>
          </w:tcPr>
          <w:p>
            <w:pPr>
              <w:pStyle w:val="48"/>
              <w:ind w:left="105" w:leftChars="50" w:right="105" w:rightChars="50"/>
              <w:jc w:val="both"/>
              <w:rPr>
                <w:rFonts w:hint="eastAsia"/>
                <w:color w:val="auto"/>
                <w:highlight w:val="none"/>
                <w:lang w:eastAsia="zh-CN"/>
              </w:rPr>
            </w:pPr>
            <w:r>
              <w:rPr>
                <w:rFonts w:hint="eastAsia"/>
                <w:color w:val="auto"/>
                <w:highlight w:val="none"/>
                <w:lang w:eastAsia="zh-CN"/>
              </w:rPr>
              <w:t>3.2.1</w:t>
            </w:r>
          </w:p>
        </w:tc>
        <w:tc>
          <w:tcPr>
            <w:tcW w:w="2093" w:type="dxa"/>
            <w:vAlign w:val="center"/>
          </w:tcPr>
          <w:p>
            <w:pPr>
              <w:pStyle w:val="48"/>
              <w:ind w:left="105" w:leftChars="50" w:right="105" w:rightChars="50"/>
              <w:jc w:val="both"/>
              <w:rPr>
                <w:rFonts w:hint="eastAsia"/>
                <w:color w:val="auto"/>
                <w:highlight w:val="none"/>
                <w:lang w:eastAsia="zh-CN"/>
              </w:rPr>
            </w:pPr>
            <w:r>
              <w:rPr>
                <w:rFonts w:hint="eastAsia"/>
                <w:color w:val="auto"/>
                <w:highlight w:val="none"/>
                <w:lang w:eastAsia="zh-CN"/>
              </w:rPr>
              <w:t>增值税税金的计算方法</w:t>
            </w:r>
          </w:p>
        </w:tc>
        <w:tc>
          <w:tcPr>
            <w:tcW w:w="6804" w:type="dxa"/>
          </w:tcPr>
          <w:p>
            <w:pPr>
              <w:pStyle w:val="48"/>
              <w:ind w:left="105" w:leftChars="50" w:right="105" w:rightChars="50"/>
              <w:rPr>
                <w:rFonts w:hint="eastAsia"/>
                <w:color w:val="auto"/>
                <w:highlight w:val="none"/>
                <w:lang w:eastAsia="zh-CN"/>
              </w:rPr>
            </w:pPr>
            <w:r>
              <w:rPr>
                <w:rFonts w:hint="eastAsia"/>
                <w:color w:val="auto"/>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29" w:type="dxa"/>
            <w:gridSpan w:val="2"/>
            <w:vAlign w:val="center"/>
          </w:tcPr>
          <w:p>
            <w:pPr>
              <w:pStyle w:val="48"/>
              <w:ind w:left="105" w:leftChars="50" w:right="105" w:rightChars="50"/>
              <w:rPr>
                <w:rFonts w:hint="eastAsia"/>
                <w:color w:val="auto"/>
                <w:highlight w:val="none"/>
                <w:lang w:eastAsia="zh-CN"/>
              </w:rPr>
            </w:pPr>
            <w:r>
              <w:rPr>
                <w:rFonts w:hint="eastAsia"/>
                <w:color w:val="auto"/>
                <w:highlight w:val="none"/>
                <w:lang w:eastAsia="zh-CN"/>
              </w:rPr>
              <w:t>3.2.2</w:t>
            </w:r>
          </w:p>
        </w:tc>
        <w:tc>
          <w:tcPr>
            <w:tcW w:w="2093" w:type="dxa"/>
          </w:tcPr>
          <w:p>
            <w:pPr>
              <w:pStyle w:val="48"/>
              <w:ind w:left="105" w:leftChars="50" w:right="105" w:rightChars="50"/>
              <w:rPr>
                <w:rFonts w:hint="eastAsia"/>
                <w:color w:val="auto"/>
                <w:highlight w:val="none"/>
                <w:lang w:eastAsia="zh-CN"/>
              </w:rPr>
            </w:pPr>
            <w:r>
              <w:rPr>
                <w:rFonts w:hint="eastAsia"/>
                <w:color w:val="auto"/>
                <w:highlight w:val="none"/>
                <w:lang w:eastAsia="zh-CN"/>
              </w:rPr>
              <w:t>报价方式</w:t>
            </w:r>
          </w:p>
        </w:tc>
        <w:tc>
          <w:tcPr>
            <w:tcW w:w="6804" w:type="dxa"/>
          </w:tcPr>
          <w:p>
            <w:pPr>
              <w:pStyle w:val="48"/>
              <w:ind w:left="105" w:leftChars="50" w:right="105" w:rightChars="50"/>
              <w:rPr>
                <w:rFonts w:hint="eastAsia"/>
                <w:color w:val="auto"/>
                <w:highlight w:val="none"/>
                <w:lang w:eastAsia="zh-CN"/>
              </w:rPr>
            </w:pPr>
            <w:r>
              <w:rPr>
                <w:rFonts w:hint="eastAsia"/>
                <w:color w:val="auto"/>
                <w:highlight w:val="none"/>
                <w:lang w:eastAsia="zh-CN"/>
              </w:rPr>
              <w:t>通过政采云平台自行报价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29" w:type="dxa"/>
            <w:gridSpan w:val="2"/>
            <w:vAlign w:val="center"/>
          </w:tcPr>
          <w:p>
            <w:pPr>
              <w:pStyle w:val="48"/>
              <w:ind w:left="105" w:leftChars="50" w:right="105" w:rightChars="50"/>
              <w:rPr>
                <w:rFonts w:hint="eastAsia"/>
                <w:color w:val="auto"/>
                <w:highlight w:val="none"/>
                <w:lang w:eastAsia="zh-CN"/>
              </w:rPr>
            </w:pPr>
            <w:r>
              <w:rPr>
                <w:rFonts w:hint="eastAsia"/>
                <w:color w:val="auto"/>
                <w:highlight w:val="none"/>
                <w:lang w:eastAsia="zh-CN"/>
              </w:rPr>
              <w:t>3.2.3</w:t>
            </w:r>
          </w:p>
        </w:tc>
        <w:tc>
          <w:tcPr>
            <w:tcW w:w="2093" w:type="dxa"/>
            <w:vAlign w:val="center"/>
          </w:tcPr>
          <w:p>
            <w:pPr>
              <w:pStyle w:val="48"/>
              <w:ind w:left="105" w:leftChars="50" w:right="105" w:rightChars="50"/>
              <w:rPr>
                <w:rFonts w:hint="eastAsia"/>
                <w:color w:val="auto"/>
                <w:highlight w:val="none"/>
                <w:lang w:eastAsia="zh-CN"/>
              </w:rPr>
            </w:pPr>
            <w:r>
              <w:rPr>
                <w:rFonts w:hint="eastAsia"/>
                <w:color w:val="auto"/>
                <w:highlight w:val="none"/>
                <w:lang w:eastAsia="zh-CN"/>
              </w:rPr>
              <w:t>最高投标限价</w:t>
            </w:r>
          </w:p>
        </w:tc>
        <w:tc>
          <w:tcPr>
            <w:tcW w:w="6804" w:type="dxa"/>
          </w:tcPr>
          <w:p>
            <w:pPr>
              <w:pStyle w:val="48"/>
              <w:ind w:left="105" w:leftChars="50" w:right="105" w:rightChars="50"/>
              <w:rPr>
                <w:rFonts w:hint="eastAsia"/>
                <w:color w:val="auto"/>
                <w:highlight w:val="none"/>
                <w:lang w:eastAsia="zh-CN"/>
              </w:rPr>
            </w:pPr>
            <w:r>
              <w:rPr>
                <w:rFonts w:hint="eastAsia"/>
                <w:color w:val="auto"/>
                <w:highlight w:val="none"/>
                <w:lang w:eastAsia="zh-CN"/>
              </w:rPr>
              <w:t>35.6107万元（超出招标控制价的投标将被否决）。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29" w:type="dxa"/>
            <w:gridSpan w:val="2"/>
            <w:vAlign w:val="center"/>
          </w:tcPr>
          <w:p>
            <w:pPr>
              <w:pStyle w:val="48"/>
              <w:ind w:left="105" w:leftChars="50" w:right="105" w:rightChars="50"/>
              <w:rPr>
                <w:rFonts w:hint="eastAsia"/>
                <w:color w:val="auto"/>
                <w:highlight w:val="none"/>
                <w:lang w:eastAsia="zh-CN"/>
              </w:rPr>
            </w:pPr>
            <w:r>
              <w:rPr>
                <w:rFonts w:hint="eastAsia"/>
                <w:color w:val="auto"/>
                <w:highlight w:val="none"/>
                <w:lang w:eastAsia="zh-CN"/>
              </w:rPr>
              <w:t>3.3.1</w:t>
            </w:r>
          </w:p>
        </w:tc>
        <w:tc>
          <w:tcPr>
            <w:tcW w:w="2093" w:type="dxa"/>
          </w:tcPr>
          <w:p>
            <w:pPr>
              <w:pStyle w:val="48"/>
              <w:ind w:left="105" w:leftChars="50" w:right="105" w:rightChars="50"/>
              <w:rPr>
                <w:rFonts w:hint="eastAsia"/>
                <w:color w:val="auto"/>
                <w:highlight w:val="none"/>
                <w:lang w:eastAsia="zh-CN"/>
              </w:rPr>
            </w:pPr>
            <w:r>
              <w:rPr>
                <w:rFonts w:hint="eastAsia"/>
                <w:color w:val="auto"/>
                <w:highlight w:val="none"/>
                <w:lang w:eastAsia="zh-CN"/>
              </w:rPr>
              <w:t>响应有效期</w:t>
            </w:r>
          </w:p>
        </w:tc>
        <w:tc>
          <w:tcPr>
            <w:tcW w:w="6804" w:type="dxa"/>
          </w:tcPr>
          <w:p>
            <w:pPr>
              <w:pStyle w:val="48"/>
              <w:ind w:left="105" w:leftChars="50" w:right="105" w:rightChars="50"/>
              <w:rPr>
                <w:rFonts w:hint="eastAsia"/>
                <w:color w:val="auto"/>
                <w:highlight w:val="none"/>
                <w:lang w:eastAsia="zh-CN"/>
              </w:rPr>
            </w:pPr>
            <w:r>
              <w:rPr>
                <w:rFonts w:hint="eastAsia"/>
                <w:color w:val="auto"/>
                <w:highlight w:val="none"/>
                <w:lang w:eastAsia="zh-CN"/>
              </w:rPr>
              <w:t>投标截止之日后90天（日历天）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29" w:type="dxa"/>
            <w:gridSpan w:val="2"/>
            <w:vAlign w:val="center"/>
          </w:tcPr>
          <w:p>
            <w:pPr>
              <w:pStyle w:val="48"/>
              <w:spacing w:before="120" w:beforeLines="50" w:after="120" w:afterLines="50"/>
              <w:ind w:left="113"/>
              <w:jc w:val="center"/>
              <w:rPr>
                <w:rFonts w:hint="eastAsia"/>
                <w:color w:val="auto"/>
                <w:highlight w:val="none"/>
                <w:lang w:eastAsia="zh-CN"/>
              </w:rPr>
            </w:pPr>
            <w:r>
              <w:rPr>
                <w:rFonts w:hint="eastAsia"/>
                <w:color w:val="auto"/>
                <w:highlight w:val="none"/>
                <w:lang w:eastAsia="zh-CN"/>
              </w:rPr>
              <w:t>3.4.1</w:t>
            </w:r>
          </w:p>
        </w:tc>
        <w:tc>
          <w:tcPr>
            <w:tcW w:w="2093" w:type="dxa"/>
            <w:vAlign w:val="center"/>
          </w:tcPr>
          <w:p>
            <w:pPr>
              <w:pStyle w:val="48"/>
              <w:spacing w:before="120" w:beforeLines="50" w:after="120" w:afterLines="50"/>
              <w:ind w:left="113"/>
              <w:rPr>
                <w:rFonts w:hint="eastAsia"/>
                <w:color w:val="auto"/>
                <w:highlight w:val="none"/>
                <w:lang w:eastAsia="zh-CN"/>
              </w:rPr>
            </w:pPr>
            <w:r>
              <w:rPr>
                <w:rFonts w:hint="eastAsia"/>
                <w:color w:val="auto"/>
                <w:highlight w:val="none"/>
                <w:lang w:eastAsia="zh-CN"/>
              </w:rPr>
              <w:t>磋商保证金</w:t>
            </w:r>
          </w:p>
        </w:tc>
        <w:tc>
          <w:tcPr>
            <w:tcW w:w="6804" w:type="dxa"/>
            <w:vAlign w:val="center"/>
          </w:tcPr>
          <w:p>
            <w:pPr>
              <w:pStyle w:val="48"/>
              <w:ind w:left="105" w:leftChars="50" w:right="105" w:rightChars="50"/>
              <w:rPr>
                <w:rFonts w:hint="eastAsia"/>
                <w:color w:val="auto"/>
                <w:highlight w:val="none"/>
                <w:lang w:eastAsia="zh-CN"/>
              </w:rPr>
            </w:pPr>
            <w:r>
              <w:rPr>
                <w:color w:val="auto"/>
                <w:highlight w:val="none"/>
                <w:lang w:eastAsia="zh-CN"/>
              </w:rPr>
              <w:t>是否要求</w:t>
            </w:r>
            <w:r>
              <w:rPr>
                <w:rFonts w:hint="eastAsia"/>
                <w:color w:val="auto"/>
                <w:highlight w:val="none"/>
                <w:lang w:eastAsia="zh-CN"/>
              </w:rPr>
              <w:t>投标人</w:t>
            </w:r>
            <w:r>
              <w:rPr>
                <w:color w:val="auto"/>
                <w:highlight w:val="none"/>
                <w:lang w:eastAsia="zh-CN"/>
              </w:rPr>
              <w:t>递交</w:t>
            </w:r>
            <w:r>
              <w:rPr>
                <w:rFonts w:hint="eastAsia"/>
                <w:color w:val="auto"/>
                <w:highlight w:val="none"/>
                <w:lang w:eastAsia="zh-CN"/>
              </w:rPr>
              <w:t>磋商保证金</w:t>
            </w:r>
            <w:r>
              <w:rPr>
                <w:color w:val="auto"/>
                <w:highlight w:val="none"/>
                <w:lang w:eastAsia="zh-CN"/>
              </w:rPr>
              <w:t>：</w:t>
            </w:r>
            <w:r>
              <w:rPr>
                <w:color w:val="auto"/>
                <w:highlight w:val="none"/>
                <w:lang w:eastAsia="zh-CN"/>
              </w:rPr>
              <w:br w:type="textWrapping"/>
            </w:r>
            <w:r>
              <w:rPr>
                <w:rFonts w:hint="eastAsia"/>
                <w:color w:val="auto"/>
                <w:highlight w:val="none"/>
                <w:lang w:eastAsia="zh-CN"/>
              </w:rPr>
              <w:t>□</w:t>
            </w:r>
            <w:r>
              <w:rPr>
                <w:color w:val="auto"/>
                <w:highlight w:val="none"/>
                <w:lang w:eastAsia="zh-CN"/>
              </w:rPr>
              <w:t>不要求</w:t>
            </w:r>
          </w:p>
          <w:p>
            <w:pPr>
              <w:pStyle w:val="48"/>
              <w:ind w:left="105" w:leftChars="50" w:right="105" w:rightChars="50"/>
              <w:rPr>
                <w:rFonts w:hint="eastAsia"/>
                <w:color w:val="auto"/>
                <w:highlight w:val="none"/>
                <w:lang w:eastAsia="zh-CN"/>
              </w:rPr>
            </w:pPr>
            <w:r>
              <w:rPr>
                <w:rFonts w:ascii="Segoe UI Symbol" w:hAnsi="Segoe UI Symbol" w:cs="Segoe UI Symbol"/>
                <w:color w:val="auto"/>
                <w:highlight w:val="none"/>
                <w:lang w:eastAsia="zh-CN"/>
              </w:rPr>
              <w:t>☑</w:t>
            </w:r>
            <w:r>
              <w:rPr>
                <w:rFonts w:hint="eastAsia"/>
                <w:color w:val="auto"/>
                <w:highlight w:val="none"/>
                <w:lang w:eastAsia="zh-CN"/>
              </w:rPr>
              <w:t>要求</w:t>
            </w:r>
          </w:p>
          <w:p>
            <w:pPr>
              <w:pStyle w:val="48"/>
              <w:ind w:left="105" w:leftChars="50" w:right="105" w:rightChars="50"/>
              <w:rPr>
                <w:rFonts w:hint="eastAsia"/>
                <w:color w:val="auto"/>
                <w:highlight w:val="none"/>
                <w:lang w:eastAsia="zh-CN"/>
              </w:rPr>
            </w:pPr>
            <w:r>
              <w:rPr>
                <w:rFonts w:hint="eastAsia"/>
                <w:color w:val="auto"/>
                <w:highlight w:val="none"/>
                <w:lang w:eastAsia="zh-CN"/>
              </w:rPr>
              <w:t>磋商保证金</w:t>
            </w:r>
            <w:r>
              <w:rPr>
                <w:rFonts w:hint="eastAsia"/>
                <w:color w:val="auto"/>
                <w:highlight w:val="none"/>
                <w:lang w:eastAsia="zh-CN"/>
              </w:rPr>
              <w:t>的金额：4000元；</w:t>
            </w:r>
          </w:p>
          <w:p>
            <w:pPr>
              <w:pStyle w:val="48"/>
              <w:ind w:left="105" w:leftChars="50" w:right="105" w:rightChars="50"/>
              <w:rPr>
                <w:rFonts w:hint="eastAsia"/>
                <w:color w:val="auto"/>
                <w:highlight w:val="none"/>
                <w:lang w:eastAsia="zh-CN"/>
              </w:rPr>
            </w:pPr>
            <w:r>
              <w:rPr>
                <w:rFonts w:hint="eastAsia"/>
                <w:color w:val="auto"/>
                <w:highlight w:val="none"/>
                <w:lang w:eastAsia="zh-CN"/>
              </w:rPr>
              <w:t>递交形式：现金、现金支票、保兑支票、银行汇票及银行或担保公司出具的保函。</w:t>
            </w:r>
          </w:p>
          <w:p>
            <w:pPr>
              <w:pStyle w:val="48"/>
              <w:ind w:left="105" w:leftChars="50" w:right="105" w:rightChars="50"/>
              <w:rPr>
                <w:rFonts w:hint="eastAsia"/>
                <w:color w:val="auto"/>
                <w:highlight w:val="none"/>
                <w:lang w:eastAsia="zh-CN"/>
              </w:rPr>
            </w:pPr>
            <w:r>
              <w:rPr>
                <w:rFonts w:hint="eastAsia"/>
                <w:color w:val="auto"/>
                <w:highlight w:val="none"/>
                <w:lang w:eastAsia="zh-CN"/>
              </w:rPr>
              <w:t>递交时间：2025年07月14日9：00时前。</w:t>
            </w:r>
          </w:p>
          <w:p>
            <w:pPr>
              <w:pStyle w:val="48"/>
              <w:ind w:left="105" w:leftChars="50" w:right="105" w:rightChars="50"/>
              <w:rPr>
                <w:rFonts w:hint="eastAsia"/>
                <w:color w:val="auto"/>
                <w:highlight w:val="none"/>
                <w:lang w:eastAsia="zh-CN"/>
              </w:rPr>
            </w:pPr>
            <w:r>
              <w:rPr>
                <w:rFonts w:hint="eastAsia"/>
                <w:color w:val="auto"/>
                <w:highlight w:val="none"/>
                <w:lang w:eastAsia="zh-CN"/>
              </w:rPr>
              <w:t>收款单位：吉林省弘鑫工程建设招投标有限责任公司</w:t>
            </w:r>
          </w:p>
          <w:p>
            <w:pPr>
              <w:pStyle w:val="48"/>
              <w:ind w:left="105" w:leftChars="50" w:right="105" w:rightChars="50"/>
              <w:rPr>
                <w:rFonts w:hint="eastAsia"/>
                <w:color w:val="auto"/>
                <w:highlight w:val="none"/>
                <w:lang w:eastAsia="zh-CN"/>
              </w:rPr>
            </w:pPr>
            <w:r>
              <w:rPr>
                <w:rFonts w:hint="eastAsia"/>
                <w:color w:val="auto"/>
                <w:highlight w:val="none"/>
                <w:lang w:eastAsia="zh-CN"/>
              </w:rPr>
              <w:t>开户行：招商银行股份有限公司长春南部新城支行</w:t>
            </w:r>
          </w:p>
          <w:p>
            <w:pPr>
              <w:pStyle w:val="48"/>
              <w:ind w:left="105" w:leftChars="50" w:right="105" w:rightChars="50"/>
              <w:rPr>
                <w:rFonts w:hint="eastAsia"/>
                <w:color w:val="auto"/>
                <w:highlight w:val="none"/>
                <w:lang w:eastAsia="zh-CN"/>
              </w:rPr>
            </w:pPr>
            <w:r>
              <w:rPr>
                <w:rFonts w:hint="eastAsia"/>
                <w:color w:val="auto"/>
                <w:highlight w:val="none"/>
                <w:lang w:eastAsia="zh-CN"/>
              </w:rPr>
              <w:t>帐    号：431903779110088</w:t>
            </w:r>
          </w:p>
          <w:p>
            <w:pPr>
              <w:pStyle w:val="48"/>
              <w:ind w:left="105" w:leftChars="50" w:right="105" w:rightChars="50"/>
              <w:rPr>
                <w:rFonts w:hint="eastAsia"/>
                <w:color w:val="auto"/>
                <w:highlight w:val="none"/>
                <w:lang w:eastAsia="zh-CN"/>
              </w:rPr>
            </w:pPr>
            <w:r>
              <w:rPr>
                <w:rFonts w:hint="eastAsia"/>
                <w:color w:val="auto"/>
                <w:highlight w:val="none"/>
                <w:lang w:eastAsia="zh-CN"/>
              </w:rPr>
              <w:t xml:space="preserve">联系人：王工   </w:t>
            </w:r>
          </w:p>
          <w:p>
            <w:pPr>
              <w:pStyle w:val="48"/>
              <w:ind w:left="105" w:leftChars="50" w:right="105" w:rightChars="50"/>
              <w:rPr>
                <w:rFonts w:hint="eastAsia"/>
                <w:color w:val="auto"/>
                <w:highlight w:val="none"/>
                <w:lang w:eastAsia="zh-CN"/>
              </w:rPr>
            </w:pPr>
            <w:r>
              <w:rPr>
                <w:rFonts w:hint="eastAsia"/>
                <w:color w:val="auto"/>
                <w:highlight w:val="none"/>
                <w:lang w:eastAsia="zh-CN"/>
              </w:rPr>
              <w:t>投标人以现金或支票形式提交的磋商保证金应当从投标人的基本账户转出，以到账时间为准。</w:t>
            </w:r>
          </w:p>
          <w:p>
            <w:pPr>
              <w:pStyle w:val="48"/>
              <w:ind w:left="105" w:leftChars="50" w:right="105" w:rightChars="50"/>
              <w:rPr>
                <w:rFonts w:hint="eastAsia"/>
                <w:color w:val="auto"/>
                <w:highlight w:val="none"/>
                <w:lang w:eastAsia="zh-CN"/>
              </w:rPr>
            </w:pPr>
            <w:r>
              <w:rPr>
                <w:rFonts w:hint="eastAsia"/>
                <w:color w:val="auto"/>
                <w:highlight w:val="none"/>
                <w:lang w:eastAsia="zh-CN"/>
              </w:rPr>
              <w:t>2、投标人以保函方式提交磋商保证金的，在提交投标文件截止时间前将保函原件送达到招标代理机构（以便核查），并将复印件装入投标文件中。</w:t>
            </w:r>
          </w:p>
          <w:p>
            <w:pPr>
              <w:pStyle w:val="48"/>
              <w:ind w:left="105" w:leftChars="50" w:right="105" w:rightChars="50"/>
              <w:rPr>
                <w:rFonts w:hint="eastAsia"/>
                <w:color w:val="auto"/>
                <w:highlight w:val="none"/>
                <w:lang w:eastAsia="zh-CN"/>
              </w:rPr>
            </w:pPr>
            <w:r>
              <w:rPr>
                <w:rFonts w:hint="eastAsia"/>
                <w:color w:val="auto"/>
                <w:highlight w:val="none"/>
                <w:lang w:eastAsia="zh-CN"/>
              </w:rPr>
              <w:t>3、未按招标文件要求提交磋商保证金，或提交磋商保证金的账户名称与投标人名称不一致，按照无效投标处理。</w:t>
            </w:r>
          </w:p>
          <w:p>
            <w:pPr>
              <w:pStyle w:val="48"/>
              <w:ind w:left="105" w:leftChars="50" w:right="105" w:rightChars="50"/>
              <w:rPr>
                <w:rFonts w:hint="eastAsia"/>
                <w:color w:val="auto"/>
                <w:highlight w:val="none"/>
                <w:lang w:eastAsia="zh-CN"/>
              </w:rPr>
            </w:pPr>
            <w:r>
              <w:rPr>
                <w:rFonts w:hint="eastAsia"/>
                <w:color w:val="auto"/>
                <w:highlight w:val="none"/>
                <w:lang w:eastAsia="zh-CN"/>
              </w:rPr>
              <w:t>注：投标人应在电汇或转账凭证上明确用途、投标项目名称，并于提交投标文件截止时间前将电汇或转账凭证、基本账户信息（完整清晰）以电子档扫描发送到招标代理机构</w:t>
            </w:r>
            <w:r>
              <w:rPr>
                <w:color w:val="auto"/>
                <w:highlight w:val="none"/>
              </w:rPr>
              <w:fldChar w:fldCharType="begin"/>
            </w:r>
            <w:r>
              <w:rPr>
                <w:color w:val="auto"/>
                <w:highlight w:val="none"/>
              </w:rPr>
              <w:instrText xml:space="preserve"> HYPERLINK "mailto:邮箱1171900302@qq.com" </w:instrText>
            </w:r>
            <w:r>
              <w:rPr>
                <w:color w:val="auto"/>
                <w:highlight w:val="none"/>
              </w:rPr>
              <w:fldChar w:fldCharType="separate"/>
            </w:r>
            <w:r>
              <w:rPr>
                <w:rFonts w:hint="eastAsia"/>
                <w:color w:val="auto"/>
                <w:highlight w:val="none"/>
                <w:lang w:eastAsia="zh-CN"/>
              </w:rPr>
              <w:t>邮箱：</w:t>
            </w:r>
            <w:r>
              <w:rPr>
                <w:color w:val="auto"/>
                <w:highlight w:val="none"/>
                <w:lang w:eastAsia="zh-CN"/>
              </w:rPr>
              <w:t>JLHX123456@126.com</w:t>
            </w:r>
            <w:r>
              <w:rPr>
                <w:color w:val="auto"/>
                <w:highlight w:val="none"/>
                <w:lang w:eastAsia="zh-CN"/>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29" w:type="dxa"/>
            <w:gridSpan w:val="2"/>
            <w:vAlign w:val="center"/>
          </w:tcPr>
          <w:p>
            <w:pPr>
              <w:pStyle w:val="48"/>
              <w:ind w:left="105" w:leftChars="50" w:right="105" w:rightChars="50"/>
              <w:jc w:val="center"/>
              <w:rPr>
                <w:rFonts w:hint="eastAsia"/>
                <w:color w:val="auto"/>
                <w:highlight w:val="none"/>
                <w:lang w:eastAsia="zh-CN"/>
              </w:rPr>
            </w:pPr>
            <w:r>
              <w:rPr>
                <w:rFonts w:hint="eastAsia"/>
                <w:color w:val="auto"/>
                <w:highlight w:val="none"/>
                <w:lang w:eastAsia="zh-CN"/>
              </w:rPr>
              <w:t>3.5</w:t>
            </w:r>
          </w:p>
        </w:tc>
        <w:tc>
          <w:tcPr>
            <w:tcW w:w="2093" w:type="dxa"/>
            <w:vAlign w:val="center"/>
          </w:tcPr>
          <w:p>
            <w:pPr>
              <w:pStyle w:val="48"/>
              <w:ind w:left="105" w:leftChars="50" w:right="105" w:rightChars="50"/>
              <w:jc w:val="center"/>
              <w:rPr>
                <w:rFonts w:hint="eastAsia"/>
                <w:color w:val="auto"/>
                <w:highlight w:val="none"/>
                <w:lang w:eastAsia="zh-CN"/>
              </w:rPr>
            </w:pPr>
            <w:r>
              <w:rPr>
                <w:rFonts w:hint="eastAsia"/>
                <w:color w:val="auto"/>
                <w:highlight w:val="none"/>
                <w:lang w:eastAsia="zh-CN"/>
              </w:rPr>
              <w:t>资格审查资料的特殊要求</w:t>
            </w:r>
          </w:p>
        </w:tc>
        <w:tc>
          <w:tcPr>
            <w:tcW w:w="6804" w:type="dxa"/>
            <w:vAlign w:val="center"/>
          </w:tcPr>
          <w:p>
            <w:pPr>
              <w:pStyle w:val="48"/>
              <w:ind w:left="105" w:leftChars="50" w:right="105" w:rightChars="50"/>
              <w:rPr>
                <w:rFonts w:hint="eastAsia"/>
                <w:color w:val="auto"/>
                <w:highlight w:val="none"/>
                <w:lang w:eastAsia="zh-CN"/>
              </w:rPr>
            </w:pPr>
            <w:r>
              <w:rPr>
                <w:rFonts w:hint="eastAsia"/>
                <w:color w:val="auto"/>
                <w:highlight w:val="none"/>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29" w:type="dxa"/>
            <w:gridSpan w:val="2"/>
            <w:vAlign w:val="center"/>
          </w:tcPr>
          <w:p>
            <w:pPr>
              <w:pStyle w:val="48"/>
              <w:ind w:left="105" w:leftChars="50" w:right="105" w:rightChars="50"/>
              <w:jc w:val="center"/>
              <w:rPr>
                <w:rFonts w:hint="eastAsia"/>
                <w:color w:val="auto"/>
                <w:highlight w:val="none"/>
                <w:lang w:eastAsia="zh-CN"/>
              </w:rPr>
            </w:pPr>
            <w:r>
              <w:rPr>
                <w:rFonts w:hint="eastAsia"/>
                <w:color w:val="auto"/>
                <w:highlight w:val="none"/>
                <w:lang w:eastAsia="zh-CN"/>
              </w:rPr>
              <w:t>3.5.2</w:t>
            </w:r>
          </w:p>
        </w:tc>
        <w:tc>
          <w:tcPr>
            <w:tcW w:w="2093" w:type="dxa"/>
            <w:vAlign w:val="center"/>
          </w:tcPr>
          <w:p>
            <w:pPr>
              <w:pStyle w:val="48"/>
              <w:ind w:left="105" w:leftChars="50" w:right="105" w:rightChars="50"/>
              <w:jc w:val="center"/>
              <w:rPr>
                <w:rFonts w:hint="eastAsia"/>
                <w:color w:val="auto"/>
                <w:highlight w:val="none"/>
                <w:lang w:eastAsia="zh-CN"/>
              </w:rPr>
            </w:pPr>
            <w:r>
              <w:rPr>
                <w:rFonts w:hint="eastAsia"/>
                <w:color w:val="auto"/>
                <w:highlight w:val="none"/>
                <w:lang w:eastAsia="zh-CN"/>
              </w:rPr>
              <w:t>近年财务状况的年份要求</w:t>
            </w:r>
          </w:p>
        </w:tc>
        <w:tc>
          <w:tcPr>
            <w:tcW w:w="6804" w:type="dxa"/>
            <w:vAlign w:val="center"/>
          </w:tcPr>
          <w:p>
            <w:pPr>
              <w:pStyle w:val="48"/>
              <w:ind w:left="105" w:leftChars="50" w:right="105" w:rightChars="50"/>
              <w:rPr>
                <w:rFonts w:hint="eastAsia"/>
                <w:color w:val="auto"/>
                <w:highlight w:val="none"/>
                <w:lang w:eastAsia="zh-CN"/>
              </w:rPr>
            </w:pPr>
            <w:r>
              <w:rPr>
                <w:rFonts w:hint="eastAsia"/>
                <w:color w:val="auto"/>
                <w:highlight w:val="none"/>
                <w:lang w:eastAsia="zh-CN"/>
              </w:rPr>
              <w:t>2022年至2024年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29" w:type="dxa"/>
            <w:gridSpan w:val="2"/>
            <w:vAlign w:val="center"/>
          </w:tcPr>
          <w:p>
            <w:pPr>
              <w:pStyle w:val="48"/>
              <w:ind w:left="105" w:leftChars="50" w:right="105" w:rightChars="50"/>
              <w:jc w:val="center"/>
              <w:rPr>
                <w:rFonts w:hint="eastAsia"/>
                <w:color w:val="auto"/>
                <w:highlight w:val="none"/>
                <w:lang w:eastAsia="zh-CN"/>
              </w:rPr>
            </w:pPr>
            <w:r>
              <w:rPr>
                <w:rFonts w:hint="eastAsia"/>
                <w:color w:val="auto"/>
                <w:highlight w:val="none"/>
                <w:lang w:eastAsia="zh-CN"/>
              </w:rPr>
              <w:t>3.5.3</w:t>
            </w:r>
          </w:p>
        </w:tc>
        <w:tc>
          <w:tcPr>
            <w:tcW w:w="2093" w:type="dxa"/>
            <w:vAlign w:val="center"/>
          </w:tcPr>
          <w:p>
            <w:pPr>
              <w:pStyle w:val="48"/>
              <w:ind w:left="105" w:leftChars="50" w:right="105" w:rightChars="50"/>
              <w:jc w:val="center"/>
              <w:rPr>
                <w:rFonts w:hint="eastAsia"/>
                <w:color w:val="auto"/>
                <w:highlight w:val="none"/>
                <w:lang w:eastAsia="zh-CN"/>
              </w:rPr>
            </w:pPr>
            <w:r>
              <w:rPr>
                <w:rFonts w:hint="eastAsia"/>
                <w:color w:val="auto"/>
                <w:highlight w:val="none"/>
                <w:lang w:eastAsia="zh-CN"/>
              </w:rPr>
              <w:t>近年完成的类似项目情况的时间要求</w:t>
            </w:r>
          </w:p>
        </w:tc>
        <w:tc>
          <w:tcPr>
            <w:tcW w:w="6804" w:type="dxa"/>
            <w:vAlign w:val="center"/>
          </w:tcPr>
          <w:p>
            <w:pPr>
              <w:pStyle w:val="48"/>
              <w:ind w:left="105" w:leftChars="50" w:right="105" w:rightChars="50"/>
              <w:rPr>
                <w:rFonts w:hint="eastAsia"/>
                <w:color w:val="auto"/>
                <w:highlight w:val="none"/>
                <w:lang w:eastAsia="zh-CN"/>
              </w:rPr>
            </w:pPr>
            <w:r>
              <w:rPr>
                <w:rFonts w:hint="eastAsia"/>
                <w:color w:val="auto"/>
                <w:highlight w:val="none"/>
                <w:lang w:eastAsia="zh-CN"/>
              </w:rPr>
              <w:t>2022年1月1日至今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29" w:type="dxa"/>
            <w:gridSpan w:val="2"/>
            <w:vAlign w:val="center"/>
          </w:tcPr>
          <w:p>
            <w:pPr>
              <w:pStyle w:val="48"/>
              <w:ind w:left="50" w:right="50"/>
              <w:jc w:val="center"/>
              <w:rPr>
                <w:rFonts w:hint="eastAsia"/>
                <w:color w:val="auto"/>
                <w:highlight w:val="none"/>
                <w:lang w:eastAsia="zh-CN"/>
              </w:rPr>
            </w:pPr>
            <w:r>
              <w:rPr>
                <w:rFonts w:hint="eastAsia"/>
                <w:color w:val="auto"/>
                <w:highlight w:val="none"/>
                <w:lang w:eastAsia="zh-CN"/>
              </w:rPr>
              <w:t>3.5.5</w:t>
            </w:r>
          </w:p>
        </w:tc>
        <w:tc>
          <w:tcPr>
            <w:tcW w:w="2093" w:type="dxa"/>
            <w:vAlign w:val="center"/>
          </w:tcPr>
          <w:p>
            <w:pPr>
              <w:pStyle w:val="48"/>
              <w:ind w:left="50" w:right="50"/>
              <w:jc w:val="center"/>
              <w:rPr>
                <w:rFonts w:hint="eastAsia"/>
                <w:color w:val="auto"/>
                <w:highlight w:val="none"/>
                <w:lang w:eastAsia="zh-CN"/>
              </w:rPr>
            </w:pPr>
            <w:r>
              <w:rPr>
                <w:rFonts w:hint="eastAsia"/>
                <w:color w:val="auto"/>
                <w:highlight w:val="none"/>
                <w:lang w:eastAsia="zh-CN"/>
              </w:rPr>
              <w:t>近年发生的诉讼及仲裁情况的时间要求</w:t>
            </w:r>
          </w:p>
        </w:tc>
        <w:tc>
          <w:tcPr>
            <w:tcW w:w="6804" w:type="dxa"/>
            <w:vAlign w:val="center"/>
          </w:tcPr>
          <w:p>
            <w:pPr>
              <w:pStyle w:val="48"/>
              <w:ind w:left="50" w:right="50"/>
              <w:rPr>
                <w:rFonts w:hint="eastAsia"/>
                <w:color w:val="auto"/>
                <w:highlight w:val="none"/>
                <w:lang w:eastAsia="zh-CN"/>
              </w:rPr>
            </w:pPr>
            <w:r>
              <w:rPr>
                <w:rFonts w:hint="eastAsia"/>
                <w:color w:val="auto"/>
                <w:highlight w:val="none"/>
                <w:lang w:eastAsia="zh-CN"/>
              </w:rPr>
              <w:t>2022年1月1日至2024年12月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29" w:type="dxa"/>
            <w:gridSpan w:val="2"/>
            <w:vAlign w:val="center"/>
          </w:tcPr>
          <w:p>
            <w:pPr>
              <w:pStyle w:val="48"/>
              <w:ind w:left="50" w:right="50"/>
              <w:jc w:val="center"/>
              <w:rPr>
                <w:rFonts w:hint="eastAsia"/>
                <w:color w:val="auto"/>
                <w:highlight w:val="none"/>
                <w:lang w:eastAsia="zh-CN"/>
              </w:rPr>
            </w:pPr>
            <w:r>
              <w:rPr>
                <w:rFonts w:hint="eastAsia"/>
                <w:color w:val="auto"/>
                <w:highlight w:val="none"/>
                <w:lang w:eastAsia="zh-CN"/>
              </w:rPr>
              <w:t>3.6.1</w:t>
            </w:r>
          </w:p>
        </w:tc>
        <w:tc>
          <w:tcPr>
            <w:tcW w:w="2093" w:type="dxa"/>
            <w:vAlign w:val="center"/>
          </w:tcPr>
          <w:p>
            <w:pPr>
              <w:pStyle w:val="48"/>
              <w:ind w:left="50" w:right="50"/>
              <w:jc w:val="center"/>
              <w:rPr>
                <w:rFonts w:hint="eastAsia"/>
                <w:color w:val="auto"/>
                <w:highlight w:val="none"/>
                <w:lang w:eastAsia="zh-CN"/>
              </w:rPr>
            </w:pPr>
            <w:r>
              <w:rPr>
                <w:rFonts w:hint="eastAsia"/>
                <w:color w:val="auto"/>
                <w:highlight w:val="none"/>
                <w:lang w:eastAsia="zh-CN"/>
              </w:rPr>
              <w:t>是否允许递交备选投标方案</w:t>
            </w:r>
          </w:p>
        </w:tc>
        <w:tc>
          <w:tcPr>
            <w:tcW w:w="6804" w:type="dxa"/>
            <w:vAlign w:val="center"/>
          </w:tcPr>
          <w:p>
            <w:pPr>
              <w:pStyle w:val="48"/>
              <w:ind w:left="50" w:right="50"/>
              <w:rPr>
                <w:rFonts w:hint="eastAsia"/>
                <w:color w:val="auto"/>
                <w:highlight w:val="none"/>
                <w:lang w:eastAsia="zh-CN"/>
              </w:rPr>
            </w:pPr>
            <w:r>
              <w:rPr>
                <w:rFonts w:hint="eastAsia"/>
                <w:color w:val="auto"/>
                <w:highlight w:val="none"/>
                <w:lang w:eastAsia="zh-CN"/>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29" w:type="dxa"/>
            <w:gridSpan w:val="2"/>
            <w:vAlign w:val="center"/>
          </w:tcPr>
          <w:p>
            <w:pPr>
              <w:pStyle w:val="48"/>
              <w:spacing w:before="120" w:beforeLines="50" w:after="120" w:afterLines="50"/>
              <w:ind w:left="113"/>
              <w:jc w:val="center"/>
              <w:rPr>
                <w:rFonts w:hint="eastAsia"/>
                <w:color w:val="auto"/>
                <w:highlight w:val="none"/>
                <w:lang w:eastAsia="zh-CN"/>
              </w:rPr>
            </w:pPr>
            <w:r>
              <w:rPr>
                <w:rFonts w:hint="eastAsia"/>
                <w:color w:val="auto"/>
                <w:highlight w:val="none"/>
                <w:lang w:eastAsia="zh-CN"/>
              </w:rPr>
              <w:t>3.7.3</w:t>
            </w:r>
          </w:p>
        </w:tc>
        <w:tc>
          <w:tcPr>
            <w:tcW w:w="2093" w:type="dxa"/>
            <w:vAlign w:val="center"/>
          </w:tcPr>
          <w:p>
            <w:pPr>
              <w:pStyle w:val="48"/>
              <w:spacing w:before="120" w:beforeLines="50" w:after="120" w:afterLines="50"/>
              <w:ind w:left="113"/>
              <w:jc w:val="center"/>
              <w:rPr>
                <w:rFonts w:hint="eastAsia"/>
                <w:color w:val="auto"/>
                <w:highlight w:val="none"/>
                <w:lang w:eastAsia="zh-CN"/>
              </w:rPr>
            </w:pPr>
            <w:r>
              <w:rPr>
                <w:rFonts w:hint="eastAsia"/>
                <w:color w:val="auto"/>
                <w:highlight w:val="none"/>
                <w:lang w:eastAsia="zh-CN"/>
              </w:rPr>
              <w:t>响应文件签字或盖章要求</w:t>
            </w:r>
          </w:p>
        </w:tc>
        <w:tc>
          <w:tcPr>
            <w:tcW w:w="6804" w:type="dxa"/>
            <w:vAlign w:val="center"/>
          </w:tcPr>
          <w:p>
            <w:pPr>
              <w:spacing w:line="300" w:lineRule="auto"/>
              <w:jc w:val="left"/>
              <w:rPr>
                <w:rFonts w:hint="eastAsia"/>
                <w:color w:val="auto"/>
                <w:highlight w:val="none"/>
                <w:lang w:eastAsia="zh-CN"/>
              </w:rPr>
            </w:pPr>
            <w:bookmarkStart w:id="18" w:name="OLE_LINK3"/>
            <w:r>
              <w:rPr>
                <w:rFonts w:hint="eastAsia" w:ascii="宋体" w:hAnsi="宋体" w:eastAsia="宋体" w:cs="宋体"/>
                <w:snapToGrid w:val="0"/>
                <w:color w:val="auto"/>
                <w:sz w:val="24"/>
                <w:szCs w:val="24"/>
                <w:highlight w:val="none"/>
                <w:lang w:val="en-US" w:eastAsia="zh-CN" w:bidi="ar-SA"/>
              </w:rPr>
              <w:t>电子响应文件编制完成后，供应商应按竞争性磋商文件要求加盖单位电子签章或法定代表人电子签章或法定代表人（或其授权代表）签署。如被授权人无法网上签字，需将此页打印签字后扫描上传至响应文件。</w:t>
            </w:r>
            <w:bookmarkEnd w:id="18"/>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29" w:type="dxa"/>
            <w:gridSpan w:val="2"/>
            <w:vAlign w:val="center"/>
          </w:tcPr>
          <w:p>
            <w:pPr>
              <w:pStyle w:val="48"/>
              <w:spacing w:before="120" w:beforeLines="50" w:after="120" w:afterLines="50"/>
              <w:ind w:left="113"/>
              <w:jc w:val="center"/>
              <w:rPr>
                <w:rFonts w:hint="eastAsia"/>
                <w:color w:val="auto"/>
                <w:highlight w:val="none"/>
                <w:lang w:eastAsia="zh-CN"/>
              </w:rPr>
            </w:pPr>
            <w:r>
              <w:rPr>
                <w:rFonts w:hint="eastAsia"/>
                <w:color w:val="auto"/>
                <w:highlight w:val="none"/>
                <w:lang w:eastAsia="zh-CN"/>
              </w:rPr>
              <w:t>3.7.5</w:t>
            </w:r>
          </w:p>
        </w:tc>
        <w:tc>
          <w:tcPr>
            <w:tcW w:w="2093" w:type="dxa"/>
            <w:vAlign w:val="center"/>
          </w:tcPr>
          <w:p>
            <w:pPr>
              <w:pStyle w:val="48"/>
              <w:spacing w:before="120" w:beforeLines="50" w:after="120" w:afterLines="50"/>
              <w:ind w:left="113"/>
              <w:jc w:val="center"/>
              <w:rPr>
                <w:rFonts w:hint="eastAsia"/>
                <w:color w:val="auto"/>
                <w:highlight w:val="none"/>
                <w:lang w:eastAsia="zh-CN"/>
              </w:rPr>
            </w:pPr>
            <w:r>
              <w:rPr>
                <w:rFonts w:hint="eastAsia"/>
                <w:color w:val="auto"/>
                <w:highlight w:val="none"/>
                <w:lang w:eastAsia="zh-CN"/>
              </w:rPr>
              <w:t>响应文件份数</w:t>
            </w:r>
          </w:p>
        </w:tc>
        <w:tc>
          <w:tcPr>
            <w:tcW w:w="6804" w:type="dxa"/>
            <w:vAlign w:val="center"/>
          </w:tcPr>
          <w:p>
            <w:pPr>
              <w:pStyle w:val="48"/>
              <w:spacing w:before="120" w:beforeLines="50" w:after="120" w:afterLines="50"/>
              <w:ind w:left="113"/>
              <w:rPr>
                <w:rFonts w:hint="default"/>
                <w:color w:val="auto"/>
                <w:highlight w:val="none"/>
                <w:lang w:val="en-US" w:eastAsia="zh-CN"/>
              </w:rPr>
            </w:pPr>
            <w:r>
              <w:rPr>
                <w:rFonts w:hint="eastAsia"/>
                <w:color w:val="auto"/>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029" w:type="dxa"/>
            <w:gridSpan w:val="2"/>
            <w:vAlign w:val="center"/>
          </w:tcPr>
          <w:p>
            <w:pPr>
              <w:pStyle w:val="48"/>
              <w:ind w:left="105" w:leftChars="50" w:right="105" w:rightChars="50"/>
              <w:jc w:val="center"/>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4.2.1</w:t>
            </w:r>
          </w:p>
        </w:tc>
        <w:tc>
          <w:tcPr>
            <w:tcW w:w="2093" w:type="dxa"/>
            <w:vAlign w:val="center"/>
          </w:tcPr>
          <w:p>
            <w:pPr>
              <w:pStyle w:val="48"/>
              <w:ind w:left="105" w:leftChars="50" w:right="105" w:rightChars="50"/>
              <w:jc w:val="center"/>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投标截止时间</w:t>
            </w:r>
          </w:p>
        </w:tc>
        <w:tc>
          <w:tcPr>
            <w:tcW w:w="6804" w:type="dxa"/>
            <w:vAlign w:val="center"/>
          </w:tcPr>
          <w:p>
            <w:pPr>
              <w:pStyle w:val="48"/>
              <w:ind w:left="105" w:leftChars="50" w:right="105" w:rightChars="50"/>
              <w:jc w:val="both"/>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2025年07月14日上午9时00分</w:t>
            </w:r>
            <w:r>
              <w:rPr>
                <w:rFonts w:hint="eastAsia" w:asciiTheme="minorEastAsia" w:hAnsiTheme="minorEastAsia" w:eastAsiaTheme="minorEastAsia"/>
                <w:color w:val="auto"/>
                <w:highlight w:val="none"/>
                <w:lang w:eastAsia="zh-CN"/>
              </w:rPr>
              <w:t>（北京时间）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29" w:type="dxa"/>
            <w:gridSpan w:val="2"/>
          </w:tcPr>
          <w:p>
            <w:pPr>
              <w:pStyle w:val="48"/>
              <w:ind w:left="105" w:leftChars="50" w:right="105" w:rightChars="50"/>
              <w:jc w:val="center"/>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4.2.2</w:t>
            </w:r>
          </w:p>
        </w:tc>
        <w:tc>
          <w:tcPr>
            <w:tcW w:w="2093" w:type="dxa"/>
          </w:tcPr>
          <w:p>
            <w:pPr>
              <w:pStyle w:val="48"/>
              <w:ind w:left="105" w:leftChars="50" w:right="105" w:rightChars="50"/>
              <w:jc w:val="center"/>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递交响应文件地点</w:t>
            </w:r>
          </w:p>
        </w:tc>
        <w:tc>
          <w:tcPr>
            <w:tcW w:w="6804" w:type="dxa"/>
            <w:vAlign w:val="center"/>
          </w:tcPr>
          <w:p>
            <w:pPr>
              <w:pStyle w:val="48"/>
              <w:ind w:left="105" w:leftChars="50" w:right="105" w:rightChars="50"/>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在政采云平台</w:t>
            </w:r>
            <w:r>
              <w:rPr>
                <w:rFonts w:asciiTheme="minorEastAsia" w:hAnsiTheme="minorEastAsia" w:eastAsiaTheme="minorEastAsia"/>
                <w:color w:val="auto"/>
                <w:highlight w:val="none"/>
                <w:lang w:eastAsia="zh-CN"/>
              </w:rPr>
              <w:t>https://www.zcygov.cn/</w:t>
            </w:r>
            <w:r>
              <w:rPr>
                <w:rFonts w:hint="eastAsia" w:asciiTheme="minorEastAsia" w:hAnsiTheme="minorEastAsia" w:eastAsiaTheme="minorEastAsia"/>
                <w:color w:val="auto"/>
                <w:highlight w:val="none"/>
                <w:lang w:eastAsia="zh-CN"/>
              </w:rPr>
              <w:t>上传电子加密响应文件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29" w:type="dxa"/>
            <w:gridSpan w:val="2"/>
          </w:tcPr>
          <w:p>
            <w:pPr>
              <w:pStyle w:val="48"/>
              <w:spacing w:before="120" w:beforeLines="50" w:after="120" w:afterLines="50"/>
              <w:ind w:left="113"/>
              <w:jc w:val="center"/>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4.2.3</w:t>
            </w:r>
          </w:p>
        </w:tc>
        <w:tc>
          <w:tcPr>
            <w:tcW w:w="2093" w:type="dxa"/>
          </w:tcPr>
          <w:p>
            <w:pPr>
              <w:pStyle w:val="48"/>
              <w:spacing w:before="120" w:beforeLines="50" w:after="120" w:afterLines="50"/>
              <w:ind w:left="113"/>
              <w:jc w:val="center"/>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响应文件是否退还</w:t>
            </w:r>
          </w:p>
        </w:tc>
        <w:tc>
          <w:tcPr>
            <w:tcW w:w="6804" w:type="dxa"/>
          </w:tcPr>
          <w:p>
            <w:pPr>
              <w:pStyle w:val="48"/>
              <w:spacing w:before="120" w:beforeLines="50" w:after="120" w:afterLines="50"/>
              <w:ind w:left="113"/>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29" w:type="dxa"/>
            <w:gridSpan w:val="2"/>
            <w:vAlign w:val="center"/>
          </w:tcPr>
          <w:p>
            <w:pPr>
              <w:pStyle w:val="48"/>
              <w:spacing w:before="120" w:beforeLines="50" w:after="120" w:afterLines="50"/>
              <w:ind w:left="113"/>
              <w:jc w:val="center"/>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5.1</w:t>
            </w:r>
          </w:p>
        </w:tc>
        <w:tc>
          <w:tcPr>
            <w:tcW w:w="2093" w:type="dxa"/>
            <w:vAlign w:val="center"/>
          </w:tcPr>
          <w:p>
            <w:pPr>
              <w:pStyle w:val="48"/>
              <w:spacing w:before="120" w:beforeLines="50" w:after="120" w:afterLines="50"/>
              <w:ind w:left="113"/>
              <w:jc w:val="center"/>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开标时间和地点</w:t>
            </w:r>
          </w:p>
        </w:tc>
        <w:tc>
          <w:tcPr>
            <w:tcW w:w="6804" w:type="dxa"/>
          </w:tcPr>
          <w:p>
            <w:pPr>
              <w:pStyle w:val="48"/>
              <w:spacing w:before="120" w:beforeLines="50" w:after="120" w:afterLines="50"/>
              <w:ind w:left="113"/>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开标时间（同投标截止时间）：</w:t>
            </w:r>
            <w:r>
              <w:rPr>
                <w:rFonts w:hint="eastAsia" w:asciiTheme="minorEastAsia" w:hAnsiTheme="minorEastAsia" w:eastAsiaTheme="minorEastAsia"/>
                <w:color w:val="auto"/>
                <w:highlight w:val="none"/>
                <w:lang w:eastAsia="zh-CN"/>
              </w:rPr>
              <w:t>2025年07月14日上午9时00分（北京时间）</w:t>
            </w:r>
          </w:p>
          <w:p>
            <w:pPr>
              <w:pStyle w:val="48"/>
              <w:spacing w:before="120" w:beforeLines="50" w:after="120" w:afterLines="50"/>
              <w:ind w:left="113"/>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开标地点：政采云平台线上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29" w:type="dxa"/>
            <w:gridSpan w:val="2"/>
          </w:tcPr>
          <w:p>
            <w:pPr>
              <w:pStyle w:val="48"/>
              <w:spacing w:before="120" w:beforeLines="50" w:after="120" w:afterLines="50"/>
              <w:ind w:left="113"/>
              <w:jc w:val="center"/>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5.2</w:t>
            </w:r>
          </w:p>
        </w:tc>
        <w:tc>
          <w:tcPr>
            <w:tcW w:w="2093" w:type="dxa"/>
          </w:tcPr>
          <w:p>
            <w:pPr>
              <w:pStyle w:val="48"/>
              <w:spacing w:before="120" w:beforeLines="50" w:after="120" w:afterLines="50"/>
              <w:ind w:left="113"/>
              <w:jc w:val="center"/>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开标程序</w:t>
            </w:r>
          </w:p>
        </w:tc>
        <w:tc>
          <w:tcPr>
            <w:tcW w:w="6804" w:type="dxa"/>
          </w:tcPr>
          <w:p>
            <w:pPr>
              <w:pStyle w:val="48"/>
              <w:spacing w:before="120" w:beforeLines="50" w:after="120" w:afterLines="50"/>
              <w:ind w:left="113"/>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按政采云平台电子开标系统生成顺序进行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29" w:type="dxa"/>
            <w:gridSpan w:val="2"/>
          </w:tcPr>
          <w:p>
            <w:pPr>
              <w:pStyle w:val="48"/>
              <w:spacing w:before="120" w:beforeLines="50" w:after="120" w:afterLines="50"/>
              <w:ind w:left="113"/>
              <w:jc w:val="center"/>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6.1.1</w:t>
            </w:r>
          </w:p>
        </w:tc>
        <w:tc>
          <w:tcPr>
            <w:tcW w:w="2093" w:type="dxa"/>
            <w:vAlign w:val="center"/>
          </w:tcPr>
          <w:p>
            <w:pPr>
              <w:pStyle w:val="48"/>
              <w:spacing w:before="120" w:beforeLines="50" w:after="120" w:afterLines="50"/>
              <w:ind w:left="113"/>
              <w:jc w:val="center"/>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评标委员会的组建</w:t>
            </w:r>
          </w:p>
        </w:tc>
        <w:tc>
          <w:tcPr>
            <w:tcW w:w="6804" w:type="dxa"/>
          </w:tcPr>
          <w:p>
            <w:pPr>
              <w:pStyle w:val="48"/>
              <w:keepNext w:val="0"/>
              <w:keepLines w:val="0"/>
              <w:pageBreakBefore w:val="0"/>
              <w:widowControl/>
              <w:kinsoku/>
              <w:wordWrap/>
              <w:overflowPunct/>
              <w:topLinePunct w:val="0"/>
              <w:autoSpaceDE w:val="0"/>
              <w:autoSpaceDN w:val="0"/>
              <w:bidi w:val="0"/>
              <w:adjustRightInd w:val="0"/>
              <w:snapToGrid w:val="0"/>
              <w:spacing w:before="120" w:beforeLines="50" w:after="120" w:afterLines="50"/>
              <w:ind w:left="113"/>
              <w:textAlignment w:val="baseline"/>
              <w:rPr>
                <w:rFonts w:hint="eastAsia" w:asciiTheme="minorEastAsia" w:hAnsiTheme="minorEastAsia" w:eastAsiaTheme="minorEastAsia"/>
                <w:color w:val="auto"/>
                <w:highlight w:val="none"/>
                <w:lang w:val="zh-CN" w:eastAsia="zh-CN"/>
              </w:rPr>
            </w:pPr>
            <w:r>
              <w:rPr>
                <w:rFonts w:hint="eastAsia" w:asciiTheme="minorEastAsia" w:hAnsiTheme="minorEastAsia" w:eastAsiaTheme="minorEastAsia"/>
                <w:color w:val="auto"/>
                <w:highlight w:val="none"/>
                <w:lang w:val="zh-CN" w:eastAsia="zh-CN"/>
              </w:rPr>
              <w:t>磋商小组由</w:t>
            </w:r>
            <w:r>
              <w:rPr>
                <w:rFonts w:hint="eastAsia" w:asciiTheme="minorEastAsia" w:hAnsiTheme="minorEastAsia" w:eastAsiaTheme="minorEastAsia"/>
                <w:color w:val="auto"/>
                <w:highlight w:val="none"/>
                <w:lang w:val="en-US" w:eastAsia="zh-CN"/>
              </w:rPr>
              <w:t>业主代表1人和</w:t>
            </w:r>
            <w:r>
              <w:rPr>
                <w:rFonts w:hint="eastAsia" w:asciiTheme="minorEastAsia" w:hAnsiTheme="minorEastAsia" w:eastAsiaTheme="minorEastAsia"/>
                <w:color w:val="auto"/>
                <w:highlight w:val="none"/>
                <w:lang w:val="zh-CN" w:eastAsia="zh-CN"/>
              </w:rPr>
              <w:t>评审专家</w:t>
            </w:r>
            <w:r>
              <w:rPr>
                <w:rFonts w:hint="eastAsia" w:asciiTheme="minorEastAsia" w:hAnsiTheme="minorEastAsia" w:eastAsiaTheme="minorEastAsia"/>
                <w:color w:val="auto"/>
                <w:highlight w:val="none"/>
                <w:lang w:val="en-US" w:eastAsia="zh-CN"/>
              </w:rPr>
              <w:t>2人</w:t>
            </w:r>
            <w:r>
              <w:rPr>
                <w:rFonts w:hint="eastAsia" w:asciiTheme="minorEastAsia" w:hAnsiTheme="minorEastAsia" w:eastAsiaTheme="minorEastAsia"/>
                <w:color w:val="auto"/>
                <w:highlight w:val="none"/>
                <w:lang w:val="zh-CN" w:eastAsia="zh-CN"/>
              </w:rPr>
              <w:t>组成。</w:t>
            </w:r>
          </w:p>
          <w:p>
            <w:pPr>
              <w:pStyle w:val="48"/>
              <w:keepNext w:val="0"/>
              <w:keepLines w:val="0"/>
              <w:pageBreakBefore w:val="0"/>
              <w:widowControl/>
              <w:kinsoku/>
              <w:wordWrap/>
              <w:overflowPunct/>
              <w:topLinePunct w:val="0"/>
              <w:autoSpaceDE w:val="0"/>
              <w:autoSpaceDN w:val="0"/>
              <w:bidi w:val="0"/>
              <w:adjustRightInd w:val="0"/>
              <w:snapToGrid w:val="0"/>
              <w:spacing w:before="120" w:beforeLines="50" w:after="120" w:afterLines="50"/>
              <w:ind w:left="113"/>
              <w:textAlignment w:val="baseline"/>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val="zh-CN" w:eastAsia="zh-CN"/>
              </w:rPr>
              <w:t>评标专家确定方式：按专业配置要求，由采购人在专家库中随机抽取。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29" w:type="dxa"/>
            <w:gridSpan w:val="2"/>
          </w:tcPr>
          <w:p>
            <w:pPr>
              <w:pStyle w:val="48"/>
              <w:spacing w:before="120" w:beforeLines="50" w:after="120" w:afterLines="50"/>
              <w:ind w:left="113"/>
              <w:jc w:val="center"/>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spacing w:val="2"/>
                <w:highlight w:val="none"/>
              </w:rPr>
              <w:t>6.1.2</w:t>
            </w:r>
          </w:p>
        </w:tc>
        <w:tc>
          <w:tcPr>
            <w:tcW w:w="2093" w:type="dxa"/>
            <w:vAlign w:val="center"/>
          </w:tcPr>
          <w:p>
            <w:pPr>
              <w:pStyle w:val="48"/>
              <w:spacing w:before="120" w:beforeLines="50" w:after="120" w:afterLines="50"/>
              <w:ind w:left="113"/>
              <w:jc w:val="center"/>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spacing w:val="9"/>
                <w:highlight w:val="none"/>
                <w:lang w:eastAsia="zh-CN"/>
              </w:rPr>
              <w:t>评标委员会推荐中标候</w:t>
            </w:r>
            <w:r>
              <w:rPr>
                <w:rFonts w:hint="eastAsia" w:asciiTheme="minorEastAsia" w:hAnsiTheme="minorEastAsia" w:eastAsiaTheme="minorEastAsia"/>
                <w:color w:val="auto"/>
                <w:spacing w:val="8"/>
                <w:highlight w:val="none"/>
                <w:lang w:eastAsia="zh-CN"/>
              </w:rPr>
              <w:t>选人的人数</w:t>
            </w:r>
          </w:p>
        </w:tc>
        <w:tc>
          <w:tcPr>
            <w:tcW w:w="6804" w:type="dxa"/>
            <w:vAlign w:val="center"/>
          </w:tcPr>
          <w:p>
            <w:pPr>
              <w:pStyle w:val="48"/>
              <w:spacing w:before="120" w:beforeLines="50" w:after="120" w:afterLines="50"/>
              <w:ind w:left="113"/>
              <w:jc w:val="center"/>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spacing w:val="1"/>
                <w:highlight w:val="none"/>
                <w:lang w:eastAsia="zh-CN"/>
              </w:rPr>
              <w:t>1</w:t>
            </w:r>
            <w:r>
              <w:rPr>
                <w:rFonts w:hint="eastAsia" w:asciiTheme="minorEastAsia" w:hAnsiTheme="minorEastAsia" w:eastAsiaTheme="minorEastAsia"/>
                <w:color w:val="auto"/>
                <w:spacing w:val="1"/>
                <w:highlight w:val="none"/>
              </w:rPr>
              <w:t>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29" w:type="dxa"/>
            <w:gridSpan w:val="2"/>
          </w:tcPr>
          <w:p>
            <w:pPr>
              <w:pStyle w:val="48"/>
              <w:spacing w:before="120" w:beforeLines="50" w:after="120" w:afterLines="50"/>
              <w:ind w:left="113"/>
              <w:jc w:val="center"/>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rPr>
              <w:t>7.1</w:t>
            </w:r>
          </w:p>
        </w:tc>
        <w:tc>
          <w:tcPr>
            <w:tcW w:w="2093" w:type="dxa"/>
            <w:vAlign w:val="center"/>
          </w:tcPr>
          <w:p>
            <w:pPr>
              <w:pStyle w:val="48"/>
              <w:spacing w:before="120" w:beforeLines="50" w:after="120" w:afterLines="50"/>
              <w:ind w:left="113"/>
              <w:jc w:val="center"/>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spacing w:val="6"/>
                <w:highlight w:val="none"/>
                <w:lang w:eastAsia="zh-CN"/>
              </w:rPr>
              <w:t>中标候选人公示媒介及</w:t>
            </w:r>
            <w:r>
              <w:rPr>
                <w:rFonts w:hint="eastAsia" w:asciiTheme="minorEastAsia" w:hAnsiTheme="minorEastAsia" w:eastAsiaTheme="minorEastAsia"/>
                <w:color w:val="auto"/>
                <w:spacing w:val="3"/>
                <w:highlight w:val="none"/>
                <w:lang w:eastAsia="zh-CN"/>
              </w:rPr>
              <w:t>期限</w:t>
            </w:r>
          </w:p>
        </w:tc>
        <w:tc>
          <w:tcPr>
            <w:tcW w:w="6804" w:type="dxa"/>
          </w:tcPr>
          <w:p>
            <w:pPr>
              <w:pStyle w:val="48"/>
              <w:spacing w:before="120" w:beforeLines="50" w:after="120" w:afterLines="50"/>
              <w:ind w:left="113"/>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spacing w:val="4"/>
                <w:highlight w:val="none"/>
              </w:rPr>
              <w:t>公示媒介：</w:t>
            </w:r>
            <w:r>
              <w:rPr>
                <w:rFonts w:hint="eastAsia" w:asciiTheme="minorEastAsia" w:hAnsiTheme="minorEastAsia" w:eastAsiaTheme="minorEastAsia"/>
                <w:color w:val="auto"/>
                <w:highlight w:val="none"/>
                <w:lang w:eastAsia="zh-CN"/>
              </w:rPr>
              <w:t>在政府采购云平台（网址：http://www.zcygov.cn）</w:t>
            </w:r>
            <w:r>
              <w:rPr>
                <w:rFonts w:hint="eastAsia" w:asciiTheme="minorEastAsia" w:hAnsiTheme="minorEastAsia" w:eastAsiaTheme="minorEastAsia"/>
                <w:color w:val="auto"/>
                <w:highlight w:val="none"/>
                <w:lang w:val="zh-CN" w:eastAsia="zh-CN"/>
              </w:rPr>
              <w:t>同时在</w:t>
            </w:r>
            <w:r>
              <w:rPr>
                <w:rFonts w:hint="eastAsia" w:asciiTheme="minorEastAsia" w:hAnsiTheme="minorEastAsia" w:eastAsiaTheme="minorEastAsia"/>
                <w:color w:val="auto"/>
                <w:highlight w:val="none"/>
                <w:lang w:eastAsia="zh-CN"/>
              </w:rPr>
              <w:t>吉林省</w:t>
            </w:r>
            <w:r>
              <w:rPr>
                <w:rFonts w:hint="eastAsia" w:asciiTheme="minorEastAsia" w:hAnsiTheme="minorEastAsia" w:eastAsiaTheme="minorEastAsia"/>
                <w:color w:val="auto"/>
                <w:highlight w:val="none"/>
                <w:lang w:val="zh-CN" w:eastAsia="zh-CN"/>
              </w:rPr>
              <w:t>政府采购网、</w:t>
            </w:r>
            <w:r>
              <w:rPr>
                <w:rFonts w:hint="eastAsia" w:asciiTheme="minorEastAsia" w:hAnsiTheme="minorEastAsia" w:eastAsiaTheme="minorEastAsia"/>
                <w:color w:val="auto"/>
                <w:highlight w:val="none"/>
                <w:lang w:eastAsia="zh-CN"/>
              </w:rPr>
              <w:t>中国政府采购网</w:t>
            </w:r>
            <w:r>
              <w:rPr>
                <w:rFonts w:hint="eastAsia" w:asciiTheme="minorEastAsia" w:hAnsiTheme="minorEastAsia" w:eastAsiaTheme="minorEastAsia"/>
                <w:color w:val="auto"/>
                <w:highlight w:val="none"/>
                <w:lang w:val="zh-CN" w:eastAsia="zh-CN"/>
              </w:rPr>
              <w:t>上发布</w:t>
            </w:r>
            <w:r>
              <w:rPr>
                <w:rFonts w:hint="eastAsia" w:asciiTheme="minorEastAsia" w:hAnsiTheme="minorEastAsia" w:eastAsiaTheme="minorEastAsia"/>
                <w:color w:val="auto"/>
                <w:spacing w:val="4"/>
                <w:highlight w:val="none"/>
              </w:rPr>
              <w:t>，公示期1</w:t>
            </w:r>
            <w:r>
              <w:rPr>
                <w:rFonts w:hint="eastAsia" w:asciiTheme="minorEastAsia" w:hAnsiTheme="minorEastAsia" w:eastAsiaTheme="minorEastAsia"/>
                <w:color w:val="auto"/>
                <w:spacing w:val="1"/>
                <w:highlight w:val="none"/>
              </w:rPr>
              <w:t>个工作日。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29" w:type="dxa"/>
            <w:gridSpan w:val="2"/>
          </w:tcPr>
          <w:p>
            <w:pPr>
              <w:pStyle w:val="48"/>
              <w:spacing w:before="120" w:beforeLines="50" w:after="120" w:afterLines="50"/>
              <w:ind w:left="113"/>
              <w:jc w:val="center"/>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rPr>
              <w:t>7.2</w:t>
            </w:r>
          </w:p>
        </w:tc>
        <w:tc>
          <w:tcPr>
            <w:tcW w:w="2093" w:type="dxa"/>
          </w:tcPr>
          <w:p>
            <w:pPr>
              <w:pStyle w:val="48"/>
              <w:spacing w:before="120" w:beforeLines="50" w:after="120" w:afterLines="50"/>
              <w:ind w:left="113"/>
              <w:jc w:val="center"/>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spacing w:val="8"/>
                <w:highlight w:val="none"/>
                <w:lang w:eastAsia="zh-CN"/>
              </w:rPr>
              <w:t>是否采用电子招标</w:t>
            </w:r>
            <w:r>
              <w:rPr>
                <w:rFonts w:hint="eastAsia" w:asciiTheme="minorEastAsia" w:hAnsiTheme="minorEastAsia" w:eastAsiaTheme="minorEastAsia"/>
                <w:color w:val="auto"/>
                <w:spacing w:val="3"/>
                <w:highlight w:val="none"/>
                <w:lang w:eastAsia="zh-CN"/>
              </w:rPr>
              <w:t>投标</w:t>
            </w:r>
          </w:p>
        </w:tc>
        <w:tc>
          <w:tcPr>
            <w:tcW w:w="6804" w:type="dxa"/>
            <w:vAlign w:val="center"/>
          </w:tcPr>
          <w:p>
            <w:pPr>
              <w:pStyle w:val="48"/>
              <w:spacing w:before="120" w:beforeLines="50" w:after="120" w:afterLines="50"/>
              <w:ind w:left="113"/>
              <w:jc w:val="both"/>
              <w:rPr>
                <w:rFonts w:hint="eastAsia" w:asciiTheme="minorEastAsia" w:hAnsiTheme="minorEastAsia" w:eastAsiaTheme="minorEastAsia"/>
                <w:color w:val="auto"/>
                <w:highlight w:val="none"/>
                <w:lang w:eastAsia="zh-CN"/>
              </w:rPr>
            </w:pPr>
            <w:r>
              <w:rPr>
                <w:rFonts w:ascii="Segoe UI Symbol" w:hAnsi="Segoe UI Symbol" w:cs="Segoe UI Symbol" w:eastAsiaTheme="minorEastAsia"/>
                <w:color w:val="auto"/>
                <w:spacing w:val="3"/>
                <w:highlight w:val="none"/>
              </w:rPr>
              <w:t>☑</w:t>
            </w:r>
            <w:r>
              <w:rPr>
                <w:rFonts w:hint="eastAsia" w:asciiTheme="minorEastAsia" w:hAnsiTheme="minorEastAsia" w:eastAsiaTheme="minorEastAsia"/>
                <w:color w:val="auto"/>
                <w:spacing w:val="3"/>
                <w:highlight w:val="none"/>
              </w:rPr>
              <w:t>采用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29" w:type="dxa"/>
            <w:gridSpan w:val="2"/>
          </w:tcPr>
          <w:p>
            <w:pPr>
              <w:pStyle w:val="48"/>
              <w:spacing w:before="120" w:beforeLines="50" w:after="120" w:afterLines="50"/>
              <w:ind w:left="113"/>
              <w:jc w:val="center"/>
              <w:rPr>
                <w:rFonts w:hint="eastAsia"/>
                <w:color w:val="auto"/>
                <w:highlight w:val="none"/>
                <w:lang w:eastAsia="zh-CN"/>
              </w:rPr>
            </w:pPr>
            <w:r>
              <w:rPr>
                <w:rFonts w:hint="eastAsia"/>
                <w:color w:val="auto"/>
                <w:highlight w:val="none"/>
              </w:rPr>
              <w:t>7.4</w:t>
            </w:r>
          </w:p>
        </w:tc>
        <w:tc>
          <w:tcPr>
            <w:tcW w:w="2093" w:type="dxa"/>
          </w:tcPr>
          <w:p>
            <w:pPr>
              <w:pStyle w:val="48"/>
              <w:spacing w:before="120" w:beforeLines="50" w:after="120" w:afterLines="50"/>
              <w:ind w:left="113"/>
              <w:jc w:val="center"/>
              <w:rPr>
                <w:rFonts w:hint="eastAsia"/>
                <w:color w:val="auto"/>
                <w:highlight w:val="none"/>
                <w:lang w:eastAsia="zh-CN"/>
              </w:rPr>
            </w:pPr>
            <w:r>
              <w:rPr>
                <w:rFonts w:hint="eastAsia"/>
                <w:color w:val="auto"/>
                <w:spacing w:val="8"/>
                <w:highlight w:val="none"/>
                <w:lang w:eastAsia="zh-CN"/>
              </w:rPr>
              <w:t>是否授权评标委员会确</w:t>
            </w:r>
            <w:r>
              <w:rPr>
                <w:rFonts w:hint="eastAsia"/>
                <w:color w:val="auto"/>
                <w:spacing w:val="6"/>
                <w:highlight w:val="none"/>
                <w:lang w:eastAsia="zh-CN"/>
              </w:rPr>
              <w:t>定中标人</w:t>
            </w:r>
          </w:p>
        </w:tc>
        <w:tc>
          <w:tcPr>
            <w:tcW w:w="6804" w:type="dxa"/>
            <w:vAlign w:val="center"/>
          </w:tcPr>
          <w:p>
            <w:pPr>
              <w:pStyle w:val="48"/>
              <w:spacing w:before="120" w:beforeLines="50" w:after="120" w:afterLines="50"/>
              <w:ind w:left="113"/>
              <w:jc w:val="both"/>
              <w:rPr>
                <w:rFonts w:hint="eastAsia"/>
                <w:color w:val="auto"/>
                <w:highlight w:val="none"/>
                <w:lang w:eastAsia="zh-CN"/>
              </w:rPr>
            </w:pPr>
            <w:r>
              <w:rPr>
                <w:rFonts w:hint="eastAsia"/>
                <w:color w:val="auto"/>
                <w:spacing w:val="6"/>
                <w:highlight w:val="none"/>
                <w:lang w:eastAsia="zh-CN"/>
              </w:rPr>
              <w:t>向采购人推荐1名中标人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29" w:type="dxa"/>
            <w:gridSpan w:val="2"/>
          </w:tcPr>
          <w:p>
            <w:pPr>
              <w:pStyle w:val="48"/>
              <w:spacing w:before="120" w:beforeLines="50" w:after="120" w:afterLines="50"/>
              <w:ind w:left="113"/>
              <w:jc w:val="center"/>
              <w:rPr>
                <w:rFonts w:hint="eastAsia"/>
                <w:color w:val="auto"/>
                <w:highlight w:val="none"/>
                <w:lang w:eastAsia="zh-CN"/>
              </w:rPr>
            </w:pPr>
            <w:r>
              <w:rPr>
                <w:rFonts w:hint="eastAsia"/>
                <w:color w:val="auto"/>
                <w:highlight w:val="none"/>
              </w:rPr>
              <w:t>7.6</w:t>
            </w:r>
          </w:p>
        </w:tc>
        <w:tc>
          <w:tcPr>
            <w:tcW w:w="2093" w:type="dxa"/>
          </w:tcPr>
          <w:p>
            <w:pPr>
              <w:pStyle w:val="48"/>
              <w:spacing w:before="120" w:beforeLines="50" w:after="120" w:afterLines="50"/>
              <w:ind w:left="113"/>
              <w:jc w:val="center"/>
              <w:rPr>
                <w:rFonts w:hint="eastAsia"/>
                <w:color w:val="auto"/>
                <w:highlight w:val="none"/>
                <w:lang w:eastAsia="zh-CN"/>
              </w:rPr>
            </w:pPr>
            <w:r>
              <w:rPr>
                <w:rFonts w:hint="eastAsia"/>
                <w:color w:val="auto"/>
                <w:spacing w:val="8"/>
                <w:highlight w:val="none"/>
              </w:rPr>
              <w:t>技术成果经济补偿</w:t>
            </w:r>
          </w:p>
        </w:tc>
        <w:tc>
          <w:tcPr>
            <w:tcW w:w="6804" w:type="dxa"/>
          </w:tcPr>
          <w:p>
            <w:pPr>
              <w:pStyle w:val="48"/>
              <w:spacing w:before="120" w:beforeLines="50" w:after="120" w:afterLines="50"/>
              <w:ind w:left="113"/>
              <w:rPr>
                <w:rFonts w:hint="eastAsia"/>
                <w:color w:val="auto"/>
                <w:highlight w:val="none"/>
                <w:lang w:eastAsia="zh-CN"/>
              </w:rPr>
            </w:pPr>
            <w:r>
              <w:rPr>
                <w:rFonts w:hint="eastAsia"/>
                <w:color w:val="auto"/>
                <w:spacing w:val="5"/>
                <w:highlight w:val="none"/>
              </w:rPr>
              <w:t>不补偿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029" w:type="dxa"/>
            <w:gridSpan w:val="2"/>
          </w:tcPr>
          <w:p>
            <w:pPr>
              <w:pStyle w:val="48"/>
              <w:spacing w:before="120" w:beforeLines="50" w:after="120" w:afterLines="50"/>
              <w:ind w:left="113"/>
              <w:jc w:val="center"/>
              <w:rPr>
                <w:rFonts w:hint="eastAsia"/>
                <w:color w:val="auto"/>
                <w:highlight w:val="none"/>
                <w:lang w:eastAsia="zh-CN"/>
              </w:rPr>
            </w:pPr>
            <w:r>
              <w:rPr>
                <w:rFonts w:hint="eastAsia"/>
                <w:color w:val="auto"/>
                <w:spacing w:val="2"/>
                <w:highlight w:val="none"/>
              </w:rPr>
              <w:t>7.7.1</w:t>
            </w:r>
          </w:p>
        </w:tc>
        <w:tc>
          <w:tcPr>
            <w:tcW w:w="2093" w:type="dxa"/>
          </w:tcPr>
          <w:p>
            <w:pPr>
              <w:pStyle w:val="48"/>
              <w:spacing w:before="120" w:beforeLines="50" w:after="120" w:afterLines="50"/>
              <w:ind w:left="113"/>
              <w:jc w:val="center"/>
              <w:rPr>
                <w:rFonts w:hint="eastAsia"/>
                <w:color w:val="auto"/>
                <w:highlight w:val="none"/>
                <w:lang w:eastAsia="zh-CN"/>
              </w:rPr>
            </w:pPr>
            <w:r>
              <w:rPr>
                <w:rFonts w:hint="eastAsia"/>
                <w:color w:val="auto"/>
                <w:spacing w:val="7"/>
                <w:highlight w:val="none"/>
              </w:rPr>
              <w:t>履约保证金</w:t>
            </w:r>
          </w:p>
        </w:tc>
        <w:tc>
          <w:tcPr>
            <w:tcW w:w="6804" w:type="dxa"/>
          </w:tcPr>
          <w:p>
            <w:pPr>
              <w:pStyle w:val="48"/>
              <w:spacing w:before="120" w:beforeLines="50" w:after="120" w:afterLines="50"/>
              <w:ind w:left="113"/>
              <w:rPr>
                <w:rFonts w:hint="eastAsia"/>
                <w:color w:val="auto"/>
                <w:highlight w:val="none"/>
                <w:lang w:eastAsia="zh-CN"/>
              </w:rPr>
            </w:pPr>
            <w:r>
              <w:rPr>
                <w:rFonts w:hint="eastAsia"/>
                <w:color w:val="auto"/>
                <w:highlight w:val="none"/>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26" w:type="dxa"/>
            <w:gridSpan w:val="4"/>
          </w:tcPr>
          <w:p>
            <w:pPr>
              <w:pStyle w:val="48"/>
              <w:spacing w:before="155" w:line="360" w:lineRule="auto"/>
              <w:jc w:val="center"/>
              <w:rPr>
                <w:rFonts w:hint="eastAsia"/>
                <w:color w:val="auto"/>
                <w:highlight w:val="none"/>
                <w:lang w:eastAsia="zh-CN"/>
              </w:rPr>
            </w:pPr>
            <w:r>
              <w:rPr>
                <w:rFonts w:hint="eastAsia"/>
                <w:color w:val="auto"/>
                <w:spacing w:val="5"/>
                <w:highlight w:val="none"/>
                <w:lang w:eastAsia="zh-CN"/>
                <w14:textOutline w14:w="3797" w14:cap="sq" w14:cmpd="sng" w14:algn="ctr">
                  <w14:solidFill>
                    <w14:srgbClr w14:val="000000"/>
                  </w14:solidFill>
                  <w14:prstDash w14:val="solid"/>
                  <w14:bevel/>
                </w14:textOutline>
              </w:rPr>
              <w:t>10、需要补充的其他内容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029" w:type="dxa"/>
            <w:gridSpan w:val="2"/>
            <w:vAlign w:val="center"/>
          </w:tcPr>
          <w:p>
            <w:pPr>
              <w:pStyle w:val="48"/>
              <w:spacing w:before="120" w:beforeLines="50" w:after="120" w:afterLines="50"/>
              <w:ind w:left="105" w:leftChars="50" w:right="105" w:rightChars="50"/>
              <w:jc w:val="center"/>
              <w:rPr>
                <w:rFonts w:hint="eastAsia"/>
                <w:color w:val="auto"/>
                <w:highlight w:val="none"/>
              </w:rPr>
            </w:pPr>
            <w:r>
              <w:rPr>
                <w:rFonts w:hint="eastAsia"/>
                <w:color w:val="auto"/>
                <w:spacing w:val="-2"/>
                <w:highlight w:val="none"/>
              </w:rPr>
              <w:t>10.1</w:t>
            </w:r>
          </w:p>
        </w:tc>
        <w:tc>
          <w:tcPr>
            <w:tcW w:w="2093" w:type="dxa"/>
            <w:vAlign w:val="center"/>
          </w:tcPr>
          <w:p>
            <w:pPr>
              <w:pStyle w:val="48"/>
              <w:spacing w:before="120" w:beforeLines="50" w:after="120" w:afterLines="50"/>
              <w:ind w:left="105" w:leftChars="50" w:right="105" w:rightChars="50"/>
              <w:jc w:val="center"/>
              <w:rPr>
                <w:rFonts w:hint="eastAsia"/>
                <w:color w:val="auto"/>
                <w:highlight w:val="none"/>
              </w:rPr>
            </w:pPr>
            <w:r>
              <w:rPr>
                <w:rFonts w:hint="eastAsia"/>
                <w:color w:val="auto"/>
                <w:spacing w:val="7"/>
                <w:highlight w:val="none"/>
              </w:rPr>
              <w:t>类似项目</w:t>
            </w:r>
          </w:p>
        </w:tc>
        <w:tc>
          <w:tcPr>
            <w:tcW w:w="6804" w:type="dxa"/>
            <w:vAlign w:val="center"/>
          </w:tcPr>
          <w:p>
            <w:pPr>
              <w:pStyle w:val="48"/>
              <w:spacing w:before="50" w:after="50"/>
              <w:ind w:left="105" w:leftChars="50" w:right="105" w:rightChars="50"/>
              <w:jc w:val="both"/>
              <w:rPr>
                <w:rFonts w:hint="eastAsia"/>
                <w:color w:val="auto"/>
                <w:highlight w:val="none"/>
                <w:lang w:eastAsia="zh-CN"/>
              </w:rPr>
            </w:pPr>
            <w:r>
              <w:rPr>
                <w:rFonts w:hint="eastAsia"/>
                <w:color w:val="auto"/>
                <w:spacing w:val="9"/>
                <w:highlight w:val="none"/>
                <w:lang w:eastAsia="zh-CN"/>
              </w:rPr>
              <w:t>类似业绩指应符合磋商项目的内容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029" w:type="dxa"/>
            <w:gridSpan w:val="2"/>
            <w:vAlign w:val="center"/>
          </w:tcPr>
          <w:p>
            <w:pPr>
              <w:pStyle w:val="48"/>
              <w:spacing w:before="120" w:beforeLines="50" w:after="120" w:afterLines="50"/>
              <w:ind w:left="105" w:leftChars="50" w:right="105" w:rightChars="50"/>
              <w:jc w:val="center"/>
              <w:rPr>
                <w:rFonts w:hint="eastAsia"/>
                <w:color w:val="auto"/>
                <w:highlight w:val="none"/>
              </w:rPr>
            </w:pPr>
            <w:r>
              <w:rPr>
                <w:rFonts w:hint="eastAsia"/>
                <w:color w:val="auto"/>
                <w:spacing w:val="-2"/>
                <w:highlight w:val="none"/>
              </w:rPr>
              <w:t>10.2</w:t>
            </w:r>
          </w:p>
        </w:tc>
        <w:tc>
          <w:tcPr>
            <w:tcW w:w="2093" w:type="dxa"/>
            <w:vAlign w:val="center"/>
          </w:tcPr>
          <w:p>
            <w:pPr>
              <w:pStyle w:val="48"/>
              <w:spacing w:before="120" w:beforeLines="50" w:after="120" w:afterLines="50"/>
              <w:ind w:left="105" w:leftChars="50" w:right="105" w:rightChars="50"/>
              <w:jc w:val="center"/>
              <w:rPr>
                <w:rFonts w:hint="eastAsia"/>
                <w:color w:val="auto"/>
                <w:highlight w:val="none"/>
              </w:rPr>
            </w:pPr>
            <w:r>
              <w:rPr>
                <w:rFonts w:hint="eastAsia"/>
                <w:color w:val="auto"/>
                <w:spacing w:val="7"/>
                <w:highlight w:val="none"/>
              </w:rPr>
              <w:t>不良行为记录</w:t>
            </w:r>
          </w:p>
        </w:tc>
        <w:tc>
          <w:tcPr>
            <w:tcW w:w="6804" w:type="dxa"/>
            <w:vAlign w:val="center"/>
          </w:tcPr>
          <w:p>
            <w:pPr>
              <w:pStyle w:val="48"/>
              <w:spacing w:before="50" w:after="50"/>
              <w:ind w:left="105" w:leftChars="50" w:right="105" w:rightChars="50"/>
              <w:jc w:val="both"/>
              <w:rPr>
                <w:rFonts w:hint="eastAsia"/>
                <w:color w:val="auto"/>
                <w:highlight w:val="none"/>
                <w:lang w:eastAsia="zh-CN"/>
              </w:rPr>
            </w:pPr>
            <w:r>
              <w:rPr>
                <w:rFonts w:hint="eastAsia"/>
                <w:color w:val="auto"/>
                <w:spacing w:val="9"/>
                <w:highlight w:val="none"/>
                <w:lang w:eastAsia="zh-CN"/>
              </w:rPr>
              <w:t>被行政主管部门审查整顿并记录在案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4" w:hRule="atLeast"/>
        </w:trPr>
        <w:tc>
          <w:tcPr>
            <w:tcW w:w="1029" w:type="dxa"/>
            <w:gridSpan w:val="2"/>
            <w:vAlign w:val="center"/>
          </w:tcPr>
          <w:p>
            <w:pPr>
              <w:pStyle w:val="48"/>
              <w:spacing w:before="120" w:beforeLines="50" w:after="120" w:afterLines="50"/>
              <w:ind w:left="105" w:leftChars="50" w:right="105" w:rightChars="50"/>
              <w:jc w:val="center"/>
              <w:rPr>
                <w:rFonts w:hint="eastAsia"/>
                <w:color w:val="auto"/>
                <w:highlight w:val="none"/>
              </w:rPr>
            </w:pPr>
            <w:r>
              <w:rPr>
                <w:rFonts w:hint="eastAsia"/>
                <w:color w:val="auto"/>
                <w:spacing w:val="-2"/>
                <w:highlight w:val="none"/>
              </w:rPr>
              <w:t>10.3</w:t>
            </w:r>
          </w:p>
        </w:tc>
        <w:tc>
          <w:tcPr>
            <w:tcW w:w="2093" w:type="dxa"/>
            <w:vAlign w:val="center"/>
          </w:tcPr>
          <w:p>
            <w:pPr>
              <w:pStyle w:val="48"/>
              <w:spacing w:before="120" w:beforeLines="50" w:after="120" w:afterLines="50"/>
              <w:ind w:left="105" w:leftChars="50" w:right="105" w:rightChars="50"/>
              <w:jc w:val="center"/>
              <w:rPr>
                <w:rFonts w:hint="eastAsia"/>
                <w:color w:val="auto"/>
                <w:highlight w:val="none"/>
                <w:lang w:eastAsia="zh-CN"/>
              </w:rPr>
            </w:pPr>
            <w:r>
              <w:rPr>
                <w:rFonts w:hint="eastAsia"/>
                <w:color w:val="auto"/>
                <w:spacing w:val="8"/>
                <w:highlight w:val="none"/>
                <w:lang w:eastAsia="zh-CN"/>
              </w:rPr>
              <w:t>供应商代表出席开标会</w:t>
            </w:r>
          </w:p>
        </w:tc>
        <w:tc>
          <w:tcPr>
            <w:tcW w:w="6804" w:type="dxa"/>
            <w:vAlign w:val="center"/>
          </w:tcPr>
          <w:p>
            <w:pPr>
              <w:pStyle w:val="48"/>
              <w:keepNext w:val="0"/>
              <w:keepLines w:val="0"/>
              <w:pageBreakBefore w:val="0"/>
              <w:widowControl/>
              <w:kinsoku/>
              <w:wordWrap/>
              <w:overflowPunct/>
              <w:topLinePunct w:val="0"/>
              <w:autoSpaceDE w:val="0"/>
              <w:autoSpaceDN w:val="0"/>
              <w:bidi w:val="0"/>
              <w:adjustRightInd w:val="0"/>
              <w:snapToGrid w:val="0"/>
              <w:spacing w:before="50" w:after="50"/>
              <w:ind w:left="105" w:leftChars="50" w:right="105" w:rightChars="50"/>
              <w:textAlignment w:val="baseline"/>
              <w:rPr>
                <w:rFonts w:hint="eastAsia"/>
                <w:color w:val="auto"/>
                <w:highlight w:val="none"/>
                <w:lang w:eastAsia="zh-CN"/>
              </w:rPr>
            </w:pPr>
            <w:r>
              <w:rPr>
                <w:rFonts w:hint="eastAsia"/>
                <w:color w:val="auto"/>
                <w:spacing w:val="8"/>
                <w:highlight w:val="none"/>
                <w:lang w:eastAsia="zh-CN"/>
              </w:rPr>
              <w:t>本项目采取网上招标、网上投标、CA锁可以远程解密的方式进行不见面开标；在开标当天，供应商拟派代表务必于开标前提前进入政采云平台开标大厅，迟到者将按无效投标处理。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3" w:hRule="atLeast"/>
        </w:trPr>
        <w:tc>
          <w:tcPr>
            <w:tcW w:w="1029" w:type="dxa"/>
            <w:gridSpan w:val="2"/>
            <w:vAlign w:val="center"/>
          </w:tcPr>
          <w:p>
            <w:pPr>
              <w:pStyle w:val="48"/>
              <w:spacing w:before="120" w:beforeLines="50" w:after="120" w:afterLines="50"/>
              <w:ind w:left="105" w:leftChars="50" w:right="105" w:rightChars="50"/>
              <w:jc w:val="center"/>
              <w:rPr>
                <w:rFonts w:hint="eastAsia"/>
                <w:color w:val="auto"/>
                <w:spacing w:val="-2"/>
                <w:highlight w:val="none"/>
              </w:rPr>
            </w:pPr>
            <w:r>
              <w:rPr>
                <w:rFonts w:hint="eastAsia"/>
                <w:color w:val="auto"/>
                <w:spacing w:val="-2"/>
                <w:highlight w:val="none"/>
              </w:rPr>
              <w:t>10.4</w:t>
            </w:r>
          </w:p>
        </w:tc>
        <w:tc>
          <w:tcPr>
            <w:tcW w:w="2093" w:type="dxa"/>
            <w:vAlign w:val="center"/>
          </w:tcPr>
          <w:p>
            <w:pPr>
              <w:pStyle w:val="48"/>
              <w:spacing w:before="120" w:beforeLines="50" w:after="120" w:afterLines="50"/>
              <w:ind w:left="105" w:leftChars="50" w:right="105" w:rightChars="50"/>
              <w:jc w:val="center"/>
              <w:rPr>
                <w:rFonts w:hint="eastAsia"/>
                <w:color w:val="auto"/>
                <w:spacing w:val="8"/>
                <w:highlight w:val="none"/>
                <w:lang w:eastAsia="zh-CN"/>
              </w:rPr>
            </w:pPr>
            <w:r>
              <w:rPr>
                <w:rFonts w:hint="eastAsia"/>
                <w:color w:val="auto"/>
                <w:spacing w:val="6"/>
                <w:highlight w:val="none"/>
              </w:rPr>
              <w:t>知识产权</w:t>
            </w:r>
          </w:p>
        </w:tc>
        <w:tc>
          <w:tcPr>
            <w:tcW w:w="6804" w:type="dxa"/>
          </w:tcPr>
          <w:p>
            <w:pPr>
              <w:pStyle w:val="48"/>
              <w:spacing w:before="50" w:after="50"/>
              <w:ind w:left="105" w:leftChars="50" w:right="105" w:rightChars="50" w:firstLine="1"/>
              <w:jc w:val="both"/>
              <w:rPr>
                <w:rFonts w:hint="eastAsia"/>
                <w:color w:val="auto"/>
                <w:spacing w:val="8"/>
                <w:highlight w:val="none"/>
                <w:lang w:eastAsia="zh-CN"/>
              </w:rPr>
            </w:pPr>
            <w:r>
              <w:rPr>
                <w:rFonts w:hint="eastAsia"/>
                <w:color w:val="auto"/>
                <w:spacing w:val="8"/>
                <w:highlight w:val="none"/>
                <w:lang w:eastAsia="zh-CN"/>
              </w:rPr>
              <w:t>构成本磋商文件各个组成部分的文件，未经采购人书面同意，供应商不得擅自复印和用于非本招标项目所需的其他目的。采购人全部或者部分使用未中标人响应文件中的技术成果或技术方案时，需征得其书面同意，并不得擅自复印或提供给第三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trPr>
        <w:tc>
          <w:tcPr>
            <w:tcW w:w="1029" w:type="dxa"/>
            <w:gridSpan w:val="2"/>
            <w:vAlign w:val="center"/>
          </w:tcPr>
          <w:p>
            <w:pPr>
              <w:pStyle w:val="48"/>
              <w:spacing w:before="120" w:beforeLines="50" w:after="120" w:afterLines="50"/>
              <w:ind w:left="105" w:leftChars="50" w:right="105" w:rightChars="50"/>
              <w:jc w:val="center"/>
              <w:rPr>
                <w:rFonts w:hint="eastAsia"/>
                <w:color w:val="auto"/>
                <w:spacing w:val="-2"/>
                <w:highlight w:val="none"/>
              </w:rPr>
            </w:pPr>
            <w:r>
              <w:rPr>
                <w:rFonts w:hint="eastAsia"/>
                <w:color w:val="auto"/>
                <w:spacing w:val="-2"/>
                <w:highlight w:val="none"/>
              </w:rPr>
              <w:t>10.5</w:t>
            </w:r>
          </w:p>
        </w:tc>
        <w:tc>
          <w:tcPr>
            <w:tcW w:w="2093" w:type="dxa"/>
            <w:vAlign w:val="center"/>
          </w:tcPr>
          <w:p>
            <w:pPr>
              <w:pStyle w:val="48"/>
              <w:spacing w:before="120" w:beforeLines="50" w:after="120" w:afterLines="50"/>
              <w:ind w:left="105" w:leftChars="50" w:right="105" w:rightChars="50"/>
              <w:jc w:val="center"/>
              <w:rPr>
                <w:rFonts w:hint="eastAsia"/>
                <w:color w:val="auto"/>
                <w:spacing w:val="8"/>
                <w:highlight w:val="none"/>
                <w:lang w:eastAsia="zh-CN"/>
              </w:rPr>
            </w:pPr>
            <w:r>
              <w:rPr>
                <w:rFonts w:hint="eastAsia"/>
                <w:color w:val="auto"/>
                <w:spacing w:val="8"/>
                <w:highlight w:val="none"/>
              </w:rPr>
              <w:t>重新招标的其他情形</w:t>
            </w:r>
          </w:p>
        </w:tc>
        <w:tc>
          <w:tcPr>
            <w:tcW w:w="6804" w:type="dxa"/>
          </w:tcPr>
          <w:p>
            <w:pPr>
              <w:pStyle w:val="48"/>
              <w:spacing w:before="50" w:after="50"/>
              <w:ind w:left="105" w:leftChars="50" w:right="105" w:rightChars="50" w:firstLine="13"/>
              <w:rPr>
                <w:rFonts w:hint="eastAsia"/>
                <w:color w:val="auto"/>
                <w:spacing w:val="8"/>
                <w:highlight w:val="none"/>
                <w:lang w:eastAsia="zh-CN"/>
              </w:rPr>
            </w:pPr>
            <w:r>
              <w:rPr>
                <w:rFonts w:hint="eastAsia"/>
                <w:color w:val="auto"/>
                <w:spacing w:val="11"/>
                <w:highlight w:val="none"/>
                <w:lang w:eastAsia="zh-CN"/>
              </w:rPr>
              <w:t>除供应商须知正文第8条规定的情形外，除非已经产生中标候选</w:t>
            </w:r>
            <w:r>
              <w:rPr>
                <w:rFonts w:hint="eastAsia"/>
                <w:color w:val="auto"/>
                <w:spacing w:val="10"/>
                <w:highlight w:val="none"/>
                <w:lang w:eastAsia="zh-CN"/>
              </w:rPr>
              <w:t>人，</w:t>
            </w:r>
            <w:r>
              <w:rPr>
                <w:rFonts w:hint="eastAsia"/>
                <w:color w:val="auto"/>
                <w:spacing w:val="8"/>
                <w:highlight w:val="none"/>
                <w:lang w:eastAsia="zh-CN"/>
              </w:rPr>
              <w:t>在投标有效期内同意延长投标有效期的供应商少于三个的，采购人应</w:t>
            </w:r>
            <w:r>
              <w:rPr>
                <w:rFonts w:hint="eastAsia"/>
                <w:color w:val="auto"/>
                <w:spacing w:val="7"/>
                <w:highlight w:val="none"/>
                <w:lang w:eastAsia="zh-CN"/>
              </w:rPr>
              <w:t>当依法重新招标。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trPr>
        <w:tc>
          <w:tcPr>
            <w:tcW w:w="1023" w:type="dxa"/>
            <w:vAlign w:val="center"/>
          </w:tcPr>
          <w:p>
            <w:pPr>
              <w:pStyle w:val="48"/>
              <w:spacing w:before="120" w:beforeLines="50" w:after="120" w:afterLines="50"/>
              <w:ind w:left="105" w:leftChars="50" w:right="105" w:rightChars="50"/>
              <w:jc w:val="center"/>
              <w:rPr>
                <w:rFonts w:hint="eastAsia"/>
                <w:color w:val="auto"/>
                <w:highlight w:val="none"/>
              </w:rPr>
            </w:pPr>
            <w:r>
              <w:rPr>
                <w:rFonts w:hint="eastAsia"/>
                <w:color w:val="auto"/>
                <w:spacing w:val="-2"/>
                <w:highlight w:val="none"/>
                <w:lang w:eastAsia="zh-CN"/>
              </w:rPr>
              <w:t>1</w:t>
            </w:r>
            <w:r>
              <w:rPr>
                <w:rFonts w:hint="eastAsia"/>
                <w:color w:val="auto"/>
                <w:spacing w:val="-2"/>
                <w:highlight w:val="none"/>
              </w:rPr>
              <w:t>0.6</w:t>
            </w:r>
          </w:p>
        </w:tc>
        <w:tc>
          <w:tcPr>
            <w:tcW w:w="2099" w:type="dxa"/>
            <w:gridSpan w:val="2"/>
            <w:vAlign w:val="center"/>
          </w:tcPr>
          <w:p>
            <w:pPr>
              <w:pStyle w:val="48"/>
              <w:spacing w:before="120" w:beforeLines="50" w:after="120" w:afterLines="50"/>
              <w:ind w:left="105" w:leftChars="50" w:right="105" w:rightChars="50"/>
              <w:jc w:val="center"/>
              <w:rPr>
                <w:rFonts w:hint="eastAsia"/>
                <w:color w:val="auto"/>
                <w:highlight w:val="none"/>
              </w:rPr>
            </w:pPr>
            <w:r>
              <w:rPr>
                <w:rFonts w:hint="eastAsia"/>
                <w:color w:val="auto"/>
                <w:spacing w:val="2"/>
                <w:highlight w:val="none"/>
              </w:rPr>
              <w:t>同义词语</w:t>
            </w:r>
          </w:p>
        </w:tc>
        <w:tc>
          <w:tcPr>
            <w:tcW w:w="6804" w:type="dxa"/>
            <w:vAlign w:val="center"/>
          </w:tcPr>
          <w:p>
            <w:pPr>
              <w:pStyle w:val="48"/>
              <w:spacing w:before="50" w:after="50"/>
              <w:ind w:left="105" w:leftChars="50" w:right="105" w:rightChars="50" w:firstLine="2"/>
              <w:jc w:val="both"/>
              <w:rPr>
                <w:rFonts w:hint="eastAsia"/>
                <w:color w:val="auto"/>
                <w:highlight w:val="none"/>
                <w:lang w:eastAsia="zh-CN"/>
              </w:rPr>
            </w:pPr>
            <w:r>
              <w:rPr>
                <w:rFonts w:hint="eastAsia"/>
                <w:color w:val="auto"/>
                <w:spacing w:val="6"/>
                <w:highlight w:val="none"/>
                <w:lang w:eastAsia="zh-CN"/>
              </w:rPr>
              <w:t>构成磋商文件组成部分的“通用合同条款”、“专用合同条款”</w:t>
            </w:r>
            <w:r>
              <w:rPr>
                <w:rFonts w:hint="eastAsia"/>
                <w:color w:val="auto"/>
                <w:spacing w:val="5"/>
                <w:highlight w:val="none"/>
                <w:lang w:eastAsia="zh-CN"/>
              </w:rPr>
              <w:t>等章</w:t>
            </w:r>
            <w:r>
              <w:rPr>
                <w:rFonts w:hint="eastAsia"/>
                <w:color w:val="auto"/>
                <w:spacing w:val="6"/>
                <w:highlight w:val="none"/>
                <w:lang w:eastAsia="zh-CN"/>
              </w:rPr>
              <w:t>节中出现的措辞“发包人”和“承包人”，在招标投标阶段应当分别</w:t>
            </w:r>
            <w:r>
              <w:rPr>
                <w:rFonts w:hint="eastAsia"/>
                <w:color w:val="auto"/>
                <w:spacing w:val="5"/>
                <w:highlight w:val="none"/>
                <w:lang w:eastAsia="zh-CN"/>
              </w:rPr>
              <w:t>按“采购人”和“供应商”进行理解。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023" w:type="dxa"/>
            <w:vAlign w:val="center"/>
          </w:tcPr>
          <w:p>
            <w:pPr>
              <w:pStyle w:val="48"/>
              <w:spacing w:before="120" w:beforeLines="50" w:after="120" w:afterLines="50"/>
              <w:ind w:left="105" w:leftChars="50" w:right="105" w:rightChars="50"/>
              <w:jc w:val="center"/>
              <w:rPr>
                <w:rFonts w:hint="eastAsia"/>
                <w:color w:val="auto"/>
                <w:highlight w:val="none"/>
              </w:rPr>
            </w:pPr>
            <w:r>
              <w:rPr>
                <w:rFonts w:hint="eastAsia"/>
                <w:color w:val="auto"/>
                <w:spacing w:val="-2"/>
                <w:highlight w:val="none"/>
              </w:rPr>
              <w:t>10.7</w:t>
            </w:r>
          </w:p>
        </w:tc>
        <w:tc>
          <w:tcPr>
            <w:tcW w:w="2099" w:type="dxa"/>
            <w:gridSpan w:val="2"/>
            <w:vAlign w:val="center"/>
          </w:tcPr>
          <w:p>
            <w:pPr>
              <w:pStyle w:val="48"/>
              <w:spacing w:before="120" w:beforeLines="50" w:after="120" w:afterLines="50"/>
              <w:ind w:left="105" w:leftChars="50" w:right="105" w:rightChars="50"/>
              <w:jc w:val="center"/>
              <w:rPr>
                <w:rFonts w:hint="eastAsia"/>
                <w:color w:val="auto"/>
                <w:highlight w:val="none"/>
              </w:rPr>
            </w:pPr>
            <w:r>
              <w:rPr>
                <w:rFonts w:hint="eastAsia"/>
                <w:color w:val="auto"/>
                <w:spacing w:val="4"/>
                <w:highlight w:val="none"/>
              </w:rPr>
              <w:t>监督</w:t>
            </w:r>
          </w:p>
        </w:tc>
        <w:tc>
          <w:tcPr>
            <w:tcW w:w="6804" w:type="dxa"/>
          </w:tcPr>
          <w:p>
            <w:pPr>
              <w:pStyle w:val="48"/>
              <w:spacing w:before="50" w:after="50"/>
              <w:ind w:left="121" w:leftChars="50" w:right="105" w:rightChars="50" w:hanging="16"/>
              <w:rPr>
                <w:rFonts w:hint="eastAsia"/>
                <w:color w:val="auto"/>
                <w:highlight w:val="none"/>
                <w:lang w:eastAsia="zh-CN"/>
              </w:rPr>
            </w:pPr>
            <w:r>
              <w:rPr>
                <w:rFonts w:hint="eastAsia"/>
                <w:color w:val="auto"/>
                <w:spacing w:val="9"/>
                <w:highlight w:val="none"/>
                <w:lang w:eastAsia="zh-CN"/>
              </w:rPr>
              <w:t>本项目的招标投标活动及其相关当事人应当接受监督部门依法实施</w:t>
            </w:r>
            <w:r>
              <w:rPr>
                <w:rFonts w:hint="eastAsia"/>
                <w:color w:val="auto"/>
                <w:highlight w:val="none"/>
                <w:lang w:eastAsia="zh-CN"/>
              </w:rPr>
              <w:t>的监督。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9" w:hRule="atLeast"/>
        </w:trPr>
        <w:tc>
          <w:tcPr>
            <w:tcW w:w="1023" w:type="dxa"/>
            <w:vAlign w:val="center"/>
          </w:tcPr>
          <w:p>
            <w:pPr>
              <w:pStyle w:val="48"/>
              <w:spacing w:before="120" w:beforeLines="50" w:after="120" w:afterLines="50"/>
              <w:ind w:left="105" w:leftChars="50" w:right="105" w:rightChars="50"/>
              <w:jc w:val="center"/>
              <w:rPr>
                <w:rFonts w:hint="eastAsia"/>
                <w:color w:val="auto"/>
                <w:highlight w:val="none"/>
              </w:rPr>
            </w:pPr>
            <w:r>
              <w:rPr>
                <w:rFonts w:hint="eastAsia"/>
                <w:color w:val="auto"/>
                <w:spacing w:val="-2"/>
                <w:highlight w:val="none"/>
              </w:rPr>
              <w:t>10.8</w:t>
            </w:r>
          </w:p>
        </w:tc>
        <w:tc>
          <w:tcPr>
            <w:tcW w:w="2099" w:type="dxa"/>
            <w:gridSpan w:val="2"/>
            <w:vAlign w:val="center"/>
          </w:tcPr>
          <w:p>
            <w:pPr>
              <w:pStyle w:val="48"/>
              <w:spacing w:before="120" w:beforeLines="50" w:after="120" w:afterLines="50"/>
              <w:ind w:left="105" w:leftChars="50" w:right="105" w:rightChars="50"/>
              <w:jc w:val="center"/>
              <w:rPr>
                <w:rFonts w:hint="eastAsia"/>
                <w:color w:val="auto"/>
                <w:highlight w:val="none"/>
              </w:rPr>
            </w:pPr>
            <w:r>
              <w:rPr>
                <w:rFonts w:hint="eastAsia"/>
                <w:color w:val="auto"/>
                <w:spacing w:val="7"/>
                <w:highlight w:val="none"/>
              </w:rPr>
              <w:t>解释权</w:t>
            </w:r>
          </w:p>
        </w:tc>
        <w:tc>
          <w:tcPr>
            <w:tcW w:w="6804" w:type="dxa"/>
          </w:tcPr>
          <w:p>
            <w:pPr>
              <w:pStyle w:val="48"/>
              <w:spacing w:before="50" w:after="50"/>
              <w:ind w:left="105" w:leftChars="50" w:right="105" w:rightChars="50" w:firstLine="1"/>
              <w:rPr>
                <w:rFonts w:hint="eastAsia"/>
                <w:color w:val="auto"/>
                <w:highlight w:val="none"/>
                <w:lang w:eastAsia="zh-CN"/>
              </w:rPr>
            </w:pPr>
            <w:r>
              <w:rPr>
                <w:rFonts w:hint="eastAsia"/>
                <w:color w:val="auto"/>
                <w:spacing w:val="8"/>
                <w:highlight w:val="none"/>
                <w:lang w:eastAsia="zh-CN"/>
              </w:rPr>
              <w:t>构成本磋商文件的各个组成文件应互为解释，互为说明；如有不</w:t>
            </w:r>
            <w:r>
              <w:rPr>
                <w:rFonts w:hint="eastAsia"/>
                <w:color w:val="auto"/>
                <w:spacing w:val="7"/>
                <w:highlight w:val="none"/>
                <w:lang w:eastAsia="zh-CN"/>
              </w:rPr>
              <w:t>明确</w:t>
            </w:r>
            <w:r>
              <w:rPr>
                <w:rFonts w:hint="eastAsia"/>
                <w:color w:val="auto"/>
                <w:spacing w:val="8"/>
                <w:highlight w:val="none"/>
                <w:lang w:eastAsia="zh-CN"/>
              </w:rPr>
              <w:t>或不一致，构成合同文件组成内容，以合同文件约定内容为准，且以专用合同条款约定的合同文件优先顺序解释；除磋商文件中有特别规定外，仅适用招标投标阶段的规定，按磋商公告（投标邀请书）、供应商须知、评标办法、响应文件格式的先后顺序解释；同一组成文件中就同一事项的规定或约定不一致的，以编排顺序在后者为准；同一组成文件中不同版本之间有不一致的，以形成时间在后者为准。按本</w:t>
            </w:r>
            <w:r>
              <w:rPr>
                <w:rFonts w:hint="eastAsia"/>
                <w:color w:val="auto"/>
                <w:spacing w:val="7"/>
                <w:highlight w:val="none"/>
                <w:lang w:eastAsia="zh-CN"/>
              </w:rPr>
              <w:t>款前述规定仍不能形成结论的，由采购人负责解释。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8" w:hRule="atLeast"/>
        </w:trPr>
        <w:tc>
          <w:tcPr>
            <w:tcW w:w="1023" w:type="dxa"/>
            <w:vAlign w:val="center"/>
          </w:tcPr>
          <w:p>
            <w:pPr>
              <w:pStyle w:val="48"/>
              <w:spacing w:before="120" w:beforeLines="50" w:after="120" w:afterLines="50"/>
              <w:ind w:left="105" w:leftChars="50" w:right="105" w:rightChars="50"/>
              <w:jc w:val="center"/>
              <w:rPr>
                <w:rFonts w:hint="eastAsia"/>
                <w:color w:val="auto"/>
                <w:highlight w:val="none"/>
              </w:rPr>
            </w:pPr>
            <w:r>
              <w:rPr>
                <w:rFonts w:hint="eastAsia"/>
                <w:color w:val="auto"/>
                <w:spacing w:val="-2"/>
                <w:highlight w:val="none"/>
              </w:rPr>
              <w:t>10.9</w:t>
            </w:r>
          </w:p>
        </w:tc>
        <w:tc>
          <w:tcPr>
            <w:tcW w:w="2099" w:type="dxa"/>
            <w:gridSpan w:val="2"/>
            <w:vAlign w:val="center"/>
          </w:tcPr>
          <w:p>
            <w:pPr>
              <w:pStyle w:val="48"/>
              <w:spacing w:before="120" w:beforeLines="50" w:after="120" w:afterLines="50"/>
              <w:ind w:left="105" w:leftChars="50" w:right="105" w:rightChars="50"/>
              <w:jc w:val="center"/>
              <w:rPr>
                <w:rFonts w:hint="eastAsia"/>
                <w:color w:val="auto"/>
                <w:highlight w:val="none"/>
              </w:rPr>
            </w:pPr>
            <w:r>
              <w:rPr>
                <w:rFonts w:hint="eastAsia"/>
                <w:color w:val="auto"/>
                <w:spacing w:val="7"/>
                <w:highlight w:val="none"/>
              </w:rPr>
              <w:t>评审方法</w:t>
            </w:r>
          </w:p>
        </w:tc>
        <w:tc>
          <w:tcPr>
            <w:tcW w:w="6804" w:type="dxa"/>
          </w:tcPr>
          <w:p>
            <w:pPr>
              <w:pStyle w:val="48"/>
              <w:spacing w:before="50" w:after="50"/>
              <w:ind w:left="105" w:leftChars="50" w:right="105" w:rightChars="50"/>
              <w:rPr>
                <w:rFonts w:hint="eastAsia"/>
                <w:color w:val="auto"/>
                <w:highlight w:val="none"/>
                <w:lang w:eastAsia="zh-CN"/>
              </w:rPr>
            </w:pPr>
            <w:r>
              <w:rPr>
                <w:rFonts w:hint="eastAsia"/>
                <w:color w:val="auto"/>
                <w:spacing w:val="9"/>
                <w:highlight w:val="none"/>
                <w:lang w:eastAsia="zh-CN"/>
              </w:rPr>
              <w:t>评标委员会成员对每个供应商的响应文件赋完分</w:t>
            </w:r>
            <w:r>
              <w:rPr>
                <w:rFonts w:hint="eastAsia"/>
                <w:color w:val="auto"/>
                <w:spacing w:val="8"/>
                <w:highlight w:val="none"/>
                <w:lang w:eastAsia="zh-CN"/>
              </w:rPr>
              <w:t>值后的算术平均值，</w:t>
            </w:r>
            <w:r>
              <w:rPr>
                <w:rFonts w:hint="eastAsia"/>
                <w:color w:val="auto"/>
                <w:spacing w:val="10"/>
                <w:highlight w:val="none"/>
                <w:lang w:eastAsia="zh-CN"/>
              </w:rPr>
              <w:t>做为该供应商的最后综合得分。按国家《招标投标</w:t>
            </w:r>
            <w:r>
              <w:rPr>
                <w:rFonts w:hint="eastAsia"/>
                <w:color w:val="auto"/>
                <w:spacing w:val="9"/>
                <w:highlight w:val="none"/>
                <w:lang w:eastAsia="zh-CN"/>
              </w:rPr>
              <w:t>法》第41条第1</w:t>
            </w:r>
            <w:r>
              <w:rPr>
                <w:rFonts w:hint="eastAsia"/>
                <w:color w:val="auto"/>
                <w:spacing w:val="11"/>
                <w:highlight w:val="none"/>
                <w:lang w:eastAsia="zh-CN"/>
              </w:rPr>
              <w:t>款关于“能够最大限度地满足磋商文件中规定的</w:t>
            </w:r>
            <w:r>
              <w:rPr>
                <w:rFonts w:hint="eastAsia"/>
                <w:color w:val="auto"/>
                <w:spacing w:val="10"/>
                <w:highlight w:val="none"/>
                <w:lang w:eastAsia="zh-CN"/>
              </w:rPr>
              <w:t>各项综合评价标准”</w:t>
            </w:r>
            <w:r>
              <w:rPr>
                <w:rFonts w:hint="eastAsia"/>
                <w:color w:val="auto"/>
                <w:spacing w:val="7"/>
                <w:highlight w:val="none"/>
                <w:lang w:eastAsia="zh-CN"/>
              </w:rPr>
              <w:t>的原则，根据综合评审结果，评委会受采购人授</w:t>
            </w:r>
            <w:r>
              <w:rPr>
                <w:rFonts w:hint="eastAsia"/>
                <w:color w:val="auto"/>
                <w:spacing w:val="6"/>
                <w:highlight w:val="none"/>
                <w:lang w:eastAsia="zh-CN"/>
              </w:rPr>
              <w:t>权，按照综合得分由高到低的顺序，向采购人推荐1名中标人。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023" w:type="dxa"/>
          </w:tcPr>
          <w:p>
            <w:pPr>
              <w:pStyle w:val="48"/>
              <w:spacing w:before="50" w:after="50"/>
              <w:ind w:left="105" w:leftChars="50" w:right="105" w:rightChars="50"/>
              <w:jc w:val="center"/>
              <w:rPr>
                <w:rFonts w:hint="eastAsia"/>
                <w:color w:val="auto"/>
                <w:highlight w:val="none"/>
              </w:rPr>
            </w:pPr>
            <w:r>
              <w:rPr>
                <w:rFonts w:hint="eastAsia"/>
                <w:color w:val="auto"/>
                <w:highlight w:val="none"/>
              </w:rPr>
              <w:t>10.10</w:t>
            </w:r>
          </w:p>
        </w:tc>
        <w:tc>
          <w:tcPr>
            <w:tcW w:w="2099" w:type="dxa"/>
            <w:gridSpan w:val="2"/>
          </w:tcPr>
          <w:p>
            <w:pPr>
              <w:pStyle w:val="48"/>
              <w:spacing w:before="50" w:after="50"/>
              <w:ind w:left="105" w:leftChars="50" w:right="105" w:rightChars="50"/>
              <w:jc w:val="center"/>
              <w:rPr>
                <w:rFonts w:hint="eastAsia"/>
                <w:color w:val="auto"/>
                <w:highlight w:val="none"/>
              </w:rPr>
            </w:pPr>
            <w:r>
              <w:rPr>
                <w:rFonts w:hint="eastAsia"/>
                <w:color w:val="auto"/>
                <w:spacing w:val="8"/>
                <w:highlight w:val="none"/>
              </w:rPr>
              <w:t>合同及付款方式</w:t>
            </w:r>
          </w:p>
        </w:tc>
        <w:tc>
          <w:tcPr>
            <w:tcW w:w="6804" w:type="dxa"/>
          </w:tcPr>
          <w:p>
            <w:pPr>
              <w:pStyle w:val="48"/>
              <w:spacing w:before="50" w:after="50"/>
              <w:ind w:left="105" w:leftChars="50" w:right="105" w:rightChars="50"/>
              <w:rPr>
                <w:rFonts w:hint="eastAsia"/>
                <w:color w:val="auto"/>
                <w:highlight w:val="none"/>
                <w:lang w:eastAsia="zh-CN"/>
              </w:rPr>
            </w:pPr>
            <w:r>
              <w:rPr>
                <w:rFonts w:hint="eastAsia"/>
                <w:color w:val="auto"/>
                <w:spacing w:val="6"/>
                <w:highlight w:val="none"/>
                <w:lang w:eastAsia="zh-CN"/>
              </w:rPr>
              <w:t>以实际签订的合同为准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023" w:type="dxa"/>
          </w:tcPr>
          <w:p>
            <w:pPr>
              <w:pStyle w:val="48"/>
              <w:spacing w:before="50" w:after="50"/>
              <w:ind w:left="105" w:leftChars="50" w:right="105" w:rightChars="50"/>
              <w:jc w:val="center"/>
              <w:rPr>
                <w:rFonts w:hint="eastAsia"/>
                <w:color w:val="auto"/>
                <w:highlight w:val="none"/>
                <w:lang w:eastAsia="zh-CN"/>
              </w:rPr>
            </w:pPr>
            <w:r>
              <w:rPr>
                <w:rFonts w:hint="eastAsia"/>
                <w:color w:val="auto"/>
                <w:highlight w:val="none"/>
              </w:rPr>
              <w:t>10.1</w:t>
            </w:r>
            <w:r>
              <w:rPr>
                <w:rFonts w:hint="eastAsia"/>
                <w:color w:val="auto"/>
                <w:highlight w:val="none"/>
                <w:lang w:eastAsia="zh-CN"/>
              </w:rPr>
              <w:t>1</w:t>
            </w:r>
          </w:p>
        </w:tc>
        <w:tc>
          <w:tcPr>
            <w:tcW w:w="8903" w:type="dxa"/>
            <w:gridSpan w:val="3"/>
          </w:tcPr>
          <w:p>
            <w:pPr>
              <w:pStyle w:val="48"/>
              <w:spacing w:before="50" w:after="50"/>
              <w:ind w:left="105" w:leftChars="50" w:right="105" w:rightChars="50"/>
              <w:rPr>
                <w:rFonts w:hint="eastAsia"/>
                <w:color w:val="auto"/>
                <w:spacing w:val="6"/>
                <w:highlight w:val="none"/>
                <w:lang w:eastAsia="zh-CN"/>
              </w:rPr>
            </w:pPr>
            <w:r>
              <w:rPr>
                <w:rFonts w:hint="eastAsia"/>
                <w:color w:val="auto"/>
                <w:spacing w:val="9"/>
                <w:highlight w:val="none"/>
                <w:lang w:eastAsia="zh-CN"/>
              </w:rPr>
              <w:t>招标代理服务费：招标代理服务费由中标单位交纳</w:t>
            </w:r>
            <w:r>
              <w:rPr>
                <w:color w:val="auto"/>
                <w:spacing w:val="9"/>
                <w:highlight w:val="none"/>
                <w:lang w:eastAsia="zh-CN"/>
              </w:rPr>
              <w:t>,</w:t>
            </w:r>
            <w:r>
              <w:rPr>
                <w:rFonts w:hint="eastAsia"/>
                <w:color w:val="auto"/>
                <w:spacing w:val="9"/>
                <w:highlight w:val="none"/>
                <w:lang w:eastAsia="zh-CN"/>
              </w:rPr>
              <w:t>执行《国家发展改革委关于进一步放开建设项目专业服务价格的通知》（发改办价格</w:t>
            </w:r>
            <w:r>
              <w:rPr>
                <w:color w:val="auto"/>
                <w:spacing w:val="9"/>
                <w:highlight w:val="none"/>
                <w:lang w:eastAsia="zh-CN"/>
              </w:rPr>
              <w:t xml:space="preserve">[2015]299 </w:t>
            </w:r>
            <w:r>
              <w:rPr>
                <w:rFonts w:hint="eastAsia"/>
                <w:color w:val="auto"/>
                <w:spacing w:val="9"/>
                <w:highlight w:val="none"/>
                <w:lang w:eastAsia="zh-CN"/>
              </w:rPr>
              <w:t>号）的规定。招标代理服务费按中标价的</w:t>
            </w:r>
            <w:r>
              <w:rPr>
                <w:color w:val="auto"/>
                <w:spacing w:val="9"/>
                <w:highlight w:val="none"/>
                <w:lang w:eastAsia="zh-CN"/>
              </w:rPr>
              <w:t>1%</w:t>
            </w:r>
            <w:r>
              <w:rPr>
                <w:rFonts w:hint="eastAsia"/>
                <w:color w:val="auto"/>
                <w:spacing w:val="9"/>
                <w:highlight w:val="none"/>
                <w:lang w:eastAsia="zh-CN"/>
              </w:rPr>
              <w:t>收取，由招标代理机构向供应商收取，在中标人领取成交通知书时一次性缴纳。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023" w:type="dxa"/>
          </w:tcPr>
          <w:p>
            <w:pPr>
              <w:pStyle w:val="48"/>
              <w:spacing w:before="50" w:after="50"/>
              <w:ind w:left="105" w:leftChars="50" w:right="105" w:rightChars="50"/>
              <w:jc w:val="center"/>
              <w:rPr>
                <w:rFonts w:hint="eastAsia"/>
                <w:color w:val="auto"/>
                <w:highlight w:val="none"/>
                <w:lang w:eastAsia="zh-CN"/>
              </w:rPr>
            </w:pPr>
            <w:r>
              <w:rPr>
                <w:rFonts w:hint="eastAsia"/>
                <w:color w:val="auto"/>
                <w:highlight w:val="none"/>
              </w:rPr>
              <w:t>10.1</w:t>
            </w:r>
            <w:r>
              <w:rPr>
                <w:rFonts w:hint="eastAsia"/>
                <w:color w:val="auto"/>
                <w:highlight w:val="none"/>
                <w:lang w:eastAsia="zh-CN"/>
              </w:rPr>
              <w:t>2</w:t>
            </w:r>
          </w:p>
        </w:tc>
        <w:tc>
          <w:tcPr>
            <w:tcW w:w="8903" w:type="dxa"/>
            <w:gridSpan w:val="3"/>
          </w:tcPr>
          <w:p>
            <w:pPr>
              <w:pStyle w:val="48"/>
              <w:spacing w:before="50" w:after="50"/>
              <w:ind w:left="105" w:leftChars="50" w:right="105" w:rightChars="50"/>
              <w:rPr>
                <w:rFonts w:hint="eastAsia"/>
                <w:color w:val="auto"/>
                <w:highlight w:val="none"/>
                <w:lang w:eastAsia="zh-CN"/>
              </w:rPr>
            </w:pPr>
            <w:r>
              <w:rPr>
                <w:rFonts w:hint="eastAsia"/>
                <w:color w:val="auto"/>
                <w:spacing w:val="8"/>
                <w:highlight w:val="none"/>
                <w:lang w:eastAsia="zh-CN"/>
              </w:rPr>
              <w:t>磋商公告与磋商文件内容不一致时，以磋商文件内容为准</w:t>
            </w:r>
          </w:p>
        </w:tc>
      </w:tr>
    </w:tbl>
    <w:p>
      <w:pPr>
        <w:spacing w:line="360" w:lineRule="auto"/>
        <w:rPr>
          <w:rFonts w:hint="eastAsia" w:ascii="宋体" w:hAnsi="宋体" w:eastAsia="宋体" w:cs="宋体"/>
          <w:color w:val="auto"/>
          <w:sz w:val="24"/>
          <w:szCs w:val="24"/>
          <w:highlight w:val="none"/>
          <w:lang w:eastAsia="zh-CN"/>
        </w:rPr>
        <w:sectPr>
          <w:footerReference r:id="rId3" w:type="default"/>
          <w:pgSz w:w="11906" w:h="16839"/>
          <w:pgMar w:top="1360" w:right="1030" w:bottom="957" w:left="1029" w:header="0" w:footer="795" w:gutter="0"/>
          <w:pgNumType w:fmt="decimal" w:start="1"/>
          <w:cols w:space="720" w:num="1"/>
        </w:sectPr>
      </w:pPr>
    </w:p>
    <w:p>
      <w:pPr>
        <w:pStyle w:val="4"/>
        <w:bidi w:val="0"/>
        <w:jc w:val="left"/>
        <w:rPr>
          <w:rFonts w:hint="eastAsia"/>
          <w:color w:val="auto"/>
          <w:highlight w:val="none"/>
          <w:lang w:eastAsia="zh-CN"/>
        </w:rPr>
      </w:pPr>
      <w:bookmarkStart w:id="19" w:name="_Toc6063"/>
      <w:r>
        <w:rPr>
          <w:color w:val="auto"/>
          <w:highlight w:val="none"/>
          <w:lang w:eastAsia="zh-CN"/>
        </w:rPr>
        <w:t>1．总则</w:t>
      </w:r>
      <w:bookmarkEnd w:id="19"/>
    </w:p>
    <w:p>
      <w:pPr>
        <w:pStyle w:val="5"/>
        <w:bidi w:val="0"/>
        <w:jc w:val="left"/>
        <w:rPr>
          <w:rFonts w:hint="eastAsia"/>
          <w:color w:val="auto"/>
          <w:highlight w:val="none"/>
          <w:lang w:eastAsia="zh-CN"/>
        </w:rPr>
      </w:pPr>
      <w:bookmarkStart w:id="20" w:name="_Toc19596"/>
      <w:r>
        <w:rPr>
          <w:color w:val="auto"/>
          <w:highlight w:val="none"/>
          <w:lang w:eastAsia="zh-CN"/>
        </w:rPr>
        <w:t>1.1项目概况</w:t>
      </w:r>
      <w:bookmarkEnd w:id="20"/>
    </w:p>
    <w:p>
      <w:pPr>
        <w:pStyle w:val="2"/>
        <w:ind w:firstLine="480"/>
        <w:rPr>
          <w:rFonts w:hint="eastAsia"/>
          <w:color w:val="auto"/>
          <w:highlight w:val="none"/>
          <w:lang w:eastAsia="zh-CN"/>
        </w:rPr>
      </w:pPr>
      <w:r>
        <w:rPr>
          <w:rFonts w:hint="eastAsia"/>
          <w:color w:val="auto"/>
          <w:highlight w:val="none"/>
          <w:lang w:eastAsia="zh-CN"/>
        </w:rPr>
        <w:t>1.1.1根据《中华人民共和国招标投标法》、《中华人民共和国招标投标法实施条例》、《中华人民共和国政府采购法》和《中华人民共和国政府采购法实施条例》等有关法律、法规和规章的规定，本采购项目己具备招标条件，现对本项目施工监理进行竞争性磋商。</w:t>
      </w:r>
    </w:p>
    <w:p>
      <w:pPr>
        <w:pStyle w:val="2"/>
        <w:ind w:firstLine="480"/>
        <w:rPr>
          <w:rFonts w:hint="eastAsia"/>
          <w:color w:val="auto"/>
          <w:highlight w:val="none"/>
          <w:lang w:eastAsia="zh-CN"/>
        </w:rPr>
      </w:pPr>
      <w:r>
        <w:rPr>
          <w:rFonts w:hint="eastAsia"/>
          <w:color w:val="auto"/>
          <w:highlight w:val="none"/>
          <w:lang w:eastAsia="zh-CN"/>
        </w:rPr>
        <w:t>1.1.2本采购项目采购人：见供应商须知前附表。</w:t>
      </w:r>
    </w:p>
    <w:p>
      <w:pPr>
        <w:pStyle w:val="2"/>
        <w:ind w:firstLine="480"/>
        <w:rPr>
          <w:rFonts w:hint="eastAsia"/>
          <w:color w:val="auto"/>
          <w:highlight w:val="none"/>
          <w:lang w:eastAsia="zh-CN"/>
        </w:rPr>
      </w:pPr>
      <w:r>
        <w:rPr>
          <w:rFonts w:hint="eastAsia"/>
          <w:color w:val="auto"/>
          <w:highlight w:val="none"/>
          <w:lang w:eastAsia="zh-CN"/>
        </w:rPr>
        <w:t>1.1.3本标段采购代理机构：见供应商须知前附表。</w:t>
      </w:r>
    </w:p>
    <w:p>
      <w:pPr>
        <w:pStyle w:val="2"/>
        <w:ind w:firstLine="480"/>
        <w:rPr>
          <w:rFonts w:hint="eastAsia"/>
          <w:color w:val="auto"/>
          <w:highlight w:val="none"/>
          <w:lang w:eastAsia="zh-CN"/>
        </w:rPr>
      </w:pPr>
      <w:r>
        <w:rPr>
          <w:rFonts w:hint="eastAsia"/>
          <w:color w:val="auto"/>
          <w:highlight w:val="none"/>
          <w:lang w:eastAsia="zh-CN"/>
        </w:rPr>
        <w:t>1.1.4本采购项目名称：见供应商须知前附表。</w:t>
      </w:r>
    </w:p>
    <w:p>
      <w:pPr>
        <w:pStyle w:val="2"/>
        <w:ind w:firstLine="480"/>
        <w:rPr>
          <w:rFonts w:hint="eastAsia"/>
          <w:color w:val="auto"/>
          <w:highlight w:val="none"/>
          <w:lang w:eastAsia="zh-CN"/>
        </w:rPr>
      </w:pPr>
      <w:r>
        <w:rPr>
          <w:rFonts w:hint="eastAsia"/>
          <w:color w:val="auto"/>
          <w:highlight w:val="none"/>
          <w:lang w:eastAsia="zh-CN"/>
        </w:rPr>
        <w:t>1.1.5本标段建设地点：见供应商须知前附表。</w:t>
      </w:r>
    </w:p>
    <w:p>
      <w:pPr>
        <w:pStyle w:val="2"/>
        <w:ind w:firstLine="480"/>
        <w:rPr>
          <w:rFonts w:hint="eastAsia"/>
          <w:color w:val="auto"/>
          <w:highlight w:val="none"/>
          <w:lang w:eastAsia="zh-CN"/>
        </w:rPr>
      </w:pPr>
      <w:r>
        <w:rPr>
          <w:rFonts w:hint="eastAsia"/>
          <w:color w:val="auto"/>
          <w:highlight w:val="none"/>
          <w:lang w:eastAsia="zh-CN"/>
        </w:rPr>
        <w:t>1.1.6本标段监理范围：见供应商须知前附表。</w:t>
      </w:r>
    </w:p>
    <w:p>
      <w:pPr>
        <w:pStyle w:val="2"/>
        <w:ind w:firstLine="480"/>
        <w:rPr>
          <w:rFonts w:hint="eastAsia"/>
          <w:color w:val="auto"/>
          <w:sz w:val="28"/>
          <w:szCs w:val="28"/>
          <w:highlight w:val="none"/>
          <w:lang w:eastAsia="zh-CN"/>
        </w:rPr>
      </w:pPr>
      <w:r>
        <w:rPr>
          <w:rFonts w:hint="eastAsia"/>
          <w:color w:val="auto"/>
          <w:highlight w:val="none"/>
          <w:lang w:eastAsia="zh-CN"/>
        </w:rPr>
        <w:t>1.1.7本标段预算金额：见供应商须知前附表。</w:t>
      </w:r>
    </w:p>
    <w:p>
      <w:pPr>
        <w:pStyle w:val="5"/>
        <w:bidi w:val="0"/>
        <w:jc w:val="left"/>
        <w:rPr>
          <w:rFonts w:hint="eastAsia" w:eastAsia="宋体"/>
          <w:color w:val="auto"/>
          <w:highlight w:val="none"/>
          <w:lang w:eastAsia="zh-CN"/>
        </w:rPr>
      </w:pPr>
      <w:bookmarkStart w:id="21" w:name="_Toc30153"/>
      <w:r>
        <w:rPr>
          <w:rFonts w:hint="eastAsia" w:eastAsia="宋体"/>
          <w:color w:val="auto"/>
          <w:highlight w:val="none"/>
          <w:lang w:eastAsia="zh-CN"/>
        </w:rPr>
        <w:t>1.2资金来源和落实情况</w:t>
      </w:r>
      <w:bookmarkEnd w:id="21"/>
    </w:p>
    <w:p>
      <w:pPr>
        <w:pStyle w:val="2"/>
        <w:ind w:firstLine="480"/>
        <w:rPr>
          <w:rFonts w:hint="eastAsia"/>
          <w:color w:val="auto"/>
          <w:highlight w:val="none"/>
          <w:lang w:eastAsia="zh-CN"/>
        </w:rPr>
      </w:pPr>
      <w:r>
        <w:rPr>
          <w:rFonts w:hint="eastAsia"/>
          <w:color w:val="auto"/>
          <w:highlight w:val="none"/>
          <w:lang w:eastAsia="zh-CN"/>
        </w:rPr>
        <w:t>1.2.1本采购项目的资金来源：见供应商须知前附表。</w:t>
      </w:r>
    </w:p>
    <w:p>
      <w:pPr>
        <w:pStyle w:val="2"/>
        <w:ind w:firstLine="480"/>
        <w:rPr>
          <w:rFonts w:hint="eastAsia"/>
          <w:color w:val="auto"/>
          <w:highlight w:val="none"/>
          <w:lang w:eastAsia="zh-CN"/>
        </w:rPr>
      </w:pPr>
      <w:r>
        <w:rPr>
          <w:rFonts w:hint="eastAsia"/>
          <w:color w:val="auto"/>
          <w:highlight w:val="none"/>
          <w:lang w:eastAsia="zh-CN"/>
        </w:rPr>
        <w:t>1.2.2本采购项目的出资比例：见供应商须知前附表。</w:t>
      </w:r>
    </w:p>
    <w:p>
      <w:pPr>
        <w:pStyle w:val="2"/>
        <w:ind w:firstLine="480"/>
        <w:rPr>
          <w:rFonts w:hint="eastAsia"/>
          <w:color w:val="auto"/>
          <w:highlight w:val="none"/>
          <w:lang w:eastAsia="zh-CN"/>
        </w:rPr>
      </w:pPr>
      <w:r>
        <w:rPr>
          <w:rFonts w:hint="eastAsia"/>
          <w:color w:val="auto"/>
          <w:highlight w:val="none"/>
          <w:lang w:eastAsia="zh-CN"/>
        </w:rPr>
        <w:t>1.2.3本采购项目的资</w:t>
      </w:r>
      <w:bookmarkStart w:id="120" w:name="_GoBack"/>
      <w:bookmarkEnd w:id="120"/>
      <w:r>
        <w:rPr>
          <w:rFonts w:hint="eastAsia"/>
          <w:color w:val="auto"/>
          <w:highlight w:val="none"/>
          <w:lang w:eastAsia="zh-CN"/>
        </w:rPr>
        <w:t>金落实情况：见供应商须知前附表。</w:t>
      </w:r>
    </w:p>
    <w:p>
      <w:pPr>
        <w:pStyle w:val="5"/>
        <w:bidi w:val="0"/>
        <w:jc w:val="left"/>
        <w:rPr>
          <w:rFonts w:hint="eastAsia" w:eastAsia="宋体"/>
          <w:color w:val="auto"/>
          <w:highlight w:val="none"/>
          <w:lang w:eastAsia="zh-CN"/>
        </w:rPr>
      </w:pPr>
      <w:bookmarkStart w:id="22" w:name="_Toc28677"/>
      <w:r>
        <w:rPr>
          <w:rFonts w:hint="eastAsia" w:eastAsia="宋体"/>
          <w:color w:val="auto"/>
          <w:highlight w:val="none"/>
          <w:lang w:eastAsia="zh-CN"/>
        </w:rPr>
        <w:t>1.3采购范围、计划工期和质量要求</w:t>
      </w:r>
      <w:bookmarkEnd w:id="22"/>
    </w:p>
    <w:p>
      <w:pPr>
        <w:pStyle w:val="2"/>
        <w:ind w:firstLine="480"/>
        <w:rPr>
          <w:rFonts w:hint="eastAsia"/>
          <w:color w:val="auto"/>
          <w:highlight w:val="none"/>
          <w:lang w:eastAsia="zh-CN"/>
        </w:rPr>
      </w:pPr>
      <w:r>
        <w:rPr>
          <w:rFonts w:hint="eastAsia"/>
          <w:color w:val="auto"/>
          <w:highlight w:val="none"/>
          <w:lang w:eastAsia="zh-CN"/>
        </w:rPr>
        <w:t>1.3.1本次监理周期：见供应商须知前附表。</w:t>
      </w:r>
    </w:p>
    <w:p>
      <w:pPr>
        <w:pStyle w:val="2"/>
        <w:ind w:firstLine="480"/>
        <w:rPr>
          <w:rFonts w:hint="eastAsia"/>
          <w:color w:val="auto"/>
          <w:highlight w:val="none"/>
          <w:lang w:eastAsia="zh-CN"/>
        </w:rPr>
      </w:pPr>
      <w:r>
        <w:rPr>
          <w:rFonts w:hint="eastAsia"/>
          <w:color w:val="auto"/>
          <w:highlight w:val="none"/>
          <w:lang w:eastAsia="zh-CN"/>
        </w:rPr>
        <w:t>1.3.2本标段的质量标准：见供应商须知前附表。</w:t>
      </w:r>
    </w:p>
    <w:p>
      <w:pPr>
        <w:pStyle w:val="5"/>
        <w:bidi w:val="0"/>
        <w:jc w:val="left"/>
        <w:rPr>
          <w:rFonts w:hint="eastAsia" w:eastAsia="宋体"/>
          <w:color w:val="auto"/>
          <w:highlight w:val="none"/>
          <w:lang w:eastAsia="zh-CN"/>
        </w:rPr>
      </w:pPr>
      <w:bookmarkStart w:id="23" w:name="_Toc30506"/>
      <w:r>
        <w:rPr>
          <w:rFonts w:hint="eastAsia" w:eastAsia="宋体"/>
          <w:color w:val="auto"/>
          <w:highlight w:val="none"/>
          <w:lang w:eastAsia="zh-CN"/>
        </w:rPr>
        <w:t>1.4供应商资格要求</w:t>
      </w:r>
      <w:bookmarkEnd w:id="23"/>
    </w:p>
    <w:p>
      <w:pPr>
        <w:pStyle w:val="2"/>
        <w:ind w:firstLine="480"/>
        <w:rPr>
          <w:rFonts w:hint="eastAsia"/>
          <w:color w:val="auto"/>
          <w:highlight w:val="none"/>
          <w:lang w:eastAsia="zh-CN"/>
        </w:rPr>
      </w:pPr>
      <w:r>
        <w:rPr>
          <w:rFonts w:hint="eastAsia"/>
          <w:color w:val="auto"/>
          <w:highlight w:val="none"/>
          <w:lang w:eastAsia="zh-CN"/>
        </w:rPr>
        <w:t>1.4.1供应商应具备承担本标段施工监理的资质条件、能力和信誉。</w:t>
      </w:r>
    </w:p>
    <w:p>
      <w:pPr>
        <w:pStyle w:val="2"/>
        <w:ind w:firstLine="480"/>
        <w:rPr>
          <w:rFonts w:hint="eastAsia"/>
          <w:color w:val="auto"/>
          <w:highlight w:val="none"/>
          <w:lang w:eastAsia="zh-CN"/>
        </w:rPr>
      </w:pPr>
      <w:r>
        <w:rPr>
          <w:rFonts w:hint="eastAsia"/>
          <w:color w:val="auto"/>
          <w:highlight w:val="none"/>
          <w:lang w:eastAsia="zh-CN"/>
        </w:rPr>
        <w:t xml:space="preserve">(l）资质条件：见供应商须知前附表； </w:t>
      </w:r>
    </w:p>
    <w:p>
      <w:pPr>
        <w:pStyle w:val="2"/>
        <w:ind w:firstLine="480"/>
        <w:rPr>
          <w:rFonts w:hint="eastAsia"/>
          <w:color w:val="auto"/>
          <w:highlight w:val="none"/>
          <w:lang w:eastAsia="zh-CN"/>
        </w:rPr>
      </w:pPr>
      <w:r>
        <w:rPr>
          <w:rFonts w:hint="eastAsia"/>
          <w:color w:val="auto"/>
          <w:highlight w:val="none"/>
          <w:lang w:eastAsia="zh-CN"/>
        </w:rPr>
        <w:t>(2）财务要求：见供应商须知前附表；</w:t>
      </w:r>
    </w:p>
    <w:p>
      <w:pPr>
        <w:pStyle w:val="2"/>
        <w:ind w:firstLine="480"/>
        <w:rPr>
          <w:rFonts w:hint="eastAsia"/>
          <w:color w:val="auto"/>
          <w:highlight w:val="none"/>
          <w:lang w:eastAsia="zh-CN"/>
        </w:rPr>
      </w:pPr>
      <w:r>
        <w:rPr>
          <w:rFonts w:hint="eastAsia"/>
          <w:color w:val="auto"/>
          <w:highlight w:val="none"/>
          <w:lang w:eastAsia="zh-CN"/>
        </w:rPr>
        <w:t>(3）信誉要求：见供应商须知前附表；</w:t>
      </w:r>
    </w:p>
    <w:p>
      <w:pPr>
        <w:pStyle w:val="2"/>
        <w:ind w:firstLine="480"/>
        <w:rPr>
          <w:rFonts w:hint="eastAsia"/>
          <w:color w:val="auto"/>
          <w:highlight w:val="none"/>
          <w:lang w:eastAsia="zh-CN"/>
        </w:rPr>
      </w:pPr>
      <w:r>
        <w:rPr>
          <w:rFonts w:hint="eastAsia"/>
          <w:color w:val="auto"/>
          <w:highlight w:val="none"/>
          <w:lang w:eastAsia="zh-CN"/>
        </w:rPr>
        <w:t>(4）人员资格：见供应商须知前附表；</w:t>
      </w:r>
    </w:p>
    <w:p>
      <w:pPr>
        <w:pStyle w:val="2"/>
        <w:ind w:firstLine="480"/>
        <w:rPr>
          <w:rFonts w:hint="eastAsia"/>
          <w:color w:val="auto"/>
          <w:highlight w:val="none"/>
          <w:lang w:eastAsia="zh-CN"/>
        </w:rPr>
      </w:pPr>
      <w:r>
        <w:rPr>
          <w:rFonts w:hint="eastAsia"/>
          <w:color w:val="auto"/>
          <w:highlight w:val="none"/>
          <w:lang w:eastAsia="zh-CN"/>
        </w:rPr>
        <w:t>(5）其他要求：见供应商须知前附表。</w:t>
      </w:r>
    </w:p>
    <w:p>
      <w:pPr>
        <w:pStyle w:val="2"/>
        <w:ind w:firstLine="480"/>
        <w:rPr>
          <w:rFonts w:hint="eastAsia"/>
          <w:color w:val="auto"/>
          <w:highlight w:val="none"/>
          <w:lang w:eastAsia="zh-CN"/>
        </w:rPr>
      </w:pPr>
      <w:r>
        <w:rPr>
          <w:rFonts w:hint="eastAsia"/>
          <w:color w:val="auto"/>
          <w:highlight w:val="none"/>
          <w:lang w:eastAsia="zh-CN"/>
        </w:rPr>
        <w:t>1.4.2供应商须知前附表规定接受联合体投标的，除应符合本章第1.4.1项和供应商须知前附表的要求外，还应遵守以下规定：</w:t>
      </w:r>
    </w:p>
    <w:p>
      <w:pPr>
        <w:pStyle w:val="2"/>
        <w:ind w:firstLine="480"/>
        <w:rPr>
          <w:rFonts w:hint="eastAsia"/>
          <w:color w:val="auto"/>
          <w:highlight w:val="none"/>
          <w:lang w:eastAsia="zh-CN"/>
        </w:rPr>
      </w:pPr>
      <w:r>
        <w:rPr>
          <w:rFonts w:hint="eastAsia"/>
          <w:color w:val="auto"/>
          <w:highlight w:val="none"/>
          <w:lang w:eastAsia="zh-CN"/>
        </w:rPr>
        <w:t>(1）联合体各方应按磋商文件提供的格式签订联合体协议书，明确联合体牵头人和各方权利义务；</w:t>
      </w:r>
    </w:p>
    <w:p>
      <w:pPr>
        <w:pStyle w:val="2"/>
        <w:ind w:firstLine="480"/>
        <w:rPr>
          <w:rFonts w:hint="eastAsia"/>
          <w:color w:val="auto"/>
          <w:highlight w:val="none"/>
          <w:lang w:eastAsia="zh-CN"/>
        </w:rPr>
      </w:pPr>
      <w:r>
        <w:rPr>
          <w:rFonts w:hint="eastAsia"/>
          <w:color w:val="auto"/>
          <w:highlight w:val="none"/>
          <w:lang w:eastAsia="zh-CN"/>
        </w:rPr>
        <w:t>(2）由同一专业的单位组成的联合体，按照资质等级较低的单位确定资质等级；</w:t>
      </w:r>
    </w:p>
    <w:p>
      <w:pPr>
        <w:pStyle w:val="2"/>
        <w:ind w:firstLine="480"/>
        <w:rPr>
          <w:rFonts w:hint="eastAsia"/>
          <w:color w:val="auto"/>
          <w:highlight w:val="none"/>
          <w:lang w:eastAsia="zh-CN"/>
        </w:rPr>
      </w:pPr>
      <w:r>
        <w:rPr>
          <w:rFonts w:hint="eastAsia"/>
          <w:color w:val="auto"/>
          <w:highlight w:val="none"/>
          <w:lang w:eastAsia="zh-CN"/>
        </w:rPr>
        <w:t>(3）联合体各方不得再以自己名义单独或参加其他联合体在同一标段中投标。</w:t>
      </w:r>
    </w:p>
    <w:p>
      <w:pPr>
        <w:pStyle w:val="2"/>
        <w:ind w:firstLine="480"/>
        <w:rPr>
          <w:rFonts w:hint="eastAsia"/>
          <w:color w:val="auto"/>
          <w:highlight w:val="none"/>
          <w:lang w:eastAsia="zh-CN"/>
        </w:rPr>
      </w:pPr>
      <w:r>
        <w:rPr>
          <w:rFonts w:hint="eastAsia"/>
          <w:color w:val="auto"/>
          <w:highlight w:val="none"/>
          <w:lang w:eastAsia="zh-CN"/>
        </w:rPr>
        <w:t>1.4.3供应商不得存在下列情形之一：见供应商须知前附表。</w:t>
      </w:r>
    </w:p>
    <w:p>
      <w:pPr>
        <w:pStyle w:val="5"/>
        <w:bidi w:val="0"/>
        <w:jc w:val="left"/>
        <w:rPr>
          <w:rFonts w:hint="eastAsia" w:eastAsia="宋体"/>
          <w:color w:val="auto"/>
          <w:highlight w:val="none"/>
          <w:lang w:eastAsia="zh-CN"/>
        </w:rPr>
      </w:pPr>
      <w:bookmarkStart w:id="24" w:name="_Toc14624"/>
      <w:r>
        <w:rPr>
          <w:rFonts w:hint="eastAsia" w:eastAsia="宋体"/>
          <w:color w:val="auto"/>
          <w:highlight w:val="none"/>
          <w:lang w:eastAsia="zh-CN"/>
        </w:rPr>
        <w:t>1.5费用承担</w:t>
      </w:r>
      <w:bookmarkEnd w:id="24"/>
    </w:p>
    <w:p>
      <w:pPr>
        <w:pStyle w:val="2"/>
        <w:ind w:firstLine="480"/>
        <w:rPr>
          <w:rFonts w:hint="eastAsia"/>
          <w:color w:val="auto"/>
          <w:highlight w:val="none"/>
          <w:lang w:eastAsia="zh-CN"/>
        </w:rPr>
      </w:pPr>
      <w:r>
        <w:rPr>
          <w:rFonts w:hint="eastAsia"/>
          <w:color w:val="auto"/>
          <w:highlight w:val="none"/>
          <w:lang w:eastAsia="zh-CN"/>
        </w:rPr>
        <w:t>供应商准备和参加磋商活动发生的费用自理。</w:t>
      </w:r>
    </w:p>
    <w:p>
      <w:pPr>
        <w:pStyle w:val="5"/>
        <w:bidi w:val="0"/>
        <w:jc w:val="left"/>
        <w:rPr>
          <w:rFonts w:hint="eastAsia" w:eastAsia="宋体"/>
          <w:color w:val="auto"/>
          <w:highlight w:val="none"/>
          <w:lang w:eastAsia="zh-CN"/>
        </w:rPr>
      </w:pPr>
      <w:bookmarkStart w:id="25" w:name="_Toc579"/>
      <w:r>
        <w:rPr>
          <w:rFonts w:hint="eastAsia" w:eastAsia="宋体"/>
          <w:color w:val="auto"/>
          <w:highlight w:val="none"/>
          <w:lang w:eastAsia="zh-CN"/>
        </w:rPr>
        <w:t>1.6保密</w:t>
      </w:r>
      <w:bookmarkEnd w:id="25"/>
    </w:p>
    <w:p>
      <w:pPr>
        <w:pStyle w:val="2"/>
        <w:ind w:firstLine="480"/>
        <w:rPr>
          <w:rFonts w:hint="eastAsia"/>
          <w:color w:val="auto"/>
          <w:highlight w:val="none"/>
          <w:lang w:eastAsia="zh-CN"/>
        </w:rPr>
      </w:pPr>
      <w:r>
        <w:rPr>
          <w:rFonts w:hint="eastAsia"/>
          <w:color w:val="auto"/>
          <w:highlight w:val="none"/>
          <w:lang w:eastAsia="zh-CN"/>
        </w:rPr>
        <w:t>参与磋商活动的各方应对磋商文件和响应文件中的商业和技术等秘密保密，违者应对由此造成的后果承担法律责任。</w:t>
      </w:r>
    </w:p>
    <w:p>
      <w:pPr>
        <w:pStyle w:val="5"/>
        <w:bidi w:val="0"/>
        <w:jc w:val="left"/>
        <w:rPr>
          <w:rFonts w:hint="eastAsia" w:eastAsia="宋体"/>
          <w:color w:val="auto"/>
          <w:highlight w:val="none"/>
          <w:lang w:eastAsia="zh-CN"/>
        </w:rPr>
      </w:pPr>
      <w:bookmarkStart w:id="26" w:name="_Toc31288"/>
      <w:r>
        <w:rPr>
          <w:rFonts w:hint="eastAsia" w:eastAsia="宋体"/>
          <w:color w:val="auto"/>
          <w:highlight w:val="none"/>
          <w:lang w:eastAsia="zh-CN"/>
        </w:rPr>
        <w:t>1.7语言文字</w:t>
      </w:r>
      <w:bookmarkEnd w:id="26"/>
    </w:p>
    <w:p>
      <w:pPr>
        <w:pStyle w:val="2"/>
        <w:ind w:firstLine="480"/>
        <w:rPr>
          <w:rFonts w:hint="eastAsia"/>
          <w:color w:val="auto"/>
          <w:highlight w:val="none"/>
          <w:lang w:eastAsia="zh-CN"/>
        </w:rPr>
      </w:pPr>
      <w:r>
        <w:rPr>
          <w:rFonts w:hint="eastAsia"/>
          <w:color w:val="auto"/>
          <w:highlight w:val="none"/>
          <w:lang w:eastAsia="zh-CN"/>
        </w:rPr>
        <w:t>除专用术语外，与磋商活动有关的语言均使用中文。必要时专用术语应附有中文注释。</w:t>
      </w:r>
    </w:p>
    <w:p>
      <w:pPr>
        <w:pStyle w:val="5"/>
        <w:bidi w:val="0"/>
        <w:jc w:val="left"/>
        <w:rPr>
          <w:rFonts w:hint="eastAsia" w:eastAsia="宋体"/>
          <w:color w:val="auto"/>
          <w:highlight w:val="none"/>
          <w:lang w:eastAsia="zh-CN"/>
        </w:rPr>
      </w:pPr>
      <w:bookmarkStart w:id="27" w:name="_Toc22249"/>
      <w:r>
        <w:rPr>
          <w:rFonts w:hint="eastAsia" w:eastAsia="宋体"/>
          <w:color w:val="auto"/>
          <w:highlight w:val="none"/>
          <w:lang w:eastAsia="zh-CN"/>
        </w:rPr>
        <w:t>1.8计量单位</w:t>
      </w:r>
      <w:bookmarkEnd w:id="27"/>
    </w:p>
    <w:p>
      <w:pPr>
        <w:pStyle w:val="2"/>
        <w:ind w:firstLine="480"/>
        <w:rPr>
          <w:rFonts w:hint="eastAsia"/>
          <w:color w:val="auto"/>
          <w:highlight w:val="none"/>
          <w:lang w:eastAsia="zh-CN"/>
        </w:rPr>
      </w:pPr>
      <w:r>
        <w:rPr>
          <w:rFonts w:hint="eastAsia"/>
          <w:color w:val="auto"/>
          <w:highlight w:val="none"/>
          <w:lang w:eastAsia="zh-CN"/>
        </w:rPr>
        <w:t>所有计量均采用中华人民共和国法定计量单位。</w:t>
      </w:r>
    </w:p>
    <w:p>
      <w:pPr>
        <w:pStyle w:val="5"/>
        <w:bidi w:val="0"/>
        <w:jc w:val="left"/>
        <w:rPr>
          <w:rFonts w:hint="eastAsia" w:eastAsia="宋体"/>
          <w:color w:val="auto"/>
          <w:highlight w:val="none"/>
          <w:lang w:eastAsia="zh-CN"/>
        </w:rPr>
      </w:pPr>
      <w:bookmarkStart w:id="28" w:name="_Toc30485"/>
      <w:r>
        <w:rPr>
          <w:rFonts w:hint="eastAsia" w:eastAsia="宋体"/>
          <w:color w:val="auto"/>
          <w:highlight w:val="none"/>
          <w:lang w:eastAsia="zh-CN"/>
        </w:rPr>
        <w:t>1.9踏勘现场</w:t>
      </w:r>
      <w:bookmarkEnd w:id="28"/>
    </w:p>
    <w:p>
      <w:pPr>
        <w:pStyle w:val="2"/>
        <w:ind w:firstLine="480"/>
        <w:rPr>
          <w:rFonts w:hint="eastAsia"/>
          <w:color w:val="auto"/>
          <w:highlight w:val="none"/>
          <w:lang w:eastAsia="zh-CN"/>
        </w:rPr>
      </w:pPr>
      <w:r>
        <w:rPr>
          <w:rFonts w:hint="eastAsia"/>
          <w:color w:val="auto"/>
          <w:highlight w:val="none"/>
          <w:lang w:eastAsia="zh-CN"/>
        </w:rPr>
        <w:t>1.9.1供应商须知前附表规定组织踏勘现场的，采购人按供应商须知前附表规定的时间、地点组织供应商踏勘项目现场。</w:t>
      </w:r>
    </w:p>
    <w:p>
      <w:pPr>
        <w:pStyle w:val="2"/>
        <w:ind w:firstLine="480"/>
        <w:rPr>
          <w:rFonts w:hint="eastAsia"/>
          <w:color w:val="auto"/>
          <w:highlight w:val="none"/>
          <w:lang w:eastAsia="zh-CN"/>
        </w:rPr>
      </w:pPr>
      <w:r>
        <w:rPr>
          <w:rFonts w:hint="eastAsia"/>
          <w:color w:val="auto"/>
          <w:highlight w:val="none"/>
          <w:lang w:eastAsia="zh-CN"/>
        </w:rPr>
        <w:t>1.9.2供应商踏勘现场发生的费用自理。</w:t>
      </w:r>
    </w:p>
    <w:p>
      <w:pPr>
        <w:pStyle w:val="2"/>
        <w:ind w:firstLine="480"/>
        <w:rPr>
          <w:rFonts w:hint="eastAsia"/>
          <w:color w:val="auto"/>
          <w:highlight w:val="none"/>
          <w:lang w:eastAsia="zh-CN"/>
        </w:rPr>
      </w:pPr>
      <w:r>
        <w:rPr>
          <w:rFonts w:hint="eastAsia"/>
          <w:color w:val="auto"/>
          <w:highlight w:val="none"/>
          <w:lang w:eastAsia="zh-CN"/>
        </w:rPr>
        <w:t>1.9.3除采购人的原因外，供应商自行负责在踏勘现场中所发生的人员伤亡和财产损失。</w:t>
      </w:r>
    </w:p>
    <w:p>
      <w:pPr>
        <w:pStyle w:val="2"/>
        <w:ind w:firstLine="480"/>
        <w:rPr>
          <w:rFonts w:hint="eastAsia"/>
          <w:color w:val="auto"/>
          <w:highlight w:val="none"/>
          <w:lang w:eastAsia="zh-CN"/>
        </w:rPr>
      </w:pPr>
      <w:r>
        <w:rPr>
          <w:rFonts w:hint="eastAsia"/>
          <w:color w:val="auto"/>
          <w:highlight w:val="none"/>
          <w:lang w:eastAsia="zh-CN"/>
        </w:rPr>
        <w:t>1.9.4采购人在踏勘现场中介绍的工程场地和相关的周边环境情况，供供应商在编制响应文件时参考，采购人不对供应商据此作出的判断和决策负责。</w:t>
      </w:r>
    </w:p>
    <w:p>
      <w:pPr>
        <w:pStyle w:val="2"/>
        <w:ind w:firstLine="480"/>
        <w:rPr>
          <w:rFonts w:hint="eastAsia"/>
          <w:color w:val="auto"/>
          <w:highlight w:val="none"/>
          <w:lang w:eastAsia="zh-CN"/>
        </w:rPr>
      </w:pPr>
      <w:bookmarkStart w:id="29" w:name="_Toc10243"/>
      <w:r>
        <w:rPr>
          <w:rFonts w:hint="eastAsia"/>
          <w:color w:val="auto"/>
          <w:highlight w:val="none"/>
          <w:lang w:eastAsia="zh-CN"/>
        </w:rPr>
        <w:t>1.10磋商预备会</w:t>
      </w:r>
      <w:bookmarkEnd w:id="29"/>
    </w:p>
    <w:p>
      <w:pPr>
        <w:pStyle w:val="2"/>
        <w:ind w:firstLine="480"/>
        <w:rPr>
          <w:rFonts w:hint="eastAsia"/>
          <w:color w:val="auto"/>
          <w:highlight w:val="none"/>
          <w:lang w:eastAsia="zh-CN"/>
        </w:rPr>
      </w:pPr>
      <w:r>
        <w:rPr>
          <w:rFonts w:hint="eastAsia"/>
          <w:color w:val="auto"/>
          <w:highlight w:val="none"/>
          <w:lang w:eastAsia="zh-CN"/>
        </w:rPr>
        <w:t>1.10.1供应商须知前附表规定召开磋商预备会的，采购人按供应商须知前附表规定的时间和地点召开磋商预备会，澄清供应商提出的问题。</w:t>
      </w:r>
    </w:p>
    <w:p>
      <w:pPr>
        <w:pStyle w:val="2"/>
        <w:ind w:firstLine="480"/>
        <w:rPr>
          <w:rFonts w:hint="eastAsia"/>
          <w:color w:val="auto"/>
          <w:highlight w:val="none"/>
          <w:lang w:eastAsia="zh-CN"/>
        </w:rPr>
      </w:pPr>
      <w:r>
        <w:rPr>
          <w:rFonts w:hint="eastAsia"/>
          <w:color w:val="auto"/>
          <w:highlight w:val="none"/>
          <w:lang w:eastAsia="zh-CN"/>
        </w:rPr>
        <w:t>1.10.2供应商应在供应商须知前附表规定的时间前，以书面形式将提出的问题送达采购人，以便采购人在会议期间澄清。</w:t>
      </w:r>
    </w:p>
    <w:p>
      <w:pPr>
        <w:pStyle w:val="2"/>
        <w:ind w:firstLine="480"/>
        <w:rPr>
          <w:rFonts w:hint="eastAsia"/>
          <w:color w:val="auto"/>
          <w:highlight w:val="none"/>
          <w:lang w:eastAsia="zh-CN"/>
        </w:rPr>
      </w:pPr>
      <w:r>
        <w:rPr>
          <w:rFonts w:hint="eastAsia"/>
          <w:color w:val="auto"/>
          <w:highlight w:val="none"/>
          <w:lang w:eastAsia="zh-CN"/>
        </w:rPr>
        <w:t>1.10.3磋商预备会后，采购人在供应商须知前附表规定的时间内，将对供应商所提问题的澄清，以书面方式通知所有购买磋商文件的供应商。该澄清内容为磋商文件的组成部分。</w:t>
      </w:r>
    </w:p>
    <w:p>
      <w:pPr>
        <w:pStyle w:val="5"/>
        <w:bidi w:val="0"/>
        <w:jc w:val="left"/>
        <w:rPr>
          <w:rFonts w:hint="eastAsia" w:eastAsia="宋体"/>
          <w:color w:val="auto"/>
          <w:highlight w:val="none"/>
          <w:lang w:eastAsia="zh-CN"/>
        </w:rPr>
      </w:pPr>
      <w:bookmarkStart w:id="30" w:name="_Toc1108"/>
      <w:r>
        <w:rPr>
          <w:rFonts w:hint="eastAsia" w:eastAsia="宋体"/>
          <w:color w:val="auto"/>
          <w:highlight w:val="none"/>
          <w:lang w:eastAsia="zh-CN"/>
        </w:rPr>
        <w:t>1.11分包</w:t>
      </w:r>
      <w:bookmarkEnd w:id="30"/>
    </w:p>
    <w:p>
      <w:pPr>
        <w:pStyle w:val="2"/>
        <w:ind w:firstLine="480"/>
        <w:rPr>
          <w:rFonts w:hint="eastAsia"/>
          <w:color w:val="auto"/>
          <w:highlight w:val="none"/>
          <w:lang w:eastAsia="zh-CN"/>
        </w:rPr>
      </w:pPr>
      <w:r>
        <w:rPr>
          <w:rFonts w:hint="eastAsia"/>
          <w:color w:val="auto"/>
          <w:highlight w:val="none"/>
          <w:lang w:eastAsia="zh-CN"/>
        </w:rPr>
        <w:t>供应商拟在成交后将中标项目的部分非主体、非关键性工作进行分包的，应符合供应商须知前附表规定的分包内容、分包金额和接受分包的第三人资质要求等限制性条件。</w:t>
      </w:r>
    </w:p>
    <w:p>
      <w:pPr>
        <w:pStyle w:val="5"/>
        <w:bidi w:val="0"/>
        <w:jc w:val="left"/>
        <w:rPr>
          <w:rFonts w:hint="eastAsia" w:eastAsia="宋体"/>
          <w:color w:val="auto"/>
          <w:highlight w:val="none"/>
          <w:lang w:eastAsia="zh-CN"/>
        </w:rPr>
      </w:pPr>
      <w:bookmarkStart w:id="31" w:name="_Toc30661"/>
      <w:r>
        <w:rPr>
          <w:rFonts w:hint="eastAsia" w:eastAsia="宋体"/>
          <w:color w:val="auto"/>
          <w:highlight w:val="none"/>
          <w:lang w:eastAsia="zh-CN"/>
        </w:rPr>
        <w:t>1.12偏离</w:t>
      </w:r>
      <w:bookmarkEnd w:id="31"/>
    </w:p>
    <w:p>
      <w:pPr>
        <w:pStyle w:val="2"/>
        <w:ind w:firstLine="480"/>
        <w:rPr>
          <w:rFonts w:hint="eastAsia"/>
          <w:color w:val="auto"/>
          <w:highlight w:val="none"/>
          <w:lang w:eastAsia="zh-CN"/>
        </w:rPr>
      </w:pPr>
      <w:r>
        <w:rPr>
          <w:rFonts w:hint="eastAsia"/>
          <w:color w:val="auto"/>
          <w:highlight w:val="none"/>
          <w:lang w:eastAsia="zh-CN"/>
        </w:rPr>
        <w:t>供应商须知前附表允许响应文件偏离磋商文件某些要求的，偏离应当符合磋商文件规定的偏离范围和幅度。</w:t>
      </w:r>
    </w:p>
    <w:p>
      <w:pPr>
        <w:pStyle w:val="5"/>
        <w:bidi w:val="0"/>
        <w:jc w:val="left"/>
        <w:rPr>
          <w:rFonts w:hint="eastAsia" w:eastAsia="宋体"/>
          <w:color w:val="auto"/>
          <w:highlight w:val="none"/>
          <w:lang w:eastAsia="zh-CN"/>
        </w:rPr>
      </w:pPr>
      <w:bookmarkStart w:id="32" w:name="_Toc29373"/>
      <w:r>
        <w:rPr>
          <w:rFonts w:hint="eastAsia" w:eastAsia="宋体"/>
          <w:color w:val="auto"/>
          <w:highlight w:val="none"/>
          <w:lang w:eastAsia="zh-CN"/>
        </w:rPr>
        <w:t>2.1磋商文件的组成</w:t>
      </w:r>
      <w:bookmarkEnd w:id="32"/>
    </w:p>
    <w:p>
      <w:pPr>
        <w:pStyle w:val="2"/>
        <w:ind w:firstLine="480"/>
        <w:rPr>
          <w:rFonts w:hint="eastAsia"/>
          <w:color w:val="auto"/>
          <w:highlight w:val="none"/>
          <w:lang w:eastAsia="zh-CN"/>
        </w:rPr>
      </w:pPr>
      <w:r>
        <w:rPr>
          <w:rFonts w:hint="eastAsia"/>
          <w:color w:val="auto"/>
          <w:highlight w:val="none"/>
          <w:lang w:eastAsia="zh-CN"/>
        </w:rPr>
        <w:t>本磋商文件包括：</w:t>
      </w:r>
    </w:p>
    <w:p>
      <w:pPr>
        <w:pStyle w:val="2"/>
        <w:ind w:firstLine="480"/>
        <w:rPr>
          <w:rFonts w:hint="eastAsia"/>
          <w:color w:val="auto"/>
          <w:highlight w:val="none"/>
          <w:lang w:eastAsia="zh-CN"/>
        </w:rPr>
      </w:pPr>
      <w:r>
        <w:rPr>
          <w:rFonts w:hint="eastAsia"/>
          <w:color w:val="auto"/>
          <w:highlight w:val="none"/>
          <w:lang w:eastAsia="zh-CN"/>
        </w:rPr>
        <w:t>(1）竞争性磋商公告；</w:t>
      </w:r>
    </w:p>
    <w:p>
      <w:pPr>
        <w:pStyle w:val="2"/>
        <w:ind w:firstLine="480"/>
        <w:rPr>
          <w:rFonts w:hint="eastAsia"/>
          <w:color w:val="auto"/>
          <w:highlight w:val="none"/>
          <w:lang w:eastAsia="zh-CN"/>
        </w:rPr>
      </w:pPr>
      <w:r>
        <w:rPr>
          <w:rFonts w:hint="eastAsia"/>
          <w:color w:val="auto"/>
          <w:highlight w:val="none"/>
          <w:lang w:eastAsia="zh-CN"/>
        </w:rPr>
        <w:t>(2）供应商须知；</w:t>
      </w:r>
    </w:p>
    <w:p>
      <w:pPr>
        <w:pStyle w:val="2"/>
        <w:ind w:firstLine="480"/>
        <w:rPr>
          <w:rFonts w:hint="eastAsia"/>
          <w:color w:val="auto"/>
          <w:highlight w:val="none"/>
          <w:lang w:eastAsia="zh-CN"/>
        </w:rPr>
      </w:pPr>
      <w:r>
        <w:rPr>
          <w:rFonts w:hint="eastAsia"/>
          <w:color w:val="auto"/>
          <w:highlight w:val="none"/>
          <w:lang w:eastAsia="zh-CN"/>
        </w:rPr>
        <w:t>(3）评标办法；</w:t>
      </w:r>
    </w:p>
    <w:p>
      <w:pPr>
        <w:pStyle w:val="2"/>
        <w:ind w:firstLine="480"/>
        <w:rPr>
          <w:rFonts w:hint="eastAsia"/>
          <w:color w:val="auto"/>
          <w:highlight w:val="none"/>
          <w:lang w:eastAsia="zh-CN"/>
        </w:rPr>
      </w:pPr>
      <w:r>
        <w:rPr>
          <w:rFonts w:hint="eastAsia"/>
          <w:color w:val="auto"/>
          <w:highlight w:val="none"/>
          <w:lang w:eastAsia="zh-CN"/>
        </w:rPr>
        <w:t>(4）合同条款及格式；</w:t>
      </w:r>
    </w:p>
    <w:p>
      <w:pPr>
        <w:pStyle w:val="2"/>
        <w:ind w:firstLine="480"/>
        <w:rPr>
          <w:rFonts w:hint="eastAsia"/>
          <w:color w:val="auto"/>
          <w:highlight w:val="none"/>
          <w:lang w:eastAsia="zh-CN"/>
        </w:rPr>
      </w:pPr>
      <w:r>
        <w:rPr>
          <w:rFonts w:hint="eastAsia"/>
          <w:color w:val="auto"/>
          <w:highlight w:val="none"/>
          <w:lang w:eastAsia="zh-CN"/>
        </w:rPr>
        <w:t>(5）发包人要求；</w:t>
      </w:r>
    </w:p>
    <w:p>
      <w:pPr>
        <w:pStyle w:val="2"/>
        <w:ind w:firstLine="480"/>
        <w:rPr>
          <w:rFonts w:hint="eastAsia"/>
          <w:color w:val="auto"/>
          <w:highlight w:val="none"/>
          <w:lang w:eastAsia="zh-CN"/>
        </w:rPr>
      </w:pPr>
      <w:r>
        <w:rPr>
          <w:rFonts w:hint="eastAsia"/>
          <w:color w:val="auto"/>
          <w:highlight w:val="none"/>
          <w:lang w:eastAsia="zh-CN"/>
        </w:rPr>
        <w:t>(6）响应文件格式；</w:t>
      </w:r>
    </w:p>
    <w:p>
      <w:pPr>
        <w:pStyle w:val="2"/>
        <w:ind w:firstLine="480"/>
        <w:rPr>
          <w:rFonts w:hint="eastAsia"/>
          <w:color w:val="auto"/>
          <w:highlight w:val="none"/>
          <w:lang w:eastAsia="zh-CN"/>
        </w:rPr>
      </w:pPr>
      <w:r>
        <w:rPr>
          <w:rFonts w:hint="eastAsia"/>
          <w:color w:val="auto"/>
          <w:highlight w:val="none"/>
          <w:lang w:eastAsia="zh-CN"/>
        </w:rPr>
        <w:t>根据本章第1.10款、第2.2款和第2.3款对磋商文件所作的澄清、修改，构成磋商文件的组成部分。</w:t>
      </w:r>
    </w:p>
    <w:p>
      <w:pPr>
        <w:pStyle w:val="5"/>
        <w:bidi w:val="0"/>
        <w:jc w:val="left"/>
        <w:rPr>
          <w:rFonts w:hint="eastAsia" w:eastAsia="宋体"/>
          <w:color w:val="auto"/>
          <w:highlight w:val="none"/>
          <w:lang w:eastAsia="zh-CN"/>
        </w:rPr>
      </w:pPr>
      <w:bookmarkStart w:id="33" w:name="_Toc25866"/>
      <w:r>
        <w:rPr>
          <w:rFonts w:hint="eastAsia" w:eastAsia="宋体"/>
          <w:color w:val="auto"/>
          <w:highlight w:val="none"/>
          <w:lang w:eastAsia="zh-CN"/>
        </w:rPr>
        <w:t>2.2磋商文件的澄清</w:t>
      </w:r>
      <w:bookmarkEnd w:id="33"/>
    </w:p>
    <w:p>
      <w:pPr>
        <w:pStyle w:val="2"/>
        <w:ind w:firstLine="480"/>
        <w:rPr>
          <w:rFonts w:hint="eastAsia"/>
          <w:color w:val="auto"/>
          <w:highlight w:val="none"/>
          <w:lang w:eastAsia="zh-CN"/>
        </w:rPr>
      </w:pPr>
      <w:r>
        <w:rPr>
          <w:rFonts w:hint="eastAsia"/>
          <w:color w:val="auto"/>
          <w:highlight w:val="none"/>
          <w:lang w:eastAsia="zh-CN"/>
        </w:rPr>
        <w:t>2.2.1供应商应仔细阅读和检查磋商文件的全部内容。如发现缺页或附件不全，应及时向采购人提出，以便补齐。如有疑问，应在供应商须知前附表规定的时间前以书面形式及政采云平台提出，要求采购人对磋商文件予以澄清。</w:t>
      </w:r>
    </w:p>
    <w:p>
      <w:pPr>
        <w:pStyle w:val="2"/>
        <w:ind w:firstLine="480"/>
        <w:rPr>
          <w:rFonts w:hint="eastAsia"/>
          <w:color w:val="auto"/>
          <w:highlight w:val="none"/>
          <w:lang w:eastAsia="zh-CN"/>
        </w:rPr>
      </w:pPr>
      <w:r>
        <w:rPr>
          <w:rFonts w:hint="eastAsia"/>
          <w:color w:val="auto"/>
          <w:highlight w:val="none"/>
          <w:lang w:eastAsia="zh-CN"/>
        </w:rPr>
        <w:t>2.2.2磋商文件的澄清将在供应商须知前附表规定的时间在政采云平台通知的供应商。</w:t>
      </w:r>
    </w:p>
    <w:p>
      <w:pPr>
        <w:pStyle w:val="2"/>
        <w:ind w:firstLine="480"/>
        <w:rPr>
          <w:rFonts w:hint="eastAsia"/>
          <w:color w:val="auto"/>
          <w:highlight w:val="none"/>
          <w:lang w:eastAsia="zh-CN"/>
        </w:rPr>
      </w:pPr>
      <w:r>
        <w:rPr>
          <w:rFonts w:hint="eastAsia"/>
          <w:color w:val="auto"/>
          <w:highlight w:val="none"/>
          <w:lang w:eastAsia="zh-CN"/>
        </w:rPr>
        <w:t>2.2.3供应商在收到澄清后，应在供应商须知前附表规定的时间内以书面形式通知采购人，确认己收到该澄清。</w:t>
      </w:r>
    </w:p>
    <w:p>
      <w:pPr>
        <w:pStyle w:val="5"/>
        <w:bidi w:val="0"/>
        <w:jc w:val="left"/>
        <w:rPr>
          <w:rFonts w:hint="eastAsia" w:eastAsia="宋体"/>
          <w:color w:val="auto"/>
          <w:highlight w:val="none"/>
          <w:lang w:eastAsia="zh-CN"/>
        </w:rPr>
      </w:pPr>
      <w:bookmarkStart w:id="34" w:name="_Toc10292"/>
      <w:r>
        <w:rPr>
          <w:rFonts w:hint="eastAsia" w:eastAsia="宋体"/>
          <w:color w:val="auto"/>
          <w:highlight w:val="none"/>
          <w:lang w:eastAsia="zh-CN"/>
        </w:rPr>
        <w:t>2.3磋商文件的修改</w:t>
      </w:r>
      <w:bookmarkEnd w:id="34"/>
    </w:p>
    <w:p>
      <w:pPr>
        <w:pStyle w:val="2"/>
        <w:ind w:firstLine="480"/>
        <w:rPr>
          <w:rFonts w:hint="eastAsia"/>
          <w:color w:val="auto"/>
          <w:highlight w:val="none"/>
          <w:lang w:eastAsia="zh-CN"/>
        </w:rPr>
      </w:pPr>
      <w:bookmarkStart w:id="35" w:name="_Toc31347"/>
      <w:r>
        <w:rPr>
          <w:rFonts w:hint="eastAsia"/>
          <w:color w:val="auto"/>
          <w:highlight w:val="none"/>
          <w:lang w:eastAsia="zh-CN"/>
        </w:rPr>
        <w:t>详见供应商须知前附表</w:t>
      </w:r>
      <w:bookmarkEnd w:id="35"/>
    </w:p>
    <w:p>
      <w:pPr>
        <w:pStyle w:val="4"/>
        <w:bidi w:val="0"/>
        <w:jc w:val="left"/>
        <w:rPr>
          <w:rFonts w:hint="eastAsia"/>
          <w:color w:val="auto"/>
          <w:highlight w:val="none"/>
          <w:lang w:eastAsia="zh-CN"/>
        </w:rPr>
      </w:pPr>
      <w:bookmarkStart w:id="36" w:name="_Toc12981"/>
      <w:r>
        <w:rPr>
          <w:rFonts w:hint="eastAsia"/>
          <w:color w:val="auto"/>
          <w:highlight w:val="none"/>
          <w:lang w:eastAsia="zh-CN"/>
        </w:rPr>
        <w:t>3．响应文件</w:t>
      </w:r>
      <w:bookmarkEnd w:id="36"/>
    </w:p>
    <w:p>
      <w:pPr>
        <w:pStyle w:val="5"/>
        <w:bidi w:val="0"/>
        <w:jc w:val="left"/>
        <w:rPr>
          <w:rFonts w:hint="eastAsia" w:eastAsia="宋体"/>
          <w:color w:val="auto"/>
          <w:highlight w:val="none"/>
          <w:lang w:eastAsia="zh-CN"/>
        </w:rPr>
      </w:pPr>
      <w:bookmarkStart w:id="37" w:name="_Toc13920"/>
      <w:r>
        <w:rPr>
          <w:rFonts w:hint="eastAsia" w:eastAsia="宋体"/>
          <w:color w:val="auto"/>
          <w:highlight w:val="none"/>
          <w:lang w:eastAsia="zh-CN"/>
        </w:rPr>
        <w:t>3.1响应文件的组成</w:t>
      </w:r>
      <w:bookmarkEnd w:id="37"/>
    </w:p>
    <w:p>
      <w:pPr>
        <w:pStyle w:val="2"/>
        <w:ind w:firstLine="480"/>
        <w:rPr>
          <w:rFonts w:hint="eastAsia"/>
          <w:color w:val="auto"/>
          <w:highlight w:val="none"/>
          <w:lang w:eastAsia="zh-CN"/>
        </w:rPr>
      </w:pPr>
      <w:r>
        <w:rPr>
          <w:rFonts w:hint="eastAsia"/>
          <w:color w:val="auto"/>
          <w:highlight w:val="none"/>
          <w:lang w:eastAsia="zh-CN"/>
        </w:rPr>
        <w:t>3.1.1响应文件应包括下列内容：</w:t>
      </w:r>
    </w:p>
    <w:p>
      <w:pPr>
        <w:pStyle w:val="2"/>
        <w:ind w:firstLine="480"/>
        <w:rPr>
          <w:rFonts w:hint="eastAsia"/>
          <w:color w:val="auto"/>
          <w:highlight w:val="none"/>
          <w:lang w:eastAsia="zh-CN"/>
        </w:rPr>
      </w:pPr>
      <w:r>
        <w:rPr>
          <w:rFonts w:hint="eastAsia"/>
          <w:color w:val="auto"/>
          <w:highlight w:val="none"/>
          <w:lang w:eastAsia="zh-CN"/>
        </w:rPr>
        <w:t>一、磋商函及磋商函附录</w:t>
      </w:r>
    </w:p>
    <w:p>
      <w:pPr>
        <w:pStyle w:val="2"/>
        <w:ind w:firstLine="480"/>
        <w:rPr>
          <w:rFonts w:hint="eastAsia"/>
          <w:color w:val="auto"/>
          <w:highlight w:val="none"/>
          <w:lang w:eastAsia="zh-CN"/>
        </w:rPr>
      </w:pPr>
      <w:r>
        <w:rPr>
          <w:rFonts w:hint="eastAsia"/>
          <w:color w:val="auto"/>
          <w:highlight w:val="none"/>
          <w:lang w:eastAsia="zh-CN"/>
        </w:rPr>
        <w:t>二、法定代表人身份证明、授权委托书</w:t>
      </w:r>
    </w:p>
    <w:p>
      <w:pPr>
        <w:pStyle w:val="2"/>
        <w:ind w:firstLine="480"/>
        <w:rPr>
          <w:rFonts w:hint="eastAsia"/>
          <w:color w:val="auto"/>
          <w:highlight w:val="none"/>
          <w:lang w:eastAsia="zh-CN"/>
        </w:rPr>
      </w:pPr>
      <w:r>
        <w:rPr>
          <w:rFonts w:hint="eastAsia"/>
          <w:color w:val="auto"/>
          <w:highlight w:val="none"/>
          <w:lang w:eastAsia="zh-CN"/>
        </w:rPr>
        <w:t>三、开标一览表</w:t>
      </w:r>
    </w:p>
    <w:p>
      <w:pPr>
        <w:pStyle w:val="2"/>
        <w:ind w:firstLine="480"/>
        <w:rPr>
          <w:rFonts w:hint="eastAsia"/>
          <w:color w:val="auto"/>
          <w:highlight w:val="none"/>
          <w:lang w:eastAsia="zh-CN"/>
        </w:rPr>
      </w:pPr>
      <w:r>
        <w:rPr>
          <w:rFonts w:hint="eastAsia"/>
          <w:color w:val="auto"/>
          <w:highlight w:val="none"/>
          <w:lang w:eastAsia="zh-CN"/>
        </w:rPr>
        <w:t>四、磋商保证金</w:t>
      </w:r>
    </w:p>
    <w:p>
      <w:pPr>
        <w:pStyle w:val="2"/>
        <w:ind w:firstLine="480"/>
        <w:rPr>
          <w:rFonts w:hint="eastAsia"/>
          <w:color w:val="auto"/>
          <w:highlight w:val="none"/>
          <w:lang w:eastAsia="zh-CN"/>
        </w:rPr>
      </w:pPr>
      <w:r>
        <w:rPr>
          <w:rFonts w:hint="eastAsia"/>
          <w:color w:val="auto"/>
          <w:highlight w:val="none"/>
          <w:lang w:eastAsia="zh-CN"/>
        </w:rPr>
        <w:t>五、供应商基本情况表</w:t>
      </w:r>
    </w:p>
    <w:p>
      <w:pPr>
        <w:pStyle w:val="2"/>
        <w:ind w:firstLine="480"/>
        <w:rPr>
          <w:rFonts w:hint="eastAsia"/>
          <w:color w:val="auto"/>
          <w:highlight w:val="none"/>
          <w:lang w:eastAsia="zh-CN"/>
        </w:rPr>
      </w:pPr>
      <w:r>
        <w:rPr>
          <w:rFonts w:hint="eastAsia"/>
          <w:color w:val="auto"/>
          <w:highlight w:val="none"/>
          <w:lang w:eastAsia="zh-CN"/>
        </w:rPr>
        <w:t>六、监理大纲</w:t>
      </w:r>
    </w:p>
    <w:p>
      <w:pPr>
        <w:pStyle w:val="2"/>
        <w:ind w:firstLine="480"/>
        <w:rPr>
          <w:rFonts w:hint="eastAsia"/>
          <w:color w:val="auto"/>
          <w:highlight w:val="none"/>
          <w:lang w:eastAsia="zh-CN"/>
        </w:rPr>
      </w:pPr>
      <w:r>
        <w:rPr>
          <w:rFonts w:hint="eastAsia"/>
          <w:color w:val="auto"/>
          <w:highlight w:val="none"/>
          <w:lang w:eastAsia="zh-CN"/>
        </w:rPr>
        <w:t>七、其他材料</w:t>
      </w:r>
    </w:p>
    <w:p>
      <w:pPr>
        <w:pStyle w:val="2"/>
        <w:ind w:firstLine="480"/>
        <w:rPr>
          <w:rFonts w:hint="eastAsia"/>
          <w:color w:val="auto"/>
          <w:highlight w:val="none"/>
          <w:lang w:eastAsia="zh-CN"/>
        </w:rPr>
      </w:pPr>
      <w:r>
        <w:rPr>
          <w:rFonts w:hint="eastAsia"/>
          <w:color w:val="auto"/>
          <w:highlight w:val="none"/>
          <w:lang w:eastAsia="zh-CN"/>
        </w:rPr>
        <w:t>3.1.2供应商须知前附表规定不接受联合体投标的，或供应商没有组成联合体的，响应文件不包括本章第3.1.1(3）目所指的联合体协议书。</w:t>
      </w:r>
    </w:p>
    <w:p>
      <w:pPr>
        <w:pStyle w:val="5"/>
        <w:bidi w:val="0"/>
        <w:jc w:val="left"/>
        <w:rPr>
          <w:rFonts w:hint="eastAsia" w:eastAsia="宋体"/>
          <w:color w:val="auto"/>
          <w:highlight w:val="none"/>
          <w:lang w:eastAsia="zh-CN"/>
        </w:rPr>
      </w:pPr>
      <w:bookmarkStart w:id="38" w:name="_Toc14780"/>
      <w:r>
        <w:rPr>
          <w:rFonts w:hint="eastAsia" w:eastAsia="宋体"/>
          <w:color w:val="auto"/>
          <w:highlight w:val="none"/>
          <w:lang w:eastAsia="zh-CN"/>
        </w:rPr>
        <w:t>3.2磋商报价</w:t>
      </w:r>
      <w:bookmarkEnd w:id="38"/>
    </w:p>
    <w:p>
      <w:pPr>
        <w:pStyle w:val="2"/>
        <w:ind w:firstLine="480"/>
        <w:rPr>
          <w:rFonts w:hint="eastAsia"/>
          <w:color w:val="auto"/>
          <w:highlight w:val="none"/>
          <w:lang w:eastAsia="zh-CN"/>
        </w:rPr>
      </w:pPr>
      <w:r>
        <w:rPr>
          <w:rFonts w:hint="eastAsia"/>
          <w:color w:val="auto"/>
          <w:highlight w:val="none"/>
          <w:lang w:eastAsia="zh-CN"/>
        </w:rPr>
        <w:t>3.2.1供应商应按磋商文件的要求填写相应表格。</w:t>
      </w:r>
    </w:p>
    <w:p>
      <w:pPr>
        <w:pStyle w:val="2"/>
        <w:ind w:firstLine="480"/>
        <w:rPr>
          <w:rFonts w:hint="eastAsia"/>
          <w:color w:val="auto"/>
          <w:highlight w:val="none"/>
          <w:lang w:eastAsia="zh-CN"/>
        </w:rPr>
      </w:pPr>
      <w:r>
        <w:rPr>
          <w:rFonts w:hint="eastAsia"/>
          <w:color w:val="auto"/>
          <w:highlight w:val="none"/>
          <w:lang w:eastAsia="zh-CN"/>
        </w:rPr>
        <w:t>3.2.2供应商在投标截止时间前修改磋商函中的磋商报价，应同时修改开标一览表表中的相应报价。此修改须符合本章第4.3款的有关要求。</w:t>
      </w:r>
    </w:p>
    <w:p>
      <w:pPr>
        <w:pStyle w:val="2"/>
        <w:ind w:firstLine="480"/>
        <w:rPr>
          <w:rFonts w:hint="eastAsia"/>
          <w:color w:val="auto"/>
          <w:highlight w:val="none"/>
          <w:lang w:eastAsia="zh-CN"/>
        </w:rPr>
      </w:pPr>
      <w:r>
        <w:rPr>
          <w:rFonts w:hint="eastAsia"/>
          <w:color w:val="auto"/>
          <w:highlight w:val="none"/>
          <w:lang w:eastAsia="zh-CN"/>
        </w:rPr>
        <w:t>3.2.3报价次数：供应商须知前附表规定。</w:t>
      </w:r>
    </w:p>
    <w:p>
      <w:pPr>
        <w:pStyle w:val="5"/>
        <w:bidi w:val="0"/>
        <w:jc w:val="left"/>
        <w:rPr>
          <w:rFonts w:hint="eastAsia" w:eastAsia="宋体"/>
          <w:color w:val="auto"/>
          <w:highlight w:val="none"/>
          <w:lang w:eastAsia="zh-CN"/>
        </w:rPr>
      </w:pPr>
      <w:bookmarkStart w:id="39" w:name="_Toc2433"/>
      <w:r>
        <w:rPr>
          <w:rFonts w:hint="eastAsia" w:eastAsia="宋体"/>
          <w:color w:val="auto"/>
          <w:highlight w:val="none"/>
          <w:lang w:eastAsia="zh-CN"/>
        </w:rPr>
        <w:t>3.3响应有效期</w:t>
      </w:r>
      <w:bookmarkEnd w:id="39"/>
    </w:p>
    <w:p>
      <w:pPr>
        <w:pStyle w:val="2"/>
        <w:ind w:firstLine="480"/>
        <w:rPr>
          <w:rFonts w:hint="eastAsia"/>
          <w:color w:val="auto"/>
          <w:highlight w:val="none"/>
          <w:lang w:eastAsia="zh-CN"/>
        </w:rPr>
      </w:pPr>
      <w:r>
        <w:rPr>
          <w:rFonts w:hint="eastAsia"/>
          <w:color w:val="auto"/>
          <w:highlight w:val="none"/>
          <w:lang w:eastAsia="zh-CN"/>
        </w:rPr>
        <w:t>3.3.1在供应商须知前附表规定的响应有效期内，供应商不得要求撤销或修改其响应文件。</w:t>
      </w:r>
    </w:p>
    <w:p>
      <w:pPr>
        <w:pStyle w:val="2"/>
        <w:ind w:firstLine="480"/>
        <w:rPr>
          <w:rFonts w:hint="eastAsia"/>
          <w:color w:val="auto"/>
          <w:highlight w:val="none"/>
          <w:lang w:eastAsia="zh-CN"/>
        </w:rPr>
      </w:pPr>
      <w:r>
        <w:rPr>
          <w:rFonts w:hint="eastAsia"/>
          <w:color w:val="auto"/>
          <w:highlight w:val="none"/>
          <w:lang w:eastAsia="zh-CN"/>
        </w:rPr>
        <w:t>3.3.2出现特殊情况需要延长响应有效期的，采购人以书面形式通知所有供应商延长响应有效期。供应商同意延长的，应相应延长其磋商保证金的有效期，但不得要求或被允许修改或撤销其响应文件；供应商拒绝延长的，其投标失效，但供应商有权收回其磋商保证金。</w:t>
      </w:r>
    </w:p>
    <w:p>
      <w:pPr>
        <w:pStyle w:val="5"/>
        <w:bidi w:val="0"/>
        <w:jc w:val="left"/>
        <w:rPr>
          <w:rFonts w:hint="eastAsia" w:eastAsia="宋体"/>
          <w:color w:val="auto"/>
          <w:highlight w:val="none"/>
          <w:lang w:eastAsia="zh-CN"/>
        </w:rPr>
      </w:pPr>
      <w:bookmarkStart w:id="40" w:name="_Toc15828"/>
      <w:r>
        <w:rPr>
          <w:rFonts w:hint="eastAsia" w:eastAsia="宋体"/>
          <w:color w:val="auto"/>
          <w:highlight w:val="none"/>
          <w:lang w:eastAsia="zh-CN"/>
        </w:rPr>
        <w:t>3.4磋商保证金</w:t>
      </w:r>
      <w:bookmarkEnd w:id="40"/>
    </w:p>
    <w:p>
      <w:pPr>
        <w:pStyle w:val="2"/>
        <w:ind w:firstLine="480"/>
        <w:rPr>
          <w:rFonts w:hint="eastAsia"/>
          <w:color w:val="auto"/>
          <w:highlight w:val="none"/>
          <w:lang w:eastAsia="zh-CN"/>
        </w:rPr>
      </w:pPr>
      <w:r>
        <w:rPr>
          <w:rFonts w:hint="eastAsia"/>
          <w:color w:val="auto"/>
          <w:highlight w:val="none"/>
          <w:lang w:eastAsia="zh-CN"/>
        </w:rPr>
        <w:t>3.4.1供应商在递交响应文件的同时，应按供应商须知前附表规定的金额、担保形式和第六章“响应文件格式”规定的磋商保证金格式递交磋商保证金，并作为其响应文件的组成部分。联合体投标的，其磋商保证金由牵头人递交，并应符合供应商须知前附表的规定。</w:t>
      </w:r>
    </w:p>
    <w:p>
      <w:pPr>
        <w:pStyle w:val="2"/>
        <w:ind w:firstLine="480"/>
        <w:rPr>
          <w:rFonts w:hint="eastAsia"/>
          <w:color w:val="auto"/>
          <w:highlight w:val="none"/>
          <w:lang w:eastAsia="zh-CN"/>
        </w:rPr>
      </w:pPr>
      <w:r>
        <w:rPr>
          <w:rFonts w:hint="eastAsia"/>
          <w:color w:val="auto"/>
          <w:highlight w:val="none"/>
          <w:lang w:eastAsia="zh-CN"/>
        </w:rPr>
        <w:t>3.4.2供应商不按本章第3.4.1项要求提交磋商保证金的，其响应文件作废标处理。</w:t>
      </w:r>
    </w:p>
    <w:p>
      <w:pPr>
        <w:pStyle w:val="2"/>
        <w:ind w:firstLine="480"/>
        <w:rPr>
          <w:rFonts w:hint="eastAsia"/>
          <w:color w:val="auto"/>
          <w:highlight w:val="none"/>
          <w:lang w:eastAsia="zh-CN"/>
        </w:rPr>
      </w:pPr>
      <w:r>
        <w:rPr>
          <w:rFonts w:hint="eastAsia"/>
          <w:color w:val="auto"/>
          <w:highlight w:val="none"/>
          <w:lang w:eastAsia="zh-CN"/>
        </w:rPr>
        <w:t>3.4.3未成交供应商的磋商保证金应当在成交通知书发出后5个工作日内退还，成交供应商的磋商保证金应当在项目合同签订后5个工作日内退还。</w:t>
      </w:r>
    </w:p>
    <w:p>
      <w:pPr>
        <w:pStyle w:val="2"/>
        <w:ind w:firstLine="480"/>
        <w:rPr>
          <w:rFonts w:hint="eastAsia"/>
          <w:color w:val="auto"/>
          <w:highlight w:val="none"/>
          <w:lang w:eastAsia="zh-CN"/>
        </w:rPr>
      </w:pPr>
      <w:r>
        <w:rPr>
          <w:rFonts w:hint="eastAsia"/>
          <w:color w:val="auto"/>
          <w:highlight w:val="none"/>
          <w:lang w:eastAsia="zh-CN"/>
        </w:rPr>
        <w:t>3.4.4有下列情形之一的，磋商保证金将不予退还：</w:t>
      </w:r>
    </w:p>
    <w:p>
      <w:pPr>
        <w:pStyle w:val="2"/>
        <w:ind w:firstLine="480"/>
        <w:rPr>
          <w:rFonts w:hint="eastAsia"/>
          <w:color w:val="auto"/>
          <w:highlight w:val="none"/>
          <w:lang w:eastAsia="zh-CN"/>
        </w:rPr>
      </w:pPr>
      <w:r>
        <w:rPr>
          <w:rFonts w:hint="eastAsia"/>
          <w:color w:val="auto"/>
          <w:highlight w:val="none"/>
          <w:lang w:eastAsia="zh-CN"/>
        </w:rPr>
        <w:t>(1）供应商在规定的响应有效期内撤销或修改其响应文件；</w:t>
      </w:r>
    </w:p>
    <w:p>
      <w:pPr>
        <w:pStyle w:val="2"/>
        <w:ind w:firstLine="480"/>
        <w:rPr>
          <w:rFonts w:hint="eastAsia"/>
          <w:color w:val="auto"/>
          <w:highlight w:val="none"/>
          <w:lang w:eastAsia="zh-CN"/>
        </w:rPr>
      </w:pPr>
      <w:r>
        <w:rPr>
          <w:rFonts w:hint="eastAsia"/>
          <w:color w:val="auto"/>
          <w:highlight w:val="none"/>
          <w:lang w:eastAsia="zh-CN"/>
        </w:rPr>
        <w:t>(2）成交单位在收到成交通知书后，无正当理由拒签合同协议书或未按磋商文件规定提交履约担保。供应商在编制响应文件时，应按新情况更新或补充其在申请资格预审时提供的资料，以证实其各项资格条件仍能继续满足资格预审文件的要求，具备承担本标段施工监理的资质条件、能力和信誉。</w:t>
      </w:r>
    </w:p>
    <w:p>
      <w:pPr>
        <w:pStyle w:val="5"/>
        <w:bidi w:val="0"/>
        <w:jc w:val="left"/>
        <w:rPr>
          <w:rFonts w:hint="eastAsia" w:eastAsia="宋体"/>
          <w:color w:val="auto"/>
          <w:highlight w:val="none"/>
          <w:lang w:eastAsia="zh-CN"/>
        </w:rPr>
      </w:pPr>
      <w:bookmarkStart w:id="41" w:name="_Toc25193"/>
      <w:r>
        <w:rPr>
          <w:rFonts w:hint="eastAsia" w:eastAsia="宋体"/>
          <w:color w:val="auto"/>
          <w:highlight w:val="none"/>
          <w:lang w:eastAsia="zh-CN"/>
        </w:rPr>
        <w:t>3.5资格审查资料</w:t>
      </w:r>
      <w:bookmarkEnd w:id="41"/>
    </w:p>
    <w:p>
      <w:pPr>
        <w:pStyle w:val="2"/>
        <w:ind w:firstLine="480"/>
        <w:rPr>
          <w:rFonts w:hint="eastAsia"/>
          <w:color w:val="auto"/>
          <w:highlight w:val="none"/>
          <w:lang w:eastAsia="zh-CN"/>
        </w:rPr>
      </w:pPr>
      <w:r>
        <w:rPr>
          <w:color w:val="auto"/>
          <w:highlight w:val="none"/>
          <w:lang w:eastAsia="zh-CN"/>
        </w:rPr>
        <w:t>/</w:t>
      </w:r>
    </w:p>
    <w:p>
      <w:pPr>
        <w:pStyle w:val="5"/>
        <w:bidi w:val="0"/>
        <w:jc w:val="left"/>
        <w:rPr>
          <w:rFonts w:hint="eastAsia" w:eastAsia="宋体"/>
          <w:color w:val="auto"/>
          <w:highlight w:val="none"/>
          <w:lang w:eastAsia="zh-CN"/>
        </w:rPr>
      </w:pPr>
      <w:bookmarkStart w:id="42" w:name="_Toc27310"/>
      <w:r>
        <w:rPr>
          <w:rFonts w:hint="eastAsia" w:eastAsia="宋体"/>
          <w:color w:val="auto"/>
          <w:highlight w:val="none"/>
          <w:lang w:eastAsia="zh-CN"/>
        </w:rPr>
        <w:t>3.6备选投标方案</w:t>
      </w:r>
      <w:bookmarkEnd w:id="42"/>
    </w:p>
    <w:p>
      <w:pPr>
        <w:pStyle w:val="2"/>
        <w:ind w:firstLine="480"/>
        <w:rPr>
          <w:rFonts w:hint="eastAsia"/>
          <w:color w:val="auto"/>
          <w:sz w:val="28"/>
          <w:szCs w:val="28"/>
          <w:highlight w:val="none"/>
          <w:lang w:eastAsia="zh-CN"/>
        </w:rPr>
      </w:pPr>
      <w:r>
        <w:rPr>
          <w:rFonts w:hint="eastAsia"/>
          <w:color w:val="auto"/>
          <w:highlight w:val="none"/>
          <w:lang w:eastAsia="zh-CN"/>
        </w:rPr>
        <w:t>不允许</w:t>
      </w:r>
    </w:p>
    <w:p>
      <w:pPr>
        <w:pStyle w:val="5"/>
        <w:bidi w:val="0"/>
        <w:jc w:val="left"/>
        <w:rPr>
          <w:rFonts w:hint="eastAsia" w:eastAsia="宋体"/>
          <w:color w:val="auto"/>
          <w:highlight w:val="none"/>
          <w:lang w:eastAsia="zh-CN"/>
        </w:rPr>
      </w:pPr>
      <w:bookmarkStart w:id="43" w:name="_Toc32710"/>
      <w:r>
        <w:rPr>
          <w:rFonts w:hint="eastAsia" w:eastAsia="宋体"/>
          <w:color w:val="auto"/>
          <w:highlight w:val="none"/>
          <w:lang w:eastAsia="zh-CN"/>
        </w:rPr>
        <w:t>3.7响应文件的编制</w:t>
      </w:r>
      <w:bookmarkEnd w:id="43"/>
    </w:p>
    <w:p>
      <w:pPr>
        <w:pStyle w:val="2"/>
        <w:ind w:firstLine="480"/>
        <w:rPr>
          <w:rFonts w:hint="eastAsia"/>
          <w:color w:val="auto"/>
          <w:highlight w:val="none"/>
          <w:lang w:eastAsia="zh-CN"/>
        </w:rPr>
      </w:pPr>
      <w:r>
        <w:rPr>
          <w:rFonts w:hint="eastAsia"/>
          <w:color w:val="auto"/>
          <w:highlight w:val="none"/>
          <w:lang w:eastAsia="zh-CN"/>
        </w:rPr>
        <w:t>3.7.1响应文件应按第六章“响应文件格式”进行编写，如有必要，可以增加附页，作为响应文件的组成部分。其中，磋商函附录在满足磋商文件实质性要求的基础上，可以提出比磋商文件要求更有利于采购人的承诺。</w:t>
      </w:r>
    </w:p>
    <w:p>
      <w:pPr>
        <w:pStyle w:val="2"/>
        <w:ind w:firstLine="480"/>
        <w:rPr>
          <w:rFonts w:hint="eastAsia"/>
          <w:color w:val="auto"/>
          <w:highlight w:val="none"/>
          <w:lang w:eastAsia="zh-CN"/>
        </w:rPr>
      </w:pPr>
      <w:r>
        <w:rPr>
          <w:rFonts w:hint="eastAsia"/>
          <w:color w:val="auto"/>
          <w:highlight w:val="none"/>
          <w:lang w:eastAsia="zh-CN"/>
        </w:rPr>
        <w:t>3.7.2响应文件应当对磋商文件有关工期、响应有效期、质量要求、技术标准和要求、采购范围等实质性内容作出响应。</w:t>
      </w:r>
    </w:p>
    <w:p>
      <w:pPr>
        <w:pStyle w:val="2"/>
        <w:ind w:firstLine="480"/>
        <w:rPr>
          <w:rFonts w:hint="eastAsia"/>
          <w:color w:val="auto"/>
          <w:highlight w:val="none"/>
          <w:lang w:eastAsia="zh-CN"/>
        </w:rPr>
      </w:pPr>
      <w:r>
        <w:rPr>
          <w:rFonts w:hint="eastAsia"/>
          <w:color w:val="auto"/>
          <w:highlight w:val="none"/>
          <w:lang w:eastAsia="zh-CN"/>
        </w:rPr>
        <w:t>3.7.3响应文件应用不褪色的材料书写或打印，委托代理人签字的，响应文件应附法定代表人签署的授权委托书。响应文件应尽量避免涂改、行间插字或删除。如果出现上述情况，改动之处应加盖单位章或由供应商的法定代表人或其授权的代理人签字确认。</w:t>
      </w:r>
    </w:p>
    <w:p>
      <w:pPr>
        <w:pStyle w:val="2"/>
        <w:ind w:firstLine="480"/>
        <w:rPr>
          <w:rFonts w:hint="eastAsia"/>
          <w:color w:val="auto"/>
          <w:highlight w:val="none"/>
          <w:lang w:eastAsia="zh-CN"/>
        </w:rPr>
      </w:pPr>
      <w:r>
        <w:rPr>
          <w:rFonts w:hint="eastAsia"/>
          <w:color w:val="auto"/>
          <w:highlight w:val="none"/>
          <w:lang w:eastAsia="zh-CN"/>
        </w:rPr>
        <w:t>3.7.4响应文件正本及副本份数见供应商须知前附表。正本和副本的封面上应清楚地标记“正本”或“副本”的字样。当副本和正本不一致时，以正本为准。</w:t>
      </w:r>
    </w:p>
    <w:p>
      <w:pPr>
        <w:pStyle w:val="2"/>
        <w:ind w:firstLine="480"/>
        <w:rPr>
          <w:rFonts w:hint="eastAsia"/>
          <w:color w:val="auto"/>
          <w:highlight w:val="none"/>
          <w:lang w:eastAsia="zh-CN"/>
        </w:rPr>
      </w:pPr>
      <w:r>
        <w:rPr>
          <w:rFonts w:hint="eastAsia"/>
          <w:color w:val="auto"/>
          <w:highlight w:val="none"/>
          <w:lang w:eastAsia="zh-CN"/>
        </w:rPr>
        <w:t>3.7.5响应文件的正本与副本应分别装订成册，并编制目录，具体装订要求见供应商须知前附表规定。</w:t>
      </w:r>
    </w:p>
    <w:p>
      <w:pPr>
        <w:pStyle w:val="4"/>
        <w:bidi w:val="0"/>
        <w:jc w:val="left"/>
        <w:rPr>
          <w:rFonts w:hint="eastAsia"/>
          <w:color w:val="auto"/>
          <w:highlight w:val="none"/>
          <w:lang w:eastAsia="zh-CN"/>
        </w:rPr>
      </w:pPr>
      <w:bookmarkStart w:id="44" w:name="_Toc18171"/>
      <w:r>
        <w:rPr>
          <w:rFonts w:hint="eastAsia"/>
          <w:color w:val="auto"/>
          <w:highlight w:val="none"/>
          <w:lang w:eastAsia="zh-CN"/>
        </w:rPr>
        <w:t>4．投标</w:t>
      </w:r>
      <w:bookmarkEnd w:id="44"/>
    </w:p>
    <w:p>
      <w:pPr>
        <w:pStyle w:val="5"/>
        <w:bidi w:val="0"/>
        <w:jc w:val="left"/>
        <w:rPr>
          <w:rFonts w:hint="eastAsia" w:eastAsia="宋体"/>
          <w:color w:val="auto"/>
          <w:highlight w:val="none"/>
          <w:lang w:eastAsia="zh-CN"/>
        </w:rPr>
      </w:pPr>
      <w:bookmarkStart w:id="45" w:name="_Toc27987"/>
      <w:r>
        <w:rPr>
          <w:rFonts w:hint="eastAsia" w:eastAsia="宋体"/>
          <w:color w:val="auto"/>
          <w:highlight w:val="none"/>
          <w:lang w:eastAsia="zh-CN"/>
        </w:rPr>
        <w:t>4.1响应文件的密封和标记</w:t>
      </w:r>
      <w:bookmarkEnd w:id="45"/>
    </w:p>
    <w:p>
      <w:pPr>
        <w:pStyle w:val="2"/>
        <w:ind w:firstLine="480"/>
        <w:rPr>
          <w:rFonts w:hint="eastAsia"/>
          <w:color w:val="auto"/>
          <w:highlight w:val="none"/>
          <w:lang w:eastAsia="zh-CN"/>
        </w:rPr>
      </w:pPr>
      <w:r>
        <w:rPr>
          <w:color w:val="auto"/>
          <w:highlight w:val="none"/>
          <w:lang w:eastAsia="zh-CN"/>
        </w:rPr>
        <w:t>/</w:t>
      </w:r>
    </w:p>
    <w:p>
      <w:pPr>
        <w:pStyle w:val="5"/>
        <w:bidi w:val="0"/>
        <w:jc w:val="left"/>
        <w:rPr>
          <w:rFonts w:hint="eastAsia" w:eastAsia="宋体"/>
          <w:color w:val="auto"/>
          <w:highlight w:val="none"/>
          <w:lang w:eastAsia="zh-CN"/>
        </w:rPr>
      </w:pPr>
      <w:bookmarkStart w:id="46" w:name="_Toc6160"/>
      <w:r>
        <w:rPr>
          <w:rFonts w:hint="eastAsia" w:eastAsia="宋体"/>
          <w:color w:val="auto"/>
          <w:highlight w:val="none"/>
          <w:lang w:eastAsia="zh-CN"/>
        </w:rPr>
        <w:t>4.2响应文件的递交</w:t>
      </w:r>
      <w:bookmarkEnd w:id="46"/>
    </w:p>
    <w:p>
      <w:pPr>
        <w:pStyle w:val="2"/>
        <w:ind w:firstLine="480"/>
        <w:rPr>
          <w:rFonts w:hint="eastAsia"/>
          <w:color w:val="auto"/>
          <w:highlight w:val="none"/>
          <w:lang w:eastAsia="zh-CN"/>
        </w:rPr>
      </w:pPr>
      <w:r>
        <w:rPr>
          <w:rFonts w:hint="eastAsia"/>
          <w:color w:val="auto"/>
          <w:highlight w:val="none"/>
          <w:lang w:eastAsia="zh-CN"/>
        </w:rPr>
        <w:t>4.2.1供应商应在本章第2.2.2项规定的递交响应文件截止时间前递交响应文件。</w:t>
      </w:r>
    </w:p>
    <w:p>
      <w:pPr>
        <w:pStyle w:val="2"/>
        <w:ind w:firstLine="480"/>
        <w:rPr>
          <w:rFonts w:hint="eastAsia"/>
          <w:color w:val="auto"/>
          <w:highlight w:val="none"/>
          <w:lang w:eastAsia="zh-CN"/>
        </w:rPr>
      </w:pPr>
      <w:r>
        <w:rPr>
          <w:rFonts w:hint="eastAsia"/>
          <w:color w:val="auto"/>
          <w:highlight w:val="none"/>
          <w:lang w:eastAsia="zh-CN"/>
        </w:rPr>
        <w:t>4.2.2供应商递交响应文件的地点：见供应商须知前附表。</w:t>
      </w:r>
    </w:p>
    <w:p>
      <w:pPr>
        <w:pStyle w:val="2"/>
        <w:ind w:firstLine="480"/>
        <w:rPr>
          <w:rFonts w:hint="eastAsia"/>
          <w:color w:val="auto"/>
          <w:highlight w:val="none"/>
          <w:lang w:eastAsia="zh-CN"/>
        </w:rPr>
      </w:pPr>
      <w:r>
        <w:rPr>
          <w:rFonts w:hint="eastAsia"/>
          <w:color w:val="auto"/>
          <w:highlight w:val="none"/>
          <w:lang w:eastAsia="zh-CN"/>
        </w:rPr>
        <w:t>4.2.3除供应商须知前附表另有规定外，供应商所递交的响应文件不予退还。</w:t>
      </w:r>
    </w:p>
    <w:p>
      <w:pPr>
        <w:pStyle w:val="2"/>
        <w:ind w:firstLine="480"/>
        <w:rPr>
          <w:rFonts w:hint="eastAsia"/>
          <w:color w:val="auto"/>
          <w:highlight w:val="none"/>
          <w:lang w:eastAsia="zh-CN"/>
        </w:rPr>
      </w:pPr>
      <w:r>
        <w:rPr>
          <w:rFonts w:hint="eastAsia"/>
          <w:color w:val="auto"/>
          <w:highlight w:val="none"/>
          <w:lang w:eastAsia="zh-CN"/>
        </w:rPr>
        <w:t>4.2.4采购人收到响应文件后，向供应商出具签收凭证。</w:t>
      </w:r>
    </w:p>
    <w:p>
      <w:pPr>
        <w:pStyle w:val="2"/>
        <w:ind w:firstLine="480"/>
        <w:rPr>
          <w:rFonts w:hint="eastAsia"/>
          <w:color w:val="auto"/>
          <w:highlight w:val="none"/>
          <w:lang w:eastAsia="zh-CN"/>
        </w:rPr>
      </w:pPr>
      <w:r>
        <w:rPr>
          <w:rFonts w:hint="eastAsia"/>
          <w:color w:val="auto"/>
          <w:highlight w:val="none"/>
          <w:lang w:eastAsia="zh-CN"/>
        </w:rPr>
        <w:t>4.2.5逾期送达的或者未送达指定地点的响应文件，采购人不予受理。</w:t>
      </w:r>
    </w:p>
    <w:p>
      <w:pPr>
        <w:pStyle w:val="2"/>
        <w:ind w:firstLine="480"/>
        <w:rPr>
          <w:rFonts w:hint="eastAsia"/>
          <w:color w:val="auto"/>
          <w:highlight w:val="none"/>
          <w:lang w:eastAsia="zh-CN"/>
        </w:rPr>
      </w:pPr>
      <w:bookmarkStart w:id="47" w:name="_Toc18808"/>
      <w:r>
        <w:rPr>
          <w:rFonts w:hint="eastAsia"/>
          <w:color w:val="auto"/>
          <w:highlight w:val="none"/>
          <w:lang w:eastAsia="zh-CN"/>
        </w:rPr>
        <w:t>4.3响应文件的修改与撤回</w:t>
      </w:r>
      <w:bookmarkEnd w:id="47"/>
    </w:p>
    <w:p>
      <w:pPr>
        <w:pStyle w:val="2"/>
        <w:ind w:firstLine="480"/>
        <w:rPr>
          <w:rFonts w:hint="eastAsia"/>
          <w:color w:val="auto"/>
          <w:highlight w:val="none"/>
          <w:lang w:eastAsia="zh-CN"/>
        </w:rPr>
      </w:pPr>
      <w:r>
        <w:rPr>
          <w:rFonts w:hint="eastAsia"/>
          <w:color w:val="auto"/>
          <w:highlight w:val="none"/>
          <w:lang w:eastAsia="zh-CN"/>
        </w:rPr>
        <w:t>4.3.1在规定的递交响应文件截止时间前，供应商可以修改或撤回已递交的响应文件，但需在政采云平台说明理由。</w:t>
      </w:r>
    </w:p>
    <w:p>
      <w:pPr>
        <w:pStyle w:val="2"/>
        <w:ind w:firstLine="480"/>
        <w:rPr>
          <w:rFonts w:hint="eastAsia"/>
          <w:color w:val="auto"/>
          <w:highlight w:val="none"/>
          <w:lang w:eastAsia="zh-CN"/>
        </w:rPr>
      </w:pPr>
      <w:r>
        <w:rPr>
          <w:rFonts w:hint="eastAsia"/>
          <w:color w:val="auto"/>
          <w:highlight w:val="none"/>
          <w:lang w:eastAsia="zh-CN"/>
        </w:rPr>
        <w:t>4.3.2供应商修改或撤回已递交响应文件的书面通知应按照本章第3.7.3项的要求签字或盖章。采购人收到书面通知后，向供应商出具签收凭证。</w:t>
      </w:r>
    </w:p>
    <w:p>
      <w:pPr>
        <w:pStyle w:val="2"/>
        <w:ind w:firstLine="480"/>
        <w:rPr>
          <w:rFonts w:hint="eastAsia"/>
          <w:color w:val="auto"/>
          <w:highlight w:val="none"/>
          <w:lang w:eastAsia="zh-CN"/>
        </w:rPr>
      </w:pPr>
      <w:r>
        <w:rPr>
          <w:rFonts w:hint="eastAsia"/>
          <w:color w:val="auto"/>
          <w:highlight w:val="none"/>
          <w:lang w:eastAsia="zh-CN"/>
        </w:rPr>
        <w:t>4.3.3修改的内容为响应文件的组成部分。修改的响应文件应按照本章第3条、第4条规定进行编制、标记和递交，并标明“修改”字样。</w:t>
      </w:r>
    </w:p>
    <w:p>
      <w:pPr>
        <w:pStyle w:val="4"/>
        <w:bidi w:val="0"/>
        <w:jc w:val="left"/>
        <w:rPr>
          <w:rFonts w:hint="eastAsia"/>
          <w:color w:val="auto"/>
          <w:highlight w:val="none"/>
          <w:lang w:eastAsia="zh-CN"/>
        </w:rPr>
      </w:pPr>
      <w:bookmarkStart w:id="48" w:name="_Toc16279"/>
      <w:r>
        <w:rPr>
          <w:rFonts w:hint="eastAsia"/>
          <w:color w:val="auto"/>
          <w:highlight w:val="none"/>
          <w:lang w:eastAsia="zh-CN"/>
        </w:rPr>
        <w:t>5．开标</w:t>
      </w:r>
      <w:bookmarkEnd w:id="48"/>
    </w:p>
    <w:p>
      <w:pPr>
        <w:pStyle w:val="5"/>
        <w:bidi w:val="0"/>
        <w:jc w:val="left"/>
        <w:rPr>
          <w:rFonts w:hint="eastAsia" w:eastAsia="宋体"/>
          <w:color w:val="auto"/>
          <w:highlight w:val="none"/>
          <w:lang w:eastAsia="zh-CN"/>
        </w:rPr>
      </w:pPr>
      <w:bookmarkStart w:id="49" w:name="_Toc8360"/>
      <w:r>
        <w:rPr>
          <w:rFonts w:hint="eastAsia" w:eastAsia="宋体"/>
          <w:color w:val="auto"/>
          <w:highlight w:val="none"/>
          <w:lang w:eastAsia="zh-CN"/>
        </w:rPr>
        <w:t>5.1开启时间和地点</w:t>
      </w:r>
      <w:bookmarkEnd w:id="49"/>
    </w:p>
    <w:p>
      <w:pPr>
        <w:pStyle w:val="2"/>
        <w:ind w:firstLine="480"/>
        <w:rPr>
          <w:rFonts w:hint="eastAsia"/>
          <w:color w:val="auto"/>
          <w:highlight w:val="none"/>
          <w:lang w:eastAsia="zh-CN"/>
        </w:rPr>
      </w:pPr>
      <w:r>
        <w:rPr>
          <w:rFonts w:hint="eastAsia"/>
          <w:color w:val="auto"/>
          <w:highlight w:val="none"/>
          <w:lang w:eastAsia="zh-CN"/>
        </w:rPr>
        <w:t>采购人在前附表规定的递交响应文件截止时间（开启时间）和供应商须知前附表规定。</w:t>
      </w:r>
    </w:p>
    <w:p>
      <w:pPr>
        <w:pStyle w:val="5"/>
        <w:bidi w:val="0"/>
        <w:jc w:val="left"/>
        <w:rPr>
          <w:rFonts w:hint="eastAsia" w:eastAsia="宋体"/>
          <w:color w:val="auto"/>
          <w:highlight w:val="none"/>
          <w:lang w:eastAsia="zh-CN"/>
        </w:rPr>
      </w:pPr>
      <w:bookmarkStart w:id="50" w:name="_Toc19419"/>
      <w:r>
        <w:rPr>
          <w:rFonts w:hint="eastAsia" w:eastAsia="宋体"/>
          <w:color w:val="auto"/>
          <w:highlight w:val="none"/>
          <w:lang w:eastAsia="zh-CN"/>
        </w:rPr>
        <w:t>5.2磋商程序</w:t>
      </w:r>
      <w:bookmarkEnd w:id="50"/>
    </w:p>
    <w:p>
      <w:pPr>
        <w:pStyle w:val="2"/>
        <w:ind w:firstLine="480"/>
        <w:rPr>
          <w:rFonts w:hint="eastAsia"/>
          <w:color w:val="auto"/>
          <w:highlight w:val="none"/>
          <w:lang w:eastAsia="zh-CN"/>
        </w:rPr>
      </w:pPr>
      <w:r>
        <w:rPr>
          <w:rFonts w:hint="eastAsia"/>
          <w:color w:val="auto"/>
          <w:highlight w:val="none"/>
          <w:lang w:eastAsia="zh-CN"/>
        </w:rPr>
        <w:t>主持人按开标流程进行开标。</w:t>
      </w:r>
    </w:p>
    <w:p>
      <w:pPr>
        <w:pStyle w:val="4"/>
        <w:bidi w:val="0"/>
        <w:jc w:val="left"/>
        <w:rPr>
          <w:rFonts w:hint="eastAsia"/>
          <w:color w:val="auto"/>
          <w:highlight w:val="none"/>
          <w:lang w:eastAsia="zh-CN"/>
        </w:rPr>
      </w:pPr>
      <w:bookmarkStart w:id="51" w:name="_Toc21763"/>
      <w:r>
        <w:rPr>
          <w:rFonts w:hint="eastAsia"/>
          <w:color w:val="auto"/>
          <w:highlight w:val="none"/>
          <w:lang w:eastAsia="zh-CN"/>
        </w:rPr>
        <w:t>6．评审</w:t>
      </w:r>
      <w:bookmarkEnd w:id="51"/>
    </w:p>
    <w:p>
      <w:pPr>
        <w:pStyle w:val="5"/>
        <w:bidi w:val="0"/>
        <w:jc w:val="left"/>
        <w:rPr>
          <w:rFonts w:hint="eastAsia" w:eastAsia="宋体"/>
          <w:color w:val="auto"/>
          <w:highlight w:val="none"/>
          <w:lang w:eastAsia="zh-CN"/>
        </w:rPr>
      </w:pPr>
      <w:bookmarkStart w:id="52" w:name="_Toc30582"/>
      <w:r>
        <w:rPr>
          <w:rFonts w:hint="eastAsia" w:eastAsia="宋体"/>
          <w:color w:val="auto"/>
          <w:highlight w:val="none"/>
          <w:lang w:eastAsia="zh-CN"/>
        </w:rPr>
        <w:t>6.1磋商小组</w:t>
      </w:r>
      <w:bookmarkEnd w:id="52"/>
    </w:p>
    <w:p>
      <w:pPr>
        <w:pStyle w:val="2"/>
        <w:ind w:firstLine="480"/>
        <w:rPr>
          <w:rFonts w:hint="eastAsia"/>
          <w:color w:val="auto"/>
          <w:highlight w:val="none"/>
          <w:lang w:eastAsia="zh-CN"/>
        </w:rPr>
      </w:pPr>
      <w:r>
        <w:rPr>
          <w:rFonts w:hint="eastAsia"/>
          <w:color w:val="auto"/>
          <w:highlight w:val="none"/>
          <w:lang w:eastAsia="zh-CN"/>
        </w:rPr>
        <w:t>6.1.1评审工作由采购人依法组建的磋商小组负责。磋商小组由有关技术、经济等方面的专家组成。磋商小组成员人数以及技术、经济等方面专家的确定方式见供应商须知前附表。</w:t>
      </w:r>
    </w:p>
    <w:p>
      <w:pPr>
        <w:pStyle w:val="2"/>
        <w:ind w:firstLine="480"/>
        <w:rPr>
          <w:rFonts w:hint="eastAsia"/>
          <w:color w:val="auto"/>
          <w:highlight w:val="none"/>
          <w:lang w:eastAsia="zh-CN"/>
        </w:rPr>
      </w:pPr>
      <w:r>
        <w:rPr>
          <w:rFonts w:hint="eastAsia"/>
          <w:color w:val="auto"/>
          <w:highlight w:val="none"/>
          <w:lang w:eastAsia="zh-CN"/>
        </w:rPr>
        <w:t>6.1.2磋商小组成员有下列情形之一的，应当回避：</w:t>
      </w:r>
    </w:p>
    <w:p>
      <w:pPr>
        <w:pStyle w:val="2"/>
        <w:ind w:firstLine="480"/>
        <w:rPr>
          <w:rFonts w:hint="eastAsia"/>
          <w:color w:val="auto"/>
          <w:highlight w:val="none"/>
          <w:lang w:eastAsia="zh-CN"/>
        </w:rPr>
      </w:pPr>
      <w:r>
        <w:rPr>
          <w:rFonts w:hint="eastAsia"/>
          <w:color w:val="auto"/>
          <w:highlight w:val="none"/>
          <w:lang w:eastAsia="zh-CN"/>
        </w:rPr>
        <w:t>(1）采购人或供应商的主要负责人的近亲属；</w:t>
      </w:r>
    </w:p>
    <w:p>
      <w:pPr>
        <w:pStyle w:val="2"/>
        <w:ind w:firstLine="480"/>
        <w:rPr>
          <w:rFonts w:hint="eastAsia"/>
          <w:color w:val="auto"/>
          <w:highlight w:val="none"/>
          <w:lang w:eastAsia="zh-CN"/>
        </w:rPr>
      </w:pPr>
      <w:r>
        <w:rPr>
          <w:rFonts w:hint="eastAsia"/>
          <w:color w:val="auto"/>
          <w:highlight w:val="none"/>
          <w:lang w:eastAsia="zh-CN"/>
        </w:rPr>
        <w:t>(2）项目主管部门或者行政监督部门的人员；</w:t>
      </w:r>
    </w:p>
    <w:p>
      <w:pPr>
        <w:pStyle w:val="2"/>
        <w:ind w:firstLine="480"/>
        <w:rPr>
          <w:rFonts w:hint="eastAsia"/>
          <w:color w:val="auto"/>
          <w:highlight w:val="none"/>
          <w:lang w:eastAsia="zh-CN"/>
        </w:rPr>
      </w:pPr>
      <w:r>
        <w:rPr>
          <w:rFonts w:hint="eastAsia"/>
          <w:color w:val="auto"/>
          <w:highlight w:val="none"/>
          <w:lang w:eastAsia="zh-CN"/>
        </w:rPr>
        <w:t>(3）与供应商有经济利益关系，可能影响对投标公正评审的；</w:t>
      </w:r>
    </w:p>
    <w:p>
      <w:pPr>
        <w:pStyle w:val="2"/>
        <w:ind w:firstLine="480"/>
        <w:rPr>
          <w:rFonts w:hint="eastAsia"/>
          <w:color w:val="auto"/>
          <w:highlight w:val="none"/>
          <w:lang w:eastAsia="zh-CN"/>
        </w:rPr>
      </w:pPr>
      <w:r>
        <w:rPr>
          <w:rFonts w:hint="eastAsia"/>
          <w:color w:val="auto"/>
          <w:highlight w:val="none"/>
          <w:lang w:eastAsia="zh-CN"/>
        </w:rPr>
        <w:t>(4）曾因在招标、评审工作以及其他与招标投标有关活动中从事违法行为而受过行政处罚或刑事处罚的。</w:t>
      </w:r>
    </w:p>
    <w:p>
      <w:pPr>
        <w:pStyle w:val="5"/>
        <w:bidi w:val="0"/>
        <w:jc w:val="left"/>
        <w:rPr>
          <w:rFonts w:hint="eastAsia" w:eastAsia="宋体"/>
          <w:color w:val="auto"/>
          <w:highlight w:val="none"/>
          <w:lang w:eastAsia="zh-CN"/>
        </w:rPr>
      </w:pPr>
      <w:bookmarkStart w:id="53" w:name="_Toc31693"/>
      <w:r>
        <w:rPr>
          <w:rFonts w:hint="eastAsia" w:eastAsia="宋体"/>
          <w:color w:val="auto"/>
          <w:highlight w:val="none"/>
          <w:lang w:eastAsia="zh-CN"/>
        </w:rPr>
        <w:t>6.2评审原则</w:t>
      </w:r>
      <w:bookmarkEnd w:id="53"/>
    </w:p>
    <w:p>
      <w:pPr>
        <w:pStyle w:val="2"/>
        <w:ind w:firstLine="480"/>
        <w:rPr>
          <w:rFonts w:hint="eastAsia"/>
          <w:color w:val="auto"/>
          <w:highlight w:val="none"/>
          <w:lang w:eastAsia="zh-CN"/>
        </w:rPr>
      </w:pPr>
      <w:r>
        <w:rPr>
          <w:rFonts w:hint="eastAsia"/>
          <w:color w:val="auto"/>
          <w:highlight w:val="none"/>
          <w:lang w:eastAsia="zh-CN"/>
        </w:rPr>
        <w:t>评审工作活动遵循公平、公正、科学和择优的原则。</w:t>
      </w:r>
    </w:p>
    <w:p>
      <w:pPr>
        <w:pStyle w:val="5"/>
        <w:bidi w:val="0"/>
        <w:jc w:val="left"/>
        <w:rPr>
          <w:rFonts w:hint="eastAsia" w:eastAsia="宋体"/>
          <w:color w:val="auto"/>
          <w:highlight w:val="none"/>
          <w:lang w:eastAsia="zh-CN"/>
        </w:rPr>
      </w:pPr>
      <w:bookmarkStart w:id="54" w:name="_Toc31591"/>
      <w:r>
        <w:rPr>
          <w:rFonts w:hint="eastAsia" w:eastAsia="宋体"/>
          <w:color w:val="auto"/>
          <w:highlight w:val="none"/>
          <w:lang w:eastAsia="zh-CN"/>
        </w:rPr>
        <w:t>6.3评审工作</w:t>
      </w:r>
      <w:bookmarkEnd w:id="54"/>
    </w:p>
    <w:p>
      <w:pPr>
        <w:pStyle w:val="2"/>
        <w:ind w:firstLine="480"/>
        <w:rPr>
          <w:rFonts w:hint="eastAsia"/>
          <w:color w:val="auto"/>
          <w:highlight w:val="none"/>
          <w:lang w:eastAsia="zh-CN"/>
        </w:rPr>
      </w:pPr>
      <w:r>
        <w:rPr>
          <w:rFonts w:hint="eastAsia"/>
          <w:color w:val="auto"/>
          <w:highlight w:val="none"/>
          <w:lang w:eastAsia="zh-CN"/>
        </w:rPr>
        <w:t>磋商小组按照第三章“评审办法”规定的方法、评审因素、标准和程序对响应文件进行评审。第三章“评审办法”没有规定的方法、评审因素和标准，不作为评审工作依据。</w:t>
      </w:r>
    </w:p>
    <w:p>
      <w:pPr>
        <w:pStyle w:val="2"/>
        <w:ind w:firstLine="480"/>
        <w:rPr>
          <w:rFonts w:hint="eastAsia"/>
          <w:color w:val="auto"/>
          <w:highlight w:val="none"/>
          <w:lang w:eastAsia="zh-CN"/>
        </w:rPr>
      </w:pPr>
      <w:r>
        <w:rPr>
          <w:rFonts w:hint="eastAsia"/>
          <w:color w:val="auto"/>
          <w:highlight w:val="none"/>
          <w:lang w:eastAsia="zh-CN"/>
        </w:rPr>
        <w:t>6.3.1磋商小组对所有响应文件进行形式、资格、响应性评审；</w:t>
      </w:r>
    </w:p>
    <w:p>
      <w:pPr>
        <w:pStyle w:val="2"/>
        <w:ind w:firstLine="480"/>
        <w:rPr>
          <w:rFonts w:hint="eastAsia"/>
          <w:color w:val="auto"/>
          <w:highlight w:val="none"/>
          <w:lang w:eastAsia="zh-CN"/>
        </w:rPr>
      </w:pPr>
      <w:r>
        <w:rPr>
          <w:rFonts w:hint="eastAsia"/>
          <w:color w:val="auto"/>
          <w:highlight w:val="none"/>
          <w:lang w:eastAsia="zh-CN"/>
        </w:rPr>
        <w:t>6.3.2磋商小组所有成员集中与通过形式、资格、响应性评审的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w:t>
      </w:r>
    </w:p>
    <w:p>
      <w:pPr>
        <w:pStyle w:val="2"/>
        <w:ind w:firstLine="480"/>
        <w:rPr>
          <w:rFonts w:hint="eastAsia"/>
          <w:color w:val="auto"/>
          <w:highlight w:val="none"/>
          <w:lang w:eastAsia="zh-CN"/>
        </w:rPr>
      </w:pPr>
      <w:r>
        <w:rPr>
          <w:rFonts w:hint="eastAsia"/>
          <w:color w:val="auto"/>
          <w:highlight w:val="none"/>
          <w:lang w:eastAsia="zh-CN"/>
        </w:rPr>
        <w:t>对磋商文件作出的实质性变动是磋商文件的有效组成部分，磋商小组应当及时以书面形式同时通知所有参加磋商的供应商。</w:t>
      </w:r>
    </w:p>
    <w:p>
      <w:pPr>
        <w:pStyle w:val="2"/>
        <w:ind w:firstLine="480"/>
        <w:rPr>
          <w:rFonts w:hint="eastAsia"/>
          <w:color w:val="auto"/>
          <w:highlight w:val="none"/>
          <w:lang w:eastAsia="zh-CN"/>
        </w:rPr>
      </w:pPr>
      <w:r>
        <w:rPr>
          <w:rFonts w:hint="eastAsia"/>
          <w:color w:val="auto"/>
          <w:highlight w:val="none"/>
          <w:lang w:eastAsia="zh-CN"/>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pStyle w:val="2"/>
        <w:ind w:firstLine="480"/>
        <w:rPr>
          <w:rFonts w:hint="eastAsia"/>
          <w:color w:val="auto"/>
          <w:highlight w:val="none"/>
          <w:lang w:eastAsia="zh-CN"/>
        </w:rPr>
      </w:pPr>
      <w:r>
        <w:rPr>
          <w:rFonts w:hint="eastAsia"/>
          <w:color w:val="auto"/>
          <w:highlight w:val="none"/>
          <w:lang w:eastAsia="zh-CN"/>
        </w:rPr>
        <w:t>6.3.3磋商文件能够详细列明采购标的的技术、服务要求的，磋商结束后，磋商小组应当要求所有实质性响应的供应商在规定时间内提交最后报价，提交最后报价的供应商不得少于3家。</w:t>
      </w:r>
    </w:p>
    <w:p>
      <w:pPr>
        <w:pStyle w:val="2"/>
        <w:ind w:firstLine="480"/>
        <w:rPr>
          <w:rFonts w:hint="eastAsia"/>
          <w:color w:val="auto"/>
          <w:highlight w:val="none"/>
          <w:lang w:eastAsia="zh-CN"/>
        </w:rPr>
      </w:pPr>
      <w:r>
        <w:rPr>
          <w:rFonts w:hint="eastAsia"/>
          <w:color w:val="auto"/>
          <w:highlight w:val="none"/>
          <w:lang w:eastAsia="zh-CN"/>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pPr>
        <w:pStyle w:val="2"/>
        <w:ind w:firstLine="480"/>
        <w:rPr>
          <w:rFonts w:hint="eastAsia"/>
          <w:color w:val="auto"/>
          <w:highlight w:val="none"/>
          <w:lang w:eastAsia="zh-CN"/>
        </w:rPr>
      </w:pPr>
      <w:r>
        <w:rPr>
          <w:rFonts w:hint="eastAsia"/>
          <w:color w:val="auto"/>
          <w:highlight w:val="none"/>
          <w:lang w:eastAsia="zh-CN"/>
        </w:rPr>
        <w:t>已提交响应文件的供应商，在提交最后报价之前，可以根据磋商情况退出磋商。采购人、采购代理机构应当退还退出磋商的供应商的磋商保证金。</w:t>
      </w:r>
    </w:p>
    <w:p>
      <w:pPr>
        <w:pStyle w:val="2"/>
        <w:ind w:firstLine="480"/>
        <w:rPr>
          <w:rFonts w:hint="eastAsia"/>
          <w:color w:val="auto"/>
          <w:highlight w:val="none"/>
          <w:lang w:eastAsia="zh-CN"/>
        </w:rPr>
      </w:pPr>
      <w:r>
        <w:rPr>
          <w:rFonts w:hint="eastAsia"/>
          <w:color w:val="auto"/>
          <w:highlight w:val="none"/>
          <w:lang w:eastAsia="zh-CN"/>
        </w:rPr>
        <w:t>6.3.4经磋商确定最终采购需求和提交最后报价的供应商后，由磋商小组采用综合评分法对提交最后报价的供应商的响应文件和最后报价进行综合评分；</w:t>
      </w:r>
    </w:p>
    <w:p>
      <w:pPr>
        <w:pStyle w:val="2"/>
        <w:ind w:firstLine="480"/>
        <w:rPr>
          <w:rFonts w:hint="eastAsia"/>
          <w:color w:val="auto"/>
          <w:highlight w:val="none"/>
          <w:lang w:eastAsia="zh-CN"/>
        </w:rPr>
      </w:pPr>
      <w:r>
        <w:rPr>
          <w:rFonts w:hint="eastAsia"/>
          <w:color w:val="auto"/>
          <w:highlight w:val="none"/>
          <w:lang w:eastAsia="zh-CN"/>
        </w:rPr>
        <w:t>6.3.5磋商小组应当根据综合评分情况，按照评审得分由高到低顺序推荐3名以上成交候选人，并编写评审报告。评审得分相同的，按照最后报价由低到高的顺序推荐。评审得分且最后报价相同的，按照技术指标优劣顺序推荐。</w:t>
      </w:r>
    </w:p>
    <w:p>
      <w:pPr>
        <w:pStyle w:val="4"/>
        <w:bidi w:val="0"/>
        <w:jc w:val="left"/>
        <w:rPr>
          <w:rFonts w:hint="eastAsia"/>
          <w:color w:val="auto"/>
          <w:highlight w:val="none"/>
          <w:lang w:eastAsia="zh-CN"/>
        </w:rPr>
      </w:pPr>
      <w:bookmarkStart w:id="55" w:name="_Toc10155"/>
      <w:r>
        <w:rPr>
          <w:rFonts w:hint="eastAsia"/>
          <w:color w:val="auto"/>
          <w:highlight w:val="none"/>
          <w:lang w:eastAsia="zh-CN"/>
        </w:rPr>
        <w:t>7．合同授予</w:t>
      </w:r>
      <w:bookmarkEnd w:id="55"/>
    </w:p>
    <w:p>
      <w:pPr>
        <w:pStyle w:val="5"/>
        <w:bidi w:val="0"/>
        <w:jc w:val="left"/>
        <w:rPr>
          <w:rFonts w:hint="eastAsia" w:eastAsia="宋体"/>
          <w:color w:val="auto"/>
          <w:highlight w:val="none"/>
          <w:lang w:eastAsia="zh-CN"/>
        </w:rPr>
      </w:pPr>
      <w:bookmarkStart w:id="56" w:name="_Toc28377"/>
      <w:r>
        <w:rPr>
          <w:rFonts w:hint="eastAsia" w:eastAsia="宋体"/>
          <w:color w:val="auto"/>
          <w:highlight w:val="none"/>
          <w:lang w:eastAsia="zh-CN"/>
        </w:rPr>
        <w:t>7.1定标方式</w:t>
      </w:r>
      <w:bookmarkEnd w:id="56"/>
    </w:p>
    <w:p>
      <w:pPr>
        <w:pStyle w:val="2"/>
        <w:ind w:firstLine="480"/>
        <w:rPr>
          <w:rFonts w:hint="eastAsia"/>
          <w:color w:val="auto"/>
          <w:highlight w:val="none"/>
          <w:lang w:eastAsia="zh-CN"/>
        </w:rPr>
      </w:pPr>
      <w:r>
        <w:rPr>
          <w:rFonts w:hint="eastAsia"/>
          <w:color w:val="auto"/>
          <w:highlight w:val="none"/>
          <w:lang w:eastAsia="zh-CN"/>
        </w:rPr>
        <w:t>除供应商须知前附表规定磋商小组直接确定成交单位外，采购人依据磋商小组推荐的成交候选人确定中标成交单位，磋商小组推荐成交候选人的人数见供应商须知前附表。</w:t>
      </w:r>
    </w:p>
    <w:p>
      <w:pPr>
        <w:pStyle w:val="2"/>
        <w:ind w:firstLine="480"/>
        <w:rPr>
          <w:rFonts w:hint="eastAsia"/>
          <w:color w:val="auto"/>
          <w:highlight w:val="none"/>
          <w:lang w:eastAsia="zh-CN"/>
        </w:rPr>
      </w:pPr>
      <w:r>
        <w:rPr>
          <w:rFonts w:hint="eastAsia"/>
          <w:color w:val="auto"/>
          <w:highlight w:val="none"/>
          <w:lang w:eastAsia="zh-CN"/>
        </w:rPr>
        <w:t>采购代理机构应当在评审结束后2个工作日内将评审报告送采购人确认。</w:t>
      </w:r>
    </w:p>
    <w:p>
      <w:pPr>
        <w:pStyle w:val="2"/>
        <w:ind w:firstLine="480"/>
        <w:rPr>
          <w:rFonts w:hint="eastAsia"/>
          <w:color w:val="auto"/>
          <w:highlight w:val="none"/>
          <w:lang w:eastAsia="zh-CN"/>
        </w:rPr>
      </w:pPr>
      <w:r>
        <w:rPr>
          <w:rFonts w:hint="eastAsia"/>
          <w:color w:val="auto"/>
          <w:highlight w:val="none"/>
          <w:lang w:eastAsia="zh-CN"/>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5"/>
        <w:bidi w:val="0"/>
        <w:jc w:val="left"/>
        <w:rPr>
          <w:rFonts w:hint="eastAsia" w:eastAsia="宋体"/>
          <w:color w:val="auto"/>
          <w:highlight w:val="none"/>
          <w:lang w:eastAsia="zh-CN"/>
        </w:rPr>
      </w:pPr>
      <w:bookmarkStart w:id="57" w:name="_Toc3535"/>
      <w:r>
        <w:rPr>
          <w:rFonts w:hint="eastAsia" w:eastAsia="宋体"/>
          <w:color w:val="auto"/>
          <w:highlight w:val="none"/>
          <w:lang w:eastAsia="zh-CN"/>
        </w:rPr>
        <w:t>7.2成交通知</w:t>
      </w:r>
      <w:bookmarkEnd w:id="57"/>
    </w:p>
    <w:p>
      <w:pPr>
        <w:pStyle w:val="2"/>
        <w:ind w:firstLine="480"/>
        <w:rPr>
          <w:rFonts w:hint="eastAsia"/>
          <w:color w:val="auto"/>
          <w:highlight w:val="none"/>
          <w:lang w:eastAsia="zh-CN"/>
        </w:rPr>
      </w:pPr>
      <w:r>
        <w:rPr>
          <w:rFonts w:hint="eastAsia"/>
          <w:color w:val="auto"/>
          <w:highlight w:val="none"/>
          <w:lang w:eastAsia="zh-CN"/>
        </w:rPr>
        <w:t>采购人或者采购代理机构应当在成交供应商确定后2个工作日内，在省级以上财政部门指定的政府采购信息发布媒体上公告成交结果，同时向成交供应商发出成交通知书，并将磋商文件随成交结果</w:t>
      </w:r>
    </w:p>
    <w:p>
      <w:pPr>
        <w:pStyle w:val="2"/>
        <w:ind w:firstLine="480"/>
        <w:rPr>
          <w:rFonts w:hint="eastAsia"/>
          <w:color w:val="auto"/>
          <w:highlight w:val="none"/>
          <w:lang w:eastAsia="zh-CN"/>
        </w:rPr>
      </w:pPr>
      <w:r>
        <w:rPr>
          <w:rFonts w:hint="eastAsia"/>
          <w:color w:val="auto"/>
          <w:highlight w:val="none"/>
          <w:lang w:eastAsia="zh-CN"/>
        </w:rPr>
        <w:t>同时公告。</w:t>
      </w:r>
    </w:p>
    <w:p>
      <w:pPr>
        <w:pStyle w:val="5"/>
        <w:bidi w:val="0"/>
        <w:jc w:val="left"/>
        <w:rPr>
          <w:rFonts w:hint="eastAsia" w:eastAsia="宋体"/>
          <w:color w:val="auto"/>
          <w:highlight w:val="none"/>
          <w:lang w:eastAsia="zh-CN"/>
        </w:rPr>
      </w:pPr>
      <w:bookmarkStart w:id="58" w:name="_Toc2595"/>
      <w:r>
        <w:rPr>
          <w:rFonts w:hint="eastAsia" w:eastAsia="宋体"/>
          <w:color w:val="auto"/>
          <w:highlight w:val="none"/>
          <w:lang w:eastAsia="zh-CN"/>
        </w:rPr>
        <w:t>7.3履约担保</w:t>
      </w:r>
      <w:bookmarkEnd w:id="58"/>
    </w:p>
    <w:p>
      <w:pPr>
        <w:pStyle w:val="2"/>
        <w:ind w:firstLine="480"/>
        <w:rPr>
          <w:rFonts w:hint="eastAsia"/>
          <w:color w:val="auto"/>
          <w:highlight w:val="none"/>
          <w:lang w:eastAsia="zh-CN"/>
        </w:rPr>
      </w:pPr>
      <w:r>
        <w:rPr>
          <w:rFonts w:hint="eastAsia"/>
          <w:color w:val="auto"/>
          <w:highlight w:val="none"/>
          <w:lang w:eastAsia="zh-CN"/>
        </w:rPr>
        <w:t>7.3.1在签订合同前，中标人应按供应商须知前附表规定的金额、担保形式和磋商文件第四章“合同条款及格式”规定的履约担保格式向采购人提交履约担保。联合体中标的，其履约担保由牵头人递交，并应符合供应商须知前附表规定的金额、担保形式和磋商文件第四章“合同条款及格式”规定的履约担保格式要求。</w:t>
      </w:r>
    </w:p>
    <w:p>
      <w:pPr>
        <w:pStyle w:val="2"/>
        <w:ind w:firstLine="480"/>
        <w:rPr>
          <w:rFonts w:hint="eastAsia"/>
          <w:color w:val="auto"/>
          <w:highlight w:val="none"/>
          <w:lang w:eastAsia="zh-CN"/>
        </w:rPr>
      </w:pPr>
      <w:r>
        <w:rPr>
          <w:rFonts w:hint="eastAsia"/>
          <w:color w:val="auto"/>
          <w:highlight w:val="none"/>
          <w:lang w:eastAsia="zh-CN"/>
        </w:rPr>
        <w:t>7.3.2中标人不能按本章第7.3.1项要求提交履约担保的，视为放弃中标，其磋商保证金不予退还，给采购人造成的损失超过磋商保证金数额的，中标人还应当对超过部分予以赔偿。</w:t>
      </w:r>
    </w:p>
    <w:p>
      <w:pPr>
        <w:pStyle w:val="5"/>
        <w:bidi w:val="0"/>
        <w:jc w:val="left"/>
        <w:rPr>
          <w:rFonts w:hint="eastAsia" w:eastAsia="宋体"/>
          <w:color w:val="auto"/>
          <w:highlight w:val="none"/>
          <w:lang w:eastAsia="zh-CN"/>
        </w:rPr>
      </w:pPr>
      <w:bookmarkStart w:id="59" w:name="_Toc9587"/>
      <w:r>
        <w:rPr>
          <w:rFonts w:hint="eastAsia" w:eastAsia="宋体"/>
          <w:color w:val="auto"/>
          <w:highlight w:val="none"/>
          <w:lang w:eastAsia="zh-CN"/>
        </w:rPr>
        <w:t>7.4签订合同</w:t>
      </w:r>
      <w:bookmarkEnd w:id="59"/>
    </w:p>
    <w:p>
      <w:pPr>
        <w:pStyle w:val="2"/>
        <w:ind w:firstLine="480"/>
        <w:rPr>
          <w:rFonts w:hint="eastAsia"/>
          <w:color w:val="auto"/>
          <w:highlight w:val="none"/>
          <w:lang w:eastAsia="zh-CN"/>
        </w:rPr>
      </w:pPr>
      <w:r>
        <w:rPr>
          <w:rFonts w:hint="eastAsia"/>
          <w:color w:val="auto"/>
          <w:highlight w:val="none"/>
          <w:lang w:eastAsia="zh-CN"/>
        </w:rPr>
        <w:t>7.4.1采购人和中标人应当自成交通知书发出之日起30天内，根据磋商文件和中标人的响应文件订立书面合同。中标人无正当理由拒签合同的，采购人取消其中标资格，其磋商保证金不予退还；给采购人造成的损失超过磋商保证金数额的，中标人还应当对超过部分予以赔偿。</w:t>
      </w:r>
    </w:p>
    <w:p>
      <w:pPr>
        <w:pStyle w:val="2"/>
        <w:ind w:firstLine="480"/>
        <w:rPr>
          <w:rFonts w:hint="eastAsia"/>
          <w:color w:val="auto"/>
          <w:highlight w:val="none"/>
          <w:lang w:eastAsia="zh-CN"/>
        </w:rPr>
      </w:pPr>
      <w:r>
        <w:rPr>
          <w:rFonts w:hint="eastAsia"/>
          <w:color w:val="auto"/>
          <w:highlight w:val="none"/>
          <w:lang w:eastAsia="zh-CN"/>
        </w:rPr>
        <w:t>7.4.2发出成交通知书后，采购人无正当理由拒签合同的，采购人向中标人退还磋商保证金；给中标人造成损失的，还应当赔偿损失。</w:t>
      </w:r>
    </w:p>
    <w:p>
      <w:pPr>
        <w:pStyle w:val="2"/>
        <w:ind w:firstLine="480"/>
        <w:rPr>
          <w:rFonts w:hint="eastAsia"/>
          <w:color w:val="auto"/>
          <w:highlight w:val="none"/>
          <w:lang w:eastAsia="zh-CN"/>
        </w:rPr>
      </w:pPr>
      <w:r>
        <w:rPr>
          <w:rFonts w:hint="eastAsia"/>
          <w:color w:val="auto"/>
          <w:highlight w:val="none"/>
          <w:lang w:eastAsia="zh-CN"/>
        </w:rPr>
        <w:t>7.4.3采购人应当确定排名第一的成交候选人为中标人。排名第一的成交候选人放弃中标、因不可抗力不能履行合同、不按照磋商文件要求提交履约保证金，或者被查实存在影响中标结果的违法行为等情形，不符合中标条件的，采购人可以按照磋商小组提出的成交候选人名单排序依次确定其他成交候选人为中标人，也可以重新招标。</w:t>
      </w:r>
    </w:p>
    <w:p>
      <w:pPr>
        <w:pStyle w:val="4"/>
        <w:bidi w:val="0"/>
        <w:jc w:val="left"/>
        <w:rPr>
          <w:rFonts w:hint="eastAsia"/>
          <w:color w:val="auto"/>
          <w:highlight w:val="none"/>
          <w:lang w:eastAsia="zh-CN"/>
        </w:rPr>
      </w:pPr>
      <w:bookmarkStart w:id="60" w:name="_Toc3786"/>
      <w:r>
        <w:rPr>
          <w:rFonts w:hint="eastAsia"/>
          <w:color w:val="auto"/>
          <w:highlight w:val="none"/>
          <w:lang w:eastAsia="zh-CN"/>
        </w:rPr>
        <w:t>8．重新招标和不再招标</w:t>
      </w:r>
      <w:bookmarkEnd w:id="60"/>
    </w:p>
    <w:p>
      <w:pPr>
        <w:pStyle w:val="5"/>
        <w:bidi w:val="0"/>
        <w:jc w:val="left"/>
        <w:rPr>
          <w:rFonts w:hint="eastAsia"/>
          <w:color w:val="auto"/>
          <w:highlight w:val="none"/>
          <w:lang w:eastAsia="zh-CN"/>
        </w:rPr>
      </w:pPr>
      <w:bookmarkStart w:id="61" w:name="_Toc7262"/>
      <w:r>
        <w:rPr>
          <w:rFonts w:hint="eastAsia"/>
          <w:color w:val="auto"/>
          <w:highlight w:val="none"/>
          <w:lang w:eastAsia="zh-CN"/>
        </w:rPr>
        <w:t>8.1重新招标</w:t>
      </w:r>
      <w:bookmarkEnd w:id="61"/>
    </w:p>
    <w:p>
      <w:pPr>
        <w:pStyle w:val="2"/>
        <w:ind w:firstLine="480"/>
        <w:rPr>
          <w:rFonts w:hint="eastAsia"/>
          <w:color w:val="auto"/>
          <w:highlight w:val="none"/>
          <w:lang w:eastAsia="zh-CN"/>
        </w:rPr>
      </w:pPr>
      <w:r>
        <w:rPr>
          <w:rFonts w:hint="eastAsia"/>
          <w:color w:val="auto"/>
          <w:highlight w:val="none"/>
          <w:lang w:eastAsia="zh-CN"/>
        </w:rPr>
        <w:t>有下列情形之一的，采购人将重新招标：</w:t>
      </w:r>
    </w:p>
    <w:p>
      <w:pPr>
        <w:pStyle w:val="2"/>
        <w:ind w:firstLine="480"/>
        <w:rPr>
          <w:rFonts w:hint="eastAsia"/>
          <w:color w:val="auto"/>
          <w:highlight w:val="none"/>
          <w:lang w:eastAsia="zh-CN"/>
        </w:rPr>
      </w:pPr>
      <w:r>
        <w:rPr>
          <w:rFonts w:hint="eastAsia"/>
          <w:color w:val="auto"/>
          <w:highlight w:val="none"/>
          <w:lang w:eastAsia="zh-CN"/>
        </w:rPr>
        <w:t>(l）投标截止时间止，供应商少于3个的；</w:t>
      </w:r>
    </w:p>
    <w:p>
      <w:pPr>
        <w:pStyle w:val="2"/>
        <w:ind w:firstLine="480"/>
        <w:rPr>
          <w:rFonts w:hint="eastAsia"/>
          <w:color w:val="auto"/>
          <w:highlight w:val="none"/>
          <w:lang w:eastAsia="zh-CN"/>
        </w:rPr>
      </w:pPr>
      <w:r>
        <w:rPr>
          <w:rFonts w:hint="eastAsia"/>
          <w:color w:val="auto"/>
          <w:highlight w:val="none"/>
          <w:lang w:eastAsia="zh-CN"/>
        </w:rPr>
        <w:t>(2）经磋商小组评审后否决所有投标的。</w:t>
      </w:r>
    </w:p>
    <w:p>
      <w:pPr>
        <w:pStyle w:val="5"/>
        <w:bidi w:val="0"/>
        <w:jc w:val="left"/>
        <w:rPr>
          <w:rFonts w:hint="eastAsia" w:eastAsia="宋体"/>
          <w:color w:val="auto"/>
          <w:highlight w:val="none"/>
          <w:lang w:eastAsia="zh-CN"/>
        </w:rPr>
      </w:pPr>
      <w:bookmarkStart w:id="62" w:name="_Toc25737"/>
      <w:r>
        <w:rPr>
          <w:rFonts w:hint="eastAsia" w:eastAsia="宋体"/>
          <w:color w:val="auto"/>
          <w:highlight w:val="none"/>
          <w:lang w:eastAsia="zh-CN"/>
        </w:rPr>
        <w:t>8.2不再招标</w:t>
      </w:r>
      <w:bookmarkEnd w:id="62"/>
    </w:p>
    <w:p>
      <w:pPr>
        <w:pStyle w:val="2"/>
        <w:ind w:firstLine="480"/>
        <w:rPr>
          <w:rFonts w:hint="eastAsia"/>
          <w:color w:val="auto"/>
          <w:highlight w:val="none"/>
          <w:lang w:eastAsia="zh-CN"/>
        </w:rPr>
      </w:pPr>
      <w:r>
        <w:rPr>
          <w:rFonts w:hint="eastAsia"/>
          <w:color w:val="auto"/>
          <w:highlight w:val="none"/>
          <w:lang w:eastAsia="zh-CN"/>
        </w:rPr>
        <w:t>重新招标后供应商仍少于3个或者所有投标被否决的，属于必须审批或核准的工程建设项目，经原审批或核准部门批准后不再进行招标。</w:t>
      </w:r>
    </w:p>
    <w:p>
      <w:pPr>
        <w:pStyle w:val="4"/>
        <w:bidi w:val="0"/>
        <w:jc w:val="left"/>
        <w:rPr>
          <w:rFonts w:hint="eastAsia"/>
          <w:color w:val="auto"/>
          <w:highlight w:val="none"/>
          <w:lang w:eastAsia="zh-CN"/>
        </w:rPr>
      </w:pPr>
      <w:bookmarkStart w:id="63" w:name="_Toc4158"/>
      <w:r>
        <w:rPr>
          <w:rFonts w:hint="eastAsia"/>
          <w:color w:val="auto"/>
          <w:highlight w:val="none"/>
          <w:lang w:eastAsia="zh-CN"/>
        </w:rPr>
        <w:t>9．纪律和监督</w:t>
      </w:r>
      <w:bookmarkEnd w:id="63"/>
    </w:p>
    <w:p>
      <w:pPr>
        <w:pStyle w:val="5"/>
        <w:bidi w:val="0"/>
        <w:jc w:val="left"/>
        <w:rPr>
          <w:rFonts w:hint="eastAsia" w:eastAsia="宋体"/>
          <w:color w:val="auto"/>
          <w:highlight w:val="none"/>
          <w:lang w:eastAsia="zh-CN"/>
        </w:rPr>
      </w:pPr>
      <w:bookmarkStart w:id="64" w:name="_Toc15279"/>
      <w:r>
        <w:rPr>
          <w:rFonts w:hint="eastAsia" w:eastAsia="宋体"/>
          <w:color w:val="auto"/>
          <w:highlight w:val="none"/>
          <w:lang w:eastAsia="zh-CN"/>
        </w:rPr>
        <w:t>9.1对采购人的纪律要求</w:t>
      </w:r>
      <w:bookmarkEnd w:id="64"/>
    </w:p>
    <w:p>
      <w:pPr>
        <w:pStyle w:val="2"/>
        <w:ind w:firstLine="480"/>
        <w:rPr>
          <w:rFonts w:hint="eastAsia"/>
          <w:color w:val="auto"/>
          <w:highlight w:val="none"/>
          <w:lang w:eastAsia="zh-CN"/>
        </w:rPr>
      </w:pPr>
      <w:r>
        <w:rPr>
          <w:rFonts w:hint="eastAsia"/>
          <w:color w:val="auto"/>
          <w:highlight w:val="none"/>
          <w:lang w:eastAsia="zh-CN"/>
        </w:rPr>
        <w:t>采购人不得泄漏磋商活动中应当保密的情况和资料，不得与供应商串通损害国家利益、社会公共利益或者他人合法权益。</w:t>
      </w:r>
    </w:p>
    <w:p>
      <w:pPr>
        <w:pStyle w:val="5"/>
        <w:bidi w:val="0"/>
        <w:jc w:val="left"/>
        <w:rPr>
          <w:rFonts w:hint="eastAsia" w:eastAsia="宋体"/>
          <w:color w:val="auto"/>
          <w:highlight w:val="none"/>
          <w:lang w:eastAsia="zh-CN"/>
        </w:rPr>
      </w:pPr>
      <w:bookmarkStart w:id="65" w:name="_Toc15386"/>
      <w:r>
        <w:rPr>
          <w:rFonts w:hint="eastAsia" w:eastAsia="宋体"/>
          <w:color w:val="auto"/>
          <w:highlight w:val="none"/>
          <w:lang w:eastAsia="zh-CN"/>
        </w:rPr>
        <w:t>9.2对供应商的纪律要求</w:t>
      </w:r>
      <w:bookmarkEnd w:id="65"/>
    </w:p>
    <w:p>
      <w:pPr>
        <w:pStyle w:val="2"/>
        <w:ind w:firstLine="480"/>
        <w:rPr>
          <w:rFonts w:hint="eastAsia"/>
          <w:color w:val="auto"/>
          <w:highlight w:val="none"/>
          <w:lang w:eastAsia="zh-CN"/>
        </w:rPr>
      </w:pPr>
      <w:r>
        <w:rPr>
          <w:rFonts w:hint="eastAsia"/>
          <w:color w:val="auto"/>
          <w:highlight w:val="none"/>
          <w:lang w:eastAsia="zh-CN"/>
        </w:rPr>
        <w:t>供应商不得相互串通投标或者与采购人串通投标，不得向采购人或者磋商小组成员行贿谋取中标，不得以他人名义投标或者以其他方式弄虚作假骗取中标；供应商不得以任何方式干扰、影响评审工作工作。</w:t>
      </w:r>
    </w:p>
    <w:p>
      <w:pPr>
        <w:pStyle w:val="5"/>
        <w:bidi w:val="0"/>
        <w:jc w:val="left"/>
        <w:rPr>
          <w:rFonts w:hint="eastAsia" w:eastAsia="宋体"/>
          <w:color w:val="auto"/>
          <w:highlight w:val="none"/>
          <w:lang w:eastAsia="zh-CN"/>
        </w:rPr>
      </w:pPr>
      <w:bookmarkStart w:id="66" w:name="_Toc18257"/>
      <w:r>
        <w:rPr>
          <w:rFonts w:hint="eastAsia" w:eastAsia="宋体"/>
          <w:color w:val="auto"/>
          <w:highlight w:val="none"/>
          <w:lang w:eastAsia="zh-CN"/>
        </w:rPr>
        <w:t>9.3对磋商小组成员的纪律要求</w:t>
      </w:r>
      <w:bookmarkEnd w:id="66"/>
    </w:p>
    <w:p>
      <w:pPr>
        <w:pStyle w:val="2"/>
        <w:ind w:firstLine="480"/>
        <w:rPr>
          <w:rFonts w:hint="eastAsia"/>
          <w:color w:val="auto"/>
          <w:highlight w:val="none"/>
          <w:lang w:eastAsia="zh-CN"/>
        </w:rPr>
      </w:pPr>
      <w:r>
        <w:rPr>
          <w:rFonts w:hint="eastAsia"/>
          <w:color w:val="auto"/>
          <w:highlight w:val="none"/>
          <w:lang w:eastAsia="zh-CN"/>
        </w:rPr>
        <w:t>磋商小组成员不得收受他人的财物或者其他好处，不得向他人透漏对响应文件的评审和比较、成交候选人的推荐情况以及评审工作有关的其他情况。在评审工作活动中，磋商小组成员不得擅离职守，影响评审工作程序正常进行，不得使用第三章“评审办法”没有规定的评审因素和标准进行评审工作。</w:t>
      </w:r>
    </w:p>
    <w:p>
      <w:pPr>
        <w:pStyle w:val="5"/>
        <w:bidi w:val="0"/>
        <w:jc w:val="left"/>
        <w:rPr>
          <w:rFonts w:hint="eastAsia" w:eastAsia="宋体"/>
          <w:color w:val="auto"/>
          <w:highlight w:val="none"/>
          <w:lang w:eastAsia="zh-CN"/>
        </w:rPr>
      </w:pPr>
      <w:bookmarkStart w:id="67" w:name="_Toc565"/>
      <w:r>
        <w:rPr>
          <w:rFonts w:hint="eastAsia" w:eastAsia="宋体"/>
          <w:color w:val="auto"/>
          <w:highlight w:val="none"/>
          <w:lang w:eastAsia="zh-CN"/>
        </w:rPr>
        <w:t>9.4对与评审活动有关的工作人员的纪律要求</w:t>
      </w:r>
      <w:bookmarkEnd w:id="67"/>
    </w:p>
    <w:p>
      <w:pPr>
        <w:pStyle w:val="2"/>
        <w:ind w:firstLine="480"/>
        <w:rPr>
          <w:rFonts w:hint="eastAsia"/>
          <w:color w:val="auto"/>
          <w:highlight w:val="none"/>
          <w:lang w:eastAsia="zh-CN"/>
        </w:rPr>
      </w:pPr>
      <w:r>
        <w:rPr>
          <w:rFonts w:hint="eastAsia"/>
          <w:color w:val="auto"/>
          <w:highlight w:val="none"/>
          <w:lang w:eastAsia="zh-CN"/>
        </w:rPr>
        <w:t>与评审活动有关的工作人员不得收受他人的财物或者其他好处，不得向他人透漏对响应文件的评审和比较、成交候选人的推荐情况以及评审工作有关的其他情况。在评审活动中，与评审活动有关的工作人员不得擅离职守，影响评审工作程序正常进行。</w:t>
      </w:r>
    </w:p>
    <w:p>
      <w:pPr>
        <w:pStyle w:val="5"/>
        <w:bidi w:val="0"/>
        <w:jc w:val="left"/>
        <w:rPr>
          <w:rFonts w:hint="eastAsia" w:eastAsia="宋体"/>
          <w:color w:val="auto"/>
          <w:highlight w:val="none"/>
          <w:lang w:eastAsia="zh-CN"/>
        </w:rPr>
      </w:pPr>
      <w:bookmarkStart w:id="68" w:name="_Toc30240"/>
      <w:r>
        <w:rPr>
          <w:rFonts w:hint="eastAsia" w:eastAsia="宋体"/>
          <w:color w:val="auto"/>
          <w:highlight w:val="none"/>
          <w:lang w:eastAsia="zh-CN"/>
        </w:rPr>
        <w:t>9.5投诉</w:t>
      </w:r>
      <w:bookmarkEnd w:id="68"/>
    </w:p>
    <w:p>
      <w:pPr>
        <w:pStyle w:val="2"/>
        <w:ind w:firstLine="480"/>
        <w:rPr>
          <w:rFonts w:hint="eastAsia"/>
          <w:color w:val="auto"/>
          <w:highlight w:val="none"/>
          <w:lang w:eastAsia="zh-CN"/>
        </w:rPr>
      </w:pPr>
      <w:r>
        <w:rPr>
          <w:rFonts w:hint="eastAsia"/>
          <w:color w:val="auto"/>
          <w:highlight w:val="none"/>
          <w:lang w:eastAsia="zh-CN"/>
        </w:rPr>
        <w:t>供应商和其他利害关系人认为本次招标活动违反法律、法规和规章规定的，有权向有关行政监督部门投诉。</w:t>
      </w:r>
    </w:p>
    <w:p>
      <w:pPr>
        <w:pStyle w:val="4"/>
        <w:bidi w:val="0"/>
        <w:jc w:val="left"/>
        <w:rPr>
          <w:rFonts w:hint="eastAsia"/>
          <w:color w:val="auto"/>
          <w:highlight w:val="none"/>
          <w:lang w:eastAsia="zh-CN"/>
        </w:rPr>
      </w:pPr>
      <w:bookmarkStart w:id="69" w:name="_Toc15886"/>
      <w:r>
        <w:rPr>
          <w:rFonts w:hint="eastAsia"/>
          <w:color w:val="auto"/>
          <w:highlight w:val="none"/>
          <w:lang w:eastAsia="zh-CN"/>
        </w:rPr>
        <w:t>10、需要补充的其他内容</w:t>
      </w:r>
      <w:bookmarkEnd w:id="69"/>
    </w:p>
    <w:p>
      <w:pPr>
        <w:pStyle w:val="2"/>
        <w:ind w:firstLine="480"/>
        <w:rPr>
          <w:rFonts w:hint="eastAsia"/>
          <w:color w:val="auto"/>
          <w:highlight w:val="none"/>
          <w:lang w:eastAsia="zh-CN"/>
        </w:rPr>
      </w:pPr>
      <w:r>
        <w:rPr>
          <w:rFonts w:hint="eastAsia"/>
          <w:color w:val="auto"/>
          <w:highlight w:val="none"/>
          <w:lang w:eastAsia="zh-CN"/>
        </w:rPr>
        <w:t>需要补充的其他内容：见供应商须知前附表。</w:t>
      </w:r>
    </w:p>
    <w:p>
      <w:pPr>
        <w:spacing w:line="360" w:lineRule="auto"/>
        <w:rPr>
          <w:rFonts w:hint="eastAsia" w:ascii="宋体" w:hAnsi="宋体" w:eastAsia="宋体" w:cs="宋体"/>
          <w:color w:val="auto"/>
          <w:sz w:val="24"/>
          <w:szCs w:val="24"/>
          <w:highlight w:val="none"/>
          <w:lang w:eastAsia="zh-CN"/>
        </w:rPr>
      </w:pPr>
    </w:p>
    <w:p>
      <w:pPr>
        <w:kinsoku/>
        <w:autoSpaceDE/>
        <w:autoSpaceDN/>
        <w:adjustRightInd/>
        <w:snapToGrid/>
        <w:textAlignment w:val="auto"/>
        <w:rPr>
          <w:rFonts w:eastAsia="宋体" w:cs="宋体"/>
          <w:color w:val="auto"/>
          <w:sz w:val="31"/>
          <w:szCs w:val="31"/>
          <w:highlight w:val="none"/>
          <w:lang w:eastAsia="zh-CN"/>
        </w:rPr>
      </w:pPr>
      <w:r>
        <w:rPr>
          <w:color w:val="auto"/>
          <w:highlight w:val="none"/>
          <w:lang w:eastAsia="zh-CN"/>
        </w:rPr>
        <w:br w:type="page"/>
      </w:r>
    </w:p>
    <w:p>
      <w:pPr>
        <w:spacing w:line="363" w:lineRule="auto"/>
        <w:rPr>
          <w:color w:val="auto"/>
          <w:highlight w:val="none"/>
          <w:lang w:eastAsia="zh-CN"/>
        </w:rPr>
      </w:pPr>
    </w:p>
    <w:p>
      <w:pPr>
        <w:pStyle w:val="2"/>
        <w:spacing w:before="78" w:line="219" w:lineRule="auto"/>
        <w:ind w:left="28" w:firstLine="474"/>
        <w:rPr>
          <w:rFonts w:hint="eastAsia"/>
          <w:color w:val="auto"/>
          <w:szCs w:val="24"/>
          <w:highlight w:val="none"/>
          <w:lang w:eastAsia="zh-CN"/>
        </w:rPr>
      </w:pPr>
      <w:r>
        <w:rPr>
          <w:color w:val="auto"/>
          <w:spacing w:val="-3"/>
          <w:szCs w:val="24"/>
          <w:highlight w:val="none"/>
          <w:lang w:eastAsia="zh-CN"/>
        </w:rPr>
        <w:t>附表一：问题澄清通知</w:t>
      </w:r>
    </w:p>
    <w:p>
      <w:pPr>
        <w:spacing w:line="300" w:lineRule="auto"/>
        <w:rPr>
          <w:color w:val="auto"/>
          <w:highlight w:val="none"/>
          <w:lang w:eastAsia="zh-CN"/>
        </w:rPr>
      </w:pPr>
    </w:p>
    <w:p>
      <w:pPr>
        <w:jc w:val="center"/>
        <w:rPr>
          <w:b/>
          <w:bCs/>
          <w:color w:val="auto"/>
          <w:sz w:val="32"/>
          <w:szCs w:val="32"/>
          <w:highlight w:val="none"/>
          <w:lang w:eastAsia="zh-CN"/>
        </w:rPr>
      </w:pPr>
      <w:bookmarkStart w:id="70" w:name="_Toc1765"/>
      <w:r>
        <w:rPr>
          <w:rFonts w:hint="eastAsia" w:ascii="宋体" w:hAnsi="宋体" w:eastAsia="宋体" w:cs="宋体"/>
          <w:b/>
          <w:bCs/>
          <w:color w:val="auto"/>
          <w:sz w:val="32"/>
          <w:szCs w:val="32"/>
          <w:highlight w:val="none"/>
          <w:lang w:eastAsia="zh-CN"/>
        </w:rPr>
        <w:t>问题澄清通知</w:t>
      </w:r>
      <w:bookmarkEnd w:id="70"/>
    </w:p>
    <w:p>
      <w:pPr>
        <w:spacing w:line="369" w:lineRule="auto"/>
        <w:rPr>
          <w:color w:val="auto"/>
          <w:sz w:val="22"/>
          <w:szCs w:val="22"/>
          <w:highlight w:val="none"/>
          <w:lang w:eastAsia="zh-CN"/>
        </w:rPr>
      </w:pPr>
    </w:p>
    <w:p>
      <w:pPr>
        <w:pStyle w:val="2"/>
        <w:spacing w:before="65" w:line="228" w:lineRule="auto"/>
        <w:ind w:firstLine="0" w:firstLineChars="0"/>
        <w:jc w:val="center"/>
        <w:rPr>
          <w:rFonts w:hint="eastAsia"/>
          <w:color w:val="auto"/>
          <w:szCs w:val="24"/>
          <w:highlight w:val="none"/>
          <w:lang w:eastAsia="zh-CN"/>
        </w:rPr>
      </w:pPr>
      <w:r>
        <w:rPr>
          <w:color w:val="auto"/>
          <w:spacing w:val="6"/>
          <w:szCs w:val="24"/>
          <w:highlight w:val="none"/>
          <w:lang w:eastAsia="zh-CN"/>
        </w:rPr>
        <w:t>编号：</w:t>
      </w:r>
    </w:p>
    <w:p>
      <w:pPr>
        <w:pStyle w:val="2"/>
        <w:tabs>
          <w:tab w:val="left" w:pos="3255"/>
        </w:tabs>
        <w:ind w:firstLine="480"/>
        <w:rPr>
          <w:rFonts w:hint="eastAsia"/>
          <w:color w:val="auto"/>
          <w:szCs w:val="24"/>
          <w:highlight w:val="none"/>
          <w:u w:val="single"/>
          <w:lang w:eastAsia="zh-CN"/>
        </w:rPr>
      </w:pPr>
    </w:p>
    <w:p>
      <w:pPr>
        <w:pStyle w:val="2"/>
        <w:tabs>
          <w:tab w:val="left" w:pos="3255"/>
        </w:tabs>
        <w:ind w:firstLine="480"/>
        <w:rPr>
          <w:rFonts w:hint="eastAsia"/>
          <w:color w:val="auto"/>
          <w:szCs w:val="24"/>
          <w:highlight w:val="none"/>
          <w:lang w:eastAsia="zh-CN"/>
        </w:rPr>
      </w:pPr>
      <w:r>
        <w:rPr>
          <w:color w:val="auto"/>
          <w:szCs w:val="24"/>
          <w:highlight w:val="none"/>
          <w:u w:val="single"/>
          <w:lang w:eastAsia="zh-CN"/>
        </w:rPr>
        <w:tab/>
      </w:r>
      <w:r>
        <w:rPr>
          <w:color w:val="auto"/>
          <w:spacing w:val="9"/>
          <w:szCs w:val="24"/>
          <w:highlight w:val="none"/>
          <w:lang w:eastAsia="zh-CN"/>
        </w:rPr>
        <w:t>（</w:t>
      </w:r>
      <w:r>
        <w:rPr>
          <w:rFonts w:hint="eastAsia"/>
          <w:color w:val="auto"/>
          <w:spacing w:val="9"/>
          <w:szCs w:val="24"/>
          <w:highlight w:val="none"/>
          <w:lang w:eastAsia="zh-CN"/>
        </w:rPr>
        <w:t>供应商</w:t>
      </w:r>
      <w:r>
        <w:rPr>
          <w:color w:val="auto"/>
          <w:spacing w:val="9"/>
          <w:szCs w:val="24"/>
          <w:highlight w:val="none"/>
          <w:lang w:eastAsia="zh-CN"/>
        </w:rPr>
        <w:t>名称</w:t>
      </w:r>
      <w:r>
        <w:rPr>
          <w:color w:val="auto"/>
          <w:spacing w:val="1"/>
          <w:szCs w:val="24"/>
          <w:highlight w:val="none"/>
          <w:lang w:eastAsia="zh-CN"/>
        </w:rPr>
        <w:t>）：</w:t>
      </w:r>
    </w:p>
    <w:p>
      <w:pPr>
        <w:pStyle w:val="2"/>
        <w:tabs>
          <w:tab w:val="left" w:pos="1786"/>
        </w:tabs>
        <w:ind w:firstLine="480"/>
        <w:rPr>
          <w:rFonts w:hint="eastAsia"/>
          <w:color w:val="auto"/>
          <w:szCs w:val="24"/>
          <w:highlight w:val="none"/>
          <w:lang w:eastAsia="zh-CN"/>
        </w:rPr>
      </w:pPr>
      <w:r>
        <w:rPr>
          <w:color w:val="auto"/>
          <w:szCs w:val="24"/>
          <w:highlight w:val="none"/>
          <w:u w:val="single"/>
          <w:lang w:eastAsia="zh-CN"/>
        </w:rPr>
        <w:tab/>
      </w:r>
      <w:r>
        <w:rPr>
          <w:color w:val="auto"/>
          <w:spacing w:val="10"/>
          <w:szCs w:val="24"/>
          <w:highlight w:val="none"/>
          <w:lang w:eastAsia="zh-CN"/>
        </w:rPr>
        <w:t>（项目名称）招标的磋商小组，对你</w:t>
      </w:r>
      <w:r>
        <w:rPr>
          <w:color w:val="auto"/>
          <w:spacing w:val="9"/>
          <w:szCs w:val="24"/>
          <w:highlight w:val="none"/>
          <w:lang w:eastAsia="zh-CN"/>
        </w:rPr>
        <w:t>方的响应文件进行了仔细的审查，现需你方对本通知所附质疑问卷中的问题以书面形式予以澄清、说明或者补正。</w:t>
      </w:r>
    </w:p>
    <w:p>
      <w:pPr>
        <w:pStyle w:val="2"/>
        <w:ind w:firstLine="494"/>
        <w:rPr>
          <w:rFonts w:hint="eastAsia"/>
          <w:color w:val="auto"/>
          <w:szCs w:val="24"/>
          <w:highlight w:val="none"/>
          <w:lang w:eastAsia="zh-CN"/>
        </w:rPr>
      </w:pPr>
      <w:r>
        <w:rPr>
          <w:color w:val="auto"/>
          <w:spacing w:val="7"/>
          <w:szCs w:val="24"/>
          <w:highlight w:val="none"/>
          <w:lang w:eastAsia="zh-CN"/>
        </w:rPr>
        <w:t>请将上述问题的澄清、说明或者补正于年月日时前密封递交至</w:t>
      </w:r>
      <w:r>
        <w:rPr>
          <w:color w:val="auto"/>
          <w:spacing w:val="7"/>
          <w:szCs w:val="24"/>
          <w:highlight w:val="none"/>
          <w:u w:val="single"/>
          <w:lang w:eastAsia="zh-CN"/>
        </w:rPr>
        <w:t>（详细</w:t>
      </w:r>
      <w:r>
        <w:rPr>
          <w:color w:val="auto"/>
          <w:spacing w:val="8"/>
          <w:szCs w:val="24"/>
          <w:highlight w:val="none"/>
          <w:u w:val="single"/>
          <w:lang w:eastAsia="zh-CN"/>
        </w:rPr>
        <w:t>地址）</w:t>
      </w:r>
      <w:r>
        <w:rPr>
          <w:color w:val="auto"/>
          <w:spacing w:val="8"/>
          <w:szCs w:val="24"/>
          <w:highlight w:val="none"/>
          <w:lang w:eastAsia="zh-CN"/>
        </w:rPr>
        <w:t>或传真至</w:t>
      </w:r>
      <w:r>
        <w:rPr>
          <w:color w:val="auto"/>
          <w:spacing w:val="8"/>
          <w:szCs w:val="24"/>
          <w:highlight w:val="none"/>
          <w:u w:val="single"/>
          <w:lang w:eastAsia="zh-CN"/>
        </w:rPr>
        <w:t>（传真号码）</w:t>
      </w:r>
      <w:r>
        <w:rPr>
          <w:color w:val="auto"/>
          <w:spacing w:val="8"/>
          <w:szCs w:val="24"/>
          <w:highlight w:val="none"/>
          <w:lang w:eastAsia="zh-CN"/>
        </w:rPr>
        <w:t>。采用</w:t>
      </w:r>
      <w:r>
        <w:rPr>
          <w:color w:val="auto"/>
          <w:spacing w:val="7"/>
          <w:szCs w:val="24"/>
          <w:highlight w:val="none"/>
          <w:lang w:eastAsia="zh-CN"/>
        </w:rPr>
        <w:t>传真方式的，应在</w:t>
      </w:r>
      <w:r>
        <w:rPr>
          <w:rFonts w:hint="eastAsia"/>
          <w:color w:val="auto"/>
          <w:spacing w:val="7"/>
          <w:szCs w:val="24"/>
          <w:highlight w:val="none"/>
          <w:u w:val="single"/>
          <w:lang w:eastAsia="zh-CN"/>
        </w:rPr>
        <w:t xml:space="preserve">   </w:t>
      </w:r>
      <w:r>
        <w:rPr>
          <w:color w:val="auto"/>
          <w:spacing w:val="7"/>
          <w:szCs w:val="24"/>
          <w:highlight w:val="none"/>
          <w:lang w:eastAsia="zh-CN"/>
        </w:rPr>
        <w:t>年</w:t>
      </w:r>
      <w:r>
        <w:rPr>
          <w:rFonts w:hint="eastAsia"/>
          <w:color w:val="auto"/>
          <w:spacing w:val="7"/>
          <w:szCs w:val="24"/>
          <w:highlight w:val="none"/>
          <w:u w:val="single"/>
          <w:lang w:eastAsia="zh-CN"/>
        </w:rPr>
        <w:t xml:space="preserve">  </w:t>
      </w:r>
      <w:r>
        <w:rPr>
          <w:color w:val="auto"/>
          <w:spacing w:val="7"/>
          <w:szCs w:val="24"/>
          <w:highlight w:val="none"/>
          <w:lang w:eastAsia="zh-CN"/>
        </w:rPr>
        <w:t>月</w:t>
      </w:r>
      <w:r>
        <w:rPr>
          <w:rFonts w:hint="eastAsia"/>
          <w:color w:val="auto"/>
          <w:spacing w:val="7"/>
          <w:szCs w:val="24"/>
          <w:highlight w:val="none"/>
          <w:u w:val="single"/>
          <w:lang w:eastAsia="zh-CN"/>
        </w:rPr>
        <w:t xml:space="preserve">  </w:t>
      </w:r>
      <w:r>
        <w:rPr>
          <w:color w:val="auto"/>
          <w:spacing w:val="7"/>
          <w:szCs w:val="24"/>
          <w:highlight w:val="none"/>
          <w:lang w:eastAsia="zh-CN"/>
        </w:rPr>
        <w:t>日</w:t>
      </w:r>
      <w:r>
        <w:rPr>
          <w:rFonts w:hint="eastAsia"/>
          <w:color w:val="auto"/>
          <w:szCs w:val="24"/>
          <w:highlight w:val="none"/>
          <w:u w:val="single"/>
          <w:lang w:eastAsia="zh-CN"/>
        </w:rPr>
        <w:t xml:space="preserve">  </w:t>
      </w:r>
      <w:r>
        <w:rPr>
          <w:color w:val="auto"/>
          <w:spacing w:val="6"/>
          <w:szCs w:val="24"/>
          <w:highlight w:val="none"/>
          <w:lang w:eastAsia="zh-CN"/>
        </w:rPr>
        <w:t>时前将原件递交至</w:t>
      </w:r>
      <w:r>
        <w:rPr>
          <w:color w:val="auto"/>
          <w:spacing w:val="5"/>
          <w:szCs w:val="24"/>
          <w:highlight w:val="none"/>
          <w:u w:val="single"/>
          <w:lang w:eastAsia="zh-CN"/>
        </w:rPr>
        <w:t>（详细地址）</w:t>
      </w:r>
      <w:r>
        <w:rPr>
          <w:color w:val="auto"/>
          <w:spacing w:val="5"/>
          <w:szCs w:val="24"/>
          <w:highlight w:val="none"/>
          <w:lang w:eastAsia="zh-CN"/>
        </w:rPr>
        <w:t>。</w:t>
      </w:r>
    </w:p>
    <w:p>
      <w:pPr>
        <w:spacing w:line="322" w:lineRule="auto"/>
        <w:rPr>
          <w:color w:val="auto"/>
          <w:sz w:val="28"/>
          <w:szCs w:val="28"/>
          <w:highlight w:val="none"/>
          <w:lang w:eastAsia="zh-CN"/>
        </w:rPr>
      </w:pPr>
    </w:p>
    <w:p>
      <w:pPr>
        <w:spacing w:line="322" w:lineRule="auto"/>
        <w:rPr>
          <w:color w:val="auto"/>
          <w:sz w:val="28"/>
          <w:szCs w:val="28"/>
          <w:highlight w:val="none"/>
          <w:lang w:eastAsia="zh-CN"/>
        </w:rPr>
      </w:pPr>
    </w:p>
    <w:p>
      <w:pPr>
        <w:pStyle w:val="2"/>
        <w:spacing w:before="65" w:line="227" w:lineRule="auto"/>
        <w:ind w:left="25" w:firstLine="492"/>
        <w:rPr>
          <w:rFonts w:hint="eastAsia"/>
          <w:color w:val="auto"/>
          <w:szCs w:val="24"/>
          <w:highlight w:val="none"/>
          <w:lang w:eastAsia="zh-CN"/>
        </w:rPr>
      </w:pPr>
      <w:r>
        <w:rPr>
          <w:color w:val="auto"/>
          <w:spacing w:val="6"/>
          <w:szCs w:val="24"/>
          <w:highlight w:val="none"/>
          <w:lang w:eastAsia="zh-CN"/>
        </w:rPr>
        <w:t>附件：质疑问卷</w:t>
      </w:r>
    </w:p>
    <w:p>
      <w:pPr>
        <w:pStyle w:val="2"/>
        <w:tabs>
          <w:tab w:val="left" w:pos="4095"/>
        </w:tabs>
        <w:spacing w:before="234" w:line="443" w:lineRule="auto"/>
        <w:ind w:left="3572" w:firstLine="0" w:firstLineChars="0"/>
        <w:rPr>
          <w:rFonts w:hint="eastAsia"/>
          <w:color w:val="auto"/>
          <w:szCs w:val="24"/>
          <w:highlight w:val="none"/>
          <w:lang w:eastAsia="zh-CN"/>
        </w:rPr>
      </w:pPr>
      <w:r>
        <w:rPr>
          <w:color w:val="auto"/>
          <w:spacing w:val="8"/>
          <w:szCs w:val="24"/>
          <w:highlight w:val="none"/>
          <w:u w:val="single"/>
          <w:lang w:eastAsia="zh-CN"/>
        </w:rPr>
        <w:t>（项目名称）</w:t>
      </w:r>
      <w:r>
        <w:rPr>
          <w:color w:val="auto"/>
          <w:spacing w:val="8"/>
          <w:szCs w:val="24"/>
          <w:highlight w:val="none"/>
          <w:lang w:eastAsia="zh-CN"/>
        </w:rPr>
        <w:t>标段施工监理磋</w:t>
      </w:r>
      <w:r>
        <w:rPr>
          <w:color w:val="auto"/>
          <w:spacing w:val="7"/>
          <w:szCs w:val="24"/>
          <w:highlight w:val="none"/>
          <w:lang w:eastAsia="zh-CN"/>
        </w:rPr>
        <w:t>商小组</w:t>
      </w:r>
    </w:p>
    <w:p>
      <w:pPr>
        <w:pStyle w:val="2"/>
        <w:spacing w:before="1" w:line="226" w:lineRule="auto"/>
        <w:ind w:firstLine="498"/>
        <w:jc w:val="right"/>
        <w:rPr>
          <w:rFonts w:hint="eastAsia"/>
          <w:color w:val="auto"/>
          <w:szCs w:val="24"/>
          <w:highlight w:val="none"/>
          <w:lang w:eastAsia="zh-CN"/>
        </w:rPr>
      </w:pPr>
      <w:r>
        <w:rPr>
          <w:color w:val="auto"/>
          <w:spacing w:val="9"/>
          <w:szCs w:val="24"/>
          <w:highlight w:val="none"/>
          <w:lang w:eastAsia="zh-CN"/>
        </w:rPr>
        <w:t>（经磋商小组授权的采购人代表签字或采购人加</w:t>
      </w:r>
      <w:r>
        <w:rPr>
          <w:color w:val="auto"/>
          <w:spacing w:val="8"/>
          <w:szCs w:val="24"/>
          <w:highlight w:val="none"/>
          <w:lang w:eastAsia="zh-CN"/>
        </w:rPr>
        <w:t>盖单位章）</w:t>
      </w:r>
    </w:p>
    <w:p>
      <w:pPr>
        <w:pStyle w:val="2"/>
        <w:spacing w:before="234" w:line="228" w:lineRule="auto"/>
        <w:ind w:left="4620" w:firstLine="480"/>
        <w:jc w:val="both"/>
        <w:rPr>
          <w:rFonts w:hint="eastAsia"/>
          <w:color w:val="auto"/>
          <w:szCs w:val="24"/>
          <w:highlight w:val="none"/>
          <w:lang w:eastAsia="zh-CN"/>
        </w:rPr>
      </w:pPr>
      <w:r>
        <w:rPr>
          <w:color w:val="auto"/>
          <w:szCs w:val="24"/>
          <w:highlight w:val="none"/>
          <w:u w:val="single"/>
          <w:lang w:eastAsia="zh-CN"/>
        </w:rPr>
        <w:tab/>
      </w:r>
      <w:r>
        <w:rPr>
          <w:rFonts w:hint="eastAsia"/>
          <w:color w:val="auto"/>
          <w:szCs w:val="24"/>
          <w:highlight w:val="none"/>
          <w:u w:val="single"/>
          <w:lang w:eastAsia="zh-CN"/>
        </w:rPr>
        <w:t xml:space="preserve">   </w:t>
      </w:r>
      <w:r>
        <w:rPr>
          <w:color w:val="auto"/>
          <w:spacing w:val="-2"/>
          <w:szCs w:val="24"/>
          <w:highlight w:val="none"/>
          <w:lang w:eastAsia="zh-CN"/>
        </w:rPr>
        <w:t>年</w:t>
      </w:r>
      <w:r>
        <w:rPr>
          <w:rFonts w:hint="eastAsia"/>
          <w:color w:val="auto"/>
          <w:spacing w:val="-2"/>
          <w:szCs w:val="24"/>
          <w:highlight w:val="none"/>
          <w:u w:val="single"/>
          <w:lang w:eastAsia="zh-CN"/>
        </w:rPr>
        <w:t xml:space="preserve">   </w:t>
      </w:r>
      <w:r>
        <w:rPr>
          <w:color w:val="auto"/>
          <w:spacing w:val="-2"/>
          <w:szCs w:val="24"/>
          <w:highlight w:val="none"/>
          <w:lang w:eastAsia="zh-CN"/>
        </w:rPr>
        <w:t>月</w:t>
      </w:r>
      <w:r>
        <w:rPr>
          <w:rFonts w:hint="eastAsia"/>
          <w:color w:val="auto"/>
          <w:spacing w:val="-2"/>
          <w:szCs w:val="24"/>
          <w:highlight w:val="none"/>
          <w:u w:val="single"/>
          <w:lang w:eastAsia="zh-CN"/>
        </w:rPr>
        <w:t xml:space="preserve">    </w:t>
      </w:r>
      <w:r>
        <w:rPr>
          <w:color w:val="auto"/>
          <w:spacing w:val="-2"/>
          <w:szCs w:val="24"/>
          <w:highlight w:val="none"/>
          <w:lang w:eastAsia="zh-CN"/>
        </w:rPr>
        <w:t>日</w:t>
      </w:r>
    </w:p>
    <w:p>
      <w:pPr>
        <w:spacing w:line="228" w:lineRule="auto"/>
        <w:rPr>
          <w:rFonts w:eastAsiaTheme="minorEastAsia"/>
          <w:color w:val="auto"/>
          <w:sz w:val="22"/>
          <w:szCs w:val="22"/>
          <w:highlight w:val="none"/>
          <w:lang w:eastAsia="zh-CN"/>
        </w:rPr>
      </w:pPr>
    </w:p>
    <w:p>
      <w:pPr>
        <w:pStyle w:val="45"/>
        <w:spacing w:before="48" w:after="48"/>
        <w:ind w:firstLine="480"/>
        <w:rPr>
          <w:color w:val="auto"/>
          <w:highlight w:val="none"/>
          <w:lang w:eastAsia="zh-CN"/>
        </w:rPr>
      </w:pPr>
    </w:p>
    <w:p>
      <w:pPr>
        <w:pStyle w:val="2"/>
        <w:ind w:firstLine="480"/>
        <w:rPr>
          <w:rFonts w:hint="eastAsia"/>
          <w:color w:val="auto"/>
          <w:highlight w:val="none"/>
          <w:lang w:eastAsia="zh-CN"/>
        </w:rPr>
      </w:pPr>
    </w:p>
    <w:p>
      <w:pPr>
        <w:pStyle w:val="46"/>
        <w:rPr>
          <w:color w:val="auto"/>
          <w:highlight w:val="none"/>
        </w:rPr>
        <w:sectPr>
          <w:footerReference r:id="rId4" w:type="default"/>
          <w:pgSz w:w="11906" w:h="16839"/>
          <w:pgMar w:top="1431" w:right="1362" w:bottom="957" w:left="1360" w:header="0" w:footer="795" w:gutter="0"/>
          <w:pgNumType w:fmt="decimal"/>
          <w:cols w:space="720" w:num="1"/>
        </w:sectPr>
      </w:pPr>
    </w:p>
    <w:p>
      <w:pPr>
        <w:pStyle w:val="2"/>
        <w:spacing w:before="107" w:line="219" w:lineRule="auto"/>
        <w:ind w:firstLine="472"/>
        <w:rPr>
          <w:rFonts w:hint="eastAsia"/>
          <w:color w:val="auto"/>
          <w:szCs w:val="24"/>
          <w:highlight w:val="none"/>
          <w:lang w:eastAsia="zh-CN"/>
        </w:rPr>
      </w:pPr>
      <w:r>
        <w:rPr>
          <w:color w:val="auto"/>
          <w:spacing w:val="-4"/>
          <w:szCs w:val="24"/>
          <w:highlight w:val="none"/>
          <w:lang w:eastAsia="zh-CN"/>
        </w:rPr>
        <w:t>附表二：问题的澄清</w:t>
      </w:r>
    </w:p>
    <w:p>
      <w:pPr>
        <w:spacing w:line="379" w:lineRule="auto"/>
        <w:rPr>
          <w:color w:val="auto"/>
          <w:highlight w:val="none"/>
          <w:lang w:eastAsia="zh-CN"/>
        </w:rPr>
      </w:pPr>
    </w:p>
    <w:p>
      <w:pPr>
        <w:pStyle w:val="2"/>
        <w:spacing w:before="91" w:line="220" w:lineRule="auto"/>
        <w:ind w:left="3060" w:firstLine="554"/>
        <w:rPr>
          <w:rFonts w:hint="eastAsia"/>
          <w:color w:val="auto"/>
          <w:sz w:val="28"/>
          <w:szCs w:val="28"/>
          <w:highlight w:val="none"/>
          <w:lang w:eastAsia="zh-CN"/>
        </w:rPr>
      </w:pPr>
      <w:r>
        <w:rPr>
          <w:color w:val="auto"/>
          <w:spacing w:val="-3"/>
          <w:sz w:val="28"/>
          <w:szCs w:val="28"/>
          <w:highlight w:val="none"/>
          <w:lang w:eastAsia="zh-CN"/>
          <w14:textOutline w14:w="5105" w14:cap="sq" w14:cmpd="sng" w14:algn="ctr">
            <w14:solidFill>
              <w14:srgbClr w14:val="000000"/>
            </w14:solidFill>
            <w14:prstDash w14:val="solid"/>
            <w14:bevel/>
          </w14:textOutline>
        </w:rPr>
        <w:t>问题的澄清、说明或补正</w:t>
      </w:r>
    </w:p>
    <w:p>
      <w:pPr>
        <w:spacing w:line="387" w:lineRule="auto"/>
        <w:rPr>
          <w:color w:val="auto"/>
          <w:sz w:val="28"/>
          <w:szCs w:val="28"/>
          <w:highlight w:val="none"/>
          <w:lang w:eastAsia="zh-CN"/>
        </w:rPr>
      </w:pPr>
    </w:p>
    <w:p>
      <w:pPr>
        <w:pStyle w:val="2"/>
        <w:spacing w:before="65" w:line="228" w:lineRule="auto"/>
        <w:ind w:left="5336" w:firstLine="492"/>
        <w:rPr>
          <w:rFonts w:hint="eastAsia"/>
          <w:color w:val="auto"/>
          <w:szCs w:val="24"/>
          <w:highlight w:val="none"/>
          <w:lang w:eastAsia="zh-CN"/>
        </w:rPr>
      </w:pPr>
      <w:r>
        <w:rPr>
          <w:color w:val="auto"/>
          <w:spacing w:val="6"/>
          <w:szCs w:val="24"/>
          <w:highlight w:val="none"/>
          <w:lang w:eastAsia="zh-CN"/>
        </w:rPr>
        <w:t>编号：</w:t>
      </w:r>
    </w:p>
    <w:p>
      <w:pPr>
        <w:pStyle w:val="2"/>
        <w:tabs>
          <w:tab w:val="left" w:pos="1443"/>
        </w:tabs>
        <w:spacing w:before="216" w:line="228" w:lineRule="auto"/>
        <w:ind w:left="183" w:firstLine="480"/>
        <w:rPr>
          <w:rFonts w:hint="eastAsia"/>
          <w:color w:val="auto"/>
          <w:szCs w:val="24"/>
          <w:highlight w:val="none"/>
          <w:lang w:eastAsia="zh-CN"/>
        </w:rPr>
      </w:pPr>
      <w:r>
        <w:rPr>
          <w:color w:val="auto"/>
          <w:szCs w:val="24"/>
          <w:highlight w:val="none"/>
          <w:u w:val="single"/>
          <w:lang w:eastAsia="zh-CN"/>
        </w:rPr>
        <w:tab/>
      </w:r>
      <w:r>
        <w:rPr>
          <w:color w:val="auto"/>
          <w:spacing w:val="6"/>
          <w:szCs w:val="24"/>
          <w:highlight w:val="none"/>
          <w:lang w:eastAsia="zh-CN"/>
        </w:rPr>
        <w:t>（项目名称）磋商小组：</w:t>
      </w:r>
    </w:p>
    <w:p>
      <w:pPr>
        <w:pStyle w:val="2"/>
        <w:spacing w:before="233" w:line="473" w:lineRule="auto"/>
        <w:ind w:left="423" w:firstLine="494"/>
        <w:rPr>
          <w:rFonts w:hint="eastAsia"/>
          <w:color w:val="auto"/>
          <w:szCs w:val="24"/>
          <w:highlight w:val="none"/>
          <w:lang w:eastAsia="zh-CN"/>
        </w:rPr>
      </w:pPr>
      <w:r>
        <w:rPr>
          <w:color w:val="auto"/>
          <w:spacing w:val="7"/>
          <w:szCs w:val="24"/>
          <w:highlight w:val="none"/>
          <w:lang w:eastAsia="zh-CN"/>
        </w:rPr>
        <w:t>问题澄清通知（编号</w:t>
      </w:r>
      <w:r>
        <w:rPr>
          <w:color w:val="auto"/>
          <w:spacing w:val="11"/>
          <w:szCs w:val="24"/>
          <w:highlight w:val="none"/>
          <w:lang w:eastAsia="zh-CN"/>
        </w:rPr>
        <w:t>：）</w:t>
      </w:r>
      <w:r>
        <w:rPr>
          <w:color w:val="auto"/>
          <w:spacing w:val="7"/>
          <w:szCs w:val="24"/>
          <w:highlight w:val="none"/>
          <w:lang w:eastAsia="zh-CN"/>
        </w:rPr>
        <w:t>已收悉，现澄清、说明或者补正如下：</w:t>
      </w:r>
    </w:p>
    <w:p>
      <w:pPr>
        <w:pStyle w:val="2"/>
        <w:spacing w:line="189" w:lineRule="auto"/>
        <w:ind w:left="415" w:firstLine="466"/>
        <w:rPr>
          <w:rFonts w:hint="eastAsia"/>
          <w:color w:val="auto"/>
          <w:szCs w:val="24"/>
          <w:highlight w:val="none"/>
          <w:lang w:eastAsia="zh-CN"/>
        </w:rPr>
      </w:pPr>
      <w:r>
        <w:rPr>
          <w:color w:val="auto"/>
          <w:spacing w:val="-7"/>
          <w:szCs w:val="24"/>
          <w:highlight w:val="none"/>
          <w:lang w:eastAsia="zh-CN"/>
        </w:rPr>
        <w:t>1.</w:t>
      </w:r>
    </w:p>
    <w:p>
      <w:pPr>
        <w:pStyle w:val="2"/>
        <w:spacing w:before="276" w:line="189" w:lineRule="auto"/>
        <w:ind w:left="402" w:firstLine="478"/>
        <w:rPr>
          <w:rFonts w:hint="eastAsia"/>
          <w:color w:val="auto"/>
          <w:szCs w:val="24"/>
          <w:highlight w:val="none"/>
          <w:lang w:eastAsia="zh-CN"/>
        </w:rPr>
      </w:pPr>
      <w:r>
        <w:rPr>
          <w:color w:val="auto"/>
          <w:spacing w:val="-1"/>
          <w:szCs w:val="24"/>
          <w:highlight w:val="none"/>
          <w:lang w:eastAsia="zh-CN"/>
        </w:rPr>
        <w:t>2.</w:t>
      </w:r>
    </w:p>
    <w:p>
      <w:pPr>
        <w:spacing w:line="326" w:lineRule="auto"/>
        <w:rPr>
          <w:color w:val="auto"/>
          <w:sz w:val="28"/>
          <w:szCs w:val="28"/>
          <w:highlight w:val="none"/>
          <w:lang w:eastAsia="zh-CN"/>
        </w:rPr>
      </w:pPr>
    </w:p>
    <w:p>
      <w:pPr>
        <w:spacing w:line="327" w:lineRule="auto"/>
        <w:rPr>
          <w:color w:val="auto"/>
          <w:sz w:val="28"/>
          <w:szCs w:val="28"/>
          <w:highlight w:val="none"/>
          <w:lang w:eastAsia="zh-CN"/>
        </w:rPr>
      </w:pPr>
    </w:p>
    <w:p>
      <w:pPr>
        <w:pStyle w:val="2"/>
        <w:spacing w:before="65" w:line="324" w:lineRule="exact"/>
        <w:ind w:left="413" w:firstLine="476"/>
        <w:rPr>
          <w:rFonts w:hint="eastAsia"/>
          <w:color w:val="auto"/>
          <w:szCs w:val="24"/>
          <w:highlight w:val="none"/>
          <w:lang w:eastAsia="zh-CN"/>
        </w:rPr>
      </w:pPr>
      <w:r>
        <w:rPr>
          <w:color w:val="auto"/>
          <w:spacing w:val="-2"/>
          <w:position w:val="2"/>
          <w:szCs w:val="24"/>
          <w:highlight w:val="none"/>
          <w:lang w:eastAsia="zh-CN"/>
        </w:rPr>
        <w:t>……</w:t>
      </w:r>
    </w:p>
    <w:p>
      <w:pPr>
        <w:spacing w:line="246" w:lineRule="auto"/>
        <w:rPr>
          <w:color w:val="auto"/>
          <w:sz w:val="28"/>
          <w:szCs w:val="28"/>
          <w:highlight w:val="none"/>
          <w:lang w:eastAsia="zh-CN"/>
        </w:rPr>
      </w:pPr>
    </w:p>
    <w:p>
      <w:pPr>
        <w:spacing w:line="246" w:lineRule="auto"/>
        <w:rPr>
          <w:color w:val="auto"/>
          <w:sz w:val="28"/>
          <w:szCs w:val="28"/>
          <w:highlight w:val="none"/>
          <w:lang w:eastAsia="zh-CN"/>
        </w:rPr>
      </w:pPr>
    </w:p>
    <w:p>
      <w:pPr>
        <w:spacing w:line="246" w:lineRule="auto"/>
        <w:rPr>
          <w:color w:val="auto"/>
          <w:sz w:val="28"/>
          <w:szCs w:val="28"/>
          <w:highlight w:val="none"/>
          <w:lang w:eastAsia="zh-CN"/>
        </w:rPr>
      </w:pPr>
    </w:p>
    <w:p>
      <w:pPr>
        <w:spacing w:line="246" w:lineRule="auto"/>
        <w:rPr>
          <w:color w:val="auto"/>
          <w:sz w:val="28"/>
          <w:szCs w:val="28"/>
          <w:highlight w:val="none"/>
          <w:lang w:eastAsia="zh-CN"/>
        </w:rPr>
      </w:pPr>
    </w:p>
    <w:p>
      <w:pPr>
        <w:spacing w:line="246" w:lineRule="auto"/>
        <w:rPr>
          <w:color w:val="auto"/>
          <w:sz w:val="28"/>
          <w:szCs w:val="28"/>
          <w:highlight w:val="none"/>
          <w:lang w:eastAsia="zh-CN"/>
        </w:rPr>
      </w:pPr>
    </w:p>
    <w:p>
      <w:pPr>
        <w:spacing w:line="246" w:lineRule="auto"/>
        <w:rPr>
          <w:color w:val="auto"/>
          <w:sz w:val="28"/>
          <w:szCs w:val="28"/>
          <w:highlight w:val="none"/>
          <w:lang w:eastAsia="zh-CN"/>
        </w:rPr>
      </w:pPr>
    </w:p>
    <w:p>
      <w:pPr>
        <w:spacing w:line="246" w:lineRule="auto"/>
        <w:rPr>
          <w:color w:val="auto"/>
          <w:sz w:val="28"/>
          <w:szCs w:val="28"/>
          <w:highlight w:val="none"/>
          <w:lang w:eastAsia="zh-CN"/>
        </w:rPr>
      </w:pPr>
    </w:p>
    <w:p>
      <w:pPr>
        <w:spacing w:line="246" w:lineRule="auto"/>
        <w:rPr>
          <w:color w:val="auto"/>
          <w:sz w:val="28"/>
          <w:szCs w:val="28"/>
          <w:highlight w:val="none"/>
          <w:lang w:eastAsia="zh-CN"/>
        </w:rPr>
      </w:pPr>
    </w:p>
    <w:p>
      <w:pPr>
        <w:spacing w:line="246" w:lineRule="auto"/>
        <w:rPr>
          <w:color w:val="auto"/>
          <w:sz w:val="28"/>
          <w:szCs w:val="28"/>
          <w:highlight w:val="none"/>
          <w:lang w:eastAsia="zh-CN"/>
        </w:rPr>
      </w:pPr>
    </w:p>
    <w:p>
      <w:pPr>
        <w:spacing w:line="246" w:lineRule="auto"/>
        <w:rPr>
          <w:color w:val="auto"/>
          <w:sz w:val="28"/>
          <w:szCs w:val="28"/>
          <w:highlight w:val="none"/>
          <w:lang w:eastAsia="zh-CN"/>
        </w:rPr>
      </w:pPr>
    </w:p>
    <w:p>
      <w:pPr>
        <w:spacing w:line="246" w:lineRule="auto"/>
        <w:rPr>
          <w:color w:val="auto"/>
          <w:sz w:val="28"/>
          <w:szCs w:val="28"/>
          <w:highlight w:val="none"/>
          <w:lang w:eastAsia="zh-CN"/>
        </w:rPr>
      </w:pPr>
    </w:p>
    <w:p>
      <w:pPr>
        <w:spacing w:line="246" w:lineRule="auto"/>
        <w:rPr>
          <w:color w:val="auto"/>
          <w:sz w:val="28"/>
          <w:szCs w:val="28"/>
          <w:highlight w:val="none"/>
          <w:lang w:eastAsia="zh-CN"/>
        </w:rPr>
      </w:pPr>
    </w:p>
    <w:p>
      <w:pPr>
        <w:pStyle w:val="2"/>
        <w:spacing w:before="66" w:line="587" w:lineRule="auto"/>
        <w:ind w:firstLine="498"/>
        <w:jc w:val="right"/>
        <w:rPr>
          <w:rFonts w:hint="eastAsia"/>
          <w:color w:val="auto"/>
          <w:szCs w:val="24"/>
          <w:highlight w:val="none"/>
          <w:lang w:eastAsia="zh-CN"/>
        </w:rPr>
      </w:pPr>
      <w:r>
        <w:rPr>
          <w:rFonts w:hint="eastAsia"/>
          <w:color w:val="auto"/>
          <w:spacing w:val="9"/>
          <w:szCs w:val="24"/>
          <w:highlight w:val="none"/>
          <w:lang w:eastAsia="zh-CN"/>
        </w:rPr>
        <w:t>供应商</w:t>
      </w:r>
      <w:r>
        <w:rPr>
          <w:color w:val="auto"/>
          <w:spacing w:val="-3"/>
          <w:szCs w:val="24"/>
          <w:highlight w:val="none"/>
          <w:lang w:eastAsia="zh-CN"/>
        </w:rPr>
        <w:t>：（</w:t>
      </w:r>
      <w:r>
        <w:rPr>
          <w:color w:val="auto"/>
          <w:spacing w:val="9"/>
          <w:szCs w:val="24"/>
          <w:highlight w:val="none"/>
          <w:lang w:eastAsia="zh-CN"/>
        </w:rPr>
        <w:t>盖单位章）</w:t>
      </w:r>
    </w:p>
    <w:p>
      <w:pPr>
        <w:pStyle w:val="2"/>
        <w:spacing w:line="227" w:lineRule="auto"/>
        <w:ind w:left="4125" w:firstLine="500"/>
        <w:rPr>
          <w:rFonts w:hint="eastAsia"/>
          <w:color w:val="auto"/>
          <w:szCs w:val="24"/>
          <w:highlight w:val="none"/>
          <w:lang w:eastAsia="zh-CN"/>
        </w:rPr>
      </w:pPr>
      <w:r>
        <w:rPr>
          <w:color w:val="auto"/>
          <w:spacing w:val="10"/>
          <w:szCs w:val="24"/>
          <w:highlight w:val="none"/>
          <w:lang w:eastAsia="zh-CN"/>
        </w:rPr>
        <w:t>法定代表人或其委托代理人</w:t>
      </w:r>
      <w:r>
        <w:rPr>
          <w:color w:val="auto"/>
          <w:spacing w:val="-2"/>
          <w:szCs w:val="24"/>
          <w:highlight w:val="none"/>
          <w:lang w:eastAsia="zh-CN"/>
        </w:rPr>
        <w:t>：（</w:t>
      </w:r>
      <w:r>
        <w:rPr>
          <w:color w:val="auto"/>
          <w:spacing w:val="10"/>
          <w:szCs w:val="24"/>
          <w:highlight w:val="none"/>
          <w:lang w:eastAsia="zh-CN"/>
        </w:rPr>
        <w:t>签字）</w:t>
      </w:r>
    </w:p>
    <w:p>
      <w:pPr>
        <w:spacing w:line="322" w:lineRule="auto"/>
        <w:rPr>
          <w:color w:val="auto"/>
          <w:sz w:val="28"/>
          <w:szCs w:val="28"/>
          <w:highlight w:val="none"/>
          <w:lang w:eastAsia="zh-CN"/>
        </w:rPr>
      </w:pPr>
    </w:p>
    <w:p>
      <w:pPr>
        <w:pStyle w:val="2"/>
        <w:tabs>
          <w:tab w:val="left" w:pos="6377"/>
        </w:tabs>
        <w:spacing w:before="65" w:line="228" w:lineRule="auto"/>
        <w:ind w:left="5746" w:firstLine="480"/>
        <w:rPr>
          <w:rFonts w:hint="eastAsia"/>
          <w:color w:val="auto"/>
          <w:spacing w:val="-2"/>
          <w:szCs w:val="24"/>
          <w:highlight w:val="none"/>
          <w:lang w:eastAsia="zh-CN"/>
        </w:rPr>
      </w:pPr>
      <w:r>
        <w:rPr>
          <w:color w:val="auto"/>
          <w:szCs w:val="24"/>
          <w:highlight w:val="none"/>
          <w:u w:val="single"/>
          <w:lang w:eastAsia="zh-CN"/>
        </w:rPr>
        <w:tab/>
      </w:r>
      <w:r>
        <w:rPr>
          <w:rFonts w:hint="eastAsia"/>
          <w:color w:val="auto"/>
          <w:szCs w:val="24"/>
          <w:highlight w:val="none"/>
          <w:u w:val="single"/>
          <w:lang w:eastAsia="zh-CN"/>
        </w:rPr>
        <w:t xml:space="preserve">   </w:t>
      </w:r>
      <w:r>
        <w:rPr>
          <w:color w:val="auto"/>
          <w:spacing w:val="-2"/>
          <w:szCs w:val="24"/>
          <w:highlight w:val="none"/>
          <w:lang w:eastAsia="zh-CN"/>
        </w:rPr>
        <w:t>年</w:t>
      </w:r>
      <w:r>
        <w:rPr>
          <w:rFonts w:hint="eastAsia"/>
          <w:color w:val="auto"/>
          <w:spacing w:val="-2"/>
          <w:szCs w:val="24"/>
          <w:highlight w:val="none"/>
          <w:u w:val="single"/>
          <w:lang w:eastAsia="zh-CN"/>
        </w:rPr>
        <w:t xml:space="preserve">   </w:t>
      </w:r>
      <w:r>
        <w:rPr>
          <w:color w:val="auto"/>
          <w:spacing w:val="-2"/>
          <w:szCs w:val="24"/>
          <w:highlight w:val="none"/>
          <w:lang w:eastAsia="zh-CN"/>
        </w:rPr>
        <w:t>月</w:t>
      </w:r>
      <w:r>
        <w:rPr>
          <w:rFonts w:hint="eastAsia"/>
          <w:color w:val="auto"/>
          <w:spacing w:val="-2"/>
          <w:szCs w:val="24"/>
          <w:highlight w:val="none"/>
          <w:u w:val="single"/>
          <w:lang w:eastAsia="zh-CN"/>
        </w:rPr>
        <w:t xml:space="preserve">    </w:t>
      </w:r>
      <w:r>
        <w:rPr>
          <w:color w:val="auto"/>
          <w:spacing w:val="-2"/>
          <w:szCs w:val="24"/>
          <w:highlight w:val="none"/>
          <w:lang w:eastAsia="zh-CN"/>
        </w:rPr>
        <w:t>日</w:t>
      </w:r>
    </w:p>
    <w:p>
      <w:pPr>
        <w:kinsoku/>
        <w:autoSpaceDE/>
        <w:autoSpaceDN/>
        <w:adjustRightInd/>
        <w:snapToGrid/>
        <w:textAlignment w:val="auto"/>
        <w:rPr>
          <w:rFonts w:eastAsia="宋体" w:cs="宋体"/>
          <w:color w:val="auto"/>
          <w:sz w:val="24"/>
          <w:szCs w:val="31"/>
          <w:highlight w:val="none"/>
          <w:lang w:eastAsia="zh-CN"/>
        </w:rPr>
      </w:pPr>
      <w:r>
        <w:rPr>
          <w:color w:val="auto"/>
          <w:highlight w:val="none"/>
          <w:lang w:eastAsia="zh-CN"/>
        </w:rPr>
        <w:br w:type="page"/>
      </w:r>
    </w:p>
    <w:p>
      <w:pPr>
        <w:pStyle w:val="2"/>
        <w:spacing w:before="107" w:line="219" w:lineRule="auto"/>
        <w:ind w:firstLine="472"/>
        <w:rPr>
          <w:rFonts w:hint="eastAsia"/>
          <w:color w:val="auto"/>
          <w:spacing w:val="-4"/>
          <w:szCs w:val="24"/>
          <w:highlight w:val="none"/>
          <w:lang w:eastAsia="zh-CN"/>
        </w:rPr>
      </w:pPr>
      <w:r>
        <w:rPr>
          <w:rFonts w:hint="eastAsia"/>
          <w:color w:val="auto"/>
          <w:spacing w:val="-4"/>
          <w:szCs w:val="24"/>
          <w:highlight w:val="none"/>
          <w:lang w:eastAsia="zh-CN"/>
        </w:rPr>
        <w:t>附表三</w:t>
      </w:r>
      <w:r>
        <w:rPr>
          <w:color w:val="auto"/>
          <w:spacing w:val="-4"/>
          <w:szCs w:val="24"/>
          <w:highlight w:val="none"/>
          <w:lang w:eastAsia="zh-CN"/>
        </w:rPr>
        <w:t>：</w:t>
      </w:r>
      <w:r>
        <w:rPr>
          <w:rFonts w:hint="eastAsia"/>
          <w:color w:val="auto"/>
          <w:spacing w:val="-4"/>
          <w:szCs w:val="24"/>
          <w:highlight w:val="none"/>
          <w:lang w:eastAsia="zh-CN"/>
        </w:rPr>
        <w:t>成交通知书(此格式仅供参考，具体内容以实际发出为准）</w:t>
      </w:r>
    </w:p>
    <w:p>
      <w:pPr>
        <w:rPr>
          <w:rFonts w:eastAsiaTheme="minorEastAsia"/>
          <w:bCs/>
          <w:color w:val="auto"/>
          <w:highlight w:val="none"/>
          <w:lang w:eastAsia="zh-CN"/>
        </w:rPr>
      </w:pPr>
    </w:p>
    <w:p>
      <w:pPr>
        <w:rPr>
          <w:rFonts w:eastAsiaTheme="minorEastAsia"/>
          <w:bCs/>
          <w:color w:val="auto"/>
          <w:highlight w:val="none"/>
          <w:lang w:eastAsia="zh-CN"/>
        </w:rPr>
      </w:pPr>
    </w:p>
    <w:p>
      <w:pPr>
        <w:jc w:val="center"/>
        <w:rPr>
          <w:rFonts w:eastAsia="隶书"/>
          <w:b/>
          <w:color w:val="auto"/>
          <w:sz w:val="44"/>
          <w:szCs w:val="44"/>
          <w:highlight w:val="none"/>
        </w:rPr>
      </w:pPr>
      <w:r>
        <w:rPr>
          <w:rFonts w:hint="eastAsia"/>
          <w:b/>
          <w:color w:val="auto"/>
          <w:sz w:val="44"/>
          <w:szCs w:val="44"/>
          <w:highlight w:val="none"/>
          <w:lang w:eastAsia="zh-CN"/>
        </w:rPr>
        <w:t>成交</w:t>
      </w:r>
      <w:r>
        <w:rPr>
          <w:rFonts w:hint="eastAsia"/>
          <w:b/>
          <w:color w:val="auto"/>
          <w:sz w:val="44"/>
          <w:szCs w:val="44"/>
          <w:highlight w:val="none"/>
        </w:rPr>
        <w:t>通知书</w:t>
      </w:r>
    </w:p>
    <w:tbl>
      <w:tblPr>
        <w:tblStyle w:val="32"/>
        <w:tblpPr w:leftFromText="180" w:rightFromText="180" w:vertAnchor="text" w:horzAnchor="page" w:tblpXSpec="center" w:tblpY="18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3060"/>
        <w:gridCol w:w="1275"/>
        <w:gridCol w:w="32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980" w:type="dxa"/>
            <w:tcBorders>
              <w:tl2br w:val="nil"/>
              <w:tr2bl w:val="nil"/>
            </w:tcBorders>
            <w:vAlign w:val="center"/>
          </w:tcPr>
          <w:p>
            <w:pPr>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采购项目编号</w:t>
            </w:r>
          </w:p>
        </w:tc>
        <w:tc>
          <w:tcPr>
            <w:tcW w:w="7560" w:type="dxa"/>
            <w:gridSpan w:val="3"/>
            <w:tcBorders>
              <w:tl2br w:val="nil"/>
              <w:tr2bl w:val="nil"/>
            </w:tcBorders>
            <w:vAlign w:val="center"/>
          </w:tcPr>
          <w:p>
            <w:pPr>
              <w:rPr>
                <w:rFonts w:ascii="宋体" w:hAnsi="宋体"/>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980" w:type="dxa"/>
            <w:tcBorders>
              <w:tl2br w:val="nil"/>
              <w:tr2bl w:val="nil"/>
            </w:tcBorders>
            <w:vAlign w:val="center"/>
          </w:tcPr>
          <w:p>
            <w:pPr>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成交单位名称</w:t>
            </w:r>
          </w:p>
        </w:tc>
        <w:tc>
          <w:tcPr>
            <w:tcW w:w="7560" w:type="dxa"/>
            <w:gridSpan w:val="3"/>
            <w:tcBorders>
              <w:tl2br w:val="nil"/>
              <w:tr2bl w:val="nil"/>
            </w:tcBorders>
            <w:vAlign w:val="center"/>
          </w:tcPr>
          <w:p>
            <w:pPr>
              <w:rPr>
                <w:rFonts w:ascii="宋体" w:hAnsi="宋体"/>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980" w:type="dxa"/>
            <w:tcBorders>
              <w:tl2br w:val="nil"/>
              <w:tr2bl w:val="nil"/>
            </w:tcBorders>
            <w:vAlign w:val="center"/>
          </w:tcPr>
          <w:p>
            <w:pPr>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成交项目名称</w:t>
            </w:r>
          </w:p>
        </w:tc>
        <w:tc>
          <w:tcPr>
            <w:tcW w:w="7560" w:type="dxa"/>
            <w:gridSpan w:val="3"/>
            <w:tcBorders>
              <w:tl2br w:val="nil"/>
              <w:tr2bl w:val="nil"/>
            </w:tcBorders>
            <w:vAlign w:val="center"/>
          </w:tcPr>
          <w:p>
            <w:pPr>
              <w:rPr>
                <w:rFonts w:ascii="宋体" w:hAnsi="宋体"/>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80" w:type="dxa"/>
            <w:tcBorders>
              <w:tl2br w:val="nil"/>
              <w:tr2bl w:val="nil"/>
            </w:tcBorders>
            <w:vAlign w:val="center"/>
          </w:tcPr>
          <w:p>
            <w:pPr>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采购单位</w:t>
            </w:r>
          </w:p>
        </w:tc>
        <w:tc>
          <w:tcPr>
            <w:tcW w:w="7560" w:type="dxa"/>
            <w:gridSpan w:val="3"/>
            <w:tcBorders>
              <w:tl2br w:val="nil"/>
              <w:tr2bl w:val="nil"/>
            </w:tcBorders>
            <w:vAlign w:val="center"/>
          </w:tcPr>
          <w:p>
            <w:pPr>
              <w:spacing w:line="360" w:lineRule="exact"/>
              <w:rPr>
                <w:rFonts w:ascii="宋体" w:hAnsi="宋体"/>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980" w:type="dxa"/>
            <w:tcBorders>
              <w:tl2br w:val="nil"/>
              <w:tr2bl w:val="nil"/>
            </w:tcBorders>
            <w:vAlign w:val="center"/>
          </w:tcPr>
          <w:p>
            <w:pPr>
              <w:rPr>
                <w:rFonts w:ascii="宋体" w:hAnsi="宋体"/>
                <w:bCs/>
                <w:color w:val="auto"/>
                <w:sz w:val="24"/>
                <w:highlight w:val="none"/>
              </w:rPr>
            </w:pPr>
            <w:r>
              <w:rPr>
                <w:rFonts w:hint="eastAsia" w:ascii="宋体" w:hAnsi="宋体"/>
                <w:bCs/>
                <w:color w:val="auto"/>
                <w:sz w:val="24"/>
                <w:highlight w:val="none"/>
                <w:lang w:eastAsia="zh-CN"/>
              </w:rPr>
              <w:t>磋 商</w:t>
            </w:r>
            <w:r>
              <w:rPr>
                <w:rFonts w:hint="eastAsia" w:ascii="宋体" w:hAnsi="宋体"/>
                <w:bCs/>
                <w:color w:val="auto"/>
                <w:sz w:val="24"/>
                <w:highlight w:val="none"/>
              </w:rPr>
              <w:t xml:space="preserve"> 日 期</w:t>
            </w:r>
          </w:p>
        </w:tc>
        <w:tc>
          <w:tcPr>
            <w:tcW w:w="3060" w:type="dxa"/>
            <w:tcBorders>
              <w:tl2br w:val="nil"/>
              <w:tr2bl w:val="nil"/>
            </w:tcBorders>
            <w:vAlign w:val="center"/>
          </w:tcPr>
          <w:p>
            <w:pPr>
              <w:rPr>
                <w:rFonts w:ascii="宋体" w:hAnsi="宋体"/>
                <w:bCs/>
                <w:color w:val="auto"/>
                <w:sz w:val="24"/>
                <w:highlight w:val="none"/>
              </w:rPr>
            </w:pPr>
          </w:p>
        </w:tc>
        <w:tc>
          <w:tcPr>
            <w:tcW w:w="1275" w:type="dxa"/>
            <w:tcBorders>
              <w:tl2br w:val="nil"/>
              <w:tr2bl w:val="nil"/>
            </w:tcBorders>
            <w:vAlign w:val="center"/>
          </w:tcPr>
          <w:p>
            <w:pPr>
              <w:rPr>
                <w:rFonts w:ascii="宋体" w:hAnsi="宋体"/>
                <w:bCs/>
                <w:color w:val="auto"/>
                <w:sz w:val="24"/>
                <w:highlight w:val="none"/>
              </w:rPr>
            </w:pPr>
            <w:r>
              <w:rPr>
                <w:rFonts w:hint="eastAsia" w:ascii="宋体" w:hAnsi="宋体"/>
                <w:bCs/>
                <w:color w:val="auto"/>
                <w:sz w:val="24"/>
                <w:highlight w:val="none"/>
                <w:lang w:eastAsia="zh-CN"/>
              </w:rPr>
              <w:t>采购</w:t>
            </w:r>
            <w:r>
              <w:rPr>
                <w:rFonts w:hint="eastAsia" w:ascii="宋体" w:hAnsi="宋体"/>
                <w:bCs/>
                <w:color w:val="auto"/>
                <w:sz w:val="24"/>
                <w:highlight w:val="none"/>
              </w:rPr>
              <w:t>方式</w:t>
            </w:r>
          </w:p>
        </w:tc>
        <w:tc>
          <w:tcPr>
            <w:tcW w:w="3225" w:type="dxa"/>
            <w:tcBorders>
              <w:tl2br w:val="nil"/>
              <w:tr2bl w:val="nil"/>
            </w:tcBorders>
            <w:vAlign w:val="center"/>
          </w:tcPr>
          <w:p>
            <w:pPr>
              <w:rPr>
                <w:rFonts w:hint="eastAsia" w:ascii="宋体" w:hAnsi="宋体" w:eastAsia="宋体"/>
                <w:bCs/>
                <w:color w:val="auto"/>
                <w:sz w:val="24"/>
                <w:highlight w:val="none"/>
                <w:lang w:eastAsia="zh-CN"/>
              </w:rPr>
            </w:pPr>
            <w:r>
              <w:rPr>
                <w:rFonts w:hint="eastAsia" w:ascii="宋体" w:hAnsi="宋体"/>
                <w:bCs/>
                <w:color w:val="auto"/>
                <w:sz w:val="24"/>
                <w:highlight w:val="none"/>
                <w:lang w:eastAsia="zh-CN"/>
              </w:rPr>
              <w:t>竞争性磋商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980" w:type="dxa"/>
            <w:tcBorders>
              <w:tl2br w:val="nil"/>
              <w:tr2bl w:val="nil"/>
            </w:tcBorders>
            <w:vAlign w:val="center"/>
          </w:tcPr>
          <w:p>
            <w:pPr>
              <w:rPr>
                <w:rFonts w:hint="eastAsia" w:ascii="宋体" w:hAnsi="宋体" w:eastAsiaTheme="minorEastAsia"/>
                <w:bCs/>
                <w:color w:val="auto"/>
                <w:sz w:val="24"/>
                <w:highlight w:val="none"/>
                <w:lang w:eastAsia="zh-CN"/>
              </w:rPr>
            </w:pPr>
            <w:r>
              <w:rPr>
                <w:rFonts w:hint="eastAsia" w:ascii="宋体" w:hAnsi="宋体" w:eastAsiaTheme="minorEastAsia"/>
                <w:bCs/>
                <w:color w:val="auto"/>
                <w:sz w:val="24"/>
                <w:highlight w:val="none"/>
                <w:lang w:eastAsia="zh-CN"/>
              </w:rPr>
              <w:t>总监理工程师</w:t>
            </w:r>
          </w:p>
        </w:tc>
        <w:tc>
          <w:tcPr>
            <w:tcW w:w="7560" w:type="dxa"/>
            <w:gridSpan w:val="3"/>
            <w:tcBorders>
              <w:tl2br w:val="nil"/>
              <w:tr2bl w:val="nil"/>
            </w:tcBorders>
            <w:vAlign w:val="center"/>
          </w:tcPr>
          <w:p>
            <w:pPr>
              <w:jc w:val="both"/>
              <w:rPr>
                <w:rFonts w:ascii="宋体" w:hAnsi="宋体"/>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980" w:type="dxa"/>
            <w:tcBorders>
              <w:tl2br w:val="nil"/>
              <w:tr2bl w:val="nil"/>
            </w:tcBorders>
            <w:vAlign w:val="center"/>
          </w:tcPr>
          <w:p>
            <w:pPr>
              <w:rPr>
                <w:rFonts w:ascii="宋体" w:hAnsi="宋体"/>
                <w:bCs/>
                <w:color w:val="auto"/>
                <w:sz w:val="24"/>
                <w:highlight w:val="none"/>
              </w:rPr>
            </w:pPr>
            <w:r>
              <w:rPr>
                <w:rFonts w:hint="eastAsia" w:ascii="宋体" w:hAnsi="宋体"/>
                <w:bCs/>
                <w:color w:val="auto"/>
                <w:sz w:val="24"/>
                <w:highlight w:val="none"/>
                <w:lang w:eastAsia="zh-CN"/>
              </w:rPr>
              <w:t>成 交</w:t>
            </w:r>
            <w:r>
              <w:rPr>
                <w:rFonts w:hint="eastAsia" w:ascii="宋体" w:hAnsi="宋体"/>
                <w:bCs/>
                <w:color w:val="auto"/>
                <w:sz w:val="24"/>
                <w:highlight w:val="none"/>
              </w:rPr>
              <w:t xml:space="preserve"> 价 格</w:t>
            </w:r>
          </w:p>
        </w:tc>
        <w:tc>
          <w:tcPr>
            <w:tcW w:w="7560" w:type="dxa"/>
            <w:gridSpan w:val="3"/>
            <w:tcBorders>
              <w:tl2br w:val="nil"/>
              <w:tr2bl w:val="nil"/>
            </w:tcBorders>
            <w:vAlign w:val="center"/>
          </w:tcPr>
          <w:p>
            <w:pPr>
              <w:rPr>
                <w:rFonts w:hint="eastAsia" w:ascii="宋体" w:hAnsi="宋体" w:eastAsia="宋体"/>
                <w:bCs/>
                <w:color w:val="auto"/>
                <w:sz w:val="24"/>
                <w:highlight w:val="none"/>
                <w:lang w:eastAsia="zh-CN"/>
              </w:rPr>
            </w:pPr>
            <w:r>
              <w:rPr>
                <w:rFonts w:hint="eastAsia" w:ascii="宋体" w:hAnsi="宋体"/>
                <w:bCs/>
                <w:color w:val="auto"/>
                <w:sz w:val="24"/>
                <w:highlight w:val="none"/>
              </w:rPr>
              <w:t>人民币：</w:t>
            </w:r>
            <w:r>
              <w:rPr>
                <w:rFonts w:hint="eastAsia" w:ascii="宋体" w:hAnsi="宋体"/>
                <w:bCs/>
                <w:color w:val="auto"/>
                <w:sz w:val="24"/>
                <w:highlight w:val="none"/>
                <w:u w:val="single"/>
                <w:lang w:eastAsia="zh-CN"/>
              </w:rPr>
              <w:t xml:space="preserve">             </w:t>
            </w:r>
            <w:r>
              <w:rPr>
                <w:rFonts w:hint="eastAsia" w:ascii="宋体" w:hAnsi="宋体"/>
                <w:bCs/>
                <w:color w:val="auto"/>
                <w:sz w:val="24"/>
                <w:highlight w:val="none"/>
                <w:lang w:eastAsia="zh-CN"/>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980" w:type="dxa"/>
            <w:tcBorders>
              <w:tl2br w:val="nil"/>
              <w:tr2bl w:val="nil"/>
            </w:tcBorders>
            <w:vAlign w:val="center"/>
          </w:tcPr>
          <w:p>
            <w:pPr>
              <w:spacing w:line="360" w:lineRule="exact"/>
              <w:rPr>
                <w:rFonts w:hint="eastAsia" w:ascii="宋体" w:hAnsi="宋体" w:eastAsia="宋体"/>
                <w:bCs/>
                <w:color w:val="auto"/>
                <w:sz w:val="24"/>
                <w:highlight w:val="none"/>
                <w:lang w:eastAsia="zh-CN"/>
              </w:rPr>
            </w:pPr>
            <w:r>
              <w:rPr>
                <w:rFonts w:hint="eastAsia" w:ascii="宋体" w:hAnsi="宋体"/>
                <w:bCs/>
                <w:color w:val="auto"/>
                <w:sz w:val="24"/>
                <w:highlight w:val="none"/>
                <w:lang w:eastAsia="zh-CN"/>
              </w:rPr>
              <w:t>计划工期</w:t>
            </w:r>
          </w:p>
        </w:tc>
        <w:tc>
          <w:tcPr>
            <w:tcW w:w="7560" w:type="dxa"/>
            <w:gridSpan w:val="3"/>
            <w:tcBorders>
              <w:tl2br w:val="nil"/>
              <w:tr2bl w:val="nil"/>
            </w:tcBorders>
            <w:vAlign w:val="center"/>
          </w:tcPr>
          <w:p>
            <w:pPr>
              <w:rPr>
                <w:rFonts w:hint="eastAsia" w:ascii="宋体" w:hAnsi="宋体" w:eastAsia="宋体"/>
                <w:bCs/>
                <w:color w:val="auto"/>
                <w:sz w:val="24"/>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980" w:type="dxa"/>
            <w:tcBorders>
              <w:tl2br w:val="nil"/>
              <w:tr2bl w:val="nil"/>
            </w:tcBorders>
            <w:vAlign w:val="center"/>
          </w:tcPr>
          <w:p>
            <w:pPr>
              <w:rPr>
                <w:rFonts w:hint="eastAsia" w:ascii="宋体" w:hAnsi="宋体" w:eastAsia="宋体"/>
                <w:bCs/>
                <w:color w:val="auto"/>
                <w:sz w:val="24"/>
                <w:highlight w:val="none"/>
                <w:lang w:eastAsia="zh-CN"/>
              </w:rPr>
            </w:pPr>
            <w:r>
              <w:rPr>
                <w:rFonts w:hint="eastAsia" w:ascii="宋体" w:hAnsi="宋体"/>
                <w:bCs/>
                <w:color w:val="auto"/>
                <w:sz w:val="24"/>
                <w:highlight w:val="none"/>
              </w:rPr>
              <w:t xml:space="preserve">质 量 </w:t>
            </w:r>
            <w:r>
              <w:rPr>
                <w:rFonts w:hint="eastAsia" w:ascii="宋体" w:hAnsi="宋体"/>
                <w:bCs/>
                <w:color w:val="auto"/>
                <w:sz w:val="24"/>
                <w:highlight w:val="none"/>
                <w:lang w:eastAsia="zh-CN"/>
              </w:rPr>
              <w:t>目 标</w:t>
            </w:r>
          </w:p>
        </w:tc>
        <w:tc>
          <w:tcPr>
            <w:tcW w:w="7560" w:type="dxa"/>
            <w:gridSpan w:val="3"/>
            <w:tcBorders>
              <w:tl2br w:val="nil"/>
              <w:tr2bl w:val="nil"/>
            </w:tcBorders>
            <w:vAlign w:val="center"/>
          </w:tcPr>
          <w:p>
            <w:pPr>
              <w:rPr>
                <w:rFonts w:hint="eastAsia" w:ascii="宋体" w:hAnsi="宋体" w:eastAsia="宋体"/>
                <w:bCs/>
                <w:color w:val="auto"/>
                <w:sz w:val="24"/>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980" w:type="dxa"/>
            <w:tcBorders>
              <w:tl2br w:val="nil"/>
              <w:tr2bl w:val="nil"/>
            </w:tcBorders>
            <w:vAlign w:val="center"/>
          </w:tcPr>
          <w:p>
            <w:pPr>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lang w:eastAsia="zh-CN"/>
              </w:rPr>
              <w:t>成 交 范 围</w:t>
            </w:r>
          </w:p>
        </w:tc>
        <w:tc>
          <w:tcPr>
            <w:tcW w:w="7560" w:type="dxa"/>
            <w:gridSpan w:val="3"/>
            <w:tcBorders>
              <w:tl2br w:val="nil"/>
              <w:tr2bl w:val="nil"/>
            </w:tcBorders>
            <w:vAlign w:val="center"/>
          </w:tcPr>
          <w:p>
            <w:pPr>
              <w:rPr>
                <w:rFonts w:ascii="宋体" w:hAnsi="宋体"/>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9540" w:type="dxa"/>
            <w:gridSpan w:val="4"/>
            <w:tcBorders>
              <w:tl2br w:val="nil"/>
              <w:tr2bl w:val="nil"/>
            </w:tcBorders>
            <w:vAlign w:val="center"/>
          </w:tcPr>
          <w:p>
            <w:pPr>
              <w:spacing w:line="360" w:lineRule="exact"/>
              <w:ind w:firstLine="437"/>
              <w:rPr>
                <w:rFonts w:ascii="宋体" w:hAnsi="宋体"/>
                <w:bCs/>
                <w:color w:val="auto"/>
                <w:sz w:val="24"/>
                <w:highlight w:val="none"/>
                <w:lang w:eastAsia="zh-CN"/>
              </w:rPr>
            </w:pPr>
            <w:r>
              <w:rPr>
                <w:rFonts w:hint="eastAsia" w:ascii="宋体" w:hAnsi="宋体"/>
                <w:bCs/>
                <w:color w:val="auto"/>
                <w:sz w:val="24"/>
                <w:highlight w:val="none"/>
                <w:lang w:eastAsia="zh-CN"/>
              </w:rPr>
              <w:t>请成交单位收到《成交通知书》后，30日内与采购单位签订合同。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88" w:hRule="atLeast"/>
          <w:jc w:val="center"/>
        </w:trPr>
        <w:tc>
          <w:tcPr>
            <w:tcW w:w="5040" w:type="dxa"/>
            <w:gridSpan w:val="2"/>
            <w:tcBorders>
              <w:tl2br w:val="nil"/>
              <w:tr2bl w:val="nil"/>
            </w:tcBorders>
            <w:vAlign w:val="center"/>
          </w:tcPr>
          <w:p>
            <w:pPr>
              <w:jc w:val="both"/>
              <w:rPr>
                <w:rFonts w:ascii="宋体" w:hAnsi="宋体"/>
                <w:bCs/>
                <w:color w:val="auto"/>
                <w:sz w:val="24"/>
                <w:highlight w:val="none"/>
                <w:lang w:eastAsia="zh-CN"/>
              </w:rPr>
            </w:pPr>
            <w:r>
              <w:rPr>
                <w:rFonts w:hint="eastAsia" w:ascii="宋体" w:hAnsi="宋体"/>
                <w:bCs/>
                <w:color w:val="auto"/>
                <w:sz w:val="24"/>
                <w:highlight w:val="none"/>
                <w:lang w:eastAsia="zh-CN"/>
              </w:rPr>
              <w:t>采购人（章）</w:t>
            </w:r>
          </w:p>
          <w:p>
            <w:pPr>
              <w:jc w:val="both"/>
              <w:rPr>
                <w:rFonts w:ascii="宋体" w:hAnsi="宋体"/>
                <w:bCs/>
                <w:color w:val="auto"/>
                <w:sz w:val="24"/>
                <w:highlight w:val="none"/>
                <w:lang w:eastAsia="zh-CN"/>
              </w:rPr>
            </w:pPr>
          </w:p>
          <w:p>
            <w:pPr>
              <w:jc w:val="both"/>
              <w:rPr>
                <w:rFonts w:ascii="宋体" w:hAnsi="宋体"/>
                <w:bCs/>
                <w:color w:val="auto"/>
                <w:sz w:val="24"/>
                <w:highlight w:val="none"/>
                <w:lang w:eastAsia="zh-CN"/>
              </w:rPr>
            </w:pPr>
          </w:p>
          <w:p>
            <w:pPr>
              <w:jc w:val="both"/>
              <w:rPr>
                <w:rFonts w:ascii="宋体" w:hAnsi="宋体"/>
                <w:bCs/>
                <w:color w:val="auto"/>
                <w:sz w:val="24"/>
                <w:highlight w:val="none"/>
                <w:lang w:eastAsia="zh-CN"/>
              </w:rPr>
            </w:pPr>
          </w:p>
          <w:p>
            <w:pPr>
              <w:jc w:val="both"/>
              <w:rPr>
                <w:rFonts w:ascii="宋体" w:hAnsi="宋体"/>
                <w:bCs/>
                <w:color w:val="auto"/>
                <w:sz w:val="24"/>
                <w:highlight w:val="none"/>
                <w:lang w:eastAsia="zh-CN"/>
              </w:rPr>
            </w:pPr>
            <w:r>
              <w:rPr>
                <w:rFonts w:hint="eastAsia" w:ascii="宋体" w:hAnsi="宋体"/>
                <w:bCs/>
                <w:color w:val="auto"/>
                <w:sz w:val="24"/>
                <w:highlight w:val="none"/>
                <w:lang w:eastAsia="zh-CN"/>
              </w:rPr>
              <w:t>法人代表（签字或盖章）</w:t>
            </w:r>
          </w:p>
          <w:p>
            <w:pPr>
              <w:jc w:val="both"/>
              <w:rPr>
                <w:rFonts w:ascii="宋体" w:hAnsi="宋体"/>
                <w:bCs/>
                <w:color w:val="auto"/>
                <w:sz w:val="24"/>
                <w:highlight w:val="none"/>
                <w:lang w:eastAsia="zh-CN"/>
              </w:rPr>
            </w:pPr>
          </w:p>
          <w:p>
            <w:pPr>
              <w:ind w:firstLine="1440" w:firstLineChars="600"/>
              <w:rPr>
                <w:rFonts w:ascii="宋体" w:hAnsi="宋体"/>
                <w:bCs/>
                <w:color w:val="auto"/>
                <w:sz w:val="24"/>
                <w:highlight w:val="none"/>
              </w:rPr>
            </w:pPr>
            <w:r>
              <w:rPr>
                <w:rFonts w:hint="eastAsia" w:ascii="宋体" w:hAnsi="宋体"/>
                <w:bCs/>
                <w:color w:val="auto"/>
                <w:sz w:val="24"/>
                <w:highlight w:val="none"/>
              </w:rPr>
              <w:t>年  月  日</w:t>
            </w:r>
          </w:p>
        </w:tc>
        <w:tc>
          <w:tcPr>
            <w:tcW w:w="4500" w:type="dxa"/>
            <w:gridSpan w:val="2"/>
            <w:tcBorders>
              <w:tl2br w:val="nil"/>
              <w:tr2bl w:val="nil"/>
            </w:tcBorders>
            <w:vAlign w:val="center"/>
          </w:tcPr>
          <w:p>
            <w:pPr>
              <w:jc w:val="both"/>
              <w:rPr>
                <w:rFonts w:ascii="宋体" w:hAnsi="宋体"/>
                <w:bCs/>
                <w:color w:val="auto"/>
                <w:sz w:val="24"/>
                <w:highlight w:val="none"/>
                <w:lang w:eastAsia="zh-CN"/>
              </w:rPr>
            </w:pPr>
            <w:r>
              <w:rPr>
                <w:rFonts w:hint="eastAsia" w:ascii="宋体" w:hAnsi="宋体"/>
                <w:bCs/>
                <w:color w:val="auto"/>
                <w:sz w:val="24"/>
                <w:highlight w:val="none"/>
                <w:lang w:eastAsia="zh-CN"/>
              </w:rPr>
              <w:t>采购代理机构（章）</w:t>
            </w:r>
          </w:p>
          <w:p>
            <w:pPr>
              <w:jc w:val="both"/>
              <w:rPr>
                <w:rFonts w:ascii="宋体" w:hAnsi="宋体"/>
                <w:bCs/>
                <w:color w:val="auto"/>
                <w:sz w:val="24"/>
                <w:highlight w:val="none"/>
                <w:lang w:eastAsia="zh-CN"/>
              </w:rPr>
            </w:pPr>
          </w:p>
          <w:p>
            <w:pPr>
              <w:jc w:val="both"/>
              <w:rPr>
                <w:rFonts w:ascii="宋体" w:hAnsi="宋体"/>
                <w:bCs/>
                <w:color w:val="auto"/>
                <w:sz w:val="24"/>
                <w:highlight w:val="none"/>
                <w:lang w:eastAsia="zh-CN"/>
              </w:rPr>
            </w:pPr>
          </w:p>
          <w:p>
            <w:pPr>
              <w:jc w:val="both"/>
              <w:rPr>
                <w:rFonts w:ascii="宋体" w:hAnsi="宋体"/>
                <w:bCs/>
                <w:color w:val="auto"/>
                <w:sz w:val="24"/>
                <w:highlight w:val="none"/>
                <w:lang w:eastAsia="zh-CN"/>
              </w:rPr>
            </w:pPr>
          </w:p>
          <w:p>
            <w:pPr>
              <w:jc w:val="both"/>
              <w:rPr>
                <w:rFonts w:ascii="宋体" w:hAnsi="宋体"/>
                <w:bCs/>
                <w:color w:val="auto"/>
                <w:sz w:val="24"/>
                <w:highlight w:val="none"/>
                <w:lang w:eastAsia="zh-CN"/>
              </w:rPr>
            </w:pPr>
            <w:r>
              <w:rPr>
                <w:rFonts w:hint="eastAsia" w:ascii="宋体" w:hAnsi="宋体"/>
                <w:bCs/>
                <w:color w:val="auto"/>
                <w:sz w:val="24"/>
                <w:highlight w:val="none"/>
                <w:lang w:eastAsia="zh-CN"/>
              </w:rPr>
              <w:t>法人代表（签字或盖章）</w:t>
            </w:r>
          </w:p>
          <w:p>
            <w:pPr>
              <w:ind w:firstLine="1200" w:firstLineChars="500"/>
              <w:rPr>
                <w:rFonts w:ascii="宋体" w:hAnsi="宋体"/>
                <w:bCs/>
                <w:color w:val="auto"/>
                <w:sz w:val="24"/>
                <w:highlight w:val="none"/>
                <w:lang w:eastAsia="zh-CN"/>
              </w:rPr>
            </w:pPr>
            <w:r>
              <w:rPr>
                <w:rFonts w:hint="eastAsia" w:ascii="宋体" w:hAnsi="宋体"/>
                <w:bCs/>
                <w:color w:val="auto"/>
                <w:sz w:val="24"/>
                <w:highlight w:val="none"/>
                <w:lang w:eastAsia="zh-CN"/>
              </w:rPr>
              <w:t xml:space="preserve"> </w:t>
            </w:r>
          </w:p>
          <w:p>
            <w:pPr>
              <w:wordWrap w:val="0"/>
              <w:ind w:firstLine="360" w:firstLineChars="150"/>
              <w:jc w:val="right"/>
              <w:rPr>
                <w:rFonts w:ascii="宋体" w:hAnsi="宋体"/>
                <w:bCs/>
                <w:color w:val="auto"/>
                <w:sz w:val="24"/>
                <w:highlight w:val="none"/>
              </w:rPr>
            </w:pPr>
            <w:r>
              <w:rPr>
                <w:rFonts w:hint="eastAsia" w:ascii="宋体" w:hAnsi="宋体"/>
                <w:bCs/>
                <w:color w:val="auto"/>
                <w:sz w:val="24"/>
                <w:highlight w:val="none"/>
                <w:lang w:eastAsia="zh-CN"/>
              </w:rPr>
              <w:t xml:space="preserve"> </w:t>
            </w:r>
            <w:r>
              <w:rPr>
                <w:rFonts w:hint="eastAsia" w:ascii="宋体" w:hAnsi="宋体"/>
                <w:bCs/>
                <w:color w:val="auto"/>
                <w:sz w:val="24"/>
                <w:highlight w:val="none"/>
              </w:rPr>
              <w:t xml:space="preserve">年  月  日  </w:t>
            </w:r>
          </w:p>
          <w:p>
            <w:pPr>
              <w:wordWrap w:val="0"/>
              <w:jc w:val="right"/>
              <w:rPr>
                <w:rFonts w:ascii="宋体" w:hAnsi="宋体"/>
                <w:bCs/>
                <w:color w:val="auto"/>
                <w:sz w:val="24"/>
                <w:highlight w:val="none"/>
              </w:rPr>
            </w:pPr>
            <w:r>
              <w:rPr>
                <w:rFonts w:hint="eastAsia" w:ascii="宋体" w:hAnsi="宋体"/>
                <w:bCs/>
                <w:color w:val="auto"/>
                <w:sz w:val="24"/>
                <w:highlight w:val="none"/>
              </w:rPr>
              <w:t xml:space="preserve"> </w:t>
            </w:r>
          </w:p>
        </w:tc>
      </w:tr>
    </w:tbl>
    <w:p>
      <w:pPr>
        <w:spacing w:line="360" w:lineRule="auto"/>
        <w:rPr>
          <w:rFonts w:ascii="宋体" w:hAnsi="宋体" w:cs="宋体"/>
          <w:color w:val="auto"/>
          <w:highlight w:val="none"/>
          <w:lang w:val="zh-CN"/>
        </w:rPr>
      </w:pPr>
    </w:p>
    <w:p>
      <w:pPr>
        <w:pStyle w:val="45"/>
        <w:spacing w:before="48" w:after="48"/>
        <w:ind w:firstLine="420"/>
        <w:rPr>
          <w:rFonts w:hint="eastAsia" w:ascii="宋体" w:hAnsi="宋体"/>
          <w:color w:val="auto"/>
          <w:highlight w:val="none"/>
          <w:lang w:eastAsia="zh-CN"/>
        </w:rPr>
      </w:pPr>
      <w:bookmarkStart w:id="71" w:name="_Toc222232385"/>
      <w:r>
        <w:rPr>
          <w:rFonts w:hint="eastAsia" w:ascii="宋体" w:hAnsi="宋体"/>
          <w:color w:val="auto"/>
          <w:sz w:val="21"/>
          <w:szCs w:val="21"/>
          <w:highlight w:val="none"/>
          <w:lang w:val="zh-CN"/>
        </w:rPr>
        <w:br w:type="page"/>
      </w:r>
      <w:bookmarkEnd w:id="71"/>
    </w:p>
    <w:p>
      <w:pPr>
        <w:pStyle w:val="2"/>
        <w:tabs>
          <w:tab w:val="left" w:pos="6377"/>
        </w:tabs>
        <w:spacing w:before="65" w:line="228" w:lineRule="auto"/>
        <w:ind w:left="5746" w:firstLine="480"/>
        <w:rPr>
          <w:rFonts w:hint="eastAsia"/>
          <w:color w:val="auto"/>
          <w:szCs w:val="24"/>
          <w:highlight w:val="none"/>
          <w:lang w:eastAsia="zh-CN"/>
        </w:rPr>
      </w:pPr>
    </w:p>
    <w:p>
      <w:pPr>
        <w:pStyle w:val="3"/>
        <w:bidi w:val="0"/>
        <w:rPr>
          <w:rFonts w:hint="eastAsia"/>
          <w:color w:val="auto"/>
          <w:highlight w:val="none"/>
          <w:lang w:eastAsia="zh-CN"/>
        </w:rPr>
      </w:pPr>
      <w:bookmarkStart w:id="72" w:name="_Toc13030"/>
      <w:r>
        <w:rPr>
          <w:color w:val="auto"/>
          <w:highlight w:val="none"/>
          <w:lang w:eastAsia="zh-CN"/>
        </w:rPr>
        <w:t>第三章评标办法</w:t>
      </w:r>
      <w:bookmarkEnd w:id="72"/>
    </w:p>
    <w:p>
      <w:pPr>
        <w:pStyle w:val="2"/>
        <w:spacing w:before="186" w:line="220" w:lineRule="auto"/>
        <w:ind w:firstLine="552"/>
        <w:outlineLvl w:val="1"/>
        <w:rPr>
          <w:rFonts w:hint="eastAsia"/>
          <w:color w:val="auto"/>
          <w:sz w:val="28"/>
          <w:szCs w:val="28"/>
          <w:highlight w:val="none"/>
          <w:lang w:eastAsia="zh-CN"/>
        </w:rPr>
      </w:pPr>
      <w:r>
        <w:rPr>
          <w:color w:val="auto"/>
          <w:spacing w:val="-4"/>
          <w:sz w:val="28"/>
          <w:szCs w:val="28"/>
          <w:highlight w:val="none"/>
          <w:lang w:eastAsia="zh-CN"/>
          <w14:textOutline w14:w="5105" w14:cap="sq" w14:cmpd="sng" w14:algn="ctr">
            <w14:solidFill>
              <w14:srgbClr w14:val="000000"/>
            </w14:solidFill>
            <w14:prstDash w14:val="solid"/>
            <w14:bevel/>
          </w14:textOutline>
        </w:rPr>
        <w:t>资格评审表</w:t>
      </w:r>
    </w:p>
    <w:p>
      <w:pPr>
        <w:spacing w:line="118" w:lineRule="exact"/>
        <w:rPr>
          <w:color w:val="auto"/>
          <w:highlight w:val="none"/>
          <w:lang w:eastAsia="zh-CN"/>
        </w:rPr>
      </w:pPr>
    </w:p>
    <w:tbl>
      <w:tblPr>
        <w:tblStyle w:val="47"/>
        <w:tblW w:w="9386" w:type="dxa"/>
        <w:tblInd w:w="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148"/>
        <w:gridCol w:w="1824"/>
        <w:gridCol w:w="56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93" w:type="dxa"/>
            <w:gridSpan w:val="2"/>
          </w:tcPr>
          <w:p>
            <w:pPr>
              <w:pStyle w:val="48"/>
              <w:spacing w:before="127" w:line="228" w:lineRule="auto"/>
              <w:ind w:left="639"/>
              <w:rPr>
                <w:rFonts w:hint="eastAsia"/>
                <w:color w:val="auto"/>
                <w:highlight w:val="none"/>
              </w:rPr>
            </w:pPr>
            <w:r>
              <w:rPr>
                <w:color w:val="auto"/>
                <w:spacing w:val="6"/>
                <w:highlight w:val="none"/>
              </w:rPr>
              <w:t>条款号</w:t>
            </w:r>
          </w:p>
        </w:tc>
        <w:tc>
          <w:tcPr>
            <w:tcW w:w="1824" w:type="dxa"/>
          </w:tcPr>
          <w:p>
            <w:pPr>
              <w:pStyle w:val="48"/>
              <w:spacing w:before="127" w:line="228" w:lineRule="auto"/>
              <w:ind w:left="496"/>
              <w:rPr>
                <w:rFonts w:hint="eastAsia"/>
                <w:color w:val="auto"/>
                <w:highlight w:val="none"/>
              </w:rPr>
            </w:pPr>
            <w:r>
              <w:rPr>
                <w:color w:val="auto"/>
                <w:spacing w:val="7"/>
                <w:highlight w:val="none"/>
              </w:rPr>
              <w:t>评审因素</w:t>
            </w:r>
          </w:p>
        </w:tc>
        <w:tc>
          <w:tcPr>
            <w:tcW w:w="5669" w:type="dxa"/>
          </w:tcPr>
          <w:p>
            <w:pPr>
              <w:pStyle w:val="48"/>
              <w:spacing w:before="128" w:line="228" w:lineRule="auto"/>
              <w:ind w:left="2226"/>
              <w:rPr>
                <w:rFonts w:hint="eastAsia"/>
                <w:color w:val="auto"/>
                <w:highlight w:val="none"/>
              </w:rPr>
            </w:pPr>
            <w:r>
              <w:rPr>
                <w:color w:val="auto"/>
                <w:spacing w:val="7"/>
                <w:highlight w:val="none"/>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5" w:type="dxa"/>
            <w:vMerge w:val="restart"/>
            <w:tcBorders>
              <w:bottom w:val="nil"/>
            </w:tcBorders>
          </w:tcPr>
          <w:p>
            <w:pPr>
              <w:spacing w:line="249" w:lineRule="auto"/>
              <w:rPr>
                <w:color w:val="auto"/>
                <w:sz w:val="24"/>
                <w:szCs w:val="24"/>
                <w:highlight w:val="none"/>
              </w:rPr>
            </w:pPr>
          </w:p>
          <w:p>
            <w:pPr>
              <w:spacing w:line="249" w:lineRule="auto"/>
              <w:rPr>
                <w:color w:val="auto"/>
                <w:sz w:val="24"/>
                <w:szCs w:val="24"/>
                <w:highlight w:val="none"/>
              </w:rPr>
            </w:pPr>
          </w:p>
          <w:p>
            <w:pPr>
              <w:spacing w:line="249" w:lineRule="auto"/>
              <w:rPr>
                <w:color w:val="auto"/>
                <w:sz w:val="24"/>
                <w:szCs w:val="24"/>
                <w:highlight w:val="none"/>
              </w:rPr>
            </w:pPr>
          </w:p>
          <w:p>
            <w:pPr>
              <w:spacing w:line="249" w:lineRule="auto"/>
              <w:rPr>
                <w:color w:val="auto"/>
                <w:sz w:val="24"/>
                <w:szCs w:val="24"/>
                <w:highlight w:val="none"/>
              </w:rPr>
            </w:pPr>
          </w:p>
          <w:p>
            <w:pPr>
              <w:spacing w:line="249" w:lineRule="auto"/>
              <w:rPr>
                <w:color w:val="auto"/>
                <w:sz w:val="24"/>
                <w:szCs w:val="24"/>
                <w:highlight w:val="none"/>
              </w:rPr>
            </w:pPr>
          </w:p>
          <w:p>
            <w:pPr>
              <w:spacing w:line="249" w:lineRule="auto"/>
              <w:rPr>
                <w:color w:val="auto"/>
                <w:sz w:val="24"/>
                <w:szCs w:val="24"/>
                <w:highlight w:val="none"/>
              </w:rPr>
            </w:pPr>
          </w:p>
          <w:p>
            <w:pPr>
              <w:spacing w:line="249" w:lineRule="auto"/>
              <w:rPr>
                <w:color w:val="auto"/>
                <w:sz w:val="24"/>
                <w:szCs w:val="24"/>
                <w:highlight w:val="none"/>
              </w:rPr>
            </w:pPr>
          </w:p>
          <w:p>
            <w:pPr>
              <w:spacing w:line="249" w:lineRule="auto"/>
              <w:rPr>
                <w:color w:val="auto"/>
                <w:sz w:val="24"/>
                <w:szCs w:val="24"/>
                <w:highlight w:val="none"/>
              </w:rPr>
            </w:pPr>
          </w:p>
          <w:p>
            <w:pPr>
              <w:spacing w:line="249" w:lineRule="auto"/>
              <w:rPr>
                <w:color w:val="auto"/>
                <w:sz w:val="24"/>
                <w:szCs w:val="24"/>
                <w:highlight w:val="none"/>
              </w:rPr>
            </w:pPr>
          </w:p>
          <w:p>
            <w:pPr>
              <w:spacing w:line="249" w:lineRule="auto"/>
              <w:rPr>
                <w:color w:val="auto"/>
                <w:sz w:val="24"/>
                <w:szCs w:val="24"/>
                <w:highlight w:val="none"/>
              </w:rPr>
            </w:pPr>
          </w:p>
          <w:p>
            <w:pPr>
              <w:spacing w:line="249" w:lineRule="auto"/>
              <w:rPr>
                <w:color w:val="auto"/>
                <w:sz w:val="24"/>
                <w:szCs w:val="24"/>
                <w:highlight w:val="none"/>
              </w:rPr>
            </w:pPr>
          </w:p>
          <w:p>
            <w:pPr>
              <w:spacing w:line="249" w:lineRule="auto"/>
              <w:rPr>
                <w:color w:val="auto"/>
                <w:sz w:val="24"/>
                <w:szCs w:val="24"/>
                <w:highlight w:val="none"/>
              </w:rPr>
            </w:pPr>
          </w:p>
          <w:p>
            <w:pPr>
              <w:spacing w:line="249" w:lineRule="auto"/>
              <w:rPr>
                <w:color w:val="auto"/>
                <w:sz w:val="24"/>
                <w:szCs w:val="24"/>
                <w:highlight w:val="none"/>
              </w:rPr>
            </w:pPr>
          </w:p>
          <w:p>
            <w:pPr>
              <w:spacing w:line="249" w:lineRule="auto"/>
              <w:rPr>
                <w:color w:val="auto"/>
                <w:sz w:val="24"/>
                <w:szCs w:val="24"/>
                <w:highlight w:val="none"/>
              </w:rPr>
            </w:pPr>
          </w:p>
          <w:p>
            <w:pPr>
              <w:spacing w:line="250" w:lineRule="auto"/>
              <w:rPr>
                <w:color w:val="auto"/>
                <w:sz w:val="24"/>
                <w:szCs w:val="24"/>
                <w:highlight w:val="none"/>
              </w:rPr>
            </w:pPr>
          </w:p>
          <w:p>
            <w:pPr>
              <w:spacing w:line="250" w:lineRule="auto"/>
              <w:rPr>
                <w:color w:val="auto"/>
                <w:sz w:val="24"/>
                <w:szCs w:val="24"/>
                <w:highlight w:val="none"/>
              </w:rPr>
            </w:pPr>
          </w:p>
          <w:p>
            <w:pPr>
              <w:spacing w:line="250" w:lineRule="auto"/>
              <w:rPr>
                <w:color w:val="auto"/>
                <w:sz w:val="24"/>
                <w:szCs w:val="24"/>
                <w:highlight w:val="none"/>
              </w:rPr>
            </w:pPr>
          </w:p>
          <w:p>
            <w:pPr>
              <w:pStyle w:val="48"/>
              <w:spacing w:before="65" w:line="190" w:lineRule="auto"/>
              <w:ind w:left="117"/>
              <w:rPr>
                <w:rFonts w:hint="eastAsia"/>
                <w:color w:val="auto"/>
                <w:highlight w:val="none"/>
                <w:lang w:eastAsia="zh-CN"/>
              </w:rPr>
            </w:pPr>
            <w:r>
              <w:rPr>
                <w:color w:val="auto"/>
                <w:spacing w:val="2"/>
                <w:highlight w:val="none"/>
              </w:rPr>
              <w:t>2.1.</w:t>
            </w:r>
            <w:r>
              <w:rPr>
                <w:rFonts w:hint="eastAsia"/>
                <w:color w:val="auto"/>
                <w:spacing w:val="2"/>
                <w:highlight w:val="none"/>
                <w:lang w:eastAsia="zh-CN"/>
              </w:rPr>
              <w:t>1</w:t>
            </w:r>
          </w:p>
        </w:tc>
        <w:tc>
          <w:tcPr>
            <w:tcW w:w="1148" w:type="dxa"/>
            <w:vMerge w:val="restart"/>
            <w:tcBorders>
              <w:bottom w:val="nil"/>
            </w:tcBorders>
          </w:tcPr>
          <w:p>
            <w:pPr>
              <w:spacing w:line="243" w:lineRule="auto"/>
              <w:rPr>
                <w:color w:val="auto"/>
                <w:sz w:val="24"/>
                <w:szCs w:val="24"/>
                <w:highlight w:val="none"/>
                <w:lang w:eastAsia="zh-CN"/>
              </w:rPr>
            </w:pPr>
          </w:p>
          <w:p>
            <w:pPr>
              <w:spacing w:line="243" w:lineRule="auto"/>
              <w:rPr>
                <w:color w:val="auto"/>
                <w:sz w:val="24"/>
                <w:szCs w:val="24"/>
                <w:highlight w:val="none"/>
                <w:lang w:eastAsia="zh-CN"/>
              </w:rPr>
            </w:pPr>
          </w:p>
          <w:p>
            <w:pPr>
              <w:spacing w:line="243" w:lineRule="auto"/>
              <w:rPr>
                <w:color w:val="auto"/>
                <w:sz w:val="24"/>
                <w:szCs w:val="24"/>
                <w:highlight w:val="none"/>
                <w:lang w:eastAsia="zh-CN"/>
              </w:rPr>
            </w:pPr>
          </w:p>
          <w:p>
            <w:pPr>
              <w:spacing w:line="243" w:lineRule="auto"/>
              <w:rPr>
                <w:color w:val="auto"/>
                <w:sz w:val="24"/>
                <w:szCs w:val="24"/>
                <w:highlight w:val="none"/>
                <w:lang w:eastAsia="zh-CN"/>
              </w:rPr>
            </w:pPr>
          </w:p>
          <w:p>
            <w:pPr>
              <w:spacing w:line="243" w:lineRule="auto"/>
              <w:rPr>
                <w:color w:val="auto"/>
                <w:sz w:val="24"/>
                <w:szCs w:val="24"/>
                <w:highlight w:val="none"/>
                <w:lang w:eastAsia="zh-CN"/>
              </w:rPr>
            </w:pPr>
          </w:p>
          <w:p>
            <w:pPr>
              <w:spacing w:line="243" w:lineRule="auto"/>
              <w:rPr>
                <w:color w:val="auto"/>
                <w:sz w:val="24"/>
                <w:szCs w:val="24"/>
                <w:highlight w:val="none"/>
                <w:lang w:eastAsia="zh-CN"/>
              </w:rPr>
            </w:pPr>
          </w:p>
          <w:p>
            <w:pPr>
              <w:spacing w:line="243" w:lineRule="auto"/>
              <w:rPr>
                <w:color w:val="auto"/>
                <w:sz w:val="24"/>
                <w:szCs w:val="24"/>
                <w:highlight w:val="none"/>
                <w:lang w:eastAsia="zh-CN"/>
              </w:rPr>
            </w:pPr>
          </w:p>
          <w:p>
            <w:pPr>
              <w:spacing w:line="243" w:lineRule="auto"/>
              <w:rPr>
                <w:color w:val="auto"/>
                <w:sz w:val="24"/>
                <w:szCs w:val="24"/>
                <w:highlight w:val="none"/>
                <w:lang w:eastAsia="zh-CN"/>
              </w:rPr>
            </w:pPr>
          </w:p>
          <w:p>
            <w:pPr>
              <w:spacing w:line="243" w:lineRule="auto"/>
              <w:rPr>
                <w:color w:val="auto"/>
                <w:sz w:val="24"/>
                <w:szCs w:val="24"/>
                <w:highlight w:val="none"/>
                <w:lang w:eastAsia="zh-CN"/>
              </w:rPr>
            </w:pPr>
          </w:p>
          <w:p>
            <w:pPr>
              <w:spacing w:line="243" w:lineRule="auto"/>
              <w:rPr>
                <w:color w:val="auto"/>
                <w:sz w:val="24"/>
                <w:szCs w:val="24"/>
                <w:highlight w:val="none"/>
                <w:lang w:eastAsia="zh-CN"/>
              </w:rPr>
            </w:pPr>
          </w:p>
          <w:p>
            <w:pPr>
              <w:spacing w:line="244" w:lineRule="auto"/>
              <w:rPr>
                <w:color w:val="auto"/>
                <w:sz w:val="24"/>
                <w:szCs w:val="24"/>
                <w:highlight w:val="none"/>
                <w:lang w:eastAsia="zh-CN"/>
              </w:rPr>
            </w:pPr>
          </w:p>
          <w:p>
            <w:pPr>
              <w:spacing w:line="244" w:lineRule="auto"/>
              <w:rPr>
                <w:color w:val="auto"/>
                <w:sz w:val="24"/>
                <w:szCs w:val="24"/>
                <w:highlight w:val="none"/>
                <w:lang w:eastAsia="zh-CN"/>
              </w:rPr>
            </w:pPr>
          </w:p>
          <w:p>
            <w:pPr>
              <w:spacing w:line="244" w:lineRule="auto"/>
              <w:rPr>
                <w:color w:val="auto"/>
                <w:sz w:val="24"/>
                <w:szCs w:val="24"/>
                <w:highlight w:val="none"/>
                <w:lang w:eastAsia="zh-CN"/>
              </w:rPr>
            </w:pPr>
          </w:p>
          <w:p>
            <w:pPr>
              <w:spacing w:line="244" w:lineRule="auto"/>
              <w:rPr>
                <w:color w:val="auto"/>
                <w:sz w:val="24"/>
                <w:szCs w:val="24"/>
                <w:highlight w:val="none"/>
                <w:lang w:eastAsia="zh-CN"/>
              </w:rPr>
            </w:pPr>
          </w:p>
          <w:p>
            <w:pPr>
              <w:spacing w:line="244" w:lineRule="auto"/>
              <w:rPr>
                <w:color w:val="auto"/>
                <w:sz w:val="24"/>
                <w:szCs w:val="24"/>
                <w:highlight w:val="none"/>
                <w:lang w:eastAsia="zh-CN"/>
              </w:rPr>
            </w:pPr>
          </w:p>
          <w:p>
            <w:pPr>
              <w:spacing w:line="244" w:lineRule="auto"/>
              <w:rPr>
                <w:color w:val="auto"/>
                <w:sz w:val="24"/>
                <w:szCs w:val="24"/>
                <w:highlight w:val="none"/>
                <w:lang w:eastAsia="zh-CN"/>
              </w:rPr>
            </w:pPr>
          </w:p>
          <w:p>
            <w:pPr>
              <w:pStyle w:val="48"/>
              <w:spacing w:before="65" w:line="258" w:lineRule="auto"/>
              <w:ind w:left="263" w:right="156" w:hanging="97"/>
              <w:rPr>
                <w:rFonts w:hint="eastAsia"/>
                <w:color w:val="auto"/>
                <w:highlight w:val="none"/>
                <w:lang w:eastAsia="zh-CN"/>
              </w:rPr>
            </w:pPr>
            <w:r>
              <w:rPr>
                <w:color w:val="auto"/>
                <w:spacing w:val="5"/>
                <w:highlight w:val="none"/>
                <w:lang w:eastAsia="zh-CN"/>
              </w:rPr>
              <w:t>资格评审</w:t>
            </w:r>
            <w:r>
              <w:rPr>
                <w:color w:val="auto"/>
                <w:highlight w:val="none"/>
                <w:lang w:eastAsia="zh-CN"/>
              </w:rPr>
              <w:t>标准</w:t>
            </w:r>
          </w:p>
        </w:tc>
        <w:tc>
          <w:tcPr>
            <w:tcW w:w="1824" w:type="dxa"/>
          </w:tcPr>
          <w:p>
            <w:pPr>
              <w:pStyle w:val="48"/>
              <w:spacing w:before="207" w:line="228" w:lineRule="auto"/>
              <w:ind w:left="119"/>
              <w:rPr>
                <w:rFonts w:hint="eastAsia"/>
                <w:color w:val="auto"/>
                <w:highlight w:val="none"/>
              </w:rPr>
            </w:pPr>
            <w:r>
              <w:rPr>
                <w:color w:val="auto"/>
                <w:spacing w:val="5"/>
                <w:highlight w:val="none"/>
              </w:rPr>
              <w:t>营业执照</w:t>
            </w:r>
          </w:p>
        </w:tc>
        <w:tc>
          <w:tcPr>
            <w:tcW w:w="5669" w:type="dxa"/>
          </w:tcPr>
          <w:p>
            <w:pPr>
              <w:pStyle w:val="48"/>
              <w:spacing w:before="52" w:line="227" w:lineRule="auto"/>
              <w:ind w:left="117"/>
              <w:rPr>
                <w:rFonts w:hint="eastAsia"/>
                <w:color w:val="auto"/>
                <w:highlight w:val="none"/>
                <w:lang w:eastAsia="zh-CN"/>
              </w:rPr>
            </w:pPr>
            <w:r>
              <w:rPr>
                <w:color w:val="auto"/>
                <w:spacing w:val="10"/>
                <w:highlight w:val="none"/>
                <w:lang w:eastAsia="zh-CN"/>
              </w:rPr>
              <w:t>具备有效的营业执照。</w:t>
            </w:r>
            <w:r>
              <w:rPr>
                <w:color w:val="auto"/>
                <w:spacing w:val="10"/>
                <w:highlight w:val="none"/>
                <w:lang w:eastAsia="zh-CN"/>
                <w14:textOutline w14:w="3797" w14:cap="sq" w14:cmpd="sng" w14:algn="ctr">
                  <w14:solidFill>
                    <w14:srgbClr w14:val="000000"/>
                  </w14:solidFill>
                  <w14:prstDash w14:val="solid"/>
                  <w14:bevel/>
                </w14:textOutline>
              </w:rPr>
              <w:t>（标书内提供营业执照扫描件加</w:t>
            </w:r>
            <w:r>
              <w:rPr>
                <w:color w:val="auto"/>
                <w:spacing w:val="5"/>
                <w:highlight w:val="none"/>
                <w:lang w:eastAsia="zh-CN"/>
                <w14:textOutline w14:w="3797" w14:cap="sq" w14:cmpd="sng" w14:algn="ctr">
                  <w14:solidFill>
                    <w14:srgbClr w14:val="000000"/>
                  </w14:solidFill>
                  <w14:prstDash w14:val="solid"/>
                  <w14:bevel/>
                </w14:textOutline>
              </w:rPr>
              <w:t>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5" w:type="dxa"/>
            <w:vMerge w:val="continue"/>
            <w:tcBorders>
              <w:top w:val="nil"/>
              <w:bottom w:val="nil"/>
            </w:tcBorders>
          </w:tcPr>
          <w:p>
            <w:pPr>
              <w:rPr>
                <w:color w:val="auto"/>
                <w:sz w:val="24"/>
                <w:szCs w:val="24"/>
                <w:highlight w:val="none"/>
                <w:lang w:eastAsia="zh-CN"/>
              </w:rPr>
            </w:pPr>
          </w:p>
        </w:tc>
        <w:tc>
          <w:tcPr>
            <w:tcW w:w="1148" w:type="dxa"/>
            <w:vMerge w:val="continue"/>
            <w:tcBorders>
              <w:top w:val="nil"/>
              <w:bottom w:val="nil"/>
            </w:tcBorders>
          </w:tcPr>
          <w:p>
            <w:pPr>
              <w:rPr>
                <w:color w:val="auto"/>
                <w:sz w:val="24"/>
                <w:szCs w:val="24"/>
                <w:highlight w:val="none"/>
                <w:lang w:eastAsia="zh-CN"/>
              </w:rPr>
            </w:pPr>
          </w:p>
        </w:tc>
        <w:tc>
          <w:tcPr>
            <w:tcW w:w="1824" w:type="dxa"/>
          </w:tcPr>
          <w:p>
            <w:pPr>
              <w:spacing w:line="296" w:lineRule="auto"/>
              <w:rPr>
                <w:color w:val="auto"/>
                <w:sz w:val="24"/>
                <w:szCs w:val="24"/>
                <w:highlight w:val="none"/>
                <w:lang w:eastAsia="zh-CN"/>
              </w:rPr>
            </w:pPr>
          </w:p>
          <w:p>
            <w:pPr>
              <w:pStyle w:val="48"/>
              <w:spacing w:before="65" w:line="228" w:lineRule="auto"/>
              <w:ind w:left="122"/>
              <w:rPr>
                <w:rFonts w:hint="eastAsia"/>
                <w:color w:val="auto"/>
                <w:highlight w:val="none"/>
              </w:rPr>
            </w:pPr>
            <w:r>
              <w:rPr>
                <w:color w:val="auto"/>
                <w:spacing w:val="5"/>
                <w:highlight w:val="none"/>
              </w:rPr>
              <w:t>资质等级</w:t>
            </w:r>
          </w:p>
        </w:tc>
        <w:tc>
          <w:tcPr>
            <w:tcW w:w="5669" w:type="dxa"/>
          </w:tcPr>
          <w:p>
            <w:pPr>
              <w:pStyle w:val="48"/>
              <w:ind w:left="57" w:right="57"/>
              <w:rPr>
                <w:rFonts w:hint="eastAsia"/>
                <w:color w:val="auto"/>
                <w:highlight w:val="none"/>
                <w:lang w:eastAsia="zh-CN"/>
              </w:rPr>
            </w:pPr>
            <w:r>
              <w:rPr>
                <w:color w:val="auto"/>
                <w:spacing w:val="10"/>
                <w:highlight w:val="none"/>
                <w:lang w:eastAsia="zh-CN"/>
              </w:rPr>
              <w:t>具备独立法人资格，</w:t>
            </w:r>
            <w:r>
              <w:rPr>
                <w:rFonts w:hint="eastAsia"/>
                <w:color w:val="auto"/>
                <w:highlight w:val="none"/>
                <w:lang w:eastAsia="zh-CN" w:bidi="ar"/>
              </w:rPr>
              <w:t>具有中华人民共和国住房和城乡建设部颁发的工程监理综合资质</w:t>
            </w:r>
            <w:r>
              <w:rPr>
                <w:color w:val="auto"/>
                <w:spacing w:val="10"/>
                <w:highlight w:val="none"/>
                <w:lang w:eastAsia="zh-CN"/>
                <w14:textOutline w14:w="3797" w14:cap="sq" w14:cmpd="sng" w14:algn="ctr">
                  <w14:solidFill>
                    <w14:srgbClr w14:val="000000"/>
                  </w14:solidFill>
                  <w14:prstDash w14:val="solid"/>
                  <w14:bevel/>
                </w14:textOutline>
              </w:rPr>
              <w:t>（标书内提供资质证书</w:t>
            </w:r>
            <w:r>
              <w:rPr>
                <w:color w:val="auto"/>
                <w:spacing w:val="8"/>
                <w:highlight w:val="none"/>
                <w:lang w:eastAsia="zh-CN"/>
                <w14:textOutline w14:w="3797" w14:cap="sq" w14:cmpd="sng" w14:algn="ctr">
                  <w14:solidFill>
                    <w14:srgbClr w14:val="000000"/>
                  </w14:solidFill>
                  <w14:prstDash w14:val="solid"/>
                  <w14:bevel/>
                </w14:textOutline>
              </w:rPr>
              <w:t>扫描件加盖公章）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5" w:type="dxa"/>
            <w:vMerge w:val="continue"/>
            <w:tcBorders>
              <w:top w:val="nil"/>
              <w:bottom w:val="nil"/>
            </w:tcBorders>
          </w:tcPr>
          <w:p>
            <w:pPr>
              <w:rPr>
                <w:color w:val="auto"/>
                <w:sz w:val="24"/>
                <w:szCs w:val="24"/>
                <w:highlight w:val="none"/>
                <w:lang w:eastAsia="zh-CN"/>
              </w:rPr>
            </w:pPr>
          </w:p>
        </w:tc>
        <w:tc>
          <w:tcPr>
            <w:tcW w:w="1148" w:type="dxa"/>
            <w:vMerge w:val="continue"/>
            <w:tcBorders>
              <w:top w:val="nil"/>
              <w:bottom w:val="nil"/>
            </w:tcBorders>
          </w:tcPr>
          <w:p>
            <w:pPr>
              <w:rPr>
                <w:color w:val="auto"/>
                <w:sz w:val="24"/>
                <w:szCs w:val="24"/>
                <w:highlight w:val="none"/>
                <w:lang w:eastAsia="zh-CN"/>
              </w:rPr>
            </w:pPr>
          </w:p>
        </w:tc>
        <w:tc>
          <w:tcPr>
            <w:tcW w:w="1824" w:type="dxa"/>
          </w:tcPr>
          <w:p>
            <w:pPr>
              <w:spacing w:line="297" w:lineRule="auto"/>
              <w:rPr>
                <w:color w:val="auto"/>
                <w:sz w:val="24"/>
                <w:szCs w:val="24"/>
                <w:highlight w:val="none"/>
                <w:lang w:eastAsia="zh-CN"/>
              </w:rPr>
            </w:pPr>
          </w:p>
          <w:p>
            <w:pPr>
              <w:pStyle w:val="48"/>
              <w:spacing w:before="65" w:line="226" w:lineRule="auto"/>
              <w:ind w:left="123"/>
              <w:rPr>
                <w:rFonts w:hint="eastAsia"/>
                <w:color w:val="auto"/>
                <w:highlight w:val="none"/>
              </w:rPr>
            </w:pPr>
            <w:r>
              <w:rPr>
                <w:rFonts w:hint="eastAsia"/>
                <w:color w:val="auto"/>
                <w:highlight w:val="none"/>
                <w:lang w:eastAsia="zh-CN"/>
              </w:rPr>
              <w:t>财务审计报告</w:t>
            </w:r>
          </w:p>
        </w:tc>
        <w:tc>
          <w:tcPr>
            <w:tcW w:w="5669" w:type="dxa"/>
          </w:tcPr>
          <w:p>
            <w:pPr>
              <w:pStyle w:val="48"/>
              <w:ind w:left="105" w:leftChars="50" w:right="105" w:rightChars="50"/>
              <w:rPr>
                <w:rFonts w:hint="eastAsia"/>
                <w:color w:val="auto"/>
                <w:spacing w:val="5"/>
                <w:highlight w:val="none"/>
                <w:lang w:eastAsia="zh-CN"/>
              </w:rPr>
            </w:pPr>
            <w:bookmarkStart w:id="73" w:name="OLE_LINK1"/>
            <w:r>
              <w:rPr>
                <w:rFonts w:hint="eastAsia"/>
                <w:color w:val="auto"/>
                <w:spacing w:val="5"/>
                <w:highlight w:val="none"/>
                <w:lang w:eastAsia="zh-CN"/>
              </w:rPr>
              <w:t>供应商具有良好的商业信誉和健全的财务会计制度提供2022年至2024年的财务审计报告或财务报表。</w:t>
            </w:r>
          </w:p>
          <w:p>
            <w:pPr>
              <w:pStyle w:val="48"/>
              <w:ind w:left="105" w:leftChars="50" w:right="105" w:rightChars="50"/>
              <w:rPr>
                <w:rFonts w:hint="eastAsia"/>
                <w:color w:val="auto"/>
                <w:highlight w:val="none"/>
                <w:lang w:eastAsia="zh-CN"/>
              </w:rPr>
            </w:pPr>
            <w:r>
              <w:rPr>
                <w:color w:val="auto"/>
                <w:spacing w:val="9"/>
                <w:highlight w:val="none"/>
                <w:lang w:eastAsia="zh-CN"/>
                <w14:textOutline w14:w="3797" w14:cap="sq" w14:cmpd="sng" w14:algn="ctr">
                  <w14:solidFill>
                    <w14:srgbClr w14:val="000000"/>
                  </w14:solidFill>
                  <w14:prstDash w14:val="solid"/>
                  <w14:bevel/>
                </w14:textOutline>
              </w:rPr>
              <w:t>（</w:t>
            </w:r>
            <w:r>
              <w:rPr>
                <w:rFonts w:hint="eastAsia"/>
                <w:color w:val="auto"/>
                <w:spacing w:val="9"/>
                <w:highlight w:val="none"/>
                <w:lang w:eastAsia="zh-CN"/>
                <w14:textOutline w14:w="3797" w14:cap="sq" w14:cmpd="sng" w14:algn="ctr">
                  <w14:solidFill>
                    <w14:srgbClr w14:val="000000"/>
                  </w14:solidFill>
                  <w14:prstDash w14:val="solid"/>
                  <w14:bevel/>
                </w14:textOutline>
              </w:rPr>
              <w:t>标书内</w:t>
            </w:r>
            <w:r>
              <w:rPr>
                <w:color w:val="auto"/>
                <w:spacing w:val="9"/>
                <w:highlight w:val="none"/>
                <w:lang w:eastAsia="zh-CN"/>
                <w14:textOutline w14:w="3797" w14:cap="sq" w14:cmpd="sng" w14:algn="ctr">
                  <w14:solidFill>
                    <w14:srgbClr w14:val="000000"/>
                  </w14:solidFill>
                  <w14:prstDash w14:val="solid"/>
                  <w14:bevel/>
                </w14:textOutline>
              </w:rPr>
              <w:t>加盖</w:t>
            </w:r>
            <w:r>
              <w:rPr>
                <w:rFonts w:hint="eastAsia"/>
                <w:color w:val="auto"/>
                <w:spacing w:val="9"/>
                <w:highlight w:val="none"/>
                <w:lang w:eastAsia="zh-CN"/>
                <w14:textOutline w14:w="3797" w14:cap="sq" w14:cmpd="sng" w14:algn="ctr">
                  <w14:solidFill>
                    <w14:srgbClr w14:val="000000"/>
                  </w14:solidFill>
                  <w14:prstDash w14:val="solid"/>
                  <w14:bevel/>
                </w14:textOutline>
              </w:rPr>
              <w:t>供应商</w:t>
            </w:r>
            <w:r>
              <w:rPr>
                <w:color w:val="auto"/>
                <w:spacing w:val="9"/>
                <w:highlight w:val="none"/>
                <w:lang w:eastAsia="zh-CN"/>
                <w14:textOutline w14:w="3797" w14:cap="sq" w14:cmpd="sng" w14:algn="ctr">
                  <w14:solidFill>
                    <w14:srgbClr w14:val="000000"/>
                  </w14:solidFill>
                  <w14:prstDash w14:val="solid"/>
                  <w14:bevel/>
                </w14:textOutline>
              </w:rPr>
              <w:t>公章）</w:t>
            </w:r>
            <w:bookmarkEnd w:id="73"/>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5" w:type="dxa"/>
            <w:vMerge w:val="continue"/>
            <w:tcBorders>
              <w:top w:val="nil"/>
              <w:bottom w:val="nil"/>
            </w:tcBorders>
          </w:tcPr>
          <w:p>
            <w:pPr>
              <w:rPr>
                <w:color w:val="auto"/>
                <w:sz w:val="24"/>
                <w:szCs w:val="24"/>
                <w:highlight w:val="none"/>
                <w:lang w:eastAsia="zh-CN"/>
              </w:rPr>
            </w:pPr>
          </w:p>
        </w:tc>
        <w:tc>
          <w:tcPr>
            <w:tcW w:w="1148" w:type="dxa"/>
            <w:vMerge w:val="continue"/>
            <w:tcBorders>
              <w:top w:val="nil"/>
              <w:bottom w:val="nil"/>
            </w:tcBorders>
          </w:tcPr>
          <w:p>
            <w:pPr>
              <w:rPr>
                <w:color w:val="auto"/>
                <w:sz w:val="24"/>
                <w:szCs w:val="24"/>
                <w:highlight w:val="none"/>
                <w:lang w:eastAsia="zh-CN"/>
              </w:rPr>
            </w:pPr>
          </w:p>
        </w:tc>
        <w:tc>
          <w:tcPr>
            <w:tcW w:w="1824" w:type="dxa"/>
          </w:tcPr>
          <w:p>
            <w:pPr>
              <w:pStyle w:val="48"/>
              <w:spacing w:before="65" w:line="226" w:lineRule="auto"/>
              <w:ind w:left="123"/>
              <w:rPr>
                <w:rFonts w:hint="eastAsia"/>
                <w:color w:val="auto"/>
                <w:highlight w:val="none"/>
                <w:lang w:eastAsia="zh-CN"/>
              </w:rPr>
            </w:pPr>
            <w:r>
              <w:rPr>
                <w:rFonts w:hint="eastAsia"/>
                <w:color w:val="auto"/>
                <w:spacing w:val="5"/>
                <w:highlight w:val="none"/>
                <w:lang w:eastAsia="zh-CN"/>
              </w:rPr>
              <w:t>依法缴纳税收和社会保障资金证明</w:t>
            </w:r>
          </w:p>
        </w:tc>
        <w:tc>
          <w:tcPr>
            <w:tcW w:w="5669" w:type="dxa"/>
          </w:tcPr>
          <w:p>
            <w:pPr>
              <w:pStyle w:val="48"/>
              <w:ind w:left="105" w:leftChars="50" w:right="105" w:rightChars="50"/>
              <w:rPr>
                <w:rFonts w:hint="eastAsia"/>
                <w:color w:val="auto"/>
                <w:spacing w:val="5"/>
                <w:highlight w:val="none"/>
                <w:lang w:eastAsia="zh-CN"/>
              </w:rPr>
            </w:pPr>
            <w:r>
              <w:rPr>
                <w:rFonts w:hint="eastAsia"/>
                <w:color w:val="auto"/>
                <w:spacing w:val="5"/>
                <w:highlight w:val="none"/>
                <w:lang w:eastAsia="zh-CN"/>
              </w:rPr>
              <w:t>供应商依法缴纳税收和社会保障资金的良好记录，提供2024年1月1日至今任意一个月的纳税证明和社会保障资金证明。</w:t>
            </w:r>
          </w:p>
          <w:p>
            <w:pPr>
              <w:pStyle w:val="48"/>
              <w:spacing w:before="67" w:line="226" w:lineRule="auto"/>
              <w:ind w:left="123"/>
              <w:rPr>
                <w:rFonts w:hint="eastAsia"/>
                <w:color w:val="auto"/>
                <w:spacing w:val="9"/>
                <w:highlight w:val="none"/>
                <w:lang w:eastAsia="zh-CN"/>
                <w14:textOutline w14:w="3797" w14:cap="sq" w14:cmpd="sng" w14:algn="ctr">
                  <w14:solidFill>
                    <w14:srgbClr w14:val="000000"/>
                  </w14:solidFill>
                  <w14:prstDash w14:val="solid"/>
                  <w14:bevel/>
                </w14:textOutline>
              </w:rPr>
            </w:pPr>
            <w:r>
              <w:rPr>
                <w:color w:val="auto"/>
                <w:spacing w:val="9"/>
                <w:highlight w:val="none"/>
                <w:lang w:eastAsia="zh-CN"/>
                <w14:textOutline w14:w="3797" w14:cap="sq" w14:cmpd="sng" w14:algn="ctr">
                  <w14:solidFill>
                    <w14:srgbClr w14:val="000000"/>
                  </w14:solidFill>
                  <w14:prstDash w14:val="solid"/>
                  <w14:bevel/>
                </w14:textOutline>
              </w:rPr>
              <w:t>（</w:t>
            </w:r>
            <w:r>
              <w:rPr>
                <w:rFonts w:hint="eastAsia"/>
                <w:color w:val="auto"/>
                <w:spacing w:val="9"/>
                <w:highlight w:val="none"/>
                <w:lang w:eastAsia="zh-CN"/>
                <w14:textOutline w14:w="3797" w14:cap="sq" w14:cmpd="sng" w14:algn="ctr">
                  <w14:solidFill>
                    <w14:srgbClr w14:val="000000"/>
                  </w14:solidFill>
                  <w14:prstDash w14:val="solid"/>
                  <w14:bevel/>
                </w14:textOutline>
              </w:rPr>
              <w:t>标书内</w:t>
            </w:r>
            <w:r>
              <w:rPr>
                <w:color w:val="auto"/>
                <w:spacing w:val="9"/>
                <w:highlight w:val="none"/>
                <w:lang w:eastAsia="zh-CN"/>
                <w14:textOutline w14:w="3797" w14:cap="sq" w14:cmpd="sng" w14:algn="ctr">
                  <w14:solidFill>
                    <w14:srgbClr w14:val="000000"/>
                  </w14:solidFill>
                  <w14:prstDash w14:val="solid"/>
                  <w14:bevel/>
                </w14:textOutline>
              </w:rPr>
              <w:t>加盖</w:t>
            </w:r>
            <w:r>
              <w:rPr>
                <w:rFonts w:hint="eastAsia"/>
                <w:color w:val="auto"/>
                <w:spacing w:val="9"/>
                <w:highlight w:val="none"/>
                <w:lang w:eastAsia="zh-CN"/>
                <w14:textOutline w14:w="3797" w14:cap="sq" w14:cmpd="sng" w14:algn="ctr">
                  <w14:solidFill>
                    <w14:srgbClr w14:val="000000"/>
                  </w14:solidFill>
                  <w14:prstDash w14:val="solid"/>
                  <w14:bevel/>
                </w14:textOutline>
              </w:rPr>
              <w:t>供应商</w:t>
            </w:r>
            <w:r>
              <w:rPr>
                <w:color w:val="auto"/>
                <w:spacing w:val="9"/>
                <w:highlight w:val="none"/>
                <w:lang w:eastAsia="zh-CN"/>
                <w14:textOutline w14:w="3797" w14:cap="sq" w14:cmpd="sng" w14:algn="ctr">
                  <w14:solidFill>
                    <w14:srgbClr w14:val="000000"/>
                  </w14:solidFill>
                  <w14:prstDash w14:val="solid"/>
                  <w14:bevel/>
                </w14:textOutline>
              </w:rPr>
              <w:t>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745" w:type="dxa"/>
            <w:vMerge w:val="continue"/>
            <w:tcBorders>
              <w:top w:val="nil"/>
              <w:bottom w:val="nil"/>
            </w:tcBorders>
          </w:tcPr>
          <w:p>
            <w:pPr>
              <w:rPr>
                <w:color w:val="auto"/>
                <w:sz w:val="24"/>
                <w:szCs w:val="24"/>
                <w:highlight w:val="none"/>
                <w:lang w:eastAsia="zh-CN"/>
              </w:rPr>
            </w:pPr>
          </w:p>
        </w:tc>
        <w:tc>
          <w:tcPr>
            <w:tcW w:w="1148" w:type="dxa"/>
            <w:vMerge w:val="continue"/>
            <w:tcBorders>
              <w:top w:val="nil"/>
              <w:bottom w:val="nil"/>
            </w:tcBorders>
          </w:tcPr>
          <w:p>
            <w:pPr>
              <w:rPr>
                <w:color w:val="auto"/>
                <w:sz w:val="24"/>
                <w:szCs w:val="24"/>
                <w:highlight w:val="none"/>
                <w:lang w:eastAsia="zh-CN"/>
              </w:rPr>
            </w:pPr>
          </w:p>
        </w:tc>
        <w:tc>
          <w:tcPr>
            <w:tcW w:w="1824" w:type="dxa"/>
          </w:tcPr>
          <w:p>
            <w:pPr>
              <w:spacing w:line="305" w:lineRule="auto"/>
              <w:rPr>
                <w:color w:val="auto"/>
                <w:sz w:val="24"/>
                <w:szCs w:val="24"/>
                <w:highlight w:val="none"/>
                <w:lang w:eastAsia="zh-CN"/>
              </w:rPr>
            </w:pPr>
          </w:p>
          <w:p>
            <w:pPr>
              <w:pStyle w:val="48"/>
              <w:spacing w:before="65" w:line="228" w:lineRule="auto"/>
              <w:ind w:left="118"/>
              <w:rPr>
                <w:rFonts w:hint="eastAsia"/>
                <w:color w:val="auto"/>
                <w:highlight w:val="none"/>
              </w:rPr>
            </w:pPr>
            <w:r>
              <w:rPr>
                <w:color w:val="auto"/>
                <w:spacing w:val="7"/>
                <w:highlight w:val="none"/>
              </w:rPr>
              <w:t>总监理工程师</w:t>
            </w:r>
          </w:p>
        </w:tc>
        <w:tc>
          <w:tcPr>
            <w:tcW w:w="5669" w:type="dxa"/>
          </w:tcPr>
          <w:p>
            <w:pPr>
              <w:pStyle w:val="48"/>
              <w:spacing w:before="54" w:line="276" w:lineRule="auto"/>
              <w:ind w:left="112" w:right="108" w:firstLine="5"/>
              <w:jc w:val="both"/>
              <w:rPr>
                <w:rFonts w:hint="eastAsia"/>
                <w:color w:val="auto"/>
                <w:highlight w:val="none"/>
                <w:lang w:eastAsia="zh-CN"/>
              </w:rPr>
            </w:pPr>
            <w:r>
              <w:rPr>
                <w:rFonts w:hint="eastAsia"/>
                <w:color w:val="auto"/>
                <w:highlight w:val="none"/>
                <w:lang w:eastAsia="zh-CN" w:bidi="ar"/>
              </w:rPr>
              <w:t>总监理工程师须具有市政公用工程建设总监理工程师岗位证书或具有市政公用工程建设监理工程师资格证书且具有本单位出具的总监理工程师聘用书</w:t>
            </w:r>
            <w:r>
              <w:rPr>
                <w:rFonts w:hint="eastAsia"/>
                <w:color w:val="auto"/>
                <w:spacing w:val="10"/>
                <w:highlight w:val="none"/>
                <w:lang w:eastAsia="zh-CN"/>
              </w:rPr>
              <w:t>。</w:t>
            </w:r>
            <w:r>
              <w:rPr>
                <w:color w:val="auto"/>
                <w:spacing w:val="10"/>
                <w:highlight w:val="none"/>
                <w:lang w:eastAsia="zh-CN"/>
              </w:rPr>
              <w:t>（</w:t>
            </w:r>
            <w:r>
              <w:rPr>
                <w:color w:val="auto"/>
                <w:spacing w:val="10"/>
                <w:highlight w:val="none"/>
                <w:lang w:eastAsia="zh-CN"/>
                <w14:textOutline w14:w="3797" w14:cap="sq" w14:cmpd="sng" w14:algn="ctr">
                  <w14:solidFill>
                    <w14:srgbClr w14:val="000000"/>
                  </w14:solidFill>
                  <w14:prstDash w14:val="solid"/>
                  <w14:bevel/>
                </w14:textOutline>
              </w:rPr>
              <w:t>提供注册监理工程师证书扫描件加</w:t>
            </w:r>
            <w:r>
              <w:rPr>
                <w:color w:val="auto"/>
                <w:spacing w:val="6"/>
                <w:highlight w:val="none"/>
                <w:lang w:eastAsia="zh-CN"/>
                <w14:textOutline w14:w="3797" w14:cap="sq" w14:cmpd="sng" w14:algn="ctr">
                  <w14:solidFill>
                    <w14:srgbClr w14:val="000000"/>
                  </w14:solidFill>
                  <w14:prstDash w14:val="solid"/>
                  <w14:bevel/>
                </w14:textOutline>
              </w:rPr>
              <w:t>盖公章</w:t>
            </w:r>
            <w:r>
              <w:rPr>
                <w:color w:val="auto"/>
                <w:spacing w:val="6"/>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45" w:type="dxa"/>
            <w:vMerge w:val="continue"/>
            <w:tcBorders>
              <w:top w:val="nil"/>
              <w:bottom w:val="nil"/>
            </w:tcBorders>
          </w:tcPr>
          <w:p>
            <w:pPr>
              <w:rPr>
                <w:color w:val="auto"/>
                <w:sz w:val="24"/>
                <w:szCs w:val="24"/>
                <w:highlight w:val="none"/>
                <w:lang w:eastAsia="zh-CN"/>
              </w:rPr>
            </w:pPr>
          </w:p>
        </w:tc>
        <w:tc>
          <w:tcPr>
            <w:tcW w:w="1148" w:type="dxa"/>
            <w:vMerge w:val="continue"/>
            <w:tcBorders>
              <w:top w:val="nil"/>
              <w:bottom w:val="nil"/>
            </w:tcBorders>
          </w:tcPr>
          <w:p>
            <w:pPr>
              <w:rPr>
                <w:color w:val="auto"/>
                <w:sz w:val="24"/>
                <w:szCs w:val="24"/>
                <w:highlight w:val="none"/>
                <w:lang w:eastAsia="zh-CN"/>
              </w:rPr>
            </w:pPr>
          </w:p>
        </w:tc>
        <w:tc>
          <w:tcPr>
            <w:tcW w:w="1824" w:type="dxa"/>
            <w:vAlign w:val="center"/>
          </w:tcPr>
          <w:p>
            <w:pPr>
              <w:pStyle w:val="48"/>
              <w:spacing w:before="65" w:line="227" w:lineRule="auto"/>
              <w:ind w:left="113"/>
              <w:jc w:val="center"/>
              <w:rPr>
                <w:rFonts w:hint="eastAsia"/>
                <w:color w:val="auto"/>
                <w:highlight w:val="none"/>
              </w:rPr>
            </w:pPr>
            <w:r>
              <w:rPr>
                <w:color w:val="auto"/>
                <w:spacing w:val="7"/>
                <w:highlight w:val="none"/>
              </w:rPr>
              <w:t>信誉要求</w:t>
            </w:r>
          </w:p>
        </w:tc>
        <w:tc>
          <w:tcPr>
            <w:tcW w:w="5669" w:type="dxa"/>
          </w:tcPr>
          <w:p>
            <w:pPr>
              <w:pStyle w:val="48"/>
              <w:ind w:left="105" w:leftChars="50" w:right="6"/>
              <w:rPr>
                <w:rFonts w:hint="eastAsia"/>
                <w:color w:val="auto"/>
                <w:spacing w:val="10"/>
                <w:highlight w:val="none"/>
                <w:lang w:eastAsia="zh-CN"/>
              </w:rPr>
            </w:pPr>
            <w:r>
              <w:rPr>
                <w:rFonts w:hint="eastAsia"/>
                <w:color w:val="auto"/>
                <w:spacing w:val="10"/>
                <w:highlight w:val="none"/>
                <w:lang w:eastAsia="zh-CN"/>
              </w:rPr>
              <w:t>1、未被市场监督管理部门在全国企业信用信息公示系统（http://www.gsxt.gov.cn/index.html）中列入严重违法失信企业名单；</w:t>
            </w:r>
          </w:p>
          <w:p>
            <w:pPr>
              <w:pStyle w:val="48"/>
              <w:ind w:left="105" w:leftChars="50" w:right="6"/>
              <w:rPr>
                <w:rFonts w:hint="eastAsia"/>
                <w:color w:val="auto"/>
                <w:spacing w:val="10"/>
                <w:highlight w:val="none"/>
                <w:lang w:eastAsia="zh-CN"/>
              </w:rPr>
            </w:pPr>
            <w:r>
              <w:rPr>
                <w:rFonts w:hint="eastAsia"/>
                <w:color w:val="auto"/>
                <w:spacing w:val="10"/>
                <w:highlight w:val="none"/>
                <w:lang w:eastAsia="zh-CN"/>
              </w:rPr>
              <w:t>2、未被最高人民法院在“信用中国”网站（www.creditchina.gov.cn）或各级信用信息共享平台列入失信被执行人名单；</w:t>
            </w:r>
          </w:p>
          <w:p>
            <w:pPr>
              <w:pStyle w:val="48"/>
              <w:ind w:left="105" w:leftChars="50" w:right="6"/>
              <w:rPr>
                <w:rFonts w:hint="eastAsia"/>
                <w:color w:val="auto"/>
                <w:spacing w:val="10"/>
                <w:highlight w:val="none"/>
                <w:lang w:eastAsia="zh-CN"/>
              </w:rPr>
            </w:pPr>
            <w:r>
              <w:rPr>
                <w:rFonts w:hint="eastAsia"/>
                <w:color w:val="auto"/>
                <w:spacing w:val="10"/>
                <w:highlight w:val="none"/>
                <w:lang w:eastAsia="zh-CN"/>
              </w:rPr>
              <w:t>3.供应商、法定代表人、总监理工程师在中国裁判文书网无行贿犯罪记录。</w:t>
            </w:r>
          </w:p>
          <w:p>
            <w:pPr>
              <w:pStyle w:val="48"/>
              <w:spacing w:before="54" w:line="268" w:lineRule="auto"/>
              <w:ind w:left="105" w:leftChars="50" w:right="6" w:firstLine="3"/>
              <w:jc w:val="both"/>
              <w:rPr>
                <w:rFonts w:hint="eastAsia"/>
                <w:color w:val="auto"/>
                <w:highlight w:val="none"/>
                <w:lang w:eastAsia="zh-CN"/>
              </w:rPr>
            </w:pPr>
            <w:r>
              <w:rPr>
                <w:color w:val="auto"/>
                <w:spacing w:val="9"/>
                <w:highlight w:val="none"/>
                <w:lang w:eastAsia="zh-CN"/>
              </w:rPr>
              <w:t>（</w:t>
            </w:r>
            <w:r>
              <w:rPr>
                <w:color w:val="auto"/>
                <w:spacing w:val="9"/>
                <w:highlight w:val="none"/>
                <w:lang w:eastAsia="zh-CN"/>
                <w14:textOutline w14:w="3797" w14:cap="sq" w14:cmpd="sng" w14:algn="ctr">
                  <w14:solidFill>
                    <w14:srgbClr w14:val="000000"/>
                  </w14:solidFill>
                  <w14:prstDash w14:val="solid"/>
                  <w14:bevel/>
                </w14:textOutline>
              </w:rPr>
              <w:t>提供网页查询截图并加盖公章）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45" w:type="dxa"/>
            <w:vMerge w:val="continue"/>
            <w:tcBorders>
              <w:top w:val="nil"/>
              <w:bottom w:val="nil"/>
            </w:tcBorders>
          </w:tcPr>
          <w:p>
            <w:pPr>
              <w:rPr>
                <w:color w:val="auto"/>
                <w:sz w:val="24"/>
                <w:szCs w:val="24"/>
                <w:highlight w:val="none"/>
                <w:lang w:eastAsia="zh-CN"/>
              </w:rPr>
            </w:pPr>
          </w:p>
        </w:tc>
        <w:tc>
          <w:tcPr>
            <w:tcW w:w="1148" w:type="dxa"/>
            <w:vMerge w:val="continue"/>
            <w:tcBorders>
              <w:top w:val="nil"/>
              <w:bottom w:val="nil"/>
            </w:tcBorders>
          </w:tcPr>
          <w:p>
            <w:pPr>
              <w:rPr>
                <w:color w:val="auto"/>
                <w:sz w:val="24"/>
                <w:szCs w:val="24"/>
                <w:highlight w:val="none"/>
                <w:lang w:eastAsia="zh-CN"/>
              </w:rPr>
            </w:pPr>
          </w:p>
        </w:tc>
        <w:tc>
          <w:tcPr>
            <w:tcW w:w="1824" w:type="dxa"/>
            <w:vAlign w:val="center"/>
          </w:tcPr>
          <w:p>
            <w:pPr>
              <w:jc w:val="center"/>
              <w:rPr>
                <w:color w:val="auto"/>
                <w:spacing w:val="7"/>
                <w:sz w:val="24"/>
                <w:szCs w:val="24"/>
                <w:highlight w:val="none"/>
                <w:lang w:eastAsia="zh-CN"/>
              </w:rPr>
            </w:pPr>
            <w:r>
              <w:rPr>
                <w:rFonts w:hint="eastAsia" w:ascii="宋体" w:hAnsi="宋体" w:eastAsia="宋体" w:cs="宋体"/>
                <w:bCs/>
                <w:color w:val="auto"/>
                <w:sz w:val="24"/>
                <w:szCs w:val="24"/>
                <w:highlight w:val="none"/>
                <w:lang w:val="zh-CN" w:eastAsia="zh-CN"/>
              </w:rPr>
              <w:t>落实政府采购政策需满足的资格要求</w:t>
            </w:r>
          </w:p>
        </w:tc>
        <w:tc>
          <w:tcPr>
            <w:tcW w:w="5669" w:type="dxa"/>
            <w:vAlign w:val="center"/>
          </w:tcPr>
          <w:p>
            <w:pPr>
              <w:pStyle w:val="48"/>
              <w:ind w:left="105" w:leftChars="50" w:right="6"/>
              <w:rPr>
                <w:rFonts w:hint="eastAsia"/>
                <w:color w:val="auto"/>
                <w:spacing w:val="10"/>
                <w:highlight w:val="none"/>
                <w:lang w:eastAsia="zh-CN"/>
              </w:rPr>
            </w:pPr>
            <w:r>
              <w:rPr>
                <w:rFonts w:hint="eastAsia"/>
                <w:color w:val="auto"/>
                <w:spacing w:val="10"/>
                <w:highlight w:val="none"/>
                <w:lang w:eastAsia="zh-CN"/>
              </w:rPr>
              <w:t>落实政府采购政策需满足的资格要求：本项目专门面向中小企业《政府采购促进中小企业发展管理办法》（财库[2020]46号）；《财政部、司法部关于政府采购支持监狱企业发展有关问题的通知》（财库[2014]68号）；《关于促进残疾人就业政府采购政策的通知》（财库〔2017〕141号）；</w:t>
            </w:r>
          </w:p>
          <w:p>
            <w:pPr>
              <w:pStyle w:val="48"/>
              <w:spacing w:before="54" w:line="276" w:lineRule="auto"/>
              <w:ind w:left="105" w:leftChars="50" w:right="6" w:firstLine="5"/>
              <w:jc w:val="both"/>
              <w:rPr>
                <w:rFonts w:hint="eastAsia"/>
                <w:color w:val="auto"/>
                <w:spacing w:val="10"/>
                <w:highlight w:val="none"/>
                <w:lang w:eastAsia="zh-CN"/>
              </w:rPr>
            </w:pPr>
            <w:r>
              <w:rPr>
                <w:rFonts w:hint="eastAsia"/>
                <w:color w:val="auto"/>
                <w:spacing w:val="6"/>
                <w:highlight w:val="none"/>
                <w:lang w:eastAsia="zh-CN"/>
                <w14:textOutline w14:w="3797" w14:cap="sq" w14:cmpd="sng" w14:algn="ctr">
                  <w14:solidFill>
                    <w14:srgbClr w14:val="000000"/>
                  </w14:solidFill>
                  <w14:prstDash w14:val="solid"/>
                  <w14:bevel/>
                </w14:textOutline>
              </w:rPr>
              <w:t>（提供中小企业声明函并</w:t>
            </w:r>
            <w:r>
              <w:rPr>
                <w:color w:val="auto"/>
                <w:spacing w:val="9"/>
                <w:highlight w:val="none"/>
                <w:lang w:eastAsia="zh-CN"/>
                <w14:textOutline w14:w="3797" w14:cap="sq" w14:cmpd="sng" w14:algn="ctr">
                  <w14:solidFill>
                    <w14:srgbClr w14:val="000000"/>
                  </w14:solidFill>
                  <w14:prstDash w14:val="solid"/>
                  <w14:bevel/>
                </w14:textOutline>
              </w:rPr>
              <w:t>加盖</w:t>
            </w:r>
            <w:r>
              <w:rPr>
                <w:rFonts w:hint="eastAsia"/>
                <w:color w:val="auto"/>
                <w:spacing w:val="9"/>
                <w:highlight w:val="none"/>
                <w:lang w:eastAsia="zh-CN"/>
                <w14:textOutline w14:w="3797" w14:cap="sq" w14:cmpd="sng" w14:algn="ctr">
                  <w14:solidFill>
                    <w14:srgbClr w14:val="000000"/>
                  </w14:solidFill>
                  <w14:prstDash w14:val="solid"/>
                  <w14:bevel/>
                </w14:textOutline>
              </w:rPr>
              <w:t>供应商</w:t>
            </w:r>
            <w:r>
              <w:rPr>
                <w:color w:val="auto"/>
                <w:spacing w:val="9"/>
                <w:highlight w:val="none"/>
                <w:lang w:eastAsia="zh-CN"/>
                <w14:textOutline w14:w="3797" w14:cap="sq" w14:cmpd="sng" w14:algn="ctr">
                  <w14:solidFill>
                    <w14:srgbClr w14:val="000000"/>
                  </w14:solidFill>
                  <w14:prstDash w14:val="solid"/>
                  <w14:bevel/>
                </w14:textOutline>
              </w:rPr>
              <w:t>公章</w:t>
            </w:r>
            <w:r>
              <w:rPr>
                <w:rFonts w:hint="eastAsia"/>
                <w:color w:val="auto"/>
                <w:spacing w:val="9"/>
                <w:highlight w:val="none"/>
                <w:lang w:eastAsia="zh-CN"/>
                <w14:textOutline w14:w="3797" w14:cap="sq" w14:cmpd="sng" w14:algn="ctr">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2" w:hRule="atLeast"/>
        </w:trPr>
        <w:tc>
          <w:tcPr>
            <w:tcW w:w="745" w:type="dxa"/>
            <w:vMerge w:val="continue"/>
            <w:tcBorders>
              <w:top w:val="nil"/>
            </w:tcBorders>
          </w:tcPr>
          <w:p>
            <w:pPr>
              <w:rPr>
                <w:color w:val="auto"/>
                <w:sz w:val="24"/>
                <w:szCs w:val="24"/>
                <w:highlight w:val="none"/>
                <w:lang w:eastAsia="zh-CN"/>
              </w:rPr>
            </w:pPr>
          </w:p>
        </w:tc>
        <w:tc>
          <w:tcPr>
            <w:tcW w:w="1148" w:type="dxa"/>
            <w:vMerge w:val="continue"/>
            <w:tcBorders>
              <w:top w:val="nil"/>
            </w:tcBorders>
          </w:tcPr>
          <w:p>
            <w:pPr>
              <w:rPr>
                <w:color w:val="auto"/>
                <w:sz w:val="24"/>
                <w:szCs w:val="24"/>
                <w:highlight w:val="none"/>
                <w:lang w:eastAsia="zh-CN"/>
              </w:rPr>
            </w:pPr>
          </w:p>
        </w:tc>
        <w:tc>
          <w:tcPr>
            <w:tcW w:w="1824" w:type="dxa"/>
            <w:vAlign w:val="center"/>
          </w:tcPr>
          <w:p>
            <w:pPr>
              <w:spacing w:line="360" w:lineRule="auto"/>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其他要求</w:t>
            </w:r>
          </w:p>
        </w:tc>
        <w:tc>
          <w:tcPr>
            <w:tcW w:w="5669" w:type="dxa"/>
          </w:tcPr>
          <w:p>
            <w:pPr>
              <w:pStyle w:val="48"/>
              <w:ind w:left="105" w:leftChars="50" w:right="17"/>
              <w:rPr>
                <w:rFonts w:hint="eastAsia"/>
                <w:color w:val="auto"/>
                <w:spacing w:val="10"/>
                <w:highlight w:val="none"/>
                <w:lang w:eastAsia="zh-CN"/>
              </w:rPr>
            </w:pPr>
            <w:r>
              <w:rPr>
                <w:rFonts w:hint="eastAsia"/>
                <w:color w:val="auto"/>
                <w:spacing w:val="10"/>
                <w:highlight w:val="none"/>
                <w:lang w:eastAsia="zh-CN"/>
              </w:rPr>
              <w:t>1、拒绝列入政府取消投标资格记录期间的企业或个人投标。</w:t>
            </w:r>
          </w:p>
          <w:p>
            <w:pPr>
              <w:pStyle w:val="48"/>
              <w:ind w:left="105" w:leftChars="50" w:right="17"/>
              <w:rPr>
                <w:rFonts w:hint="eastAsia"/>
                <w:color w:val="auto"/>
                <w:spacing w:val="10"/>
                <w:highlight w:val="none"/>
                <w:lang w:eastAsia="zh-CN"/>
              </w:rPr>
            </w:pPr>
            <w:r>
              <w:rPr>
                <w:rFonts w:hint="eastAsia"/>
                <w:color w:val="auto"/>
                <w:spacing w:val="10"/>
                <w:highlight w:val="none"/>
                <w:lang w:eastAsia="zh-CN"/>
              </w:rPr>
              <w:t>2、与采购人存在利害关系可能影响招标公正性的法人、其他组织或者个人，不得参加投标；单位负责人为同一人或者存在直接控股、管理关系的不同供应商，不得同时参加同一标包的采购活动。</w:t>
            </w:r>
          </w:p>
          <w:p>
            <w:pPr>
              <w:pStyle w:val="48"/>
              <w:ind w:left="105" w:leftChars="50" w:right="17"/>
              <w:rPr>
                <w:rFonts w:hint="eastAsia"/>
                <w:color w:val="auto"/>
                <w:highlight w:val="none"/>
                <w:lang w:val="zh-CN" w:eastAsia="zh-CN"/>
              </w:rPr>
            </w:pPr>
            <w:r>
              <w:rPr>
                <w:rFonts w:hint="eastAsia"/>
                <w:b/>
                <w:bCs/>
                <w:color w:val="auto"/>
                <w:highlight w:val="none"/>
                <w:lang w:val="zh-CN" w:eastAsia="zh-CN"/>
              </w:rPr>
              <w:t>（提供法定代表人或授权代理人签字并加盖公章的承诺书）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5" w:type="dxa"/>
            <w:vMerge w:val="restart"/>
            <w:tcBorders>
              <w:bottom w:val="nil"/>
            </w:tcBorders>
            <w:vAlign w:val="center"/>
          </w:tcPr>
          <w:p>
            <w:pPr>
              <w:pStyle w:val="48"/>
              <w:spacing w:before="65" w:line="190" w:lineRule="auto"/>
              <w:ind w:left="117"/>
              <w:jc w:val="center"/>
              <w:rPr>
                <w:rFonts w:hint="eastAsia"/>
                <w:color w:val="auto"/>
                <w:highlight w:val="none"/>
                <w:lang w:eastAsia="zh-CN"/>
              </w:rPr>
            </w:pPr>
            <w:r>
              <w:rPr>
                <w:color w:val="auto"/>
                <w:spacing w:val="2"/>
                <w:highlight w:val="none"/>
              </w:rPr>
              <w:t>2.1.</w:t>
            </w:r>
            <w:r>
              <w:rPr>
                <w:rFonts w:hint="eastAsia"/>
                <w:color w:val="auto"/>
                <w:spacing w:val="2"/>
                <w:highlight w:val="none"/>
                <w:lang w:eastAsia="zh-CN"/>
              </w:rPr>
              <w:t>2</w:t>
            </w:r>
          </w:p>
        </w:tc>
        <w:tc>
          <w:tcPr>
            <w:tcW w:w="1148" w:type="dxa"/>
            <w:vMerge w:val="restart"/>
            <w:tcBorders>
              <w:bottom w:val="nil"/>
            </w:tcBorders>
            <w:vAlign w:val="center"/>
          </w:tcPr>
          <w:p>
            <w:pPr>
              <w:spacing w:line="360" w:lineRule="auto"/>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符合性评审标准</w:t>
            </w:r>
          </w:p>
        </w:tc>
        <w:tc>
          <w:tcPr>
            <w:tcW w:w="1824" w:type="dxa"/>
            <w:vAlign w:val="center"/>
          </w:tcPr>
          <w:p>
            <w:pPr>
              <w:pStyle w:val="48"/>
              <w:jc w:val="both"/>
              <w:rPr>
                <w:rFonts w:hint="eastAsia"/>
                <w:color w:val="auto"/>
                <w:highlight w:val="none"/>
                <w:lang w:val="zh-CN" w:eastAsia="zh-CN"/>
              </w:rPr>
            </w:pPr>
            <w:r>
              <w:rPr>
                <w:color w:val="auto"/>
                <w:spacing w:val="8"/>
                <w:highlight w:val="none"/>
              </w:rPr>
              <w:t>供应商名称</w:t>
            </w:r>
          </w:p>
        </w:tc>
        <w:tc>
          <w:tcPr>
            <w:tcW w:w="5669" w:type="dxa"/>
            <w:vAlign w:val="center"/>
          </w:tcPr>
          <w:p>
            <w:pPr>
              <w:pStyle w:val="48"/>
              <w:ind w:left="105" w:leftChars="50" w:right="17"/>
              <w:jc w:val="both"/>
              <w:rPr>
                <w:rFonts w:hint="eastAsia"/>
                <w:color w:val="auto"/>
                <w:highlight w:val="none"/>
                <w:lang w:val="zh-CN" w:eastAsia="zh-CN"/>
              </w:rPr>
            </w:pPr>
            <w:r>
              <w:rPr>
                <w:color w:val="auto"/>
                <w:spacing w:val="8"/>
                <w:highlight w:val="none"/>
                <w:lang w:eastAsia="zh-CN"/>
              </w:rPr>
              <w:t>与营业执照、资质证书一致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5" w:type="dxa"/>
            <w:vMerge w:val="continue"/>
          </w:tcPr>
          <w:p>
            <w:pPr>
              <w:pStyle w:val="48"/>
              <w:spacing w:before="65" w:line="190" w:lineRule="auto"/>
              <w:ind w:left="117"/>
              <w:rPr>
                <w:rFonts w:hint="eastAsia"/>
                <w:color w:val="auto"/>
                <w:spacing w:val="2"/>
                <w:highlight w:val="none"/>
                <w:lang w:eastAsia="zh-CN"/>
              </w:rPr>
            </w:pPr>
          </w:p>
        </w:tc>
        <w:tc>
          <w:tcPr>
            <w:tcW w:w="1148" w:type="dxa"/>
            <w:vMerge w:val="continue"/>
          </w:tcPr>
          <w:p>
            <w:pPr>
              <w:spacing w:line="360" w:lineRule="auto"/>
              <w:rPr>
                <w:rFonts w:hint="eastAsia" w:ascii="宋体" w:hAnsi="宋体" w:eastAsia="宋体" w:cs="宋体"/>
                <w:color w:val="auto"/>
                <w:sz w:val="24"/>
                <w:szCs w:val="24"/>
                <w:highlight w:val="none"/>
                <w:lang w:val="zh-CN" w:eastAsia="zh-CN"/>
              </w:rPr>
            </w:pPr>
          </w:p>
        </w:tc>
        <w:tc>
          <w:tcPr>
            <w:tcW w:w="1824" w:type="dxa"/>
            <w:vAlign w:val="center"/>
          </w:tcPr>
          <w:p>
            <w:pPr>
              <w:pStyle w:val="48"/>
              <w:jc w:val="both"/>
              <w:rPr>
                <w:rFonts w:hint="eastAsia"/>
                <w:color w:val="auto"/>
                <w:highlight w:val="none"/>
                <w:lang w:val="zh-CN" w:eastAsia="zh-CN"/>
              </w:rPr>
            </w:pPr>
            <w:r>
              <w:rPr>
                <w:color w:val="auto"/>
                <w:spacing w:val="8"/>
                <w:highlight w:val="none"/>
              </w:rPr>
              <w:t>磋商函签字盖章</w:t>
            </w:r>
          </w:p>
        </w:tc>
        <w:tc>
          <w:tcPr>
            <w:tcW w:w="5669" w:type="dxa"/>
            <w:vAlign w:val="center"/>
          </w:tcPr>
          <w:p>
            <w:pPr>
              <w:pStyle w:val="48"/>
              <w:ind w:left="105" w:leftChars="50" w:right="17"/>
              <w:jc w:val="both"/>
              <w:rPr>
                <w:rFonts w:hint="eastAsia"/>
                <w:color w:val="auto"/>
                <w:highlight w:val="none"/>
                <w:lang w:val="zh-CN" w:eastAsia="zh-CN"/>
              </w:rPr>
            </w:pPr>
            <w:r>
              <w:rPr>
                <w:color w:val="auto"/>
                <w:spacing w:val="9"/>
                <w:highlight w:val="none"/>
                <w:lang w:eastAsia="zh-CN"/>
              </w:rPr>
              <w:t>有法定代表人或其委托代理人签字并加盖单位章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5" w:type="dxa"/>
            <w:vMerge w:val="continue"/>
          </w:tcPr>
          <w:p>
            <w:pPr>
              <w:pStyle w:val="48"/>
              <w:spacing w:before="65" w:line="190" w:lineRule="auto"/>
              <w:ind w:left="117"/>
              <w:rPr>
                <w:rFonts w:hint="eastAsia"/>
                <w:color w:val="auto"/>
                <w:spacing w:val="2"/>
                <w:highlight w:val="none"/>
                <w:lang w:eastAsia="zh-CN"/>
              </w:rPr>
            </w:pPr>
          </w:p>
        </w:tc>
        <w:tc>
          <w:tcPr>
            <w:tcW w:w="1148" w:type="dxa"/>
            <w:vMerge w:val="continue"/>
          </w:tcPr>
          <w:p>
            <w:pPr>
              <w:spacing w:line="360" w:lineRule="auto"/>
              <w:rPr>
                <w:rFonts w:hint="eastAsia" w:ascii="宋体" w:hAnsi="宋体" w:eastAsia="宋体" w:cs="宋体"/>
                <w:color w:val="auto"/>
                <w:sz w:val="24"/>
                <w:szCs w:val="24"/>
                <w:highlight w:val="none"/>
                <w:lang w:val="zh-CN" w:eastAsia="zh-CN"/>
              </w:rPr>
            </w:pPr>
          </w:p>
        </w:tc>
        <w:tc>
          <w:tcPr>
            <w:tcW w:w="1824" w:type="dxa"/>
            <w:vAlign w:val="center"/>
          </w:tcPr>
          <w:p>
            <w:pPr>
              <w:pStyle w:val="48"/>
              <w:jc w:val="both"/>
              <w:rPr>
                <w:rFonts w:hint="eastAsia"/>
                <w:color w:val="auto"/>
                <w:highlight w:val="none"/>
                <w:lang w:val="zh-CN" w:eastAsia="zh-CN"/>
              </w:rPr>
            </w:pPr>
            <w:r>
              <w:rPr>
                <w:color w:val="auto"/>
                <w:spacing w:val="6"/>
                <w:highlight w:val="none"/>
              </w:rPr>
              <w:t>响应文件格式</w:t>
            </w:r>
          </w:p>
        </w:tc>
        <w:tc>
          <w:tcPr>
            <w:tcW w:w="5669" w:type="dxa"/>
            <w:vAlign w:val="center"/>
          </w:tcPr>
          <w:p>
            <w:pPr>
              <w:pStyle w:val="48"/>
              <w:ind w:left="105" w:leftChars="50" w:right="17"/>
              <w:jc w:val="both"/>
              <w:rPr>
                <w:rFonts w:hint="eastAsia"/>
                <w:color w:val="auto"/>
                <w:highlight w:val="none"/>
                <w:lang w:val="zh-CN" w:eastAsia="zh-CN"/>
              </w:rPr>
            </w:pPr>
            <w:r>
              <w:rPr>
                <w:color w:val="auto"/>
                <w:spacing w:val="7"/>
                <w:highlight w:val="none"/>
                <w:lang w:eastAsia="zh-CN"/>
              </w:rPr>
              <w:t>符合第六章“响应文件格式”的要求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5" w:type="dxa"/>
            <w:vMerge w:val="continue"/>
          </w:tcPr>
          <w:p>
            <w:pPr>
              <w:pStyle w:val="48"/>
              <w:spacing w:before="65" w:line="190" w:lineRule="auto"/>
              <w:ind w:left="117"/>
              <w:rPr>
                <w:rFonts w:hint="eastAsia"/>
                <w:color w:val="auto"/>
                <w:spacing w:val="2"/>
                <w:highlight w:val="none"/>
                <w:lang w:eastAsia="zh-CN"/>
              </w:rPr>
            </w:pPr>
          </w:p>
        </w:tc>
        <w:tc>
          <w:tcPr>
            <w:tcW w:w="1148" w:type="dxa"/>
            <w:vMerge w:val="continue"/>
          </w:tcPr>
          <w:p>
            <w:pPr>
              <w:spacing w:line="360" w:lineRule="auto"/>
              <w:rPr>
                <w:rFonts w:hint="eastAsia" w:ascii="宋体" w:hAnsi="宋体" w:eastAsia="宋体" w:cs="宋体"/>
                <w:color w:val="auto"/>
                <w:sz w:val="24"/>
                <w:szCs w:val="24"/>
                <w:highlight w:val="none"/>
                <w:lang w:val="zh-CN" w:eastAsia="zh-CN"/>
              </w:rPr>
            </w:pPr>
          </w:p>
        </w:tc>
        <w:tc>
          <w:tcPr>
            <w:tcW w:w="1824" w:type="dxa"/>
            <w:vAlign w:val="center"/>
          </w:tcPr>
          <w:p>
            <w:pPr>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响应内容</w:t>
            </w:r>
          </w:p>
        </w:tc>
        <w:tc>
          <w:tcPr>
            <w:tcW w:w="5669" w:type="dxa"/>
            <w:vAlign w:val="center"/>
          </w:tcPr>
          <w:p>
            <w:pPr>
              <w:ind w:left="105" w:leftChars="50" w:right="17"/>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符合磋商文件规定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45" w:type="dxa"/>
            <w:vMerge w:val="continue"/>
            <w:tcBorders>
              <w:top w:val="nil"/>
              <w:bottom w:val="nil"/>
            </w:tcBorders>
          </w:tcPr>
          <w:p>
            <w:pPr>
              <w:rPr>
                <w:color w:val="auto"/>
                <w:sz w:val="24"/>
                <w:szCs w:val="24"/>
                <w:highlight w:val="none"/>
              </w:rPr>
            </w:pPr>
          </w:p>
        </w:tc>
        <w:tc>
          <w:tcPr>
            <w:tcW w:w="1148" w:type="dxa"/>
            <w:vMerge w:val="continue"/>
            <w:tcBorders>
              <w:top w:val="nil"/>
              <w:bottom w:val="nil"/>
            </w:tcBorders>
          </w:tcPr>
          <w:p>
            <w:pPr>
              <w:spacing w:line="360" w:lineRule="auto"/>
              <w:rPr>
                <w:rFonts w:hint="eastAsia" w:ascii="宋体" w:hAnsi="宋体" w:eastAsia="宋体" w:cs="宋体"/>
                <w:color w:val="auto"/>
                <w:sz w:val="24"/>
                <w:szCs w:val="24"/>
                <w:highlight w:val="none"/>
                <w:lang w:val="zh-CN" w:eastAsia="zh-CN"/>
              </w:rPr>
            </w:pPr>
          </w:p>
        </w:tc>
        <w:tc>
          <w:tcPr>
            <w:tcW w:w="1824" w:type="dxa"/>
            <w:vAlign w:val="center"/>
          </w:tcPr>
          <w:p>
            <w:pPr>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监理周期</w:t>
            </w:r>
          </w:p>
        </w:tc>
        <w:tc>
          <w:tcPr>
            <w:tcW w:w="5669" w:type="dxa"/>
            <w:vAlign w:val="center"/>
          </w:tcPr>
          <w:p>
            <w:pPr>
              <w:ind w:left="105" w:leftChars="50" w:right="17"/>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自签订合同之日起至工程竣工验收合格且保修期届满之日止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45" w:type="dxa"/>
            <w:vMerge w:val="continue"/>
            <w:tcBorders>
              <w:top w:val="nil"/>
              <w:bottom w:val="nil"/>
            </w:tcBorders>
          </w:tcPr>
          <w:p>
            <w:pPr>
              <w:rPr>
                <w:color w:val="auto"/>
                <w:sz w:val="24"/>
                <w:szCs w:val="24"/>
                <w:highlight w:val="none"/>
                <w:lang w:eastAsia="zh-CN"/>
              </w:rPr>
            </w:pPr>
          </w:p>
        </w:tc>
        <w:tc>
          <w:tcPr>
            <w:tcW w:w="1148" w:type="dxa"/>
            <w:vMerge w:val="continue"/>
            <w:tcBorders>
              <w:top w:val="nil"/>
              <w:bottom w:val="nil"/>
            </w:tcBorders>
          </w:tcPr>
          <w:p>
            <w:pPr>
              <w:spacing w:line="360" w:lineRule="auto"/>
              <w:rPr>
                <w:rFonts w:hint="eastAsia" w:ascii="宋体" w:hAnsi="宋体" w:eastAsia="宋体" w:cs="宋体"/>
                <w:color w:val="auto"/>
                <w:sz w:val="24"/>
                <w:szCs w:val="24"/>
                <w:highlight w:val="none"/>
                <w:lang w:val="zh-CN" w:eastAsia="zh-CN"/>
              </w:rPr>
            </w:pPr>
          </w:p>
        </w:tc>
        <w:tc>
          <w:tcPr>
            <w:tcW w:w="1824" w:type="dxa"/>
            <w:vAlign w:val="center"/>
          </w:tcPr>
          <w:p>
            <w:pPr>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监理标准</w:t>
            </w:r>
          </w:p>
        </w:tc>
        <w:tc>
          <w:tcPr>
            <w:tcW w:w="5669" w:type="dxa"/>
            <w:vAlign w:val="center"/>
          </w:tcPr>
          <w:p>
            <w:pPr>
              <w:ind w:left="105" w:leftChars="50" w:right="17"/>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符合国家现行监理规范的合格标准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45" w:type="dxa"/>
            <w:tcBorders>
              <w:top w:val="nil"/>
              <w:bottom w:val="nil"/>
            </w:tcBorders>
          </w:tcPr>
          <w:p>
            <w:pPr>
              <w:rPr>
                <w:color w:val="auto"/>
                <w:sz w:val="24"/>
                <w:szCs w:val="24"/>
                <w:highlight w:val="none"/>
                <w:lang w:eastAsia="zh-CN"/>
              </w:rPr>
            </w:pPr>
          </w:p>
        </w:tc>
        <w:tc>
          <w:tcPr>
            <w:tcW w:w="1148" w:type="dxa"/>
            <w:tcBorders>
              <w:top w:val="nil"/>
              <w:bottom w:val="nil"/>
            </w:tcBorders>
          </w:tcPr>
          <w:p>
            <w:pPr>
              <w:spacing w:line="360" w:lineRule="auto"/>
              <w:rPr>
                <w:rFonts w:hint="eastAsia" w:ascii="宋体" w:hAnsi="宋体" w:eastAsia="宋体" w:cs="宋体"/>
                <w:color w:val="auto"/>
                <w:sz w:val="24"/>
                <w:szCs w:val="24"/>
                <w:highlight w:val="none"/>
                <w:lang w:val="zh-CN" w:eastAsia="zh-CN"/>
              </w:rPr>
            </w:pPr>
          </w:p>
        </w:tc>
        <w:tc>
          <w:tcPr>
            <w:tcW w:w="1824" w:type="dxa"/>
            <w:vAlign w:val="center"/>
          </w:tcPr>
          <w:p>
            <w:pPr>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lang w:val="zh-CN" w:eastAsia="zh-CN"/>
              </w:rPr>
              <w:t>有效期</w:t>
            </w:r>
          </w:p>
        </w:tc>
        <w:tc>
          <w:tcPr>
            <w:tcW w:w="5669" w:type="dxa"/>
            <w:vAlign w:val="center"/>
          </w:tcPr>
          <w:p>
            <w:pPr>
              <w:ind w:left="105" w:leftChars="50" w:right="17"/>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投标截止之日后90天（日历天）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45" w:type="dxa"/>
            <w:tcBorders>
              <w:top w:val="nil"/>
              <w:bottom w:val="single" w:color="auto" w:sz="4" w:space="0"/>
            </w:tcBorders>
          </w:tcPr>
          <w:p>
            <w:pPr>
              <w:rPr>
                <w:color w:val="auto"/>
                <w:sz w:val="24"/>
                <w:szCs w:val="24"/>
                <w:highlight w:val="none"/>
                <w:lang w:eastAsia="zh-CN"/>
              </w:rPr>
            </w:pPr>
          </w:p>
        </w:tc>
        <w:tc>
          <w:tcPr>
            <w:tcW w:w="1148" w:type="dxa"/>
            <w:tcBorders>
              <w:top w:val="nil"/>
              <w:bottom w:val="single" w:color="auto" w:sz="4" w:space="0"/>
            </w:tcBorders>
          </w:tcPr>
          <w:p>
            <w:pPr>
              <w:spacing w:line="360" w:lineRule="auto"/>
              <w:rPr>
                <w:rFonts w:hint="eastAsia" w:ascii="宋体" w:hAnsi="宋体" w:eastAsia="宋体" w:cs="宋体"/>
                <w:color w:val="auto"/>
                <w:sz w:val="24"/>
                <w:szCs w:val="24"/>
                <w:highlight w:val="none"/>
                <w:lang w:val="zh-CN" w:eastAsia="zh-CN"/>
              </w:rPr>
            </w:pPr>
          </w:p>
        </w:tc>
        <w:tc>
          <w:tcPr>
            <w:tcW w:w="1824" w:type="dxa"/>
            <w:vAlign w:val="center"/>
          </w:tcPr>
          <w:p>
            <w:pPr>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报价</w:t>
            </w:r>
          </w:p>
        </w:tc>
        <w:tc>
          <w:tcPr>
            <w:tcW w:w="5669" w:type="dxa"/>
            <w:vAlign w:val="center"/>
          </w:tcPr>
          <w:p>
            <w:pPr>
              <w:ind w:left="105" w:leftChars="50" w:right="17"/>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有效报价且不超过采购预算或最高限价</w:t>
            </w:r>
          </w:p>
        </w:tc>
      </w:tr>
    </w:tbl>
    <w:p>
      <w:pPr>
        <w:rPr>
          <w:color w:val="auto"/>
          <w:sz w:val="28"/>
          <w:szCs w:val="28"/>
          <w:highlight w:val="none"/>
          <w:lang w:eastAsia="zh-CN"/>
        </w:rPr>
      </w:pPr>
    </w:p>
    <w:p>
      <w:pPr>
        <w:rPr>
          <w:color w:val="auto"/>
          <w:highlight w:val="none"/>
          <w:lang w:eastAsia="zh-CN"/>
        </w:rPr>
        <w:sectPr>
          <w:pgSz w:w="11906" w:h="16839"/>
          <w:pgMar w:top="1431" w:right="1448" w:bottom="957" w:left="1383" w:header="0" w:footer="795" w:gutter="0"/>
          <w:pgNumType w:fmt="decimal"/>
          <w:cols w:space="720" w:num="1"/>
        </w:sectPr>
      </w:pPr>
    </w:p>
    <w:p>
      <w:pPr>
        <w:pStyle w:val="2"/>
        <w:spacing w:before="170" w:line="221" w:lineRule="auto"/>
        <w:ind w:left="136" w:firstLine="554"/>
        <w:rPr>
          <w:rFonts w:hint="eastAsia"/>
          <w:color w:val="auto"/>
          <w:sz w:val="28"/>
          <w:szCs w:val="28"/>
          <w:highlight w:val="none"/>
        </w:rPr>
      </w:pPr>
      <w:r>
        <w:rPr>
          <w:color w:val="auto"/>
          <w:spacing w:val="-3"/>
          <w:sz w:val="28"/>
          <w:szCs w:val="28"/>
          <w:highlight w:val="none"/>
          <w14:textOutline w14:w="5105" w14:cap="sq" w14:cmpd="sng" w14:algn="ctr">
            <w14:solidFill>
              <w14:srgbClr w14:val="000000"/>
            </w14:solidFill>
            <w14:prstDash w14:val="solid"/>
            <w14:bevel/>
          </w14:textOutline>
        </w:rPr>
        <w:t>详细评审表</w:t>
      </w:r>
    </w:p>
    <w:p>
      <w:pPr>
        <w:spacing w:line="118" w:lineRule="exact"/>
        <w:rPr>
          <w:color w:val="auto"/>
          <w:highlight w:val="none"/>
        </w:rPr>
      </w:pPr>
    </w:p>
    <w:tbl>
      <w:tblPr>
        <w:tblStyle w:val="47"/>
        <w:tblW w:w="980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1130"/>
        <w:gridCol w:w="1907"/>
        <w:gridCol w:w="59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959" w:type="dxa"/>
            <w:gridSpan w:val="2"/>
            <w:tcBorders>
              <w:top w:val="single" w:color="000000" w:sz="10" w:space="0"/>
              <w:left w:val="single" w:color="000000" w:sz="10" w:space="0"/>
            </w:tcBorders>
          </w:tcPr>
          <w:p>
            <w:pPr>
              <w:pStyle w:val="48"/>
              <w:spacing w:before="114" w:line="223" w:lineRule="auto"/>
              <w:ind w:left="659"/>
              <w:rPr>
                <w:rFonts w:hint="eastAsia"/>
                <w:color w:val="auto"/>
                <w:highlight w:val="none"/>
              </w:rPr>
            </w:pPr>
            <w:r>
              <w:rPr>
                <w:color w:val="auto"/>
                <w:spacing w:val="7"/>
                <w:highlight w:val="none"/>
                <w14:textOutline w14:w="3797" w14:cap="sq" w14:cmpd="sng" w14:algn="ctr">
                  <w14:solidFill>
                    <w14:srgbClr w14:val="000000"/>
                  </w14:solidFill>
                  <w14:prstDash w14:val="solid"/>
                  <w14:bevel/>
                </w14:textOutline>
              </w:rPr>
              <w:t>条款号</w:t>
            </w:r>
          </w:p>
        </w:tc>
        <w:tc>
          <w:tcPr>
            <w:tcW w:w="1907" w:type="dxa"/>
            <w:tcBorders>
              <w:top w:val="single" w:color="000000" w:sz="10" w:space="0"/>
            </w:tcBorders>
          </w:tcPr>
          <w:p>
            <w:pPr>
              <w:pStyle w:val="48"/>
              <w:spacing w:before="114" w:line="223" w:lineRule="auto"/>
              <w:ind w:left="534"/>
              <w:rPr>
                <w:rFonts w:hint="eastAsia"/>
                <w:color w:val="auto"/>
                <w:highlight w:val="none"/>
              </w:rPr>
            </w:pPr>
            <w:r>
              <w:rPr>
                <w:color w:val="auto"/>
                <w:spacing w:val="8"/>
                <w:highlight w:val="none"/>
                <w14:textOutline w14:w="3797" w14:cap="sq" w14:cmpd="sng" w14:algn="ctr">
                  <w14:solidFill>
                    <w14:srgbClr w14:val="000000"/>
                  </w14:solidFill>
                  <w14:prstDash w14:val="solid"/>
                  <w14:bevel/>
                </w14:textOutline>
              </w:rPr>
              <w:t>条款内容</w:t>
            </w:r>
          </w:p>
        </w:tc>
        <w:tc>
          <w:tcPr>
            <w:tcW w:w="5942" w:type="dxa"/>
            <w:tcBorders>
              <w:top w:val="single" w:color="000000" w:sz="10" w:space="0"/>
              <w:right w:val="single" w:color="000000" w:sz="10" w:space="0"/>
            </w:tcBorders>
          </w:tcPr>
          <w:p>
            <w:pPr>
              <w:pStyle w:val="48"/>
              <w:spacing w:before="114" w:line="223" w:lineRule="auto"/>
              <w:ind w:left="112"/>
              <w:rPr>
                <w:rFonts w:hint="eastAsia"/>
                <w:color w:val="auto"/>
                <w:highlight w:val="none"/>
              </w:rPr>
            </w:pPr>
            <w:r>
              <w:rPr>
                <w:color w:val="auto"/>
                <w:spacing w:val="8"/>
                <w:highlight w:val="none"/>
                <w14:textOutline w14:w="3797" w14:cap="sq" w14:cmpd="sng" w14:algn="ctr">
                  <w14:solidFill>
                    <w14:srgbClr w14:val="000000"/>
                  </w14:solidFill>
                  <w14:prstDash w14:val="solid"/>
                  <w14:bevel/>
                </w14:textOutline>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7" w:hRule="atLeast"/>
        </w:trPr>
        <w:tc>
          <w:tcPr>
            <w:tcW w:w="1959" w:type="dxa"/>
            <w:gridSpan w:val="2"/>
            <w:tcBorders>
              <w:left w:val="single" w:color="000000" w:sz="10" w:space="0"/>
            </w:tcBorders>
          </w:tcPr>
          <w:p>
            <w:pPr>
              <w:spacing w:line="305" w:lineRule="auto"/>
              <w:rPr>
                <w:color w:val="auto"/>
                <w:sz w:val="28"/>
                <w:szCs w:val="28"/>
                <w:highlight w:val="none"/>
              </w:rPr>
            </w:pPr>
          </w:p>
          <w:p>
            <w:pPr>
              <w:spacing w:line="305" w:lineRule="auto"/>
              <w:rPr>
                <w:color w:val="auto"/>
                <w:sz w:val="28"/>
                <w:szCs w:val="28"/>
                <w:highlight w:val="none"/>
              </w:rPr>
            </w:pPr>
          </w:p>
          <w:p>
            <w:pPr>
              <w:pStyle w:val="48"/>
              <w:spacing w:before="65" w:line="190" w:lineRule="auto"/>
              <w:ind w:left="712"/>
              <w:rPr>
                <w:rFonts w:hint="eastAsia"/>
                <w:color w:val="auto"/>
                <w:highlight w:val="none"/>
              </w:rPr>
            </w:pPr>
            <w:r>
              <w:rPr>
                <w:color w:val="auto"/>
                <w:spacing w:val="2"/>
                <w:highlight w:val="none"/>
              </w:rPr>
              <w:t>2.2.1</w:t>
            </w:r>
          </w:p>
        </w:tc>
        <w:tc>
          <w:tcPr>
            <w:tcW w:w="1907" w:type="dxa"/>
          </w:tcPr>
          <w:p>
            <w:pPr>
              <w:spacing w:line="400" w:lineRule="auto"/>
              <w:rPr>
                <w:color w:val="auto"/>
                <w:sz w:val="28"/>
                <w:szCs w:val="28"/>
                <w:highlight w:val="none"/>
              </w:rPr>
            </w:pPr>
          </w:p>
          <w:p>
            <w:pPr>
              <w:pStyle w:val="48"/>
              <w:spacing w:before="65" w:line="228" w:lineRule="auto"/>
              <w:ind w:left="537"/>
              <w:rPr>
                <w:rFonts w:hint="eastAsia"/>
                <w:color w:val="auto"/>
                <w:highlight w:val="none"/>
              </w:rPr>
            </w:pPr>
            <w:r>
              <w:rPr>
                <w:color w:val="auto"/>
                <w:spacing w:val="6"/>
                <w:highlight w:val="none"/>
              </w:rPr>
              <w:t>分值构成</w:t>
            </w:r>
          </w:p>
          <w:p>
            <w:pPr>
              <w:pStyle w:val="48"/>
              <w:spacing w:before="113" w:line="228" w:lineRule="auto"/>
              <w:ind w:left="230"/>
              <w:rPr>
                <w:rFonts w:hint="eastAsia"/>
                <w:color w:val="auto"/>
                <w:highlight w:val="none"/>
              </w:rPr>
            </w:pPr>
            <w:r>
              <w:rPr>
                <w:color w:val="auto"/>
                <w:highlight w:val="none"/>
              </w:rPr>
              <w:t>（总分100分）</w:t>
            </w:r>
          </w:p>
        </w:tc>
        <w:tc>
          <w:tcPr>
            <w:tcW w:w="5942" w:type="dxa"/>
            <w:tcBorders>
              <w:right w:val="single" w:color="000000" w:sz="10" w:space="0"/>
            </w:tcBorders>
          </w:tcPr>
          <w:p>
            <w:pPr>
              <w:pStyle w:val="48"/>
              <w:spacing w:before="107" w:line="228" w:lineRule="auto"/>
              <w:ind w:left="119"/>
              <w:rPr>
                <w:rFonts w:hint="eastAsia"/>
                <w:color w:val="auto"/>
                <w:highlight w:val="none"/>
                <w:lang w:eastAsia="zh-CN"/>
              </w:rPr>
            </w:pPr>
            <w:r>
              <w:rPr>
                <w:color w:val="auto"/>
                <w:spacing w:val="6"/>
                <w:highlight w:val="none"/>
                <w:lang w:eastAsia="zh-CN"/>
              </w:rPr>
              <w:t>资信业绩部分：</w:t>
            </w:r>
            <w:r>
              <w:rPr>
                <w:rFonts w:hint="eastAsia"/>
                <w:color w:val="auto"/>
                <w:spacing w:val="6"/>
                <w:highlight w:val="none"/>
                <w:lang w:eastAsia="zh-CN"/>
              </w:rPr>
              <w:t>25</w:t>
            </w:r>
            <w:r>
              <w:rPr>
                <w:color w:val="auto"/>
                <w:spacing w:val="6"/>
                <w:highlight w:val="none"/>
                <w:lang w:eastAsia="zh-CN"/>
              </w:rPr>
              <w:t>分</w:t>
            </w:r>
          </w:p>
          <w:p>
            <w:pPr>
              <w:pStyle w:val="48"/>
              <w:spacing w:before="113" w:line="228" w:lineRule="auto"/>
              <w:ind w:left="111"/>
              <w:rPr>
                <w:rFonts w:hint="eastAsia"/>
                <w:color w:val="auto"/>
                <w:highlight w:val="none"/>
                <w:lang w:eastAsia="zh-CN"/>
              </w:rPr>
            </w:pPr>
            <w:r>
              <w:rPr>
                <w:color w:val="auto"/>
                <w:spacing w:val="7"/>
                <w:highlight w:val="none"/>
                <w:lang w:eastAsia="zh-CN"/>
              </w:rPr>
              <w:t>监理大纲部分：</w:t>
            </w:r>
            <w:r>
              <w:rPr>
                <w:rFonts w:hint="eastAsia"/>
                <w:color w:val="auto"/>
                <w:spacing w:val="7"/>
                <w:highlight w:val="none"/>
                <w:lang w:eastAsia="zh-CN"/>
              </w:rPr>
              <w:t>60</w:t>
            </w:r>
            <w:r>
              <w:rPr>
                <w:color w:val="auto"/>
                <w:spacing w:val="7"/>
                <w:highlight w:val="none"/>
                <w:lang w:eastAsia="zh-CN"/>
              </w:rPr>
              <w:t>分</w:t>
            </w:r>
          </w:p>
          <w:p>
            <w:pPr>
              <w:pStyle w:val="48"/>
              <w:spacing w:before="113" w:line="226" w:lineRule="auto"/>
              <w:ind w:left="110"/>
              <w:rPr>
                <w:rFonts w:hint="eastAsia"/>
                <w:color w:val="auto"/>
                <w:highlight w:val="none"/>
                <w:lang w:eastAsia="zh-CN"/>
              </w:rPr>
            </w:pPr>
            <w:r>
              <w:rPr>
                <w:color w:val="auto"/>
                <w:spacing w:val="6"/>
                <w:highlight w:val="none"/>
                <w:lang w:eastAsia="zh-CN"/>
              </w:rPr>
              <w:t>磋商报价：10分</w:t>
            </w:r>
          </w:p>
          <w:p>
            <w:pPr>
              <w:pStyle w:val="48"/>
              <w:spacing w:before="114" w:line="221" w:lineRule="auto"/>
              <w:ind w:left="111"/>
              <w:rPr>
                <w:rFonts w:hint="eastAsia"/>
                <w:color w:val="auto"/>
                <w:highlight w:val="none"/>
                <w:lang w:eastAsia="zh-CN"/>
              </w:rPr>
            </w:pPr>
            <w:r>
              <w:rPr>
                <w:color w:val="auto"/>
                <w:spacing w:val="7"/>
                <w:highlight w:val="none"/>
                <w:lang w:eastAsia="zh-CN"/>
              </w:rPr>
              <w:t>其他评分因素：</w:t>
            </w:r>
            <w:r>
              <w:rPr>
                <w:rFonts w:hint="eastAsia"/>
                <w:color w:val="auto"/>
                <w:spacing w:val="7"/>
                <w:highlight w:val="none"/>
                <w:lang w:eastAsia="zh-CN"/>
              </w:rPr>
              <w:t>5</w:t>
            </w:r>
            <w:r>
              <w:rPr>
                <w:color w:val="auto"/>
                <w:spacing w:val="7"/>
                <w:highlight w:val="none"/>
                <w:lang w:eastAsia="zh-CN"/>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959" w:type="dxa"/>
            <w:gridSpan w:val="2"/>
            <w:tcBorders>
              <w:left w:val="single" w:color="000000" w:sz="10" w:space="0"/>
            </w:tcBorders>
          </w:tcPr>
          <w:p>
            <w:pPr>
              <w:pStyle w:val="48"/>
              <w:spacing w:before="113" w:line="217" w:lineRule="auto"/>
              <w:ind w:left="659"/>
              <w:rPr>
                <w:rFonts w:hint="eastAsia"/>
                <w:color w:val="auto"/>
                <w:highlight w:val="none"/>
              </w:rPr>
            </w:pPr>
            <w:r>
              <w:rPr>
                <w:color w:val="auto"/>
                <w:spacing w:val="7"/>
                <w:highlight w:val="none"/>
                <w14:textOutline w14:w="3797" w14:cap="sq" w14:cmpd="sng" w14:algn="ctr">
                  <w14:solidFill>
                    <w14:srgbClr w14:val="000000"/>
                  </w14:solidFill>
                  <w14:prstDash w14:val="solid"/>
                  <w14:bevel/>
                </w14:textOutline>
              </w:rPr>
              <w:t>条款号</w:t>
            </w:r>
          </w:p>
        </w:tc>
        <w:tc>
          <w:tcPr>
            <w:tcW w:w="1907" w:type="dxa"/>
          </w:tcPr>
          <w:p>
            <w:pPr>
              <w:pStyle w:val="48"/>
              <w:spacing w:before="113" w:line="217" w:lineRule="auto"/>
              <w:ind w:left="531"/>
              <w:rPr>
                <w:rFonts w:hint="eastAsia"/>
                <w:color w:val="auto"/>
                <w:highlight w:val="none"/>
              </w:rPr>
            </w:pPr>
            <w:r>
              <w:rPr>
                <w:color w:val="auto"/>
                <w:spacing w:val="8"/>
                <w:highlight w:val="none"/>
                <w14:textOutline w14:w="3797" w14:cap="sq" w14:cmpd="sng" w14:algn="ctr">
                  <w14:solidFill>
                    <w14:srgbClr w14:val="000000"/>
                  </w14:solidFill>
                  <w14:prstDash w14:val="solid"/>
                  <w14:bevel/>
                </w14:textOutline>
              </w:rPr>
              <w:t>评审因素</w:t>
            </w:r>
          </w:p>
        </w:tc>
        <w:tc>
          <w:tcPr>
            <w:tcW w:w="5942" w:type="dxa"/>
            <w:tcBorders>
              <w:right w:val="single" w:color="000000" w:sz="10" w:space="0"/>
            </w:tcBorders>
          </w:tcPr>
          <w:p>
            <w:pPr>
              <w:pStyle w:val="48"/>
              <w:spacing w:before="113" w:line="217" w:lineRule="auto"/>
              <w:ind w:left="2553"/>
              <w:rPr>
                <w:rFonts w:hint="eastAsia"/>
                <w:color w:val="auto"/>
                <w:highlight w:val="none"/>
              </w:rPr>
            </w:pPr>
            <w:r>
              <w:rPr>
                <w:color w:val="auto"/>
                <w:spacing w:val="8"/>
                <w:highlight w:val="none"/>
                <w14:textOutline w14:w="3797" w14:cap="sq" w14:cmpd="sng" w14:algn="ctr">
                  <w14:solidFill>
                    <w14:srgbClr w14:val="000000"/>
                  </w14:solidFill>
                  <w14:prstDash w14:val="solid"/>
                  <w14:bevel/>
                </w14:textOutline>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829" w:type="dxa"/>
            <w:vMerge w:val="restart"/>
            <w:tcBorders>
              <w:left w:val="single" w:color="000000" w:sz="10" w:space="0"/>
              <w:bottom w:val="nil"/>
            </w:tcBorders>
          </w:tcPr>
          <w:p>
            <w:pPr>
              <w:spacing w:line="259" w:lineRule="auto"/>
              <w:rPr>
                <w:color w:val="auto"/>
                <w:sz w:val="28"/>
                <w:szCs w:val="28"/>
                <w:highlight w:val="none"/>
              </w:rPr>
            </w:pPr>
          </w:p>
          <w:p>
            <w:pPr>
              <w:spacing w:line="259" w:lineRule="auto"/>
              <w:rPr>
                <w:color w:val="auto"/>
                <w:sz w:val="28"/>
                <w:szCs w:val="28"/>
                <w:highlight w:val="none"/>
              </w:rPr>
            </w:pPr>
          </w:p>
          <w:p>
            <w:pPr>
              <w:spacing w:line="259" w:lineRule="auto"/>
              <w:rPr>
                <w:color w:val="auto"/>
                <w:sz w:val="28"/>
                <w:szCs w:val="28"/>
                <w:highlight w:val="none"/>
              </w:rPr>
            </w:pPr>
          </w:p>
          <w:p>
            <w:pPr>
              <w:spacing w:line="259" w:lineRule="auto"/>
              <w:rPr>
                <w:color w:val="auto"/>
                <w:sz w:val="28"/>
                <w:szCs w:val="28"/>
                <w:highlight w:val="none"/>
              </w:rPr>
            </w:pPr>
          </w:p>
          <w:p>
            <w:pPr>
              <w:spacing w:line="259" w:lineRule="auto"/>
              <w:rPr>
                <w:color w:val="auto"/>
                <w:sz w:val="28"/>
                <w:szCs w:val="28"/>
                <w:highlight w:val="none"/>
              </w:rPr>
            </w:pPr>
          </w:p>
          <w:p>
            <w:pPr>
              <w:spacing w:line="259" w:lineRule="auto"/>
              <w:rPr>
                <w:color w:val="auto"/>
                <w:sz w:val="28"/>
                <w:szCs w:val="28"/>
                <w:highlight w:val="none"/>
              </w:rPr>
            </w:pPr>
          </w:p>
          <w:p>
            <w:pPr>
              <w:spacing w:line="259" w:lineRule="auto"/>
              <w:rPr>
                <w:color w:val="auto"/>
                <w:sz w:val="28"/>
                <w:szCs w:val="28"/>
                <w:highlight w:val="none"/>
              </w:rPr>
            </w:pPr>
          </w:p>
          <w:p>
            <w:pPr>
              <w:spacing w:line="259" w:lineRule="auto"/>
              <w:rPr>
                <w:color w:val="auto"/>
                <w:sz w:val="28"/>
                <w:szCs w:val="28"/>
                <w:highlight w:val="none"/>
              </w:rPr>
            </w:pPr>
          </w:p>
          <w:p>
            <w:pPr>
              <w:spacing w:line="259" w:lineRule="auto"/>
              <w:rPr>
                <w:color w:val="auto"/>
                <w:sz w:val="28"/>
                <w:szCs w:val="28"/>
                <w:highlight w:val="none"/>
              </w:rPr>
            </w:pPr>
          </w:p>
          <w:p>
            <w:pPr>
              <w:spacing w:line="260" w:lineRule="auto"/>
              <w:rPr>
                <w:color w:val="auto"/>
                <w:sz w:val="28"/>
                <w:szCs w:val="28"/>
                <w:highlight w:val="none"/>
              </w:rPr>
            </w:pPr>
          </w:p>
          <w:p>
            <w:pPr>
              <w:spacing w:line="260" w:lineRule="auto"/>
              <w:rPr>
                <w:color w:val="auto"/>
                <w:sz w:val="28"/>
                <w:szCs w:val="28"/>
                <w:highlight w:val="none"/>
              </w:rPr>
            </w:pPr>
          </w:p>
          <w:p>
            <w:pPr>
              <w:spacing w:line="260" w:lineRule="auto"/>
              <w:rPr>
                <w:color w:val="auto"/>
                <w:sz w:val="28"/>
                <w:szCs w:val="28"/>
                <w:highlight w:val="none"/>
              </w:rPr>
            </w:pPr>
          </w:p>
          <w:p>
            <w:pPr>
              <w:pStyle w:val="48"/>
              <w:spacing w:before="65" w:line="327" w:lineRule="exact"/>
              <w:ind w:left="146"/>
              <w:rPr>
                <w:rFonts w:hint="eastAsia"/>
                <w:color w:val="auto"/>
                <w:highlight w:val="none"/>
                <w:lang w:eastAsia="zh-CN"/>
              </w:rPr>
            </w:pPr>
            <w:r>
              <w:rPr>
                <w:color w:val="auto"/>
                <w:spacing w:val="2"/>
                <w:position w:val="12"/>
                <w:highlight w:val="none"/>
              </w:rPr>
              <w:t>2.2.</w:t>
            </w:r>
            <w:r>
              <w:rPr>
                <w:rFonts w:hint="eastAsia"/>
                <w:color w:val="auto"/>
                <w:spacing w:val="2"/>
                <w:position w:val="12"/>
                <w:highlight w:val="none"/>
                <w:lang w:eastAsia="zh-CN"/>
              </w:rPr>
              <w:t>2</w:t>
            </w:r>
          </w:p>
          <w:p>
            <w:pPr>
              <w:pStyle w:val="48"/>
              <w:spacing w:line="239" w:lineRule="auto"/>
              <w:ind w:left="153"/>
              <w:rPr>
                <w:rFonts w:hint="eastAsia"/>
                <w:color w:val="auto"/>
                <w:highlight w:val="none"/>
              </w:rPr>
            </w:pPr>
            <w:r>
              <w:rPr>
                <w:color w:val="auto"/>
                <w:spacing w:val="-2"/>
                <w:highlight w:val="none"/>
              </w:rPr>
              <w:t>（1）</w:t>
            </w:r>
          </w:p>
        </w:tc>
        <w:tc>
          <w:tcPr>
            <w:tcW w:w="1130" w:type="dxa"/>
            <w:vMerge w:val="restart"/>
            <w:tcBorders>
              <w:bottom w:val="nil"/>
            </w:tcBorders>
          </w:tcPr>
          <w:p>
            <w:pPr>
              <w:spacing w:line="242" w:lineRule="auto"/>
              <w:rPr>
                <w:color w:val="auto"/>
                <w:sz w:val="28"/>
                <w:szCs w:val="28"/>
                <w:highlight w:val="none"/>
                <w:lang w:eastAsia="zh-CN"/>
              </w:rPr>
            </w:pPr>
          </w:p>
          <w:p>
            <w:pPr>
              <w:spacing w:line="242" w:lineRule="auto"/>
              <w:rPr>
                <w:color w:val="auto"/>
                <w:sz w:val="28"/>
                <w:szCs w:val="28"/>
                <w:highlight w:val="none"/>
                <w:lang w:eastAsia="zh-CN"/>
              </w:rPr>
            </w:pPr>
          </w:p>
          <w:p>
            <w:pPr>
              <w:spacing w:line="243" w:lineRule="auto"/>
              <w:rPr>
                <w:color w:val="auto"/>
                <w:sz w:val="28"/>
                <w:szCs w:val="28"/>
                <w:highlight w:val="none"/>
                <w:lang w:eastAsia="zh-CN"/>
              </w:rPr>
            </w:pPr>
          </w:p>
          <w:p>
            <w:pPr>
              <w:spacing w:line="243" w:lineRule="auto"/>
              <w:rPr>
                <w:color w:val="auto"/>
                <w:sz w:val="28"/>
                <w:szCs w:val="28"/>
                <w:highlight w:val="none"/>
                <w:lang w:eastAsia="zh-CN"/>
              </w:rPr>
            </w:pPr>
          </w:p>
          <w:p>
            <w:pPr>
              <w:spacing w:line="243" w:lineRule="auto"/>
              <w:rPr>
                <w:color w:val="auto"/>
                <w:sz w:val="28"/>
                <w:szCs w:val="28"/>
                <w:highlight w:val="none"/>
                <w:lang w:eastAsia="zh-CN"/>
              </w:rPr>
            </w:pPr>
          </w:p>
          <w:p>
            <w:pPr>
              <w:spacing w:line="243" w:lineRule="auto"/>
              <w:rPr>
                <w:color w:val="auto"/>
                <w:sz w:val="28"/>
                <w:szCs w:val="28"/>
                <w:highlight w:val="none"/>
                <w:lang w:eastAsia="zh-CN"/>
              </w:rPr>
            </w:pPr>
          </w:p>
          <w:p>
            <w:pPr>
              <w:spacing w:line="243" w:lineRule="auto"/>
              <w:rPr>
                <w:color w:val="auto"/>
                <w:sz w:val="28"/>
                <w:szCs w:val="28"/>
                <w:highlight w:val="none"/>
                <w:lang w:eastAsia="zh-CN"/>
              </w:rPr>
            </w:pPr>
          </w:p>
          <w:p>
            <w:pPr>
              <w:spacing w:line="243" w:lineRule="auto"/>
              <w:rPr>
                <w:color w:val="auto"/>
                <w:sz w:val="28"/>
                <w:szCs w:val="28"/>
                <w:highlight w:val="none"/>
                <w:lang w:eastAsia="zh-CN"/>
              </w:rPr>
            </w:pPr>
          </w:p>
          <w:p>
            <w:pPr>
              <w:spacing w:line="243" w:lineRule="auto"/>
              <w:rPr>
                <w:color w:val="auto"/>
                <w:sz w:val="28"/>
                <w:szCs w:val="28"/>
                <w:highlight w:val="none"/>
                <w:lang w:eastAsia="zh-CN"/>
              </w:rPr>
            </w:pPr>
          </w:p>
          <w:p>
            <w:pPr>
              <w:spacing w:line="243" w:lineRule="auto"/>
              <w:rPr>
                <w:color w:val="auto"/>
                <w:sz w:val="28"/>
                <w:szCs w:val="28"/>
                <w:highlight w:val="none"/>
                <w:lang w:eastAsia="zh-CN"/>
              </w:rPr>
            </w:pPr>
          </w:p>
          <w:p>
            <w:pPr>
              <w:spacing w:line="243" w:lineRule="auto"/>
              <w:rPr>
                <w:color w:val="auto"/>
                <w:sz w:val="28"/>
                <w:szCs w:val="28"/>
                <w:highlight w:val="none"/>
                <w:lang w:eastAsia="zh-CN"/>
              </w:rPr>
            </w:pPr>
          </w:p>
          <w:p>
            <w:pPr>
              <w:spacing w:line="243" w:lineRule="auto"/>
              <w:rPr>
                <w:color w:val="auto"/>
                <w:sz w:val="28"/>
                <w:szCs w:val="28"/>
                <w:highlight w:val="none"/>
                <w:lang w:eastAsia="zh-CN"/>
              </w:rPr>
            </w:pPr>
          </w:p>
          <w:p>
            <w:pPr>
              <w:pStyle w:val="48"/>
              <w:spacing w:before="65" w:line="268" w:lineRule="auto"/>
              <w:ind w:left="101" w:right="113" w:firstLine="9"/>
              <w:jc w:val="both"/>
              <w:rPr>
                <w:rFonts w:hint="eastAsia"/>
                <w:color w:val="auto"/>
                <w:spacing w:val="27"/>
                <w:highlight w:val="none"/>
                <w:lang w:eastAsia="zh-CN"/>
              </w:rPr>
            </w:pPr>
            <w:r>
              <w:rPr>
                <w:color w:val="auto"/>
                <w:spacing w:val="24"/>
                <w:highlight w:val="none"/>
                <w:lang w:eastAsia="zh-CN"/>
              </w:rPr>
              <w:t>资信业绩</w:t>
            </w:r>
            <w:r>
              <w:rPr>
                <w:color w:val="auto"/>
                <w:spacing w:val="27"/>
                <w:highlight w:val="none"/>
                <w:lang w:eastAsia="zh-CN"/>
              </w:rPr>
              <w:t>评分标准</w:t>
            </w:r>
          </w:p>
          <w:p>
            <w:pPr>
              <w:pStyle w:val="48"/>
              <w:spacing w:before="65" w:line="268" w:lineRule="auto"/>
              <w:ind w:left="101" w:right="113" w:firstLine="9"/>
              <w:jc w:val="both"/>
              <w:rPr>
                <w:rFonts w:hint="eastAsia"/>
                <w:color w:val="auto"/>
                <w:highlight w:val="none"/>
                <w:lang w:eastAsia="zh-CN"/>
              </w:rPr>
            </w:pPr>
            <w:r>
              <w:rPr>
                <w:color w:val="auto"/>
                <w:spacing w:val="2"/>
                <w:highlight w:val="none"/>
                <w:lang w:eastAsia="zh-CN"/>
              </w:rPr>
              <w:t>（</w:t>
            </w:r>
            <w:r>
              <w:rPr>
                <w:rFonts w:hint="eastAsia" w:ascii="Times New Roman" w:hAnsi="Times New Roman" w:cs="Times New Roman"/>
                <w:color w:val="auto"/>
                <w:spacing w:val="2"/>
                <w:highlight w:val="none"/>
                <w:lang w:eastAsia="zh-CN"/>
              </w:rPr>
              <w:t>25</w:t>
            </w:r>
            <w:r>
              <w:rPr>
                <w:color w:val="auto"/>
                <w:spacing w:val="2"/>
                <w:highlight w:val="none"/>
                <w:lang w:eastAsia="zh-CN"/>
              </w:rPr>
              <w:t>分）</w:t>
            </w:r>
          </w:p>
        </w:tc>
        <w:tc>
          <w:tcPr>
            <w:tcW w:w="1907" w:type="dxa"/>
          </w:tcPr>
          <w:p>
            <w:pPr>
              <w:pStyle w:val="48"/>
              <w:spacing w:before="230" w:line="280" w:lineRule="auto"/>
              <w:ind w:left="745" w:right="169" w:hanging="578"/>
              <w:rPr>
                <w:rFonts w:hint="eastAsia"/>
                <w:color w:val="auto"/>
                <w:spacing w:val="8"/>
                <w:highlight w:val="none"/>
              </w:rPr>
            </w:pPr>
            <w:r>
              <w:rPr>
                <w:color w:val="auto"/>
                <w:spacing w:val="8"/>
                <w:highlight w:val="none"/>
              </w:rPr>
              <w:t>类似项目业绩</w:t>
            </w:r>
          </w:p>
          <w:p>
            <w:pPr>
              <w:pStyle w:val="48"/>
              <w:spacing w:before="230" w:line="280" w:lineRule="auto"/>
              <w:ind w:left="795" w:leftChars="287" w:right="169" w:hanging="192" w:hangingChars="75"/>
              <w:rPr>
                <w:rFonts w:hint="eastAsia"/>
                <w:color w:val="auto"/>
                <w:highlight w:val="none"/>
              </w:rPr>
            </w:pPr>
            <w:r>
              <w:rPr>
                <w:color w:val="auto"/>
                <w:spacing w:val="8"/>
                <w:highlight w:val="none"/>
              </w:rPr>
              <w:t>（</w:t>
            </w:r>
            <w:r>
              <w:rPr>
                <w:rFonts w:hint="eastAsia"/>
                <w:color w:val="auto"/>
                <w:spacing w:val="8"/>
                <w:highlight w:val="none"/>
                <w:lang w:eastAsia="zh-CN"/>
              </w:rPr>
              <w:t>9</w:t>
            </w:r>
            <w:r>
              <w:rPr>
                <w:color w:val="auto"/>
                <w:spacing w:val="-1"/>
                <w:highlight w:val="none"/>
              </w:rPr>
              <w:t>分）</w:t>
            </w:r>
          </w:p>
        </w:tc>
        <w:tc>
          <w:tcPr>
            <w:tcW w:w="5942" w:type="dxa"/>
            <w:tcBorders>
              <w:right w:val="single" w:color="000000" w:sz="10" w:space="0"/>
            </w:tcBorders>
          </w:tcPr>
          <w:p>
            <w:pPr>
              <w:pStyle w:val="48"/>
              <w:spacing w:before="230" w:line="280" w:lineRule="auto"/>
              <w:ind w:left="113" w:right="100"/>
              <w:rPr>
                <w:rFonts w:hint="eastAsia"/>
                <w:color w:val="auto"/>
                <w:highlight w:val="none"/>
                <w:lang w:eastAsia="zh-CN"/>
              </w:rPr>
            </w:pPr>
            <w:r>
              <w:rPr>
                <w:rFonts w:hint="eastAsia"/>
                <w:color w:val="auto"/>
                <w:spacing w:val="4"/>
                <w:highlight w:val="none"/>
                <w:lang w:eastAsia="zh-CN"/>
              </w:rPr>
              <w:t>供应商</w:t>
            </w:r>
            <w:r>
              <w:rPr>
                <w:color w:val="auto"/>
                <w:spacing w:val="4"/>
                <w:highlight w:val="none"/>
                <w:lang w:eastAsia="zh-CN"/>
              </w:rPr>
              <w:t>近三年（</w:t>
            </w:r>
            <w:r>
              <w:rPr>
                <w:rFonts w:ascii="Times New Roman" w:hAnsi="Times New Roman" w:eastAsia="Times New Roman" w:cs="Times New Roman"/>
                <w:color w:val="auto"/>
                <w:spacing w:val="4"/>
                <w:highlight w:val="none"/>
                <w:lang w:eastAsia="zh-CN"/>
              </w:rPr>
              <w:t>202</w:t>
            </w:r>
            <w:r>
              <w:rPr>
                <w:rFonts w:hint="eastAsia" w:ascii="Times New Roman" w:hAnsi="Times New Roman" w:cs="Times New Roman"/>
                <w:color w:val="auto"/>
                <w:spacing w:val="4"/>
                <w:highlight w:val="none"/>
                <w:lang w:eastAsia="zh-CN"/>
              </w:rPr>
              <w:t>2</w:t>
            </w:r>
            <w:r>
              <w:rPr>
                <w:color w:val="auto"/>
                <w:spacing w:val="4"/>
                <w:highlight w:val="none"/>
                <w:lang w:eastAsia="zh-CN"/>
              </w:rPr>
              <w:t>年</w:t>
            </w:r>
            <w:r>
              <w:rPr>
                <w:rFonts w:ascii="Times New Roman" w:hAnsi="Times New Roman" w:eastAsia="Times New Roman" w:cs="Times New Roman"/>
                <w:color w:val="auto"/>
                <w:spacing w:val="4"/>
                <w:highlight w:val="none"/>
                <w:lang w:eastAsia="zh-CN"/>
              </w:rPr>
              <w:t>1</w:t>
            </w:r>
            <w:r>
              <w:rPr>
                <w:color w:val="auto"/>
                <w:spacing w:val="4"/>
                <w:highlight w:val="none"/>
                <w:lang w:eastAsia="zh-CN"/>
              </w:rPr>
              <w:t>月</w:t>
            </w:r>
            <w:r>
              <w:rPr>
                <w:rFonts w:ascii="Times New Roman" w:hAnsi="Times New Roman" w:eastAsia="Times New Roman" w:cs="Times New Roman"/>
                <w:color w:val="auto"/>
                <w:spacing w:val="4"/>
                <w:highlight w:val="none"/>
                <w:lang w:eastAsia="zh-CN"/>
              </w:rPr>
              <w:t>1</w:t>
            </w:r>
            <w:r>
              <w:rPr>
                <w:color w:val="auto"/>
                <w:spacing w:val="4"/>
                <w:highlight w:val="none"/>
                <w:lang w:eastAsia="zh-CN"/>
              </w:rPr>
              <w:t>日至今）具有与本项目相类似的</w:t>
            </w:r>
            <w:r>
              <w:rPr>
                <w:color w:val="auto"/>
                <w:spacing w:val="6"/>
                <w:highlight w:val="none"/>
                <w:lang w:eastAsia="zh-CN"/>
              </w:rPr>
              <w:t>项目业绩，每有一项得</w:t>
            </w:r>
            <w:r>
              <w:rPr>
                <w:rFonts w:hint="eastAsia" w:ascii="Times New Roman" w:hAnsi="Times New Roman" w:cs="Times New Roman"/>
                <w:color w:val="auto"/>
                <w:spacing w:val="6"/>
                <w:highlight w:val="none"/>
                <w:lang w:eastAsia="zh-CN"/>
              </w:rPr>
              <w:t>3</w:t>
            </w:r>
            <w:r>
              <w:rPr>
                <w:color w:val="auto"/>
                <w:spacing w:val="6"/>
                <w:highlight w:val="none"/>
                <w:lang w:eastAsia="zh-CN"/>
              </w:rPr>
              <w:t>分，满分</w:t>
            </w:r>
            <w:r>
              <w:rPr>
                <w:rFonts w:hint="eastAsia" w:ascii="Times New Roman" w:hAnsi="Times New Roman" w:cs="Times New Roman"/>
                <w:color w:val="auto"/>
                <w:spacing w:val="6"/>
                <w:highlight w:val="none"/>
                <w:lang w:eastAsia="zh-CN"/>
              </w:rPr>
              <w:t>9</w:t>
            </w:r>
            <w:r>
              <w:rPr>
                <w:color w:val="auto"/>
                <w:spacing w:val="6"/>
                <w:highlight w:val="none"/>
                <w:lang w:eastAsia="zh-CN"/>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9" w:hRule="atLeast"/>
        </w:trPr>
        <w:tc>
          <w:tcPr>
            <w:tcW w:w="829" w:type="dxa"/>
            <w:vMerge w:val="continue"/>
            <w:tcBorders>
              <w:top w:val="nil"/>
              <w:left w:val="single" w:color="000000" w:sz="10" w:space="0"/>
              <w:bottom w:val="nil"/>
            </w:tcBorders>
          </w:tcPr>
          <w:p>
            <w:pPr>
              <w:rPr>
                <w:color w:val="auto"/>
                <w:sz w:val="28"/>
                <w:szCs w:val="28"/>
                <w:highlight w:val="none"/>
                <w:lang w:eastAsia="zh-CN"/>
              </w:rPr>
            </w:pPr>
          </w:p>
        </w:tc>
        <w:tc>
          <w:tcPr>
            <w:tcW w:w="1130" w:type="dxa"/>
            <w:vMerge w:val="continue"/>
            <w:tcBorders>
              <w:top w:val="nil"/>
              <w:bottom w:val="nil"/>
            </w:tcBorders>
          </w:tcPr>
          <w:p>
            <w:pPr>
              <w:rPr>
                <w:color w:val="auto"/>
                <w:sz w:val="28"/>
                <w:szCs w:val="28"/>
                <w:highlight w:val="none"/>
                <w:lang w:eastAsia="zh-CN"/>
              </w:rPr>
            </w:pPr>
          </w:p>
        </w:tc>
        <w:tc>
          <w:tcPr>
            <w:tcW w:w="1907" w:type="dxa"/>
            <w:tcBorders>
              <w:bottom w:val="single" w:color="auto" w:sz="4" w:space="0"/>
            </w:tcBorders>
            <w:vAlign w:val="center"/>
          </w:tcPr>
          <w:p>
            <w:pPr>
              <w:pStyle w:val="48"/>
              <w:spacing w:before="230" w:line="280" w:lineRule="auto"/>
              <w:ind w:left="225" w:right="169" w:hanging="58"/>
              <w:jc w:val="center"/>
              <w:rPr>
                <w:rFonts w:hint="eastAsia"/>
                <w:color w:val="auto"/>
                <w:spacing w:val="8"/>
                <w:highlight w:val="none"/>
                <w:lang w:eastAsia="zh-CN"/>
              </w:rPr>
            </w:pPr>
            <w:r>
              <w:rPr>
                <w:rFonts w:hint="eastAsia"/>
                <w:color w:val="auto"/>
                <w:spacing w:val="8"/>
                <w:highlight w:val="none"/>
                <w:lang w:eastAsia="zh-CN"/>
              </w:rPr>
              <w:t>其他主要人员</w:t>
            </w:r>
          </w:p>
          <w:p>
            <w:pPr>
              <w:pStyle w:val="48"/>
              <w:spacing w:before="230" w:line="280" w:lineRule="auto"/>
              <w:ind w:left="225" w:right="169" w:hanging="58"/>
              <w:jc w:val="center"/>
              <w:rPr>
                <w:rFonts w:hint="eastAsia"/>
                <w:color w:val="auto"/>
                <w:spacing w:val="8"/>
                <w:highlight w:val="none"/>
                <w:lang w:eastAsia="zh-CN"/>
              </w:rPr>
            </w:pPr>
            <w:r>
              <w:rPr>
                <w:rFonts w:hint="eastAsia"/>
                <w:color w:val="auto"/>
                <w:spacing w:val="8"/>
                <w:highlight w:val="none"/>
                <w:lang w:eastAsia="zh-CN"/>
              </w:rPr>
              <w:t>（5分）</w:t>
            </w:r>
          </w:p>
        </w:tc>
        <w:tc>
          <w:tcPr>
            <w:tcW w:w="5942" w:type="dxa"/>
            <w:tcBorders>
              <w:bottom w:val="single" w:color="auto" w:sz="4" w:space="0"/>
              <w:right w:val="single" w:color="000000" w:sz="10" w:space="0"/>
            </w:tcBorders>
          </w:tcPr>
          <w:p>
            <w:pPr>
              <w:pStyle w:val="48"/>
              <w:spacing w:before="118" w:line="306" w:lineRule="auto"/>
              <w:ind w:left="110" w:right="97" w:firstLine="1"/>
              <w:rPr>
                <w:rFonts w:hint="eastAsia"/>
                <w:color w:val="auto"/>
                <w:highlight w:val="none"/>
                <w:lang w:eastAsia="zh-CN"/>
              </w:rPr>
            </w:pPr>
            <w:r>
              <w:rPr>
                <w:color w:val="auto"/>
                <w:spacing w:val="12"/>
                <w:highlight w:val="none"/>
                <w:lang w:eastAsia="zh-CN"/>
              </w:rPr>
              <w:t>其他主要人员配备齐全，满足监理要求，</w:t>
            </w:r>
            <w:r>
              <w:rPr>
                <w:color w:val="auto"/>
                <w:spacing w:val="9"/>
                <w:highlight w:val="none"/>
                <w:lang w:eastAsia="zh-CN"/>
              </w:rPr>
              <w:t>对监理人员配备情况进行比较，</w:t>
            </w:r>
            <w:r>
              <w:rPr>
                <w:rFonts w:hint="eastAsia"/>
                <w:color w:val="auto"/>
                <w:spacing w:val="9"/>
                <w:highlight w:val="none"/>
                <w:lang w:eastAsia="zh-CN"/>
              </w:rPr>
              <w:t>配备合理得5</w:t>
            </w:r>
            <w:r>
              <w:rPr>
                <w:color w:val="auto"/>
                <w:spacing w:val="9"/>
                <w:highlight w:val="none"/>
                <w:lang w:eastAsia="zh-CN"/>
              </w:rPr>
              <w:t>分，</w:t>
            </w:r>
            <w:r>
              <w:rPr>
                <w:rFonts w:hint="eastAsia"/>
                <w:color w:val="auto"/>
                <w:spacing w:val="9"/>
                <w:highlight w:val="none"/>
                <w:lang w:eastAsia="zh-CN"/>
              </w:rPr>
              <w:t>基本合理得4分，</w:t>
            </w:r>
            <w:r>
              <w:rPr>
                <w:color w:val="auto"/>
                <w:spacing w:val="9"/>
                <w:highlight w:val="none"/>
                <w:lang w:eastAsia="zh-CN"/>
              </w:rPr>
              <w:t>一般得</w:t>
            </w:r>
            <w:r>
              <w:rPr>
                <w:rFonts w:hint="eastAsia"/>
                <w:color w:val="auto"/>
                <w:spacing w:val="8"/>
                <w:highlight w:val="none"/>
                <w:lang w:eastAsia="zh-CN"/>
              </w:rPr>
              <w:t>2</w:t>
            </w:r>
            <w:r>
              <w:rPr>
                <w:color w:val="auto"/>
                <w:spacing w:val="8"/>
                <w:highlight w:val="none"/>
                <w:lang w:eastAsia="zh-CN"/>
              </w:rPr>
              <w:t>分</w:t>
            </w:r>
            <w:r>
              <w:rPr>
                <w:color w:val="auto"/>
                <w:spacing w:val="7"/>
                <w:highlight w:val="none"/>
                <w:lang w:eastAsia="zh-CN"/>
              </w:rPr>
              <w:t>。</w:t>
            </w:r>
            <w:r>
              <w:rPr>
                <w:rFonts w:hint="eastAsia"/>
                <w:color w:val="auto"/>
                <w:spacing w:val="7"/>
                <w:highlight w:val="none"/>
                <w:lang w:eastAsia="zh-CN"/>
              </w:rPr>
              <w:t>否则不得分。</w:t>
            </w:r>
            <w:r>
              <w:rPr>
                <w:rFonts w:hint="eastAsia"/>
                <w:color w:val="auto"/>
                <w:spacing w:val="12"/>
                <w:highlight w:val="none"/>
                <w:lang w:eastAsia="zh-CN"/>
              </w:rPr>
              <w:t>附</w:t>
            </w:r>
            <w:r>
              <w:rPr>
                <w:color w:val="auto"/>
                <w:spacing w:val="11"/>
                <w:highlight w:val="none"/>
                <w:lang w:eastAsia="zh-CN"/>
              </w:rPr>
              <w:t>与其相</w:t>
            </w:r>
            <w:r>
              <w:rPr>
                <w:color w:val="auto"/>
                <w:spacing w:val="12"/>
                <w:highlight w:val="none"/>
                <w:lang w:eastAsia="zh-CN"/>
              </w:rPr>
              <w:t>对应的岗位证书或资格证书或职称证书</w:t>
            </w:r>
            <w:r>
              <w:rPr>
                <w:color w:val="auto"/>
                <w:spacing w:val="11"/>
                <w:highlight w:val="none"/>
                <w:lang w:eastAsia="zh-CN"/>
              </w:rPr>
              <w:t>，</w:t>
            </w:r>
            <w:r>
              <w:rPr>
                <w:color w:val="auto"/>
                <w:spacing w:val="8"/>
                <w:highlight w:val="none"/>
                <w:lang w:eastAsia="zh-CN"/>
              </w:rPr>
              <w:t>证书扫描件加盖</w:t>
            </w:r>
            <w:r>
              <w:rPr>
                <w:rFonts w:hint="eastAsia"/>
                <w:color w:val="auto"/>
                <w:spacing w:val="8"/>
                <w:highlight w:val="none"/>
                <w:lang w:eastAsia="zh-CN"/>
              </w:rPr>
              <w:t>供应商</w:t>
            </w:r>
            <w:r>
              <w:rPr>
                <w:color w:val="auto"/>
                <w:spacing w:val="8"/>
                <w:highlight w:val="none"/>
                <w:lang w:eastAsia="zh-CN"/>
              </w:rPr>
              <w:t>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9" w:type="dxa"/>
            <w:vMerge w:val="continue"/>
            <w:tcBorders>
              <w:top w:val="nil"/>
              <w:left w:val="single" w:color="000000" w:sz="10" w:space="0"/>
              <w:bottom w:val="nil"/>
            </w:tcBorders>
          </w:tcPr>
          <w:p>
            <w:pPr>
              <w:rPr>
                <w:color w:val="auto"/>
                <w:sz w:val="28"/>
                <w:szCs w:val="28"/>
                <w:highlight w:val="none"/>
                <w:lang w:eastAsia="zh-CN"/>
              </w:rPr>
            </w:pPr>
          </w:p>
        </w:tc>
        <w:tc>
          <w:tcPr>
            <w:tcW w:w="1130" w:type="dxa"/>
            <w:vMerge w:val="continue"/>
            <w:tcBorders>
              <w:top w:val="nil"/>
              <w:bottom w:val="nil"/>
            </w:tcBorders>
          </w:tcPr>
          <w:p>
            <w:pPr>
              <w:rPr>
                <w:color w:val="auto"/>
                <w:sz w:val="28"/>
                <w:szCs w:val="28"/>
                <w:highlight w:val="none"/>
                <w:lang w:eastAsia="zh-CN"/>
              </w:rPr>
            </w:pPr>
          </w:p>
        </w:tc>
        <w:tc>
          <w:tcPr>
            <w:tcW w:w="1907" w:type="dxa"/>
            <w:tcBorders>
              <w:top w:val="single" w:color="auto" w:sz="4" w:space="0"/>
            </w:tcBorders>
          </w:tcPr>
          <w:p>
            <w:pPr>
              <w:pStyle w:val="48"/>
              <w:spacing w:before="230" w:line="280" w:lineRule="auto"/>
              <w:ind w:left="745" w:right="169" w:hanging="578"/>
              <w:jc w:val="both"/>
              <w:rPr>
                <w:rFonts w:hint="eastAsia"/>
                <w:color w:val="auto"/>
                <w:spacing w:val="8"/>
                <w:highlight w:val="none"/>
                <w:lang w:eastAsia="zh-CN"/>
              </w:rPr>
            </w:pPr>
            <w:r>
              <w:rPr>
                <w:rFonts w:hint="eastAsia"/>
                <w:color w:val="auto"/>
                <w:spacing w:val="8"/>
                <w:highlight w:val="none"/>
                <w:lang w:eastAsia="zh-CN"/>
              </w:rPr>
              <w:t>总监理工程师业绩</w:t>
            </w:r>
          </w:p>
          <w:p>
            <w:pPr>
              <w:pStyle w:val="48"/>
              <w:spacing w:before="230" w:line="280" w:lineRule="auto"/>
              <w:ind w:left="745" w:right="169" w:hanging="578"/>
              <w:jc w:val="center"/>
              <w:rPr>
                <w:rFonts w:hint="eastAsia"/>
                <w:color w:val="auto"/>
                <w:spacing w:val="8"/>
                <w:highlight w:val="none"/>
                <w:lang w:eastAsia="zh-CN"/>
              </w:rPr>
            </w:pPr>
            <w:r>
              <w:rPr>
                <w:rFonts w:hint="eastAsia"/>
                <w:color w:val="auto"/>
                <w:spacing w:val="8"/>
                <w:highlight w:val="none"/>
                <w:lang w:eastAsia="zh-CN"/>
              </w:rPr>
              <w:t>（6分）</w:t>
            </w:r>
          </w:p>
        </w:tc>
        <w:tc>
          <w:tcPr>
            <w:tcW w:w="5942" w:type="dxa"/>
            <w:tcBorders>
              <w:top w:val="single" w:color="auto" w:sz="4" w:space="0"/>
              <w:right w:val="single" w:color="000000" w:sz="10" w:space="0"/>
            </w:tcBorders>
          </w:tcPr>
          <w:p>
            <w:pPr>
              <w:pStyle w:val="48"/>
              <w:spacing w:before="165" w:line="297" w:lineRule="auto"/>
              <w:ind w:left="110" w:right="97" w:firstLine="5"/>
              <w:jc w:val="both"/>
              <w:rPr>
                <w:rFonts w:hint="eastAsia"/>
                <w:color w:val="auto"/>
                <w:highlight w:val="none"/>
                <w:lang w:eastAsia="zh-CN"/>
              </w:rPr>
            </w:pPr>
            <w:r>
              <w:rPr>
                <w:color w:val="auto"/>
                <w:spacing w:val="4"/>
                <w:highlight w:val="none"/>
                <w:lang w:eastAsia="zh-CN"/>
              </w:rPr>
              <w:t>总监理工程师在近三年(</w:t>
            </w:r>
            <w:r>
              <w:rPr>
                <w:rFonts w:hint="eastAsia"/>
                <w:color w:val="auto"/>
                <w:spacing w:val="4"/>
                <w:highlight w:val="none"/>
                <w:lang w:eastAsia="zh-CN"/>
              </w:rPr>
              <w:t>2022年1月1日至今</w:t>
            </w:r>
            <w:r>
              <w:rPr>
                <w:color w:val="auto"/>
                <w:spacing w:val="4"/>
                <w:highlight w:val="none"/>
                <w:lang w:eastAsia="zh-CN"/>
              </w:rPr>
              <w:t>)具有与本项目相</w:t>
            </w:r>
            <w:r>
              <w:rPr>
                <w:color w:val="auto"/>
                <w:spacing w:val="12"/>
                <w:highlight w:val="none"/>
                <w:lang w:eastAsia="zh-CN"/>
              </w:rPr>
              <w:t>类似的项目业绩</w:t>
            </w:r>
            <w:r>
              <w:rPr>
                <w:color w:val="auto"/>
                <w:spacing w:val="11"/>
                <w:highlight w:val="none"/>
                <w:lang w:eastAsia="zh-CN"/>
              </w:rPr>
              <w:t>，每有一</w:t>
            </w:r>
            <w:r>
              <w:rPr>
                <w:color w:val="auto"/>
                <w:spacing w:val="4"/>
                <w:highlight w:val="none"/>
                <w:lang w:eastAsia="zh-CN"/>
              </w:rPr>
              <w:t>项得</w:t>
            </w:r>
            <w:r>
              <w:rPr>
                <w:rFonts w:hint="eastAsia"/>
                <w:color w:val="auto"/>
                <w:spacing w:val="4"/>
                <w:highlight w:val="none"/>
                <w:lang w:eastAsia="zh-CN"/>
              </w:rPr>
              <w:t>3</w:t>
            </w:r>
            <w:r>
              <w:rPr>
                <w:color w:val="auto"/>
                <w:spacing w:val="4"/>
                <w:highlight w:val="none"/>
                <w:lang w:eastAsia="zh-CN"/>
              </w:rPr>
              <w:t>分，最高得</w:t>
            </w:r>
            <w:r>
              <w:rPr>
                <w:rFonts w:hint="eastAsia"/>
                <w:color w:val="auto"/>
                <w:spacing w:val="4"/>
                <w:highlight w:val="none"/>
                <w:lang w:eastAsia="zh-CN"/>
              </w:rPr>
              <w:t>6</w:t>
            </w:r>
            <w:r>
              <w:rPr>
                <w:color w:val="auto"/>
                <w:spacing w:val="4"/>
                <w:highlight w:val="none"/>
                <w:lang w:eastAsia="zh-CN"/>
              </w:rPr>
              <w:t>分，无不得分。</w:t>
            </w:r>
            <w:r>
              <w:rPr>
                <w:rFonts w:hint="eastAsia"/>
                <w:color w:val="auto"/>
                <w:spacing w:val="11"/>
                <w:highlight w:val="none"/>
                <w:lang w:eastAsia="zh-CN"/>
              </w:rPr>
              <w:t>响应文件</w:t>
            </w:r>
            <w:r>
              <w:rPr>
                <w:color w:val="auto"/>
                <w:spacing w:val="11"/>
                <w:highlight w:val="none"/>
                <w:lang w:eastAsia="zh-CN"/>
              </w:rPr>
              <w:t>内附中标通知书或合同协议书扫描件</w:t>
            </w:r>
            <w:r>
              <w:rPr>
                <w:color w:val="auto"/>
                <w:spacing w:val="7"/>
                <w:highlight w:val="none"/>
                <w:lang w:eastAsia="zh-CN"/>
              </w:rPr>
              <w:t>加盖</w:t>
            </w:r>
            <w:r>
              <w:rPr>
                <w:rFonts w:hint="eastAsia"/>
                <w:color w:val="auto"/>
                <w:spacing w:val="8"/>
                <w:highlight w:val="none"/>
                <w:lang w:eastAsia="zh-CN"/>
              </w:rPr>
              <w:t>供应商</w:t>
            </w:r>
            <w:r>
              <w:rPr>
                <w:color w:val="auto"/>
                <w:spacing w:val="7"/>
                <w:highlight w:val="none"/>
                <w:lang w:eastAsia="zh-CN"/>
              </w:rPr>
              <w:t>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0" w:hRule="atLeast"/>
        </w:trPr>
        <w:tc>
          <w:tcPr>
            <w:tcW w:w="829" w:type="dxa"/>
            <w:vMerge w:val="continue"/>
            <w:tcBorders>
              <w:top w:val="nil"/>
              <w:left w:val="single" w:color="000000" w:sz="10" w:space="0"/>
            </w:tcBorders>
          </w:tcPr>
          <w:p>
            <w:pPr>
              <w:rPr>
                <w:color w:val="auto"/>
                <w:sz w:val="28"/>
                <w:szCs w:val="28"/>
                <w:highlight w:val="none"/>
                <w:lang w:eastAsia="zh-CN"/>
              </w:rPr>
            </w:pPr>
          </w:p>
        </w:tc>
        <w:tc>
          <w:tcPr>
            <w:tcW w:w="1130" w:type="dxa"/>
            <w:vMerge w:val="continue"/>
            <w:tcBorders>
              <w:top w:val="nil"/>
            </w:tcBorders>
          </w:tcPr>
          <w:p>
            <w:pPr>
              <w:rPr>
                <w:color w:val="auto"/>
                <w:sz w:val="28"/>
                <w:szCs w:val="28"/>
                <w:highlight w:val="none"/>
                <w:lang w:eastAsia="zh-CN"/>
              </w:rPr>
            </w:pPr>
          </w:p>
        </w:tc>
        <w:tc>
          <w:tcPr>
            <w:tcW w:w="1907" w:type="dxa"/>
          </w:tcPr>
          <w:p>
            <w:pPr>
              <w:spacing w:line="300" w:lineRule="auto"/>
              <w:jc w:val="both"/>
              <w:rPr>
                <w:color w:val="auto"/>
                <w:sz w:val="28"/>
                <w:szCs w:val="28"/>
                <w:highlight w:val="none"/>
                <w:lang w:eastAsia="zh-CN"/>
              </w:rPr>
            </w:pPr>
          </w:p>
          <w:p>
            <w:pPr>
              <w:pStyle w:val="48"/>
              <w:spacing w:before="65" w:line="280" w:lineRule="auto"/>
              <w:ind w:left="107" w:right="108"/>
              <w:jc w:val="center"/>
              <w:rPr>
                <w:rFonts w:hint="eastAsia"/>
                <w:color w:val="auto"/>
                <w:highlight w:val="none"/>
                <w:lang w:eastAsia="zh-CN"/>
              </w:rPr>
            </w:pPr>
            <w:r>
              <w:rPr>
                <w:color w:val="auto"/>
                <w:spacing w:val="10"/>
                <w:highlight w:val="none"/>
                <w:lang w:eastAsia="zh-CN"/>
              </w:rPr>
              <w:t>拟投入测仪的试验</w:t>
            </w:r>
            <w:r>
              <w:rPr>
                <w:color w:val="auto"/>
                <w:spacing w:val="5"/>
                <w:highlight w:val="none"/>
                <w:lang w:eastAsia="zh-CN"/>
              </w:rPr>
              <w:t>检器设备（</w:t>
            </w:r>
            <w:r>
              <w:rPr>
                <w:rFonts w:hint="eastAsia"/>
                <w:color w:val="auto"/>
                <w:spacing w:val="5"/>
                <w:highlight w:val="none"/>
                <w:lang w:eastAsia="zh-CN"/>
              </w:rPr>
              <w:t>5</w:t>
            </w:r>
            <w:r>
              <w:rPr>
                <w:color w:val="auto"/>
                <w:spacing w:val="5"/>
                <w:highlight w:val="none"/>
                <w:lang w:eastAsia="zh-CN"/>
              </w:rPr>
              <w:t>分）</w:t>
            </w:r>
          </w:p>
        </w:tc>
        <w:tc>
          <w:tcPr>
            <w:tcW w:w="5942" w:type="dxa"/>
            <w:tcBorders>
              <w:right w:val="single" w:color="000000" w:sz="10" w:space="0"/>
            </w:tcBorders>
          </w:tcPr>
          <w:p>
            <w:pPr>
              <w:pStyle w:val="48"/>
              <w:spacing w:before="130" w:line="297" w:lineRule="auto"/>
              <w:ind w:left="112" w:right="96" w:hanging="2"/>
              <w:jc w:val="both"/>
              <w:rPr>
                <w:rFonts w:hint="eastAsia"/>
                <w:color w:val="auto"/>
                <w:highlight w:val="none"/>
                <w:lang w:eastAsia="zh-CN"/>
              </w:rPr>
            </w:pPr>
            <w:r>
              <w:rPr>
                <w:color w:val="auto"/>
                <w:spacing w:val="12"/>
                <w:highlight w:val="none"/>
                <w:lang w:eastAsia="zh-CN"/>
              </w:rPr>
              <w:t>拟投入的试验检测仪器设备配备齐全，满足监</w:t>
            </w:r>
            <w:r>
              <w:rPr>
                <w:color w:val="auto"/>
                <w:spacing w:val="11"/>
                <w:highlight w:val="none"/>
                <w:lang w:eastAsia="zh-CN"/>
              </w:rPr>
              <w:t>理要求，提供相</w:t>
            </w:r>
            <w:r>
              <w:rPr>
                <w:color w:val="auto"/>
                <w:spacing w:val="5"/>
                <w:highlight w:val="none"/>
                <w:lang w:eastAsia="zh-CN"/>
              </w:rPr>
              <w:t>关设备证明，对试验检测仪器设备配备情况进行比较，</w:t>
            </w:r>
            <w:r>
              <w:rPr>
                <w:rFonts w:hint="eastAsia"/>
                <w:color w:val="auto"/>
                <w:spacing w:val="5"/>
                <w:highlight w:val="none"/>
                <w:lang w:eastAsia="zh-CN"/>
              </w:rPr>
              <w:t>配备合理</w:t>
            </w:r>
            <w:r>
              <w:rPr>
                <w:color w:val="auto"/>
                <w:spacing w:val="5"/>
                <w:highlight w:val="none"/>
                <w:lang w:eastAsia="zh-CN"/>
              </w:rPr>
              <w:t>得</w:t>
            </w:r>
            <w:r>
              <w:rPr>
                <w:rFonts w:hint="eastAsia"/>
                <w:color w:val="auto"/>
                <w:spacing w:val="5"/>
                <w:highlight w:val="none"/>
                <w:lang w:eastAsia="zh-CN"/>
              </w:rPr>
              <w:t>5</w:t>
            </w:r>
            <w:r>
              <w:rPr>
                <w:color w:val="auto"/>
                <w:spacing w:val="3"/>
                <w:highlight w:val="none"/>
                <w:lang w:eastAsia="zh-CN"/>
              </w:rPr>
              <w:t>分，</w:t>
            </w:r>
            <w:r>
              <w:rPr>
                <w:rFonts w:hint="eastAsia"/>
                <w:color w:val="auto"/>
                <w:spacing w:val="3"/>
                <w:highlight w:val="none"/>
                <w:lang w:eastAsia="zh-CN"/>
              </w:rPr>
              <w:t>基本合理</w:t>
            </w:r>
            <w:r>
              <w:rPr>
                <w:color w:val="auto"/>
                <w:spacing w:val="3"/>
                <w:highlight w:val="none"/>
                <w:lang w:eastAsia="zh-CN"/>
              </w:rPr>
              <w:t>得</w:t>
            </w:r>
            <w:r>
              <w:rPr>
                <w:rFonts w:hint="eastAsia"/>
                <w:color w:val="auto"/>
                <w:spacing w:val="3"/>
                <w:highlight w:val="none"/>
                <w:lang w:eastAsia="zh-CN"/>
              </w:rPr>
              <w:t>4</w:t>
            </w:r>
            <w:r>
              <w:rPr>
                <w:color w:val="auto"/>
                <w:spacing w:val="3"/>
                <w:highlight w:val="none"/>
                <w:lang w:eastAsia="zh-CN"/>
              </w:rPr>
              <w:t>分，一般得</w:t>
            </w:r>
            <w:r>
              <w:rPr>
                <w:rFonts w:hint="eastAsia"/>
                <w:color w:val="auto"/>
                <w:spacing w:val="3"/>
                <w:highlight w:val="none"/>
                <w:lang w:eastAsia="zh-CN"/>
              </w:rPr>
              <w:t>2</w:t>
            </w:r>
            <w:r>
              <w:rPr>
                <w:color w:val="auto"/>
                <w:spacing w:val="3"/>
                <w:highlight w:val="none"/>
                <w:lang w:eastAsia="zh-CN"/>
              </w:rPr>
              <w:t>分，无不得分。</w:t>
            </w:r>
            <w:r>
              <w:rPr>
                <w:rFonts w:hint="eastAsia"/>
                <w:color w:val="auto"/>
                <w:spacing w:val="11"/>
                <w:highlight w:val="none"/>
                <w:lang w:eastAsia="zh-CN"/>
              </w:rPr>
              <w:t>响应文件</w:t>
            </w:r>
            <w:r>
              <w:rPr>
                <w:color w:val="auto"/>
                <w:spacing w:val="11"/>
                <w:highlight w:val="none"/>
                <w:lang w:eastAsia="zh-CN"/>
              </w:rPr>
              <w:t>内附试验检测仪器设备相关证明材料扫描件加盖</w:t>
            </w:r>
            <w:r>
              <w:rPr>
                <w:rFonts w:hint="eastAsia"/>
                <w:color w:val="auto"/>
                <w:spacing w:val="11"/>
                <w:highlight w:val="none"/>
                <w:lang w:eastAsia="zh-CN"/>
              </w:rPr>
              <w:t>供应商</w:t>
            </w:r>
            <w:r>
              <w:rPr>
                <w:color w:val="auto"/>
                <w:spacing w:val="4"/>
                <w:highlight w:val="none"/>
                <w:lang w:eastAsia="zh-CN"/>
              </w:rPr>
              <w:t>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829" w:type="dxa"/>
            <w:tcBorders>
              <w:left w:val="single" w:color="000000" w:sz="10" w:space="0"/>
              <w:bottom w:val="single" w:color="000000" w:sz="10" w:space="0"/>
            </w:tcBorders>
          </w:tcPr>
          <w:p>
            <w:pPr>
              <w:pStyle w:val="48"/>
              <w:spacing w:before="166" w:line="327" w:lineRule="exact"/>
              <w:ind w:left="146"/>
              <w:rPr>
                <w:rFonts w:hint="eastAsia"/>
                <w:color w:val="auto"/>
                <w:highlight w:val="none"/>
                <w:lang w:eastAsia="zh-CN"/>
              </w:rPr>
            </w:pPr>
            <w:r>
              <w:rPr>
                <w:color w:val="auto"/>
                <w:spacing w:val="2"/>
                <w:position w:val="12"/>
                <w:highlight w:val="none"/>
              </w:rPr>
              <w:t>2.2.</w:t>
            </w:r>
            <w:r>
              <w:rPr>
                <w:rFonts w:hint="eastAsia"/>
                <w:color w:val="auto"/>
                <w:spacing w:val="2"/>
                <w:position w:val="12"/>
                <w:highlight w:val="none"/>
                <w:lang w:eastAsia="zh-CN"/>
              </w:rPr>
              <w:t>3</w:t>
            </w:r>
          </w:p>
          <w:p>
            <w:pPr>
              <w:pStyle w:val="48"/>
              <w:spacing w:before="1" w:line="224" w:lineRule="auto"/>
              <w:ind w:left="153"/>
              <w:rPr>
                <w:rFonts w:hint="eastAsia"/>
                <w:color w:val="auto"/>
                <w:highlight w:val="none"/>
              </w:rPr>
            </w:pPr>
            <w:r>
              <w:rPr>
                <w:color w:val="auto"/>
                <w:spacing w:val="-2"/>
                <w:highlight w:val="none"/>
              </w:rPr>
              <w:t>（2）</w:t>
            </w:r>
          </w:p>
        </w:tc>
        <w:tc>
          <w:tcPr>
            <w:tcW w:w="1130" w:type="dxa"/>
            <w:tcBorders>
              <w:bottom w:val="single" w:color="000000" w:sz="10" w:space="0"/>
            </w:tcBorders>
          </w:tcPr>
          <w:p>
            <w:pPr>
              <w:pStyle w:val="48"/>
              <w:spacing w:before="132" w:line="279" w:lineRule="auto"/>
              <w:ind w:left="139" w:right="154" w:firstLine="1"/>
              <w:rPr>
                <w:rFonts w:hint="eastAsia"/>
                <w:color w:val="auto"/>
                <w:spacing w:val="7"/>
                <w:highlight w:val="none"/>
                <w:lang w:eastAsia="zh-CN"/>
              </w:rPr>
            </w:pPr>
            <w:r>
              <w:rPr>
                <w:color w:val="auto"/>
                <w:spacing w:val="7"/>
                <w:highlight w:val="none"/>
                <w:lang w:eastAsia="zh-CN"/>
              </w:rPr>
              <w:t>监理大纲评分标准</w:t>
            </w:r>
          </w:p>
          <w:p>
            <w:pPr>
              <w:pStyle w:val="48"/>
              <w:spacing w:before="132" w:line="279" w:lineRule="auto"/>
              <w:ind w:right="154"/>
              <w:rPr>
                <w:rFonts w:hint="eastAsia"/>
                <w:color w:val="auto"/>
                <w:highlight w:val="none"/>
                <w:lang w:eastAsia="zh-CN"/>
              </w:rPr>
            </w:pPr>
            <w:r>
              <w:rPr>
                <w:color w:val="auto"/>
                <w:highlight w:val="none"/>
                <w:lang w:eastAsia="zh-CN"/>
              </w:rPr>
              <w:t>（60分）</w:t>
            </w:r>
          </w:p>
        </w:tc>
        <w:tc>
          <w:tcPr>
            <w:tcW w:w="1907" w:type="dxa"/>
            <w:tcBorders>
              <w:bottom w:val="single" w:color="000000" w:sz="10" w:space="0"/>
            </w:tcBorders>
          </w:tcPr>
          <w:p>
            <w:pPr>
              <w:pStyle w:val="48"/>
              <w:spacing w:before="132" w:line="279" w:lineRule="auto"/>
              <w:ind w:left="457" w:right="117" w:hanging="342"/>
              <w:rPr>
                <w:rFonts w:hint="eastAsia"/>
                <w:color w:val="auto"/>
                <w:highlight w:val="none"/>
                <w:lang w:eastAsia="zh-CN"/>
              </w:rPr>
            </w:pPr>
            <w:r>
              <w:rPr>
                <w:color w:val="auto"/>
                <w:spacing w:val="8"/>
                <w:highlight w:val="none"/>
                <w:lang w:eastAsia="zh-CN"/>
              </w:rPr>
              <w:t>监理范围、监理内</w:t>
            </w:r>
            <w:r>
              <w:rPr>
                <w:color w:val="auto"/>
                <w:spacing w:val="2"/>
                <w:highlight w:val="none"/>
                <w:lang w:eastAsia="zh-CN"/>
              </w:rPr>
              <w:t>容（</w:t>
            </w:r>
            <w:r>
              <w:rPr>
                <w:rFonts w:hint="eastAsia"/>
                <w:color w:val="auto"/>
                <w:spacing w:val="2"/>
                <w:highlight w:val="none"/>
                <w:lang w:eastAsia="zh-CN"/>
              </w:rPr>
              <w:t>3</w:t>
            </w:r>
            <w:r>
              <w:rPr>
                <w:color w:val="auto"/>
                <w:spacing w:val="2"/>
                <w:highlight w:val="none"/>
                <w:lang w:eastAsia="zh-CN"/>
              </w:rPr>
              <w:t>分）</w:t>
            </w:r>
          </w:p>
        </w:tc>
        <w:tc>
          <w:tcPr>
            <w:tcW w:w="5942" w:type="dxa"/>
            <w:tcBorders>
              <w:bottom w:val="single" w:color="000000" w:sz="10" w:space="0"/>
              <w:right w:val="single" w:color="000000" w:sz="10" w:space="0"/>
            </w:tcBorders>
            <w:vAlign w:val="center"/>
          </w:tcPr>
          <w:p>
            <w:pPr>
              <w:pStyle w:val="48"/>
              <w:spacing w:before="132" w:line="279" w:lineRule="auto"/>
              <w:ind w:left="111" w:right="97"/>
              <w:jc w:val="both"/>
              <w:rPr>
                <w:rFonts w:hint="eastAsia"/>
                <w:color w:val="auto"/>
                <w:highlight w:val="none"/>
                <w:lang w:eastAsia="zh-CN"/>
              </w:rPr>
            </w:pPr>
            <w:r>
              <w:rPr>
                <w:color w:val="auto"/>
                <w:spacing w:val="12"/>
                <w:highlight w:val="none"/>
                <w:lang w:eastAsia="zh-CN"/>
              </w:rPr>
              <w:t>监理范围明晰；监理内容阐述内容完整、合</w:t>
            </w:r>
            <w:r>
              <w:rPr>
                <w:color w:val="auto"/>
                <w:spacing w:val="11"/>
                <w:highlight w:val="none"/>
                <w:lang w:eastAsia="zh-CN"/>
              </w:rPr>
              <w:t>理、重点突出，符</w:t>
            </w:r>
            <w:r>
              <w:rPr>
                <w:color w:val="auto"/>
                <w:spacing w:val="7"/>
                <w:highlight w:val="none"/>
                <w:lang w:eastAsia="zh-CN"/>
              </w:rPr>
              <w:t>合磋商文件要求。</w:t>
            </w:r>
            <w:r>
              <w:rPr>
                <w:rFonts w:hint="eastAsia"/>
                <w:color w:val="auto"/>
                <w:spacing w:val="8"/>
                <w:highlight w:val="none"/>
                <w:lang w:eastAsia="zh-CN"/>
              </w:rPr>
              <w:t>合理得3分，基本合理得2分，一般得1分，否则不得分。</w:t>
            </w:r>
          </w:p>
        </w:tc>
      </w:tr>
    </w:tbl>
    <w:p>
      <w:pPr>
        <w:rPr>
          <w:color w:val="auto"/>
          <w:sz w:val="28"/>
          <w:szCs w:val="28"/>
          <w:highlight w:val="none"/>
          <w:lang w:eastAsia="zh-CN"/>
        </w:rPr>
        <w:sectPr>
          <w:pgSz w:w="11906" w:h="16839"/>
          <w:pgMar w:top="1360" w:right="833" w:bottom="957" w:left="1238" w:header="0" w:footer="795" w:gutter="0"/>
          <w:pgNumType w:fmt="decimal"/>
          <w:cols w:space="720" w:num="1"/>
        </w:sectPr>
      </w:pPr>
    </w:p>
    <w:tbl>
      <w:tblPr>
        <w:tblStyle w:val="47"/>
        <w:tblW w:w="998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1150"/>
        <w:gridCol w:w="2019"/>
        <w:gridCol w:w="59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44" w:type="dxa"/>
            <w:vMerge w:val="restart"/>
            <w:tcBorders>
              <w:top w:val="nil"/>
              <w:left w:val="single" w:color="000000" w:sz="10" w:space="0"/>
            </w:tcBorders>
          </w:tcPr>
          <w:p>
            <w:pPr>
              <w:rPr>
                <w:color w:val="auto"/>
                <w:sz w:val="28"/>
                <w:szCs w:val="28"/>
                <w:highlight w:val="none"/>
                <w:lang w:eastAsia="zh-CN"/>
              </w:rPr>
            </w:pPr>
          </w:p>
        </w:tc>
        <w:tc>
          <w:tcPr>
            <w:tcW w:w="1150" w:type="dxa"/>
            <w:vMerge w:val="restart"/>
            <w:tcBorders>
              <w:top w:val="nil"/>
            </w:tcBorders>
          </w:tcPr>
          <w:p>
            <w:pPr>
              <w:rPr>
                <w:color w:val="auto"/>
                <w:sz w:val="28"/>
                <w:szCs w:val="28"/>
                <w:highlight w:val="none"/>
                <w:lang w:eastAsia="zh-CN"/>
              </w:rPr>
            </w:pPr>
          </w:p>
        </w:tc>
        <w:tc>
          <w:tcPr>
            <w:tcW w:w="2019" w:type="dxa"/>
          </w:tcPr>
          <w:p>
            <w:pPr>
              <w:pStyle w:val="48"/>
              <w:spacing w:before="105" w:line="278" w:lineRule="auto"/>
              <w:ind w:left="244" w:right="117" w:hanging="129"/>
              <w:rPr>
                <w:rFonts w:hint="eastAsia"/>
                <w:color w:val="auto"/>
                <w:highlight w:val="none"/>
                <w:lang w:eastAsia="zh-CN"/>
              </w:rPr>
            </w:pPr>
            <w:r>
              <w:rPr>
                <w:color w:val="auto"/>
                <w:spacing w:val="8"/>
                <w:highlight w:val="none"/>
                <w:lang w:eastAsia="zh-CN"/>
              </w:rPr>
              <w:t>监理依据、监理工</w:t>
            </w:r>
            <w:r>
              <w:rPr>
                <w:color w:val="auto"/>
                <w:spacing w:val="4"/>
                <w:highlight w:val="none"/>
                <w:lang w:eastAsia="zh-CN"/>
              </w:rPr>
              <w:t>作目标（</w:t>
            </w:r>
            <w:r>
              <w:rPr>
                <w:rFonts w:hint="eastAsia"/>
                <w:color w:val="auto"/>
                <w:spacing w:val="4"/>
                <w:highlight w:val="none"/>
                <w:lang w:eastAsia="zh-CN"/>
              </w:rPr>
              <w:t>5</w:t>
            </w:r>
            <w:r>
              <w:rPr>
                <w:color w:val="auto"/>
                <w:spacing w:val="4"/>
                <w:highlight w:val="none"/>
                <w:lang w:eastAsia="zh-CN"/>
              </w:rPr>
              <w:t>分）</w:t>
            </w:r>
          </w:p>
        </w:tc>
        <w:tc>
          <w:tcPr>
            <w:tcW w:w="5973" w:type="dxa"/>
            <w:tcBorders>
              <w:right w:val="single" w:color="000000" w:sz="10" w:space="0"/>
            </w:tcBorders>
          </w:tcPr>
          <w:p>
            <w:pPr>
              <w:pStyle w:val="48"/>
              <w:spacing w:before="111" w:line="270" w:lineRule="auto"/>
              <w:ind w:left="110" w:right="151" w:firstLine="1"/>
              <w:rPr>
                <w:rFonts w:hint="eastAsia"/>
                <w:color w:val="auto"/>
                <w:highlight w:val="none"/>
                <w:lang w:eastAsia="zh-CN"/>
              </w:rPr>
            </w:pPr>
            <w:r>
              <w:rPr>
                <w:color w:val="auto"/>
                <w:spacing w:val="8"/>
                <w:highlight w:val="none"/>
                <w:lang w:eastAsia="zh-CN"/>
              </w:rPr>
              <w:t>监理依据、监理工作目标进行比较，内容完整、合理、可行；</w:t>
            </w:r>
            <w:r>
              <w:rPr>
                <w:rFonts w:hint="eastAsia"/>
                <w:color w:val="auto"/>
                <w:spacing w:val="8"/>
                <w:highlight w:val="none"/>
                <w:lang w:eastAsia="zh-CN"/>
              </w:rPr>
              <w:t>合理得5分，基本合理得3分，一般得1分，否则不得分。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44" w:type="dxa"/>
            <w:vMerge w:val="continue"/>
            <w:tcBorders>
              <w:top w:val="nil"/>
              <w:left w:val="single" w:color="000000" w:sz="10" w:space="0"/>
              <w:bottom w:val="nil"/>
            </w:tcBorders>
          </w:tcPr>
          <w:p>
            <w:pPr>
              <w:rPr>
                <w:color w:val="auto"/>
                <w:sz w:val="28"/>
                <w:szCs w:val="28"/>
                <w:highlight w:val="none"/>
                <w:lang w:eastAsia="zh-CN"/>
              </w:rPr>
            </w:pPr>
          </w:p>
        </w:tc>
        <w:tc>
          <w:tcPr>
            <w:tcW w:w="1150" w:type="dxa"/>
            <w:vMerge w:val="continue"/>
            <w:tcBorders>
              <w:top w:val="nil"/>
              <w:bottom w:val="nil"/>
            </w:tcBorders>
          </w:tcPr>
          <w:p>
            <w:pPr>
              <w:rPr>
                <w:color w:val="auto"/>
                <w:sz w:val="28"/>
                <w:szCs w:val="28"/>
                <w:highlight w:val="none"/>
                <w:lang w:eastAsia="zh-CN"/>
              </w:rPr>
            </w:pPr>
          </w:p>
        </w:tc>
        <w:tc>
          <w:tcPr>
            <w:tcW w:w="2019" w:type="dxa"/>
          </w:tcPr>
          <w:p>
            <w:pPr>
              <w:pStyle w:val="48"/>
              <w:spacing w:before="107" w:line="277" w:lineRule="auto"/>
              <w:ind w:left="107" w:right="108"/>
              <w:rPr>
                <w:rFonts w:hint="eastAsia"/>
                <w:color w:val="auto"/>
                <w:highlight w:val="none"/>
                <w:lang w:eastAsia="zh-CN"/>
              </w:rPr>
            </w:pPr>
            <w:r>
              <w:rPr>
                <w:rFonts w:hint="eastAsia"/>
                <w:color w:val="auto"/>
                <w:spacing w:val="4"/>
                <w:highlight w:val="none"/>
                <w:lang w:eastAsia="zh-CN"/>
              </w:rPr>
              <w:t>监理机构设置和岗位职责</w:t>
            </w:r>
            <w:r>
              <w:rPr>
                <w:color w:val="auto"/>
                <w:spacing w:val="4"/>
                <w:highlight w:val="none"/>
                <w:lang w:eastAsia="zh-CN"/>
              </w:rPr>
              <w:t>（</w:t>
            </w:r>
            <w:r>
              <w:rPr>
                <w:rFonts w:hint="eastAsia"/>
                <w:color w:val="auto"/>
                <w:spacing w:val="4"/>
                <w:highlight w:val="none"/>
                <w:lang w:eastAsia="zh-CN"/>
              </w:rPr>
              <w:t>5</w:t>
            </w:r>
            <w:r>
              <w:rPr>
                <w:color w:val="auto"/>
                <w:spacing w:val="4"/>
                <w:highlight w:val="none"/>
                <w:lang w:eastAsia="zh-CN"/>
              </w:rPr>
              <w:t>分）</w:t>
            </w:r>
          </w:p>
        </w:tc>
        <w:tc>
          <w:tcPr>
            <w:tcW w:w="5973" w:type="dxa"/>
            <w:tcBorders>
              <w:right w:val="single" w:color="000000" w:sz="10" w:space="0"/>
            </w:tcBorders>
          </w:tcPr>
          <w:p>
            <w:pPr>
              <w:pStyle w:val="48"/>
              <w:spacing w:before="98" w:line="258" w:lineRule="auto"/>
              <w:ind w:left="110" w:right="208" w:firstLine="1"/>
              <w:rPr>
                <w:rFonts w:hint="eastAsia"/>
                <w:color w:val="auto"/>
                <w:highlight w:val="none"/>
                <w:lang w:eastAsia="zh-CN"/>
              </w:rPr>
            </w:pPr>
            <w:r>
              <w:rPr>
                <w:color w:val="auto"/>
                <w:spacing w:val="6"/>
                <w:highlight w:val="none"/>
                <w:lang w:eastAsia="zh-CN"/>
              </w:rPr>
              <w:t>监理机构设置和岗位职责进行比较，内容完整、合理、可行；</w:t>
            </w:r>
            <w:r>
              <w:rPr>
                <w:rFonts w:hint="eastAsia"/>
                <w:color w:val="auto"/>
                <w:spacing w:val="8"/>
                <w:highlight w:val="none"/>
                <w:lang w:eastAsia="zh-CN"/>
              </w:rPr>
              <w:t>合理得5分，基本合理得3分，一般得1分，否则不得分。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44" w:type="dxa"/>
            <w:vMerge w:val="continue"/>
            <w:tcBorders>
              <w:top w:val="nil"/>
              <w:left w:val="single" w:color="000000" w:sz="10" w:space="0"/>
              <w:bottom w:val="nil"/>
            </w:tcBorders>
          </w:tcPr>
          <w:p>
            <w:pPr>
              <w:rPr>
                <w:color w:val="auto"/>
                <w:sz w:val="28"/>
                <w:szCs w:val="28"/>
                <w:highlight w:val="none"/>
                <w:lang w:eastAsia="zh-CN"/>
              </w:rPr>
            </w:pPr>
          </w:p>
        </w:tc>
        <w:tc>
          <w:tcPr>
            <w:tcW w:w="1150" w:type="dxa"/>
            <w:vMerge w:val="continue"/>
            <w:tcBorders>
              <w:top w:val="nil"/>
              <w:bottom w:val="nil"/>
            </w:tcBorders>
          </w:tcPr>
          <w:p>
            <w:pPr>
              <w:rPr>
                <w:color w:val="auto"/>
                <w:sz w:val="28"/>
                <w:szCs w:val="28"/>
                <w:highlight w:val="none"/>
                <w:lang w:eastAsia="zh-CN"/>
              </w:rPr>
            </w:pPr>
          </w:p>
        </w:tc>
        <w:tc>
          <w:tcPr>
            <w:tcW w:w="2019" w:type="dxa"/>
          </w:tcPr>
          <w:p>
            <w:pPr>
              <w:pStyle w:val="48"/>
              <w:spacing w:before="110" w:line="276" w:lineRule="auto"/>
              <w:ind w:left="141" w:right="117" w:hanging="26"/>
              <w:rPr>
                <w:rFonts w:hint="eastAsia"/>
                <w:color w:val="auto"/>
                <w:highlight w:val="none"/>
                <w:lang w:eastAsia="zh-CN"/>
              </w:rPr>
            </w:pPr>
            <w:r>
              <w:rPr>
                <w:color w:val="auto"/>
                <w:spacing w:val="8"/>
                <w:highlight w:val="none"/>
                <w:lang w:eastAsia="zh-CN"/>
              </w:rPr>
              <w:t>监理工作程序、方</w:t>
            </w:r>
            <w:r>
              <w:rPr>
                <w:color w:val="auto"/>
                <w:spacing w:val="5"/>
                <w:highlight w:val="none"/>
                <w:lang w:eastAsia="zh-CN"/>
              </w:rPr>
              <w:t>法和制度（</w:t>
            </w:r>
            <w:r>
              <w:rPr>
                <w:rFonts w:hint="eastAsia"/>
                <w:color w:val="auto"/>
                <w:spacing w:val="5"/>
                <w:highlight w:val="none"/>
                <w:lang w:eastAsia="zh-CN"/>
              </w:rPr>
              <w:t>5</w:t>
            </w:r>
            <w:r>
              <w:rPr>
                <w:color w:val="auto"/>
                <w:spacing w:val="5"/>
                <w:highlight w:val="none"/>
                <w:lang w:eastAsia="zh-CN"/>
              </w:rPr>
              <w:t>分）</w:t>
            </w:r>
          </w:p>
        </w:tc>
        <w:tc>
          <w:tcPr>
            <w:tcW w:w="5973" w:type="dxa"/>
            <w:tcBorders>
              <w:right w:val="single" w:color="000000" w:sz="10" w:space="0"/>
            </w:tcBorders>
          </w:tcPr>
          <w:p>
            <w:pPr>
              <w:pStyle w:val="48"/>
              <w:spacing w:before="76" w:line="370" w:lineRule="exact"/>
              <w:ind w:right="3"/>
              <w:rPr>
                <w:rFonts w:hint="eastAsia"/>
                <w:color w:val="auto"/>
                <w:highlight w:val="none"/>
                <w:lang w:eastAsia="zh-CN"/>
              </w:rPr>
            </w:pPr>
            <w:r>
              <w:rPr>
                <w:color w:val="auto"/>
                <w:spacing w:val="6"/>
                <w:highlight w:val="none"/>
                <w:lang w:eastAsia="zh-CN"/>
              </w:rPr>
              <w:t>监理工作程序、方法和制度进行比较，内容完整、合理、可行；</w:t>
            </w:r>
            <w:r>
              <w:rPr>
                <w:rFonts w:hint="eastAsia"/>
                <w:color w:val="auto"/>
                <w:spacing w:val="8"/>
                <w:highlight w:val="none"/>
                <w:lang w:eastAsia="zh-CN"/>
              </w:rPr>
              <w:t>合理得5分，基本合理得3分，一般得1分，否则不得分。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844" w:type="dxa"/>
            <w:vMerge w:val="continue"/>
            <w:tcBorders>
              <w:top w:val="nil"/>
              <w:left w:val="single" w:color="000000" w:sz="10" w:space="0"/>
              <w:bottom w:val="nil"/>
            </w:tcBorders>
          </w:tcPr>
          <w:p>
            <w:pPr>
              <w:rPr>
                <w:color w:val="auto"/>
                <w:sz w:val="28"/>
                <w:szCs w:val="28"/>
                <w:highlight w:val="none"/>
                <w:lang w:eastAsia="zh-CN"/>
              </w:rPr>
            </w:pPr>
          </w:p>
        </w:tc>
        <w:tc>
          <w:tcPr>
            <w:tcW w:w="1150" w:type="dxa"/>
            <w:vMerge w:val="continue"/>
            <w:tcBorders>
              <w:top w:val="nil"/>
              <w:bottom w:val="nil"/>
            </w:tcBorders>
          </w:tcPr>
          <w:p>
            <w:pPr>
              <w:rPr>
                <w:color w:val="auto"/>
                <w:sz w:val="28"/>
                <w:szCs w:val="28"/>
                <w:highlight w:val="none"/>
                <w:lang w:eastAsia="zh-CN"/>
              </w:rPr>
            </w:pPr>
          </w:p>
        </w:tc>
        <w:tc>
          <w:tcPr>
            <w:tcW w:w="2019" w:type="dxa"/>
            <w:tcBorders>
              <w:bottom w:val="single" w:color="auto" w:sz="4" w:space="0"/>
            </w:tcBorders>
            <w:vAlign w:val="center"/>
          </w:tcPr>
          <w:p>
            <w:pPr>
              <w:pStyle w:val="48"/>
              <w:spacing w:before="112" w:line="226" w:lineRule="auto"/>
              <w:ind w:right="16"/>
              <w:jc w:val="center"/>
              <w:rPr>
                <w:rFonts w:hint="eastAsia"/>
                <w:color w:val="auto"/>
                <w:spacing w:val="8"/>
                <w:highlight w:val="none"/>
                <w:lang w:eastAsia="zh-CN"/>
              </w:rPr>
            </w:pPr>
            <w:r>
              <w:rPr>
                <w:rFonts w:hint="eastAsia"/>
                <w:color w:val="auto"/>
                <w:spacing w:val="8"/>
                <w:highlight w:val="none"/>
                <w:lang w:eastAsia="zh-CN"/>
              </w:rPr>
              <w:t>质量控制措施</w:t>
            </w:r>
          </w:p>
          <w:p>
            <w:pPr>
              <w:pStyle w:val="48"/>
              <w:spacing w:before="112" w:line="226" w:lineRule="auto"/>
              <w:ind w:right="16"/>
              <w:jc w:val="center"/>
              <w:rPr>
                <w:rFonts w:hint="eastAsia"/>
                <w:color w:val="auto"/>
                <w:highlight w:val="none"/>
              </w:rPr>
            </w:pPr>
            <w:r>
              <w:rPr>
                <w:rFonts w:hint="eastAsia"/>
                <w:color w:val="auto"/>
                <w:spacing w:val="8"/>
                <w:highlight w:val="none"/>
                <w:lang w:eastAsia="zh-CN"/>
              </w:rPr>
              <w:t>（6分）</w:t>
            </w:r>
          </w:p>
        </w:tc>
        <w:tc>
          <w:tcPr>
            <w:tcW w:w="5973" w:type="dxa"/>
            <w:tcBorders>
              <w:bottom w:val="single" w:color="auto" w:sz="4" w:space="0"/>
              <w:right w:val="single" w:color="000000" w:sz="10" w:space="0"/>
            </w:tcBorders>
          </w:tcPr>
          <w:p>
            <w:pPr>
              <w:pStyle w:val="53"/>
              <w:widowControl w:val="0"/>
              <w:kinsoku/>
              <w:autoSpaceDE/>
              <w:autoSpaceDN/>
              <w:adjustRightInd/>
              <w:snapToGrid/>
              <w:spacing w:before="75"/>
              <w:ind w:left="20" w:right="-44"/>
              <w:textAlignment w:val="auto"/>
              <w:rPr>
                <w:rFonts w:hint="eastAsia"/>
                <w:color w:val="auto"/>
                <w:spacing w:val="8"/>
                <w:sz w:val="24"/>
                <w:szCs w:val="24"/>
                <w:highlight w:val="none"/>
                <w:lang w:val="en-US" w:bidi="ar-SA"/>
              </w:rPr>
            </w:pPr>
            <w:r>
              <w:rPr>
                <w:rFonts w:hint="eastAsia"/>
                <w:color w:val="auto"/>
                <w:spacing w:val="8"/>
                <w:sz w:val="24"/>
                <w:szCs w:val="24"/>
                <w:highlight w:val="none"/>
                <w:lang w:val="en-US" w:bidi="ar-SA"/>
              </w:rPr>
              <w:t>质量控制内容重点部位齐全、施工阶段质量控制的程序、模式、方法手段科学合理得6分，基本合理得4分，一般得2分，否则不得分。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844" w:type="dxa"/>
            <w:vMerge w:val="continue"/>
            <w:tcBorders>
              <w:top w:val="nil"/>
              <w:left w:val="single" w:color="000000" w:sz="10" w:space="0"/>
              <w:bottom w:val="nil"/>
            </w:tcBorders>
          </w:tcPr>
          <w:p>
            <w:pPr>
              <w:rPr>
                <w:color w:val="auto"/>
                <w:sz w:val="28"/>
                <w:szCs w:val="28"/>
                <w:highlight w:val="none"/>
                <w:lang w:eastAsia="zh-CN"/>
              </w:rPr>
            </w:pPr>
          </w:p>
        </w:tc>
        <w:tc>
          <w:tcPr>
            <w:tcW w:w="1150" w:type="dxa"/>
            <w:vMerge w:val="continue"/>
            <w:tcBorders>
              <w:top w:val="nil"/>
              <w:bottom w:val="nil"/>
            </w:tcBorders>
          </w:tcPr>
          <w:p>
            <w:pPr>
              <w:rPr>
                <w:color w:val="auto"/>
                <w:sz w:val="28"/>
                <w:szCs w:val="28"/>
                <w:highlight w:val="none"/>
                <w:lang w:eastAsia="zh-CN"/>
              </w:rPr>
            </w:pPr>
          </w:p>
        </w:tc>
        <w:tc>
          <w:tcPr>
            <w:tcW w:w="2019" w:type="dxa"/>
            <w:tcBorders>
              <w:top w:val="single" w:color="auto" w:sz="4" w:space="0"/>
              <w:bottom w:val="single" w:color="auto" w:sz="4" w:space="0"/>
            </w:tcBorders>
          </w:tcPr>
          <w:p>
            <w:pPr>
              <w:pStyle w:val="48"/>
              <w:spacing w:before="112" w:line="226" w:lineRule="auto"/>
              <w:ind w:right="16"/>
              <w:jc w:val="center"/>
              <w:rPr>
                <w:rFonts w:hint="eastAsia"/>
                <w:color w:val="auto"/>
                <w:spacing w:val="-3"/>
                <w:highlight w:val="none"/>
                <w:lang w:eastAsia="zh-CN"/>
              </w:rPr>
            </w:pPr>
            <w:r>
              <w:rPr>
                <w:color w:val="auto"/>
                <w:spacing w:val="-3"/>
                <w:highlight w:val="none"/>
              </w:rPr>
              <w:t>进度</w:t>
            </w:r>
            <w:r>
              <w:rPr>
                <w:rFonts w:hint="eastAsia"/>
                <w:color w:val="auto"/>
                <w:spacing w:val="-3"/>
                <w:highlight w:val="none"/>
                <w:lang w:eastAsia="zh-CN"/>
              </w:rPr>
              <w:t>控制措施</w:t>
            </w:r>
          </w:p>
          <w:p>
            <w:pPr>
              <w:pStyle w:val="48"/>
              <w:spacing w:before="112" w:line="226" w:lineRule="auto"/>
              <w:ind w:right="16"/>
              <w:jc w:val="center"/>
              <w:rPr>
                <w:rFonts w:hint="eastAsia"/>
                <w:color w:val="auto"/>
                <w:spacing w:val="3"/>
                <w:highlight w:val="none"/>
                <w:lang w:eastAsia="zh-CN"/>
              </w:rPr>
            </w:pPr>
            <w:r>
              <w:rPr>
                <w:rFonts w:hint="eastAsia"/>
                <w:color w:val="auto"/>
                <w:spacing w:val="-3"/>
                <w:highlight w:val="none"/>
                <w:lang w:eastAsia="zh-CN"/>
              </w:rPr>
              <w:t>（3分）</w:t>
            </w:r>
          </w:p>
        </w:tc>
        <w:tc>
          <w:tcPr>
            <w:tcW w:w="5973" w:type="dxa"/>
            <w:tcBorders>
              <w:top w:val="single" w:color="auto" w:sz="4" w:space="0"/>
              <w:bottom w:val="single" w:color="auto" w:sz="4" w:space="0"/>
              <w:right w:val="single" w:color="000000" w:sz="10" w:space="0"/>
            </w:tcBorders>
          </w:tcPr>
          <w:p>
            <w:pPr>
              <w:pStyle w:val="53"/>
              <w:widowControl w:val="0"/>
              <w:kinsoku/>
              <w:autoSpaceDE/>
              <w:autoSpaceDN/>
              <w:adjustRightInd/>
              <w:snapToGrid/>
              <w:spacing w:before="86"/>
              <w:ind w:left="20" w:right="-44"/>
              <w:textAlignment w:val="auto"/>
              <w:rPr>
                <w:rFonts w:hint="eastAsia"/>
                <w:color w:val="auto"/>
                <w:spacing w:val="8"/>
                <w:sz w:val="24"/>
                <w:szCs w:val="24"/>
                <w:highlight w:val="none"/>
                <w:lang w:val="en-US" w:bidi="ar-SA"/>
              </w:rPr>
            </w:pPr>
            <w:r>
              <w:rPr>
                <w:rFonts w:hint="eastAsia"/>
                <w:color w:val="auto"/>
                <w:spacing w:val="8"/>
                <w:sz w:val="24"/>
                <w:szCs w:val="24"/>
                <w:highlight w:val="none"/>
                <w:lang w:val="en-US" w:bidi="ar-SA"/>
              </w:rPr>
              <w:t>结合工作实际，提出合理施工进度计划，进度控制方法和程序，进度措施得力合理得3分，基本合理得2分，一般得1分，否则不得分。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844" w:type="dxa"/>
            <w:vMerge w:val="continue"/>
            <w:tcBorders>
              <w:top w:val="nil"/>
              <w:left w:val="single" w:color="000000" w:sz="10" w:space="0"/>
              <w:bottom w:val="nil"/>
            </w:tcBorders>
          </w:tcPr>
          <w:p>
            <w:pPr>
              <w:rPr>
                <w:color w:val="auto"/>
                <w:sz w:val="28"/>
                <w:szCs w:val="28"/>
                <w:highlight w:val="none"/>
                <w:lang w:eastAsia="zh-CN"/>
              </w:rPr>
            </w:pPr>
          </w:p>
        </w:tc>
        <w:tc>
          <w:tcPr>
            <w:tcW w:w="1150" w:type="dxa"/>
            <w:vMerge w:val="continue"/>
            <w:tcBorders>
              <w:top w:val="nil"/>
              <w:bottom w:val="nil"/>
            </w:tcBorders>
          </w:tcPr>
          <w:p>
            <w:pPr>
              <w:rPr>
                <w:color w:val="auto"/>
                <w:sz w:val="28"/>
                <w:szCs w:val="28"/>
                <w:highlight w:val="none"/>
                <w:lang w:eastAsia="zh-CN"/>
              </w:rPr>
            </w:pPr>
          </w:p>
        </w:tc>
        <w:tc>
          <w:tcPr>
            <w:tcW w:w="2019" w:type="dxa"/>
            <w:tcBorders>
              <w:top w:val="single" w:color="auto" w:sz="4" w:space="0"/>
              <w:bottom w:val="single" w:color="auto" w:sz="4" w:space="0"/>
            </w:tcBorders>
          </w:tcPr>
          <w:p>
            <w:pPr>
              <w:pStyle w:val="48"/>
              <w:spacing w:before="112" w:line="226" w:lineRule="auto"/>
              <w:ind w:right="16"/>
              <w:jc w:val="center"/>
              <w:rPr>
                <w:rFonts w:hint="eastAsia"/>
                <w:color w:val="auto"/>
                <w:spacing w:val="3"/>
                <w:highlight w:val="none"/>
              </w:rPr>
            </w:pPr>
            <w:r>
              <w:rPr>
                <w:rFonts w:hint="eastAsia"/>
                <w:color w:val="auto"/>
                <w:spacing w:val="8"/>
                <w:highlight w:val="none"/>
                <w:lang w:eastAsia="zh-CN"/>
              </w:rPr>
              <w:t>投资控制（3分）</w:t>
            </w:r>
          </w:p>
        </w:tc>
        <w:tc>
          <w:tcPr>
            <w:tcW w:w="5973" w:type="dxa"/>
            <w:tcBorders>
              <w:top w:val="single" w:color="auto" w:sz="4" w:space="0"/>
              <w:bottom w:val="single" w:color="auto" w:sz="4" w:space="0"/>
              <w:right w:val="single" w:color="000000" w:sz="10" w:space="0"/>
            </w:tcBorders>
          </w:tcPr>
          <w:p>
            <w:pPr>
              <w:pStyle w:val="53"/>
              <w:widowControl w:val="0"/>
              <w:kinsoku/>
              <w:autoSpaceDE/>
              <w:autoSpaceDN/>
              <w:adjustRightInd/>
              <w:snapToGrid/>
              <w:spacing w:before="150"/>
              <w:ind w:left="20"/>
              <w:textAlignment w:val="auto"/>
              <w:rPr>
                <w:rFonts w:hint="eastAsia"/>
                <w:color w:val="auto"/>
                <w:spacing w:val="8"/>
                <w:sz w:val="24"/>
                <w:szCs w:val="24"/>
                <w:highlight w:val="none"/>
                <w:lang w:val="en-US" w:bidi="ar-SA"/>
              </w:rPr>
            </w:pPr>
            <w:r>
              <w:rPr>
                <w:rFonts w:hint="eastAsia"/>
                <w:color w:val="auto"/>
                <w:spacing w:val="8"/>
                <w:sz w:val="24"/>
                <w:szCs w:val="24"/>
                <w:highlight w:val="none"/>
                <w:lang w:val="en-US" w:bidi="ar-SA"/>
              </w:rPr>
              <w:t>投资控制方法和程序正确，投资控制得力，措施齐全3分，基本齐全得2分，一般得1分，否则不得分。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844" w:type="dxa"/>
            <w:vMerge w:val="continue"/>
            <w:tcBorders>
              <w:top w:val="nil"/>
              <w:left w:val="single" w:color="000000" w:sz="10" w:space="0"/>
              <w:bottom w:val="nil"/>
            </w:tcBorders>
          </w:tcPr>
          <w:p>
            <w:pPr>
              <w:rPr>
                <w:color w:val="auto"/>
                <w:sz w:val="28"/>
                <w:szCs w:val="28"/>
                <w:highlight w:val="none"/>
                <w:lang w:eastAsia="zh-CN"/>
              </w:rPr>
            </w:pPr>
          </w:p>
        </w:tc>
        <w:tc>
          <w:tcPr>
            <w:tcW w:w="1150" w:type="dxa"/>
            <w:vMerge w:val="continue"/>
            <w:tcBorders>
              <w:top w:val="nil"/>
              <w:bottom w:val="nil"/>
            </w:tcBorders>
          </w:tcPr>
          <w:p>
            <w:pPr>
              <w:rPr>
                <w:color w:val="auto"/>
                <w:sz w:val="28"/>
                <w:szCs w:val="28"/>
                <w:highlight w:val="none"/>
                <w:lang w:eastAsia="zh-CN"/>
              </w:rPr>
            </w:pPr>
          </w:p>
        </w:tc>
        <w:tc>
          <w:tcPr>
            <w:tcW w:w="2019" w:type="dxa"/>
            <w:tcBorders>
              <w:top w:val="single" w:color="auto" w:sz="4" w:space="0"/>
            </w:tcBorders>
          </w:tcPr>
          <w:p>
            <w:pPr>
              <w:pStyle w:val="48"/>
              <w:spacing w:before="112" w:line="226" w:lineRule="auto"/>
              <w:ind w:right="16"/>
              <w:jc w:val="center"/>
              <w:rPr>
                <w:rFonts w:hint="eastAsia"/>
                <w:color w:val="auto"/>
                <w:spacing w:val="3"/>
                <w:highlight w:val="none"/>
                <w:lang w:eastAsia="zh-CN"/>
              </w:rPr>
            </w:pPr>
            <w:r>
              <w:rPr>
                <w:rFonts w:hint="eastAsia"/>
                <w:color w:val="auto"/>
                <w:spacing w:val="8"/>
                <w:highlight w:val="none"/>
                <w:lang w:eastAsia="zh-CN"/>
              </w:rPr>
              <w:t>施工安全和环境保护现场监理制度（8分）</w:t>
            </w:r>
          </w:p>
        </w:tc>
        <w:tc>
          <w:tcPr>
            <w:tcW w:w="5973" w:type="dxa"/>
            <w:tcBorders>
              <w:top w:val="single" w:color="auto" w:sz="4" w:space="0"/>
              <w:right w:val="single" w:color="000000" w:sz="10" w:space="0"/>
            </w:tcBorders>
          </w:tcPr>
          <w:p>
            <w:pPr>
              <w:pStyle w:val="53"/>
              <w:widowControl w:val="0"/>
              <w:kinsoku/>
              <w:autoSpaceDE/>
              <w:autoSpaceDN/>
              <w:adjustRightInd/>
              <w:snapToGrid/>
              <w:spacing w:before="150"/>
              <w:ind w:left="20" w:right="-44"/>
              <w:textAlignment w:val="auto"/>
              <w:rPr>
                <w:rFonts w:hint="eastAsia"/>
                <w:color w:val="auto"/>
                <w:spacing w:val="8"/>
                <w:sz w:val="24"/>
                <w:szCs w:val="24"/>
                <w:highlight w:val="none"/>
                <w:lang w:val="en-US" w:bidi="ar-SA"/>
              </w:rPr>
            </w:pPr>
            <w:r>
              <w:rPr>
                <w:rFonts w:hint="eastAsia"/>
                <w:color w:val="auto"/>
                <w:spacing w:val="8"/>
                <w:sz w:val="24"/>
                <w:szCs w:val="24"/>
                <w:highlight w:val="none"/>
                <w:lang w:val="en-US" w:bidi="ar-SA"/>
              </w:rPr>
              <w:t>有完善的施工安全和环境保护现场监理制度，优得8分，合理得6分，基本合理得4分，一般得2分，否则不得分。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44" w:type="dxa"/>
            <w:vMerge w:val="continue"/>
            <w:tcBorders>
              <w:top w:val="nil"/>
              <w:left w:val="single" w:color="000000" w:sz="10" w:space="0"/>
              <w:bottom w:val="nil"/>
            </w:tcBorders>
          </w:tcPr>
          <w:p>
            <w:pPr>
              <w:rPr>
                <w:color w:val="auto"/>
                <w:sz w:val="28"/>
                <w:szCs w:val="28"/>
                <w:highlight w:val="none"/>
                <w:lang w:eastAsia="zh-CN"/>
              </w:rPr>
            </w:pPr>
          </w:p>
        </w:tc>
        <w:tc>
          <w:tcPr>
            <w:tcW w:w="1150" w:type="dxa"/>
            <w:vMerge w:val="continue"/>
            <w:tcBorders>
              <w:top w:val="nil"/>
              <w:bottom w:val="nil"/>
            </w:tcBorders>
          </w:tcPr>
          <w:p>
            <w:pPr>
              <w:rPr>
                <w:color w:val="auto"/>
                <w:sz w:val="28"/>
                <w:szCs w:val="28"/>
                <w:highlight w:val="none"/>
                <w:lang w:eastAsia="zh-CN"/>
              </w:rPr>
            </w:pPr>
          </w:p>
        </w:tc>
        <w:tc>
          <w:tcPr>
            <w:tcW w:w="2019" w:type="dxa"/>
          </w:tcPr>
          <w:p>
            <w:pPr>
              <w:pStyle w:val="48"/>
              <w:spacing w:before="113" w:line="228" w:lineRule="auto"/>
              <w:ind w:left="122"/>
              <w:rPr>
                <w:rFonts w:hint="eastAsia"/>
                <w:color w:val="auto"/>
                <w:highlight w:val="none"/>
                <w:lang w:eastAsia="zh-CN"/>
              </w:rPr>
            </w:pPr>
            <w:r>
              <w:rPr>
                <w:color w:val="auto"/>
                <w:spacing w:val="7"/>
                <w:highlight w:val="none"/>
                <w:lang w:eastAsia="zh-CN"/>
              </w:rPr>
              <w:t>突发状况处理预案</w:t>
            </w:r>
            <w:r>
              <w:rPr>
                <w:color w:val="auto"/>
                <w:spacing w:val="-1"/>
                <w:highlight w:val="none"/>
                <w:lang w:eastAsia="zh-CN"/>
              </w:rPr>
              <w:t>（</w:t>
            </w:r>
            <w:r>
              <w:rPr>
                <w:rFonts w:hint="eastAsia"/>
                <w:color w:val="auto"/>
                <w:spacing w:val="-1"/>
                <w:highlight w:val="none"/>
                <w:lang w:eastAsia="zh-CN"/>
              </w:rPr>
              <w:t>6</w:t>
            </w:r>
            <w:r>
              <w:rPr>
                <w:color w:val="auto"/>
                <w:spacing w:val="-1"/>
                <w:highlight w:val="none"/>
                <w:lang w:eastAsia="zh-CN"/>
              </w:rPr>
              <w:t>分）</w:t>
            </w:r>
          </w:p>
        </w:tc>
        <w:tc>
          <w:tcPr>
            <w:tcW w:w="5973" w:type="dxa"/>
            <w:tcBorders>
              <w:right w:val="single" w:color="000000" w:sz="10" w:space="0"/>
            </w:tcBorders>
          </w:tcPr>
          <w:p>
            <w:pPr>
              <w:pStyle w:val="48"/>
              <w:spacing w:before="55" w:line="258" w:lineRule="auto"/>
              <w:ind w:left="113" w:right="43" w:hanging="1"/>
              <w:rPr>
                <w:rFonts w:hint="eastAsia"/>
                <w:color w:val="auto"/>
                <w:highlight w:val="none"/>
                <w:lang w:eastAsia="zh-CN"/>
              </w:rPr>
            </w:pPr>
            <w:r>
              <w:rPr>
                <w:color w:val="auto"/>
                <w:spacing w:val="2"/>
                <w:highlight w:val="none"/>
                <w:lang w:eastAsia="zh-CN"/>
              </w:rPr>
              <w:t>预案切实可行、合理、内容完整；</w:t>
            </w:r>
            <w:r>
              <w:rPr>
                <w:color w:val="auto"/>
                <w:spacing w:val="3"/>
                <w:highlight w:val="none"/>
                <w:lang w:eastAsia="zh-CN"/>
              </w:rPr>
              <w:t>优得</w:t>
            </w:r>
            <w:r>
              <w:rPr>
                <w:rFonts w:hint="eastAsia"/>
                <w:color w:val="auto"/>
                <w:spacing w:val="3"/>
                <w:highlight w:val="none"/>
                <w:lang w:eastAsia="zh-CN"/>
              </w:rPr>
              <w:t>6</w:t>
            </w:r>
            <w:r>
              <w:rPr>
                <w:color w:val="auto"/>
                <w:spacing w:val="3"/>
                <w:highlight w:val="none"/>
                <w:lang w:eastAsia="zh-CN"/>
              </w:rPr>
              <w:t>分，良得</w:t>
            </w:r>
            <w:r>
              <w:rPr>
                <w:rFonts w:hint="eastAsia"/>
                <w:color w:val="auto"/>
                <w:spacing w:val="3"/>
                <w:highlight w:val="none"/>
                <w:lang w:eastAsia="zh-CN"/>
              </w:rPr>
              <w:t>4</w:t>
            </w:r>
            <w:r>
              <w:rPr>
                <w:color w:val="auto"/>
                <w:spacing w:val="3"/>
                <w:highlight w:val="none"/>
                <w:lang w:eastAsia="zh-CN"/>
              </w:rPr>
              <w:t>分，一般得</w:t>
            </w:r>
            <w:r>
              <w:rPr>
                <w:rFonts w:hint="eastAsia"/>
                <w:color w:val="auto"/>
                <w:spacing w:val="3"/>
                <w:highlight w:val="none"/>
                <w:lang w:eastAsia="zh-CN"/>
              </w:rPr>
              <w:t>2</w:t>
            </w:r>
            <w:r>
              <w:rPr>
                <w:color w:val="auto"/>
                <w:spacing w:val="3"/>
                <w:highlight w:val="none"/>
                <w:lang w:eastAsia="zh-CN"/>
              </w:rPr>
              <w:t>分</w:t>
            </w:r>
            <w:r>
              <w:rPr>
                <w:color w:val="auto"/>
                <w:spacing w:val="5"/>
                <w:highlight w:val="none"/>
                <w:lang w:eastAsia="zh-CN"/>
              </w:rPr>
              <w:t>，无不得分。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44" w:type="dxa"/>
            <w:vMerge w:val="continue"/>
            <w:tcBorders>
              <w:top w:val="nil"/>
              <w:left w:val="single" w:color="000000" w:sz="10" w:space="0"/>
              <w:bottom w:val="nil"/>
            </w:tcBorders>
          </w:tcPr>
          <w:p>
            <w:pPr>
              <w:rPr>
                <w:color w:val="auto"/>
                <w:sz w:val="28"/>
                <w:szCs w:val="28"/>
                <w:highlight w:val="none"/>
                <w:lang w:eastAsia="zh-CN"/>
              </w:rPr>
            </w:pPr>
          </w:p>
        </w:tc>
        <w:tc>
          <w:tcPr>
            <w:tcW w:w="1150" w:type="dxa"/>
            <w:vMerge w:val="continue"/>
            <w:tcBorders>
              <w:top w:val="nil"/>
              <w:bottom w:val="nil"/>
            </w:tcBorders>
          </w:tcPr>
          <w:p>
            <w:pPr>
              <w:rPr>
                <w:color w:val="auto"/>
                <w:sz w:val="28"/>
                <w:szCs w:val="28"/>
                <w:highlight w:val="none"/>
                <w:lang w:eastAsia="zh-CN"/>
              </w:rPr>
            </w:pPr>
          </w:p>
        </w:tc>
        <w:tc>
          <w:tcPr>
            <w:tcW w:w="2019" w:type="dxa"/>
          </w:tcPr>
          <w:p>
            <w:pPr>
              <w:pStyle w:val="48"/>
              <w:spacing w:before="116" w:line="273" w:lineRule="auto"/>
              <w:ind w:left="456" w:right="117" w:hanging="341"/>
              <w:rPr>
                <w:rFonts w:hint="eastAsia"/>
                <w:color w:val="auto"/>
                <w:highlight w:val="none"/>
              </w:rPr>
            </w:pPr>
            <w:r>
              <w:rPr>
                <w:color w:val="auto"/>
                <w:spacing w:val="8"/>
                <w:highlight w:val="none"/>
              </w:rPr>
              <w:t>合同、信息管理方</w:t>
            </w:r>
            <w:r>
              <w:rPr>
                <w:color w:val="auto"/>
                <w:spacing w:val="2"/>
                <w:highlight w:val="none"/>
              </w:rPr>
              <w:t>案（5分）</w:t>
            </w:r>
          </w:p>
        </w:tc>
        <w:tc>
          <w:tcPr>
            <w:tcW w:w="5973" w:type="dxa"/>
            <w:tcBorders>
              <w:right w:val="single" w:color="000000" w:sz="10" w:space="0"/>
            </w:tcBorders>
          </w:tcPr>
          <w:p>
            <w:pPr>
              <w:pStyle w:val="48"/>
              <w:spacing w:before="60" w:line="258" w:lineRule="auto"/>
              <w:ind w:left="114" w:right="155" w:hanging="3"/>
              <w:rPr>
                <w:rFonts w:hint="eastAsia"/>
                <w:color w:val="auto"/>
                <w:highlight w:val="none"/>
                <w:lang w:eastAsia="zh-CN"/>
              </w:rPr>
            </w:pPr>
            <w:r>
              <w:rPr>
                <w:color w:val="auto"/>
                <w:spacing w:val="8"/>
                <w:highlight w:val="none"/>
                <w:lang w:eastAsia="zh-CN"/>
              </w:rPr>
              <w:t>合同、信息管理方案进行比较，内容完整、合理、可行；优得</w:t>
            </w:r>
            <w:r>
              <w:rPr>
                <w:rFonts w:hint="eastAsia"/>
                <w:color w:val="auto"/>
                <w:spacing w:val="3"/>
                <w:highlight w:val="none"/>
                <w:lang w:eastAsia="zh-CN"/>
              </w:rPr>
              <w:t>5</w:t>
            </w:r>
            <w:r>
              <w:rPr>
                <w:color w:val="auto"/>
                <w:spacing w:val="3"/>
                <w:highlight w:val="none"/>
                <w:lang w:eastAsia="zh-CN"/>
              </w:rPr>
              <w:t>分，良得</w:t>
            </w:r>
            <w:r>
              <w:rPr>
                <w:rFonts w:hint="eastAsia"/>
                <w:color w:val="auto"/>
                <w:spacing w:val="3"/>
                <w:highlight w:val="none"/>
                <w:lang w:eastAsia="zh-CN"/>
              </w:rPr>
              <w:t>3</w:t>
            </w:r>
            <w:r>
              <w:rPr>
                <w:color w:val="auto"/>
                <w:spacing w:val="3"/>
                <w:highlight w:val="none"/>
                <w:lang w:eastAsia="zh-CN"/>
              </w:rPr>
              <w:t>分，一般得1分，无不得分。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44" w:type="dxa"/>
            <w:vMerge w:val="continue"/>
            <w:tcBorders>
              <w:top w:val="nil"/>
              <w:left w:val="single" w:color="000000" w:sz="10" w:space="0"/>
              <w:bottom w:val="nil"/>
            </w:tcBorders>
          </w:tcPr>
          <w:p>
            <w:pPr>
              <w:rPr>
                <w:color w:val="auto"/>
                <w:sz w:val="28"/>
                <w:szCs w:val="28"/>
                <w:highlight w:val="none"/>
                <w:lang w:eastAsia="zh-CN"/>
              </w:rPr>
            </w:pPr>
          </w:p>
        </w:tc>
        <w:tc>
          <w:tcPr>
            <w:tcW w:w="1150" w:type="dxa"/>
            <w:vMerge w:val="continue"/>
            <w:tcBorders>
              <w:top w:val="nil"/>
              <w:bottom w:val="nil"/>
            </w:tcBorders>
          </w:tcPr>
          <w:p>
            <w:pPr>
              <w:rPr>
                <w:color w:val="auto"/>
                <w:sz w:val="28"/>
                <w:szCs w:val="28"/>
                <w:highlight w:val="none"/>
                <w:lang w:eastAsia="zh-CN"/>
              </w:rPr>
            </w:pPr>
          </w:p>
        </w:tc>
        <w:tc>
          <w:tcPr>
            <w:tcW w:w="2019" w:type="dxa"/>
          </w:tcPr>
          <w:p>
            <w:pPr>
              <w:pStyle w:val="48"/>
              <w:spacing w:before="116" w:line="273" w:lineRule="auto"/>
              <w:ind w:left="242" w:right="117" w:hanging="127"/>
              <w:rPr>
                <w:rFonts w:hint="eastAsia"/>
                <w:color w:val="auto"/>
                <w:highlight w:val="none"/>
                <w:lang w:eastAsia="zh-CN"/>
              </w:rPr>
            </w:pPr>
            <w:r>
              <w:rPr>
                <w:color w:val="auto"/>
                <w:spacing w:val="8"/>
                <w:highlight w:val="none"/>
                <w:lang w:eastAsia="zh-CN"/>
              </w:rPr>
              <w:t>监理组织协调内容</w:t>
            </w:r>
            <w:r>
              <w:rPr>
                <w:color w:val="auto"/>
                <w:spacing w:val="5"/>
                <w:highlight w:val="none"/>
                <w:lang w:eastAsia="zh-CN"/>
              </w:rPr>
              <w:t>及措施（4分）</w:t>
            </w:r>
          </w:p>
        </w:tc>
        <w:tc>
          <w:tcPr>
            <w:tcW w:w="5973" w:type="dxa"/>
            <w:tcBorders>
              <w:right w:val="single" w:color="000000" w:sz="10" w:space="0"/>
            </w:tcBorders>
          </w:tcPr>
          <w:p>
            <w:pPr>
              <w:pStyle w:val="48"/>
              <w:spacing w:before="95" w:line="277" w:lineRule="auto"/>
              <w:ind w:left="110" w:right="208" w:firstLine="1"/>
              <w:rPr>
                <w:rFonts w:hint="eastAsia"/>
                <w:color w:val="auto"/>
                <w:highlight w:val="none"/>
                <w:lang w:eastAsia="zh-CN"/>
              </w:rPr>
            </w:pPr>
            <w:r>
              <w:rPr>
                <w:color w:val="auto"/>
                <w:spacing w:val="6"/>
                <w:highlight w:val="none"/>
                <w:lang w:eastAsia="zh-CN"/>
              </w:rPr>
              <w:t>监理组织协调内容及措施进行比较，内容完整、合理、可行；</w:t>
            </w:r>
            <w:r>
              <w:rPr>
                <w:color w:val="auto"/>
                <w:spacing w:val="2"/>
                <w:highlight w:val="none"/>
                <w:lang w:eastAsia="zh-CN"/>
              </w:rPr>
              <w:t>优得</w:t>
            </w:r>
            <w:r>
              <w:rPr>
                <w:rFonts w:hint="eastAsia"/>
                <w:color w:val="auto"/>
                <w:spacing w:val="2"/>
                <w:highlight w:val="none"/>
                <w:lang w:eastAsia="zh-CN"/>
              </w:rPr>
              <w:t>4</w:t>
            </w:r>
            <w:r>
              <w:rPr>
                <w:color w:val="auto"/>
                <w:spacing w:val="2"/>
                <w:highlight w:val="none"/>
                <w:lang w:eastAsia="zh-CN"/>
              </w:rPr>
              <w:t>分，良得2分，一般得1分，无不得分。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44" w:type="dxa"/>
            <w:vMerge w:val="continue"/>
            <w:tcBorders>
              <w:top w:val="nil"/>
              <w:left w:val="single" w:color="000000" w:sz="10" w:space="0"/>
              <w:bottom w:val="nil"/>
            </w:tcBorders>
          </w:tcPr>
          <w:p>
            <w:pPr>
              <w:rPr>
                <w:color w:val="auto"/>
                <w:sz w:val="28"/>
                <w:szCs w:val="28"/>
                <w:highlight w:val="none"/>
                <w:lang w:eastAsia="zh-CN"/>
              </w:rPr>
            </w:pPr>
          </w:p>
        </w:tc>
        <w:tc>
          <w:tcPr>
            <w:tcW w:w="1150" w:type="dxa"/>
            <w:vMerge w:val="continue"/>
            <w:tcBorders>
              <w:top w:val="nil"/>
              <w:bottom w:val="nil"/>
            </w:tcBorders>
          </w:tcPr>
          <w:p>
            <w:pPr>
              <w:rPr>
                <w:color w:val="auto"/>
                <w:sz w:val="28"/>
                <w:szCs w:val="28"/>
                <w:highlight w:val="none"/>
                <w:lang w:eastAsia="zh-CN"/>
              </w:rPr>
            </w:pPr>
          </w:p>
        </w:tc>
        <w:tc>
          <w:tcPr>
            <w:tcW w:w="2019" w:type="dxa"/>
          </w:tcPr>
          <w:p>
            <w:pPr>
              <w:pStyle w:val="48"/>
              <w:spacing w:before="118" w:line="272" w:lineRule="auto"/>
              <w:ind w:left="254" w:right="117" w:hanging="139"/>
              <w:rPr>
                <w:rFonts w:hint="eastAsia"/>
                <w:color w:val="auto"/>
                <w:highlight w:val="none"/>
                <w:lang w:eastAsia="zh-CN"/>
              </w:rPr>
            </w:pPr>
            <w:r>
              <w:rPr>
                <w:color w:val="auto"/>
                <w:spacing w:val="8"/>
                <w:highlight w:val="none"/>
                <w:lang w:eastAsia="zh-CN"/>
              </w:rPr>
              <w:t>监理工作重点、难</w:t>
            </w:r>
            <w:r>
              <w:rPr>
                <w:color w:val="auto"/>
                <w:spacing w:val="3"/>
                <w:highlight w:val="none"/>
                <w:lang w:eastAsia="zh-CN"/>
              </w:rPr>
              <w:t>点分析（4分）</w:t>
            </w:r>
          </w:p>
        </w:tc>
        <w:tc>
          <w:tcPr>
            <w:tcW w:w="5973" w:type="dxa"/>
            <w:tcBorders>
              <w:right w:val="single" w:color="000000" w:sz="10" w:space="0"/>
            </w:tcBorders>
          </w:tcPr>
          <w:p>
            <w:pPr>
              <w:pStyle w:val="48"/>
              <w:spacing w:before="96" w:line="277" w:lineRule="auto"/>
              <w:ind w:left="110" w:right="208" w:firstLine="1"/>
              <w:rPr>
                <w:rFonts w:hint="eastAsia"/>
                <w:color w:val="auto"/>
                <w:highlight w:val="none"/>
                <w:lang w:eastAsia="zh-CN"/>
              </w:rPr>
            </w:pPr>
            <w:r>
              <w:rPr>
                <w:color w:val="auto"/>
                <w:spacing w:val="6"/>
                <w:highlight w:val="none"/>
                <w:lang w:eastAsia="zh-CN"/>
              </w:rPr>
              <w:t>监理工作重点、难点分析进行比较，内容完整、合理、可行；</w:t>
            </w:r>
            <w:r>
              <w:rPr>
                <w:color w:val="auto"/>
                <w:spacing w:val="3"/>
                <w:highlight w:val="none"/>
                <w:lang w:eastAsia="zh-CN"/>
              </w:rPr>
              <w:t>优者得</w:t>
            </w:r>
            <w:r>
              <w:rPr>
                <w:rFonts w:hint="eastAsia"/>
                <w:color w:val="auto"/>
                <w:spacing w:val="3"/>
                <w:highlight w:val="none"/>
                <w:lang w:eastAsia="zh-CN"/>
              </w:rPr>
              <w:t>4</w:t>
            </w:r>
            <w:r>
              <w:rPr>
                <w:color w:val="auto"/>
                <w:spacing w:val="3"/>
                <w:highlight w:val="none"/>
                <w:lang w:eastAsia="zh-CN"/>
              </w:rPr>
              <w:t>分，良者得2分，一般者得1分，无不得分。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44" w:type="dxa"/>
            <w:vMerge w:val="continue"/>
            <w:tcBorders>
              <w:top w:val="nil"/>
              <w:left w:val="single" w:color="000000" w:sz="10" w:space="0"/>
            </w:tcBorders>
          </w:tcPr>
          <w:p>
            <w:pPr>
              <w:rPr>
                <w:color w:val="auto"/>
                <w:sz w:val="28"/>
                <w:szCs w:val="28"/>
                <w:highlight w:val="none"/>
                <w:lang w:eastAsia="zh-CN"/>
              </w:rPr>
            </w:pPr>
          </w:p>
        </w:tc>
        <w:tc>
          <w:tcPr>
            <w:tcW w:w="1150" w:type="dxa"/>
            <w:vMerge w:val="continue"/>
            <w:tcBorders>
              <w:top w:val="nil"/>
            </w:tcBorders>
          </w:tcPr>
          <w:p>
            <w:pPr>
              <w:rPr>
                <w:color w:val="auto"/>
                <w:sz w:val="28"/>
                <w:szCs w:val="28"/>
                <w:highlight w:val="none"/>
                <w:lang w:eastAsia="zh-CN"/>
              </w:rPr>
            </w:pPr>
          </w:p>
        </w:tc>
        <w:tc>
          <w:tcPr>
            <w:tcW w:w="2019" w:type="dxa"/>
          </w:tcPr>
          <w:p>
            <w:pPr>
              <w:pStyle w:val="48"/>
              <w:spacing w:before="255" w:line="228" w:lineRule="auto"/>
              <w:ind w:right="13"/>
              <w:jc w:val="center"/>
              <w:rPr>
                <w:rFonts w:hint="eastAsia"/>
                <w:color w:val="auto"/>
                <w:spacing w:val="1"/>
                <w:highlight w:val="none"/>
              </w:rPr>
            </w:pPr>
            <w:r>
              <w:rPr>
                <w:color w:val="auto"/>
                <w:spacing w:val="1"/>
                <w:highlight w:val="none"/>
              </w:rPr>
              <w:t>合理化建议</w:t>
            </w:r>
          </w:p>
          <w:p>
            <w:pPr>
              <w:pStyle w:val="48"/>
              <w:spacing w:before="255" w:line="228" w:lineRule="auto"/>
              <w:ind w:right="13"/>
              <w:jc w:val="center"/>
              <w:rPr>
                <w:rFonts w:hint="eastAsia"/>
                <w:color w:val="auto"/>
                <w:highlight w:val="none"/>
              </w:rPr>
            </w:pPr>
            <w:r>
              <w:rPr>
                <w:color w:val="auto"/>
                <w:spacing w:val="1"/>
                <w:highlight w:val="none"/>
              </w:rPr>
              <w:t>（3分）</w:t>
            </w:r>
          </w:p>
        </w:tc>
        <w:tc>
          <w:tcPr>
            <w:tcW w:w="5973" w:type="dxa"/>
            <w:tcBorders>
              <w:right w:val="single" w:color="000000" w:sz="10" w:space="0"/>
            </w:tcBorders>
          </w:tcPr>
          <w:p>
            <w:pPr>
              <w:pStyle w:val="48"/>
              <w:spacing w:before="64" w:line="253" w:lineRule="auto"/>
              <w:ind w:left="143" w:right="206" w:hanging="32"/>
              <w:rPr>
                <w:rFonts w:hint="eastAsia"/>
                <w:color w:val="auto"/>
                <w:highlight w:val="none"/>
                <w:lang w:eastAsia="zh-CN"/>
              </w:rPr>
            </w:pPr>
            <w:r>
              <w:rPr>
                <w:color w:val="auto"/>
                <w:spacing w:val="5"/>
                <w:highlight w:val="none"/>
                <w:lang w:eastAsia="zh-CN"/>
              </w:rPr>
              <w:t>合理化建议进行比较，内容完整、合理、可行；优者得3分，</w:t>
            </w:r>
            <w:r>
              <w:rPr>
                <w:color w:val="auto"/>
                <w:spacing w:val="3"/>
                <w:highlight w:val="none"/>
                <w:lang w:eastAsia="zh-CN"/>
              </w:rPr>
              <w:t>良者得2分，一般者得1分，无不得分。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6" w:hRule="atLeast"/>
        </w:trPr>
        <w:tc>
          <w:tcPr>
            <w:tcW w:w="844" w:type="dxa"/>
            <w:tcBorders>
              <w:left w:val="single" w:color="000000" w:sz="10" w:space="0"/>
              <w:bottom w:val="single" w:color="auto" w:sz="4" w:space="0"/>
            </w:tcBorders>
            <w:vAlign w:val="center"/>
          </w:tcPr>
          <w:p>
            <w:pPr>
              <w:pStyle w:val="48"/>
              <w:spacing w:before="65" w:line="327" w:lineRule="exact"/>
              <w:ind w:left="146"/>
              <w:jc w:val="center"/>
              <w:rPr>
                <w:rFonts w:hint="eastAsia"/>
                <w:color w:val="auto"/>
                <w:highlight w:val="none"/>
              </w:rPr>
            </w:pPr>
            <w:r>
              <w:rPr>
                <w:color w:val="auto"/>
                <w:spacing w:val="2"/>
                <w:position w:val="12"/>
                <w:highlight w:val="none"/>
              </w:rPr>
              <w:t>2.2.4</w:t>
            </w:r>
          </w:p>
          <w:p>
            <w:pPr>
              <w:pStyle w:val="48"/>
              <w:spacing w:line="239" w:lineRule="auto"/>
              <w:ind w:left="153"/>
              <w:jc w:val="center"/>
              <w:rPr>
                <w:rFonts w:hint="eastAsia"/>
                <w:color w:val="auto"/>
                <w:highlight w:val="none"/>
              </w:rPr>
            </w:pPr>
            <w:r>
              <w:rPr>
                <w:color w:val="auto"/>
                <w:spacing w:val="-2"/>
                <w:highlight w:val="none"/>
              </w:rPr>
              <w:t>（3）</w:t>
            </w:r>
          </w:p>
        </w:tc>
        <w:tc>
          <w:tcPr>
            <w:tcW w:w="1150" w:type="dxa"/>
            <w:tcBorders>
              <w:bottom w:val="single" w:color="auto" w:sz="4" w:space="0"/>
            </w:tcBorders>
            <w:vAlign w:val="center"/>
          </w:tcPr>
          <w:p>
            <w:pPr>
              <w:pStyle w:val="48"/>
              <w:spacing w:before="65" w:line="298" w:lineRule="auto"/>
              <w:ind w:left="124" w:right="146" w:firstLine="18"/>
              <w:jc w:val="center"/>
              <w:rPr>
                <w:rFonts w:hint="eastAsia"/>
                <w:color w:val="auto"/>
                <w:highlight w:val="none"/>
                <w:lang w:eastAsia="zh-CN"/>
              </w:rPr>
            </w:pPr>
            <w:r>
              <w:rPr>
                <w:color w:val="auto"/>
                <w:spacing w:val="6"/>
                <w:highlight w:val="none"/>
                <w:lang w:eastAsia="zh-CN"/>
              </w:rPr>
              <w:t>投标报价</w:t>
            </w:r>
            <w:r>
              <w:rPr>
                <w:color w:val="auto"/>
                <w:spacing w:val="11"/>
                <w:highlight w:val="none"/>
                <w:lang w:eastAsia="zh-CN"/>
              </w:rPr>
              <w:t>评分标准</w:t>
            </w:r>
            <w:r>
              <w:rPr>
                <w:color w:val="auto"/>
                <w:spacing w:val="-2"/>
                <w:highlight w:val="none"/>
                <w:lang w:eastAsia="zh-CN"/>
              </w:rPr>
              <w:t>（10分）</w:t>
            </w:r>
          </w:p>
        </w:tc>
        <w:tc>
          <w:tcPr>
            <w:tcW w:w="2019" w:type="dxa"/>
            <w:tcBorders>
              <w:bottom w:val="single" w:color="auto" w:sz="4" w:space="0"/>
            </w:tcBorders>
            <w:vAlign w:val="center"/>
          </w:tcPr>
          <w:p>
            <w:pPr>
              <w:pStyle w:val="48"/>
              <w:spacing w:before="65" w:line="280" w:lineRule="auto"/>
              <w:ind w:left="745" w:right="123" w:hanging="635"/>
              <w:jc w:val="center"/>
              <w:rPr>
                <w:rFonts w:hint="eastAsia"/>
                <w:color w:val="auto"/>
                <w:spacing w:val="7"/>
                <w:highlight w:val="none"/>
              </w:rPr>
            </w:pPr>
            <w:r>
              <w:rPr>
                <w:color w:val="auto"/>
                <w:spacing w:val="7"/>
                <w:highlight w:val="none"/>
              </w:rPr>
              <w:t>投标报价得分</w:t>
            </w:r>
          </w:p>
          <w:p>
            <w:pPr>
              <w:pStyle w:val="48"/>
              <w:spacing w:before="65" w:line="280" w:lineRule="auto"/>
              <w:ind w:left="745" w:right="123" w:hanging="635"/>
              <w:jc w:val="center"/>
              <w:rPr>
                <w:rFonts w:hint="eastAsia"/>
                <w:color w:val="auto"/>
                <w:highlight w:val="none"/>
              </w:rPr>
            </w:pPr>
            <w:r>
              <w:rPr>
                <w:color w:val="auto"/>
                <w:spacing w:val="7"/>
                <w:highlight w:val="none"/>
              </w:rPr>
              <w:t>（10</w:t>
            </w:r>
            <w:r>
              <w:rPr>
                <w:color w:val="auto"/>
                <w:spacing w:val="-1"/>
                <w:highlight w:val="none"/>
              </w:rPr>
              <w:t>分）</w:t>
            </w:r>
          </w:p>
        </w:tc>
        <w:tc>
          <w:tcPr>
            <w:tcW w:w="5973" w:type="dxa"/>
            <w:tcBorders>
              <w:right w:val="single" w:color="000000" w:sz="10" w:space="0"/>
            </w:tcBorders>
          </w:tcPr>
          <w:p>
            <w:pPr>
              <w:pStyle w:val="48"/>
              <w:spacing w:before="109" w:line="295" w:lineRule="auto"/>
              <w:ind w:left="113" w:right="97"/>
              <w:jc w:val="both"/>
              <w:rPr>
                <w:rFonts w:ascii="Times New Roman" w:hAnsi="Times New Roman" w:eastAsia="Times New Roman" w:cs="Times New Roman"/>
                <w:color w:val="auto"/>
                <w:highlight w:val="none"/>
                <w:lang w:eastAsia="zh-CN"/>
              </w:rPr>
            </w:pPr>
            <w:r>
              <w:rPr>
                <w:color w:val="auto"/>
                <w:spacing w:val="11"/>
                <w:highlight w:val="none"/>
                <w:lang w:eastAsia="zh-CN"/>
              </w:rPr>
              <w:t>投标报价得分统一采用低价优先法计算，所有有效</w:t>
            </w:r>
            <w:r>
              <w:rPr>
                <w:rFonts w:hint="eastAsia"/>
                <w:color w:val="auto"/>
                <w:spacing w:val="11"/>
                <w:highlight w:val="none"/>
                <w:lang w:eastAsia="zh-CN"/>
              </w:rPr>
              <w:t>供应商</w:t>
            </w:r>
            <w:r>
              <w:rPr>
                <w:color w:val="auto"/>
                <w:spacing w:val="11"/>
                <w:highlight w:val="none"/>
                <w:lang w:eastAsia="zh-CN"/>
              </w:rPr>
              <w:t>的</w:t>
            </w:r>
            <w:r>
              <w:rPr>
                <w:rFonts w:hint="eastAsia"/>
                <w:color w:val="auto"/>
                <w:spacing w:val="11"/>
                <w:highlight w:val="none"/>
                <w:lang w:eastAsia="zh-Hans"/>
              </w:rPr>
              <w:t>最终</w:t>
            </w:r>
            <w:r>
              <w:rPr>
                <w:color w:val="auto"/>
                <w:spacing w:val="11"/>
                <w:highlight w:val="none"/>
                <w:lang w:eastAsia="zh-CN"/>
              </w:rPr>
              <w:t>报价最低投标报价作为评标基准价，其投标报价得分为满</w:t>
            </w:r>
            <w:r>
              <w:rPr>
                <w:color w:val="auto"/>
                <w:spacing w:val="-4"/>
                <w:highlight w:val="none"/>
                <w:lang w:eastAsia="zh-CN"/>
              </w:rPr>
              <w:t>分10分。</w:t>
            </w:r>
            <w:r>
              <w:rPr>
                <w:color w:val="auto"/>
                <w:spacing w:val="7"/>
                <w:highlight w:val="none"/>
                <w:lang w:eastAsia="zh-CN"/>
              </w:rPr>
              <w:t>其他</w:t>
            </w:r>
            <w:r>
              <w:rPr>
                <w:rFonts w:hint="eastAsia"/>
                <w:color w:val="auto"/>
                <w:spacing w:val="7"/>
                <w:highlight w:val="none"/>
                <w:lang w:eastAsia="zh-CN"/>
              </w:rPr>
              <w:t>供应商</w:t>
            </w:r>
            <w:r>
              <w:rPr>
                <w:color w:val="auto"/>
                <w:spacing w:val="7"/>
                <w:highlight w:val="none"/>
                <w:lang w:eastAsia="zh-CN"/>
              </w:rPr>
              <w:t>的投标报价得分统一按照下列公式计算：</w:t>
            </w:r>
            <w:r>
              <w:rPr>
                <w:color w:val="auto"/>
                <w:spacing w:val="9"/>
                <w:highlight w:val="none"/>
                <w:lang w:eastAsia="zh-CN"/>
              </w:rPr>
              <w:t>投标报价得分</w:t>
            </w:r>
            <w:r>
              <w:rPr>
                <w:color w:val="auto"/>
                <w:spacing w:val="-17"/>
                <w:highlight w:val="none"/>
                <w:lang w:eastAsia="zh-CN"/>
              </w:rPr>
              <w:t>＝（</w:t>
            </w:r>
            <w:r>
              <w:rPr>
                <w:color w:val="auto"/>
                <w:spacing w:val="9"/>
                <w:highlight w:val="none"/>
                <w:lang w:eastAsia="zh-CN"/>
              </w:rPr>
              <w:t>评标基准价／投标报价）×</w:t>
            </w:r>
            <w:r>
              <w:rPr>
                <w:rFonts w:ascii="Times New Roman" w:hAnsi="Times New Roman" w:eastAsia="Times New Roman" w:cs="Times New Roman"/>
                <w:color w:val="auto"/>
                <w:spacing w:val="9"/>
                <w:highlight w:val="none"/>
                <w:lang w:eastAsia="zh-CN"/>
              </w:rPr>
              <w:t>10</w:t>
            </w:r>
          </w:p>
          <w:p>
            <w:pPr>
              <w:pStyle w:val="48"/>
              <w:spacing w:before="109" w:line="295" w:lineRule="auto"/>
              <w:ind w:left="113" w:right="97"/>
              <w:jc w:val="both"/>
              <w:rPr>
                <w:rFonts w:hint="eastAsia"/>
                <w:color w:val="auto"/>
                <w:spacing w:val="-4"/>
                <w:highlight w:val="none"/>
                <w:lang w:eastAsia="zh-CN"/>
              </w:rPr>
            </w:pPr>
            <w:r>
              <w:rPr>
                <w:color w:val="auto"/>
                <w:spacing w:val="6"/>
                <w:highlight w:val="none"/>
                <w:lang w:eastAsia="zh-CN"/>
              </w:rPr>
              <w:t>四舍五入保留小数点后两位。</w:t>
            </w:r>
          </w:p>
          <w:p>
            <w:pPr>
              <w:pStyle w:val="48"/>
              <w:spacing w:before="109" w:line="295" w:lineRule="auto"/>
              <w:ind w:left="113" w:right="97"/>
              <w:jc w:val="both"/>
              <w:rPr>
                <w:rFonts w:hint="eastAsia"/>
                <w:b/>
                <w:bCs/>
                <w:color w:val="auto"/>
                <w:spacing w:val="-4"/>
                <w:highlight w:val="none"/>
                <w:lang w:eastAsia="zh-CN"/>
              </w:rPr>
            </w:pPr>
            <w:r>
              <w:rPr>
                <w:rFonts w:hint="eastAsia"/>
                <w:b/>
                <w:bCs/>
                <w:color w:val="auto"/>
                <w:spacing w:val="-4"/>
                <w:highlight w:val="none"/>
                <w:lang w:val="zh-CN" w:eastAsia="zh-CN"/>
              </w:rPr>
              <w:t>（</w:t>
            </w:r>
            <w:r>
              <w:rPr>
                <w:rFonts w:hint="eastAsia"/>
                <w:b/>
                <w:bCs/>
                <w:color w:val="auto"/>
                <w:spacing w:val="-4"/>
                <w:highlight w:val="none"/>
                <w:lang w:eastAsia="zh-CN"/>
              </w:rPr>
              <w:t>本次采购为专门面向中小企业，不再享受优惠政策）</w:t>
            </w:r>
          </w:p>
          <w:p>
            <w:pPr>
              <w:pStyle w:val="48"/>
              <w:spacing w:before="123" w:line="298" w:lineRule="auto"/>
              <w:ind w:left="113" w:right="97"/>
              <w:jc w:val="both"/>
              <w:rPr>
                <w:rFonts w:hint="eastAsia"/>
                <w:color w:val="auto"/>
                <w:highlight w:val="none"/>
                <w:lang w:eastAsia="zh-CN"/>
              </w:rPr>
            </w:pPr>
            <w:r>
              <w:rPr>
                <w:rFonts w:hint="eastAsia"/>
                <w:color w:val="auto"/>
                <w:spacing w:val="-4"/>
                <w:highlight w:val="none"/>
                <w:lang w:val="zh-CN" w:eastAsia="zh-CN"/>
              </w:rPr>
              <w:t>本采购项目落实的政府采购政策：关于进一步加大政府采购支持中小企业力度的通知财库〔2022〕19号、《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2" w:hRule="atLeast"/>
        </w:trPr>
        <w:tc>
          <w:tcPr>
            <w:tcW w:w="844" w:type="dxa"/>
            <w:tcBorders>
              <w:top w:val="single" w:color="auto" w:sz="4" w:space="0"/>
              <w:left w:val="single" w:color="auto" w:sz="4" w:space="0"/>
              <w:bottom w:val="single" w:color="auto" w:sz="4" w:space="0"/>
              <w:right w:val="single" w:color="auto" w:sz="4" w:space="0"/>
            </w:tcBorders>
            <w:vAlign w:val="center"/>
          </w:tcPr>
          <w:p>
            <w:pPr>
              <w:pStyle w:val="48"/>
              <w:spacing w:before="65" w:line="327" w:lineRule="exact"/>
              <w:ind w:left="146"/>
              <w:jc w:val="center"/>
              <w:rPr>
                <w:rFonts w:hint="eastAsia"/>
                <w:color w:val="auto"/>
                <w:highlight w:val="none"/>
                <w:lang w:eastAsia="zh-CN"/>
              </w:rPr>
            </w:pPr>
            <w:r>
              <w:rPr>
                <w:color w:val="auto"/>
                <w:spacing w:val="2"/>
                <w:position w:val="12"/>
                <w:highlight w:val="none"/>
              </w:rPr>
              <w:t>2.2.</w:t>
            </w:r>
            <w:r>
              <w:rPr>
                <w:rFonts w:hint="eastAsia"/>
                <w:color w:val="auto"/>
                <w:spacing w:val="2"/>
                <w:position w:val="12"/>
                <w:highlight w:val="none"/>
                <w:lang w:eastAsia="zh-CN"/>
              </w:rPr>
              <w:t>5</w:t>
            </w:r>
          </w:p>
          <w:p>
            <w:pPr>
              <w:pStyle w:val="48"/>
              <w:spacing w:line="239" w:lineRule="auto"/>
              <w:ind w:left="153"/>
              <w:jc w:val="center"/>
              <w:rPr>
                <w:rFonts w:hint="eastAsia"/>
                <w:color w:val="auto"/>
                <w:highlight w:val="none"/>
              </w:rPr>
            </w:pPr>
            <w:r>
              <w:rPr>
                <w:color w:val="auto"/>
                <w:spacing w:val="-2"/>
                <w:highlight w:val="none"/>
              </w:rPr>
              <w:t>（4）</w:t>
            </w:r>
          </w:p>
        </w:tc>
        <w:tc>
          <w:tcPr>
            <w:tcW w:w="1150" w:type="dxa"/>
            <w:tcBorders>
              <w:top w:val="single" w:color="auto" w:sz="4" w:space="0"/>
              <w:left w:val="single" w:color="auto" w:sz="4" w:space="0"/>
              <w:bottom w:val="single" w:color="auto" w:sz="4" w:space="0"/>
              <w:right w:val="single" w:color="auto" w:sz="4" w:space="0"/>
            </w:tcBorders>
            <w:vAlign w:val="center"/>
          </w:tcPr>
          <w:p>
            <w:pPr>
              <w:pStyle w:val="48"/>
              <w:spacing w:before="65" w:line="298" w:lineRule="auto"/>
              <w:ind w:left="124" w:right="146" w:firstLine="17"/>
              <w:jc w:val="center"/>
              <w:rPr>
                <w:rFonts w:hint="eastAsia"/>
                <w:color w:val="auto"/>
                <w:spacing w:val="11"/>
                <w:highlight w:val="none"/>
                <w:lang w:eastAsia="zh-CN"/>
              </w:rPr>
            </w:pPr>
            <w:r>
              <w:rPr>
                <w:color w:val="auto"/>
                <w:spacing w:val="7"/>
                <w:highlight w:val="none"/>
                <w:lang w:eastAsia="zh-CN"/>
              </w:rPr>
              <w:t>其他因素</w:t>
            </w:r>
            <w:r>
              <w:rPr>
                <w:color w:val="auto"/>
                <w:spacing w:val="11"/>
                <w:highlight w:val="none"/>
                <w:lang w:eastAsia="zh-CN"/>
              </w:rPr>
              <w:t>评分标准</w:t>
            </w:r>
          </w:p>
          <w:p>
            <w:pPr>
              <w:pStyle w:val="48"/>
              <w:spacing w:before="65" w:line="298" w:lineRule="auto"/>
              <w:ind w:right="146"/>
              <w:jc w:val="center"/>
              <w:rPr>
                <w:rFonts w:hint="eastAsia"/>
                <w:color w:val="auto"/>
                <w:highlight w:val="none"/>
                <w:lang w:eastAsia="zh-CN"/>
              </w:rPr>
            </w:pPr>
            <w:r>
              <w:rPr>
                <w:color w:val="auto"/>
                <w:spacing w:val="-2"/>
                <w:highlight w:val="none"/>
                <w:lang w:eastAsia="zh-CN"/>
              </w:rPr>
              <w:t>（</w:t>
            </w:r>
            <w:r>
              <w:rPr>
                <w:rFonts w:hint="eastAsia"/>
                <w:color w:val="auto"/>
                <w:spacing w:val="-2"/>
                <w:highlight w:val="none"/>
                <w:lang w:eastAsia="zh-CN"/>
              </w:rPr>
              <w:t>5</w:t>
            </w:r>
            <w:r>
              <w:rPr>
                <w:color w:val="auto"/>
                <w:spacing w:val="-2"/>
                <w:highlight w:val="none"/>
                <w:lang w:eastAsia="zh-CN"/>
              </w:rPr>
              <w:t>分）</w:t>
            </w:r>
          </w:p>
        </w:tc>
        <w:tc>
          <w:tcPr>
            <w:tcW w:w="2019" w:type="dxa"/>
            <w:tcBorders>
              <w:top w:val="single" w:color="auto" w:sz="4" w:space="0"/>
              <w:left w:val="single" w:color="auto" w:sz="4" w:space="0"/>
              <w:bottom w:val="single" w:color="auto" w:sz="4" w:space="0"/>
              <w:right w:val="single" w:color="auto" w:sz="4" w:space="0"/>
            </w:tcBorders>
            <w:vAlign w:val="center"/>
          </w:tcPr>
          <w:p>
            <w:pPr>
              <w:pStyle w:val="48"/>
              <w:spacing w:before="65" w:line="228" w:lineRule="auto"/>
              <w:ind w:left="141"/>
              <w:jc w:val="center"/>
              <w:rPr>
                <w:rFonts w:hint="eastAsia"/>
                <w:color w:val="auto"/>
                <w:spacing w:val="5"/>
                <w:highlight w:val="none"/>
              </w:rPr>
            </w:pPr>
            <w:r>
              <w:rPr>
                <w:color w:val="auto"/>
                <w:spacing w:val="5"/>
                <w:highlight w:val="none"/>
              </w:rPr>
              <w:t>服务承诺</w:t>
            </w:r>
          </w:p>
          <w:p>
            <w:pPr>
              <w:pStyle w:val="48"/>
              <w:spacing w:before="65" w:line="228" w:lineRule="auto"/>
              <w:ind w:left="141"/>
              <w:jc w:val="center"/>
              <w:rPr>
                <w:rFonts w:hint="eastAsia"/>
                <w:color w:val="auto"/>
                <w:highlight w:val="none"/>
              </w:rPr>
            </w:pPr>
            <w:r>
              <w:rPr>
                <w:color w:val="auto"/>
                <w:spacing w:val="5"/>
                <w:highlight w:val="none"/>
              </w:rPr>
              <w:t>（5分）</w:t>
            </w:r>
          </w:p>
        </w:tc>
        <w:tc>
          <w:tcPr>
            <w:tcW w:w="5973" w:type="dxa"/>
            <w:tcBorders>
              <w:left w:val="single" w:color="auto" w:sz="4" w:space="0"/>
              <w:bottom w:val="single" w:color="000000" w:sz="10" w:space="0"/>
              <w:right w:val="single" w:color="000000" w:sz="10" w:space="0"/>
            </w:tcBorders>
            <w:vAlign w:val="center"/>
          </w:tcPr>
          <w:p>
            <w:pPr>
              <w:pStyle w:val="48"/>
              <w:spacing w:before="130" w:line="228" w:lineRule="auto"/>
              <w:ind w:left="110"/>
              <w:jc w:val="both"/>
              <w:rPr>
                <w:rFonts w:hint="eastAsia"/>
                <w:color w:val="auto"/>
                <w:highlight w:val="none"/>
                <w:lang w:eastAsia="zh-CN"/>
              </w:rPr>
            </w:pPr>
            <w:r>
              <w:rPr>
                <w:color w:val="auto"/>
                <w:spacing w:val="9"/>
                <w:highlight w:val="none"/>
                <w:lang w:eastAsia="zh-CN"/>
              </w:rPr>
              <w:t>对</w:t>
            </w:r>
            <w:r>
              <w:rPr>
                <w:rFonts w:hint="eastAsia"/>
                <w:color w:val="auto"/>
                <w:spacing w:val="9"/>
                <w:highlight w:val="none"/>
                <w:lang w:eastAsia="zh-CN"/>
              </w:rPr>
              <w:t>供应商</w:t>
            </w:r>
            <w:r>
              <w:rPr>
                <w:color w:val="auto"/>
                <w:spacing w:val="9"/>
                <w:highlight w:val="none"/>
                <w:lang w:eastAsia="zh-CN"/>
              </w:rPr>
              <w:t>提出的合理</w:t>
            </w:r>
            <w:r>
              <w:rPr>
                <w:rFonts w:hint="eastAsia"/>
                <w:color w:val="auto"/>
                <w:spacing w:val="9"/>
                <w:highlight w:val="none"/>
                <w:lang w:eastAsia="zh-CN"/>
              </w:rPr>
              <w:t>的</w:t>
            </w:r>
            <w:r>
              <w:rPr>
                <w:color w:val="auto"/>
                <w:spacing w:val="9"/>
                <w:highlight w:val="none"/>
                <w:lang w:eastAsia="zh-CN"/>
              </w:rPr>
              <w:t>服务承诺进行综合评</w:t>
            </w:r>
            <w:r>
              <w:rPr>
                <w:color w:val="auto"/>
                <w:spacing w:val="4"/>
                <w:highlight w:val="none"/>
                <w:lang w:eastAsia="zh-CN"/>
              </w:rPr>
              <w:t>价，综合评价优得</w:t>
            </w:r>
            <w:r>
              <w:rPr>
                <w:rFonts w:hint="eastAsia"/>
                <w:color w:val="auto"/>
                <w:spacing w:val="4"/>
                <w:highlight w:val="none"/>
                <w:lang w:eastAsia="zh-CN"/>
              </w:rPr>
              <w:t>5</w:t>
            </w:r>
            <w:r>
              <w:rPr>
                <w:color w:val="auto"/>
                <w:spacing w:val="4"/>
                <w:highlight w:val="none"/>
                <w:lang w:eastAsia="zh-CN"/>
              </w:rPr>
              <w:t>分，良得</w:t>
            </w:r>
            <w:r>
              <w:rPr>
                <w:rFonts w:hint="eastAsia"/>
                <w:color w:val="auto"/>
                <w:spacing w:val="4"/>
                <w:highlight w:val="none"/>
                <w:lang w:eastAsia="zh-CN"/>
              </w:rPr>
              <w:t>3</w:t>
            </w:r>
            <w:r>
              <w:rPr>
                <w:color w:val="auto"/>
                <w:spacing w:val="4"/>
                <w:highlight w:val="none"/>
                <w:lang w:eastAsia="zh-CN"/>
              </w:rPr>
              <w:t>分，一般得1分</w:t>
            </w:r>
            <w:r>
              <w:rPr>
                <w:color w:val="auto"/>
                <w:spacing w:val="3"/>
                <w:highlight w:val="none"/>
                <w:lang w:eastAsia="zh-CN"/>
              </w:rPr>
              <w:t>，无不得分。</w:t>
            </w:r>
          </w:p>
        </w:tc>
      </w:tr>
    </w:tbl>
    <w:p>
      <w:pPr>
        <w:spacing w:line="270" w:lineRule="auto"/>
        <w:rPr>
          <w:color w:val="auto"/>
          <w:sz w:val="28"/>
          <w:szCs w:val="28"/>
          <w:highlight w:val="none"/>
          <w:lang w:eastAsia="zh-CN"/>
        </w:rPr>
      </w:pPr>
    </w:p>
    <w:p>
      <w:pPr>
        <w:spacing w:line="233" w:lineRule="auto"/>
        <w:rPr>
          <w:color w:val="auto"/>
          <w:sz w:val="24"/>
          <w:szCs w:val="24"/>
          <w:highlight w:val="none"/>
          <w:lang w:eastAsia="zh-CN"/>
        </w:rPr>
        <w:sectPr>
          <w:pgSz w:w="11906" w:h="16839"/>
          <w:pgMar w:top="1360" w:right="833" w:bottom="957" w:left="1238" w:header="0" w:footer="795" w:gutter="0"/>
          <w:pgNumType w:fmt="decimal"/>
          <w:cols w:space="720" w:num="1"/>
        </w:sectPr>
      </w:pPr>
    </w:p>
    <w:p>
      <w:pPr>
        <w:pStyle w:val="2"/>
        <w:spacing w:before="114" w:line="225" w:lineRule="auto"/>
        <w:ind w:left="31" w:firstLine="644"/>
        <w:outlineLvl w:val="1"/>
        <w:rPr>
          <w:rFonts w:hint="eastAsia"/>
          <w:color w:val="auto"/>
          <w:sz w:val="32"/>
          <w:szCs w:val="32"/>
          <w:highlight w:val="none"/>
          <w:lang w:eastAsia="zh-CN"/>
        </w:rPr>
      </w:pPr>
      <w:r>
        <w:rPr>
          <w:color w:val="auto"/>
          <w:spacing w:val="2"/>
          <w:sz w:val="32"/>
          <w:szCs w:val="32"/>
          <w:highlight w:val="none"/>
          <w:lang w:eastAsia="zh-CN"/>
          <w14:textOutline w14:w="6540" w14:cap="sq" w14:cmpd="sng" w14:algn="ctr">
            <w14:solidFill>
              <w14:srgbClr w14:val="000000"/>
            </w14:solidFill>
            <w14:prstDash w14:val="solid"/>
            <w14:bevel/>
          </w14:textOutline>
        </w:rPr>
        <w:t>1.评标方法</w:t>
      </w:r>
    </w:p>
    <w:p>
      <w:pPr>
        <w:pStyle w:val="2"/>
        <w:ind w:firstLine="480"/>
        <w:rPr>
          <w:rFonts w:hint="eastAsia"/>
          <w:color w:val="auto"/>
          <w:highlight w:val="none"/>
          <w:lang w:eastAsia="zh-CN"/>
        </w:rPr>
      </w:pPr>
      <w:r>
        <w:rPr>
          <w:color w:val="auto"/>
          <w:highlight w:val="none"/>
          <w:lang w:eastAsia="zh-CN"/>
        </w:rPr>
        <w:t>评标委员会对满足磋商文件实质性要求的</w:t>
      </w:r>
      <w:r>
        <w:rPr>
          <w:rFonts w:hint="eastAsia"/>
          <w:color w:val="auto"/>
          <w:highlight w:val="none"/>
          <w:lang w:eastAsia="zh-CN"/>
        </w:rPr>
        <w:t>响应文件</w:t>
      </w:r>
      <w:r>
        <w:rPr>
          <w:color w:val="auto"/>
          <w:highlight w:val="none"/>
          <w:lang w:eastAsia="zh-CN"/>
        </w:rPr>
        <w:t>，按照本章第2.2款规定的评分标准进行打分，并按得分由高到底顺序推荐中标候选人，或根据采购人授权直接确定中标人，但投标报价低于成本的除外。综合评分相等时，以投标报价低的优先；投标报价也相等的，以监理方案得分高的优先；如果监理方案得分也相等，按照评标办法前附表的规定确定中标候选人顺序。</w:t>
      </w:r>
    </w:p>
    <w:p>
      <w:pPr>
        <w:pStyle w:val="2"/>
        <w:spacing w:before="184" w:line="225" w:lineRule="auto"/>
        <w:ind w:left="9" w:firstLine="652"/>
        <w:outlineLvl w:val="1"/>
        <w:rPr>
          <w:rFonts w:hint="eastAsia"/>
          <w:color w:val="auto"/>
          <w:sz w:val="32"/>
          <w:szCs w:val="32"/>
          <w:highlight w:val="none"/>
          <w:lang w:eastAsia="zh-CN"/>
        </w:rPr>
      </w:pPr>
      <w:r>
        <w:rPr>
          <w:color w:val="auto"/>
          <w:spacing w:val="6"/>
          <w:sz w:val="32"/>
          <w:szCs w:val="32"/>
          <w:highlight w:val="none"/>
          <w:lang w:eastAsia="zh-CN"/>
          <w14:textOutline w14:w="6540" w14:cap="sq" w14:cmpd="sng" w14:algn="ctr">
            <w14:solidFill>
              <w14:srgbClr w14:val="000000"/>
            </w14:solidFill>
            <w14:prstDash w14:val="solid"/>
            <w14:bevel/>
          </w14:textOutline>
        </w:rPr>
        <w:t>2.评审标准</w:t>
      </w:r>
    </w:p>
    <w:p>
      <w:pPr>
        <w:pStyle w:val="2"/>
        <w:spacing w:before="229" w:after="120" w:afterLines="50" w:line="218" w:lineRule="auto"/>
        <w:ind w:left="6" w:firstLine="558"/>
        <w:outlineLvl w:val="2"/>
        <w:rPr>
          <w:rFonts w:hint="eastAsia"/>
          <w:color w:val="auto"/>
          <w:sz w:val="28"/>
          <w:szCs w:val="28"/>
          <w:highlight w:val="none"/>
          <w:lang w:eastAsia="zh-CN"/>
        </w:rPr>
      </w:pPr>
      <w:r>
        <w:rPr>
          <w:color w:val="auto"/>
          <w:spacing w:val="-1"/>
          <w:sz w:val="28"/>
          <w:szCs w:val="28"/>
          <w:highlight w:val="none"/>
          <w:lang w:eastAsia="zh-CN"/>
          <w14:textOutline w14:w="5448" w14:cap="sq" w14:cmpd="sng" w14:algn="ctr">
            <w14:solidFill>
              <w14:srgbClr w14:val="000000"/>
            </w14:solidFill>
            <w14:prstDash w14:val="solid"/>
            <w14:bevel/>
          </w14:textOutline>
        </w:rPr>
        <w:t>2.1初步评审标准</w:t>
      </w:r>
    </w:p>
    <w:p>
      <w:pPr>
        <w:pStyle w:val="2"/>
        <w:ind w:firstLine="480"/>
        <w:rPr>
          <w:rFonts w:hint="eastAsia"/>
          <w:color w:val="auto"/>
          <w:highlight w:val="none"/>
          <w:lang w:eastAsia="zh-CN"/>
        </w:rPr>
      </w:pPr>
      <w:r>
        <w:rPr>
          <w:color w:val="auto"/>
          <w:highlight w:val="none"/>
          <w:lang w:eastAsia="zh-CN"/>
        </w:rPr>
        <w:t>2.1.1形式评审标准：见评标办法前附表。</w:t>
      </w:r>
    </w:p>
    <w:p>
      <w:pPr>
        <w:pStyle w:val="2"/>
        <w:ind w:firstLine="480"/>
        <w:rPr>
          <w:rFonts w:hint="eastAsia"/>
          <w:color w:val="auto"/>
          <w:highlight w:val="none"/>
          <w:lang w:eastAsia="zh-CN"/>
        </w:rPr>
      </w:pPr>
      <w:r>
        <w:rPr>
          <w:color w:val="auto"/>
          <w:highlight w:val="none"/>
          <w:lang w:eastAsia="zh-CN"/>
        </w:rPr>
        <w:t>2.1.2资格评审标准：见评标办法前附表。</w:t>
      </w:r>
    </w:p>
    <w:p>
      <w:pPr>
        <w:pStyle w:val="2"/>
        <w:ind w:firstLine="480"/>
        <w:rPr>
          <w:rFonts w:hint="eastAsia"/>
          <w:color w:val="auto"/>
          <w:highlight w:val="none"/>
          <w:lang w:eastAsia="zh-CN"/>
        </w:rPr>
      </w:pPr>
      <w:r>
        <w:rPr>
          <w:color w:val="auto"/>
          <w:highlight w:val="none"/>
          <w:lang w:eastAsia="zh-CN"/>
        </w:rPr>
        <w:t>2.1.3响应性评审标准：见评标办法前附表。</w:t>
      </w:r>
    </w:p>
    <w:p>
      <w:pPr>
        <w:pStyle w:val="2"/>
        <w:ind w:firstLine="480"/>
        <w:rPr>
          <w:rFonts w:hint="eastAsia"/>
          <w:color w:val="auto"/>
          <w:highlight w:val="none"/>
          <w:lang w:eastAsia="zh-CN"/>
        </w:rPr>
      </w:pPr>
      <w:r>
        <w:rPr>
          <w:color w:val="auto"/>
          <w:highlight w:val="none"/>
          <w:lang w:eastAsia="zh-CN"/>
        </w:rPr>
        <w:t>2.2分值构成与评分标准</w:t>
      </w:r>
    </w:p>
    <w:p>
      <w:pPr>
        <w:pStyle w:val="2"/>
        <w:ind w:firstLine="480"/>
        <w:rPr>
          <w:rFonts w:hint="eastAsia"/>
          <w:color w:val="auto"/>
          <w:highlight w:val="none"/>
          <w:lang w:eastAsia="zh-CN"/>
        </w:rPr>
      </w:pPr>
      <w:r>
        <w:rPr>
          <w:color w:val="auto"/>
          <w:highlight w:val="none"/>
          <w:lang w:eastAsia="zh-CN"/>
        </w:rPr>
        <w:t>2.2.1分值构成</w:t>
      </w:r>
    </w:p>
    <w:p>
      <w:pPr>
        <w:pStyle w:val="2"/>
        <w:ind w:firstLine="480"/>
        <w:rPr>
          <w:rFonts w:hint="eastAsia"/>
          <w:color w:val="auto"/>
          <w:highlight w:val="none"/>
          <w:lang w:eastAsia="zh-CN"/>
        </w:rPr>
      </w:pPr>
      <w:r>
        <w:rPr>
          <w:color w:val="auto"/>
          <w:highlight w:val="none"/>
          <w:lang w:eastAsia="zh-CN"/>
        </w:rPr>
        <w:t>（1）资信业绩部分：见评标办法前附表；</w:t>
      </w:r>
    </w:p>
    <w:p>
      <w:pPr>
        <w:pStyle w:val="2"/>
        <w:ind w:firstLine="480"/>
        <w:rPr>
          <w:rFonts w:hint="eastAsia"/>
          <w:color w:val="auto"/>
          <w:highlight w:val="none"/>
          <w:lang w:eastAsia="zh-CN"/>
        </w:rPr>
      </w:pPr>
      <w:r>
        <w:rPr>
          <w:color w:val="auto"/>
          <w:highlight w:val="none"/>
          <w:lang w:eastAsia="zh-CN"/>
        </w:rPr>
        <w:t>（2）监理大纲部分：见评标办法前附表；</w:t>
      </w:r>
    </w:p>
    <w:p>
      <w:pPr>
        <w:pStyle w:val="2"/>
        <w:ind w:firstLine="480"/>
        <w:rPr>
          <w:rFonts w:hint="eastAsia"/>
          <w:color w:val="auto"/>
          <w:highlight w:val="none"/>
          <w:lang w:eastAsia="zh-CN"/>
        </w:rPr>
      </w:pPr>
      <w:r>
        <w:rPr>
          <w:color w:val="auto"/>
          <w:highlight w:val="none"/>
          <w:lang w:eastAsia="zh-CN"/>
        </w:rPr>
        <w:t>（3）投标报价部分：见评标办法前附表；</w:t>
      </w:r>
    </w:p>
    <w:p>
      <w:pPr>
        <w:pStyle w:val="2"/>
        <w:ind w:firstLine="480"/>
        <w:rPr>
          <w:rFonts w:hint="eastAsia"/>
          <w:color w:val="auto"/>
          <w:highlight w:val="none"/>
          <w:lang w:eastAsia="zh-CN"/>
        </w:rPr>
      </w:pPr>
      <w:r>
        <w:rPr>
          <w:color w:val="auto"/>
          <w:highlight w:val="none"/>
          <w:lang w:eastAsia="zh-CN"/>
        </w:rPr>
        <w:t>（4）其他因素部分：见评标办法前附表。</w:t>
      </w:r>
    </w:p>
    <w:p>
      <w:pPr>
        <w:pStyle w:val="2"/>
        <w:ind w:firstLine="480"/>
        <w:rPr>
          <w:rFonts w:hint="eastAsia"/>
          <w:color w:val="auto"/>
          <w:highlight w:val="none"/>
          <w:lang w:eastAsia="zh-CN"/>
        </w:rPr>
      </w:pPr>
      <w:r>
        <w:rPr>
          <w:color w:val="auto"/>
          <w:highlight w:val="none"/>
          <w:lang w:eastAsia="zh-CN"/>
        </w:rPr>
        <w:t>2.2.2评标基准价计算</w:t>
      </w:r>
    </w:p>
    <w:p>
      <w:pPr>
        <w:pStyle w:val="2"/>
        <w:ind w:firstLine="480"/>
        <w:rPr>
          <w:rFonts w:hint="eastAsia"/>
          <w:color w:val="auto"/>
          <w:highlight w:val="none"/>
          <w:lang w:eastAsia="zh-CN"/>
        </w:rPr>
      </w:pPr>
      <w:r>
        <w:rPr>
          <w:color w:val="auto"/>
          <w:highlight w:val="none"/>
          <w:lang w:eastAsia="zh-CN"/>
        </w:rPr>
        <w:t>评标基准价计算方法：见评标办法前附表。</w:t>
      </w:r>
    </w:p>
    <w:p>
      <w:pPr>
        <w:pStyle w:val="2"/>
        <w:ind w:firstLine="480"/>
        <w:rPr>
          <w:rFonts w:hint="eastAsia"/>
          <w:color w:val="auto"/>
          <w:highlight w:val="none"/>
          <w:lang w:eastAsia="zh-CN"/>
        </w:rPr>
      </w:pPr>
      <w:r>
        <w:rPr>
          <w:color w:val="auto"/>
          <w:highlight w:val="none"/>
          <w:lang w:eastAsia="zh-CN"/>
        </w:rPr>
        <w:t>2.2.3投标报价的偏差率计算</w:t>
      </w:r>
    </w:p>
    <w:p>
      <w:pPr>
        <w:pStyle w:val="2"/>
        <w:ind w:firstLine="480"/>
        <w:rPr>
          <w:rFonts w:hint="eastAsia"/>
          <w:color w:val="auto"/>
          <w:highlight w:val="none"/>
          <w:lang w:eastAsia="zh-CN"/>
        </w:rPr>
      </w:pPr>
      <w:r>
        <w:rPr>
          <w:color w:val="auto"/>
          <w:highlight w:val="none"/>
          <w:lang w:eastAsia="zh-CN"/>
        </w:rPr>
        <w:t>投标报价的偏差率计算公式：见评标办法前附表。</w:t>
      </w:r>
    </w:p>
    <w:p>
      <w:pPr>
        <w:pStyle w:val="2"/>
        <w:ind w:firstLine="480"/>
        <w:rPr>
          <w:rFonts w:hint="eastAsia"/>
          <w:color w:val="auto"/>
          <w:highlight w:val="none"/>
          <w:lang w:eastAsia="zh-CN"/>
        </w:rPr>
      </w:pPr>
      <w:r>
        <w:rPr>
          <w:color w:val="auto"/>
          <w:highlight w:val="none"/>
          <w:lang w:eastAsia="zh-CN"/>
        </w:rPr>
        <w:t>2.2.4评分标准</w:t>
      </w:r>
    </w:p>
    <w:p>
      <w:pPr>
        <w:pStyle w:val="2"/>
        <w:ind w:firstLine="480"/>
        <w:rPr>
          <w:rFonts w:hint="eastAsia"/>
          <w:color w:val="auto"/>
          <w:highlight w:val="none"/>
          <w:lang w:eastAsia="zh-CN"/>
        </w:rPr>
      </w:pPr>
      <w:r>
        <w:rPr>
          <w:color w:val="auto"/>
          <w:highlight w:val="none"/>
          <w:lang w:eastAsia="zh-CN"/>
        </w:rPr>
        <w:t>（1）资信业绩评分标准：见评标办法前附表；</w:t>
      </w:r>
    </w:p>
    <w:p>
      <w:pPr>
        <w:pStyle w:val="2"/>
        <w:ind w:firstLine="480"/>
        <w:rPr>
          <w:rFonts w:hint="eastAsia"/>
          <w:color w:val="auto"/>
          <w:highlight w:val="none"/>
          <w:lang w:eastAsia="zh-CN"/>
        </w:rPr>
      </w:pPr>
      <w:r>
        <w:rPr>
          <w:color w:val="auto"/>
          <w:highlight w:val="none"/>
          <w:lang w:eastAsia="zh-CN"/>
        </w:rPr>
        <w:t>（2）监理大纲评分标准：见评标办法前附表；</w:t>
      </w:r>
    </w:p>
    <w:p>
      <w:pPr>
        <w:pStyle w:val="2"/>
        <w:ind w:firstLine="480"/>
        <w:rPr>
          <w:rFonts w:hint="eastAsia"/>
          <w:color w:val="auto"/>
          <w:highlight w:val="none"/>
          <w:lang w:eastAsia="zh-CN"/>
        </w:rPr>
      </w:pPr>
      <w:r>
        <w:rPr>
          <w:color w:val="auto"/>
          <w:highlight w:val="none"/>
          <w:lang w:eastAsia="zh-CN"/>
        </w:rPr>
        <w:t>（3）投标报价评分标准：见评标办法前附表；</w:t>
      </w:r>
    </w:p>
    <w:p>
      <w:pPr>
        <w:pStyle w:val="2"/>
        <w:ind w:firstLine="480"/>
        <w:rPr>
          <w:rFonts w:hint="eastAsia"/>
          <w:color w:val="auto"/>
          <w:highlight w:val="none"/>
          <w:lang w:eastAsia="zh-CN"/>
        </w:rPr>
      </w:pPr>
      <w:r>
        <w:rPr>
          <w:color w:val="auto"/>
          <w:highlight w:val="none"/>
          <w:lang w:eastAsia="zh-CN"/>
        </w:rPr>
        <w:t>（4）其他因素评分标准：见评标办法前附表。</w:t>
      </w:r>
    </w:p>
    <w:p>
      <w:pPr>
        <w:pStyle w:val="2"/>
        <w:spacing w:before="186" w:line="654" w:lineRule="exact"/>
        <w:ind w:left="12" w:firstLine="650"/>
        <w:outlineLvl w:val="1"/>
        <w:rPr>
          <w:rFonts w:hint="eastAsia"/>
          <w:color w:val="auto"/>
          <w:sz w:val="32"/>
          <w:szCs w:val="32"/>
          <w:highlight w:val="none"/>
          <w:lang w:eastAsia="zh-CN"/>
        </w:rPr>
      </w:pPr>
      <w:r>
        <w:rPr>
          <w:color w:val="auto"/>
          <w:spacing w:val="5"/>
          <w:position w:val="22"/>
          <w:sz w:val="32"/>
          <w:szCs w:val="32"/>
          <w:highlight w:val="none"/>
          <w:lang w:eastAsia="zh-CN"/>
          <w14:textOutline w14:w="6540" w14:cap="sq" w14:cmpd="sng" w14:algn="ctr">
            <w14:solidFill>
              <w14:srgbClr w14:val="000000"/>
            </w14:solidFill>
            <w14:prstDash w14:val="solid"/>
            <w14:bevel/>
          </w14:textOutline>
        </w:rPr>
        <w:t>3.评标程序</w:t>
      </w:r>
    </w:p>
    <w:p>
      <w:pPr>
        <w:pStyle w:val="2"/>
        <w:spacing w:before="229" w:after="120" w:afterLines="50" w:line="218" w:lineRule="auto"/>
        <w:ind w:left="6" w:firstLine="558"/>
        <w:outlineLvl w:val="2"/>
        <w:rPr>
          <w:rFonts w:hint="eastAsia"/>
          <w:color w:val="auto"/>
          <w:spacing w:val="-1"/>
          <w:sz w:val="28"/>
          <w:szCs w:val="28"/>
          <w:highlight w:val="none"/>
          <w:lang w:eastAsia="zh-CN"/>
          <w14:textOutline w14:w="5448" w14:cap="sq" w14:cmpd="sng" w14:algn="ctr">
            <w14:solidFill>
              <w14:srgbClr w14:val="000000"/>
            </w14:solidFill>
            <w14:prstDash w14:val="solid"/>
            <w14:bevel/>
          </w14:textOutline>
        </w:rPr>
      </w:pPr>
      <w:r>
        <w:rPr>
          <w:color w:val="auto"/>
          <w:spacing w:val="-1"/>
          <w:sz w:val="28"/>
          <w:szCs w:val="28"/>
          <w:highlight w:val="none"/>
          <w:lang w:eastAsia="zh-CN"/>
          <w14:textOutline w14:w="5448" w14:cap="sq" w14:cmpd="sng" w14:algn="ctr">
            <w14:solidFill>
              <w14:srgbClr w14:val="000000"/>
            </w14:solidFill>
            <w14:prstDash w14:val="solid"/>
            <w14:bevel/>
          </w14:textOutline>
        </w:rPr>
        <w:t>3.1初步评审</w:t>
      </w:r>
    </w:p>
    <w:p>
      <w:pPr>
        <w:pStyle w:val="2"/>
        <w:ind w:firstLine="480"/>
        <w:rPr>
          <w:rFonts w:hint="eastAsia"/>
          <w:color w:val="auto"/>
          <w:highlight w:val="none"/>
          <w:lang w:eastAsia="zh-CN"/>
        </w:rPr>
      </w:pPr>
      <w:r>
        <w:rPr>
          <w:color w:val="auto"/>
          <w:highlight w:val="none"/>
          <w:lang w:eastAsia="zh-CN"/>
        </w:rPr>
        <w:t>3.1.1评标委员会可以要求</w:t>
      </w:r>
      <w:r>
        <w:rPr>
          <w:rFonts w:hint="eastAsia"/>
          <w:color w:val="auto"/>
          <w:highlight w:val="none"/>
          <w:lang w:eastAsia="zh-CN"/>
        </w:rPr>
        <w:t>供应商</w:t>
      </w:r>
      <w:r>
        <w:rPr>
          <w:color w:val="auto"/>
          <w:highlight w:val="none"/>
          <w:lang w:eastAsia="zh-CN"/>
        </w:rPr>
        <w:t>提交第二章“</w:t>
      </w:r>
      <w:r>
        <w:rPr>
          <w:rFonts w:hint="eastAsia"/>
          <w:color w:val="auto"/>
          <w:highlight w:val="none"/>
          <w:lang w:eastAsia="zh-CN"/>
        </w:rPr>
        <w:t>供应商</w:t>
      </w:r>
      <w:r>
        <w:rPr>
          <w:color w:val="auto"/>
          <w:highlight w:val="none"/>
          <w:lang w:eastAsia="zh-CN"/>
        </w:rPr>
        <w:t>须知”规定的有关证明和证件的原件，以便核验。评标委员会依据本章第2.1款规定的标准对</w:t>
      </w:r>
      <w:r>
        <w:rPr>
          <w:rFonts w:hint="eastAsia"/>
          <w:color w:val="auto"/>
          <w:highlight w:val="none"/>
          <w:lang w:eastAsia="zh-CN"/>
        </w:rPr>
        <w:t>响应文件</w:t>
      </w:r>
      <w:r>
        <w:rPr>
          <w:color w:val="auto"/>
          <w:highlight w:val="none"/>
          <w:lang w:eastAsia="zh-CN"/>
        </w:rPr>
        <w:t>进行初步评审。有一项不符合评审标准的，评标委员会应当否决其投标。</w:t>
      </w:r>
    </w:p>
    <w:p>
      <w:pPr>
        <w:pStyle w:val="2"/>
        <w:ind w:firstLine="480"/>
        <w:rPr>
          <w:rFonts w:hint="eastAsia"/>
          <w:color w:val="auto"/>
          <w:highlight w:val="none"/>
          <w:lang w:eastAsia="zh-CN"/>
        </w:rPr>
      </w:pPr>
      <w:r>
        <w:rPr>
          <w:color w:val="auto"/>
          <w:highlight w:val="none"/>
          <w:lang w:eastAsia="zh-CN"/>
        </w:rPr>
        <w:t>3.1.2</w:t>
      </w:r>
      <w:r>
        <w:rPr>
          <w:rFonts w:hint="eastAsia"/>
          <w:color w:val="auto"/>
          <w:highlight w:val="none"/>
          <w:lang w:eastAsia="zh-CN"/>
        </w:rPr>
        <w:t>供应商</w:t>
      </w:r>
      <w:r>
        <w:rPr>
          <w:color w:val="auto"/>
          <w:highlight w:val="none"/>
          <w:lang w:eastAsia="zh-CN"/>
        </w:rPr>
        <w:t>有以下情形之一的，评标委员会应当否决其投标：</w:t>
      </w:r>
    </w:p>
    <w:p>
      <w:pPr>
        <w:pStyle w:val="2"/>
        <w:ind w:firstLine="480"/>
        <w:rPr>
          <w:rFonts w:hint="eastAsia"/>
          <w:color w:val="auto"/>
          <w:highlight w:val="none"/>
          <w:lang w:eastAsia="zh-CN"/>
        </w:rPr>
      </w:pPr>
      <w:r>
        <w:rPr>
          <w:color w:val="auto"/>
          <w:highlight w:val="none"/>
          <w:lang w:eastAsia="zh-CN"/>
        </w:rPr>
        <w:t>（1）</w:t>
      </w:r>
      <w:r>
        <w:rPr>
          <w:rFonts w:hint="eastAsia"/>
          <w:color w:val="auto"/>
          <w:highlight w:val="none"/>
          <w:lang w:eastAsia="zh-CN"/>
        </w:rPr>
        <w:t>响应文件</w:t>
      </w:r>
      <w:r>
        <w:rPr>
          <w:color w:val="auto"/>
          <w:highlight w:val="none"/>
          <w:lang w:eastAsia="zh-CN"/>
        </w:rPr>
        <w:t>没有对磋商文件的实质性要求和条件作出响应，或者对磋商文件的偏差超出磋商文件规定的偏差范围或最高项数；</w:t>
      </w:r>
    </w:p>
    <w:p>
      <w:pPr>
        <w:pStyle w:val="2"/>
        <w:ind w:firstLine="480"/>
        <w:rPr>
          <w:rFonts w:hint="eastAsia"/>
          <w:color w:val="auto"/>
          <w:highlight w:val="none"/>
          <w:lang w:eastAsia="zh-CN"/>
        </w:rPr>
      </w:pPr>
      <w:r>
        <w:rPr>
          <w:color w:val="auto"/>
          <w:highlight w:val="none"/>
          <w:lang w:eastAsia="zh-CN"/>
        </w:rPr>
        <w:t>（2）有串通投标、弄虚作假、行贿等违法行为。</w:t>
      </w:r>
    </w:p>
    <w:p>
      <w:pPr>
        <w:pStyle w:val="2"/>
        <w:ind w:firstLine="480"/>
        <w:rPr>
          <w:rFonts w:hint="eastAsia"/>
          <w:color w:val="auto"/>
          <w:highlight w:val="none"/>
          <w:lang w:eastAsia="zh-CN"/>
        </w:rPr>
      </w:pPr>
      <w:r>
        <w:rPr>
          <w:color w:val="auto"/>
          <w:highlight w:val="none"/>
          <w:lang w:eastAsia="zh-CN"/>
        </w:rPr>
        <w:t>3.1.3投标报价有算术错误及其他错误的，评标委员会按以下原则要求</w:t>
      </w:r>
      <w:r>
        <w:rPr>
          <w:rFonts w:hint="eastAsia"/>
          <w:color w:val="auto"/>
          <w:highlight w:val="none"/>
          <w:lang w:eastAsia="zh-CN"/>
        </w:rPr>
        <w:t>供应商</w:t>
      </w:r>
      <w:r>
        <w:rPr>
          <w:color w:val="auto"/>
          <w:highlight w:val="none"/>
          <w:lang w:eastAsia="zh-CN"/>
        </w:rPr>
        <w:t>对投标报价进行修正，并要求</w:t>
      </w:r>
      <w:r>
        <w:rPr>
          <w:rFonts w:hint="eastAsia"/>
          <w:color w:val="auto"/>
          <w:highlight w:val="none"/>
          <w:lang w:eastAsia="zh-CN"/>
        </w:rPr>
        <w:t>供应商</w:t>
      </w:r>
      <w:r>
        <w:rPr>
          <w:color w:val="auto"/>
          <w:highlight w:val="none"/>
          <w:lang w:eastAsia="zh-CN"/>
        </w:rPr>
        <w:t>书面澄清确认。</w:t>
      </w:r>
      <w:r>
        <w:rPr>
          <w:rFonts w:hint="eastAsia"/>
          <w:color w:val="auto"/>
          <w:highlight w:val="none"/>
          <w:lang w:eastAsia="zh-CN"/>
        </w:rPr>
        <w:t>供应商</w:t>
      </w:r>
      <w:r>
        <w:rPr>
          <w:color w:val="auto"/>
          <w:highlight w:val="none"/>
          <w:lang w:eastAsia="zh-CN"/>
        </w:rPr>
        <w:t>拒不澄清确认的，评标委员会应当否决其投标：</w:t>
      </w:r>
    </w:p>
    <w:p>
      <w:pPr>
        <w:pStyle w:val="2"/>
        <w:ind w:firstLine="480"/>
        <w:rPr>
          <w:rFonts w:hint="eastAsia"/>
          <w:color w:val="auto"/>
          <w:highlight w:val="none"/>
          <w:lang w:eastAsia="zh-CN"/>
        </w:rPr>
      </w:pPr>
      <w:r>
        <w:rPr>
          <w:color w:val="auto"/>
          <w:highlight w:val="none"/>
          <w:lang w:eastAsia="zh-CN"/>
        </w:rPr>
        <w:t>（1）</w:t>
      </w:r>
      <w:r>
        <w:rPr>
          <w:rFonts w:hint="eastAsia"/>
          <w:color w:val="auto"/>
          <w:highlight w:val="none"/>
          <w:lang w:eastAsia="zh-CN"/>
        </w:rPr>
        <w:t>响应文件</w:t>
      </w:r>
      <w:r>
        <w:rPr>
          <w:color w:val="auto"/>
          <w:highlight w:val="none"/>
          <w:lang w:eastAsia="zh-CN"/>
        </w:rPr>
        <w:t>中的大写金额与小写金额不一致的，以大写金额为准；</w:t>
      </w:r>
    </w:p>
    <w:p>
      <w:pPr>
        <w:pStyle w:val="2"/>
        <w:ind w:firstLine="480"/>
        <w:rPr>
          <w:rFonts w:hint="eastAsia"/>
          <w:color w:val="auto"/>
          <w:highlight w:val="none"/>
          <w:lang w:eastAsia="zh-CN"/>
        </w:rPr>
      </w:pPr>
      <w:r>
        <w:rPr>
          <w:color w:val="auto"/>
          <w:highlight w:val="none"/>
          <w:lang w:eastAsia="zh-CN"/>
        </w:rPr>
        <w:t>（2）总价金额与单价金额不一致的，以单价金额为准，但单价金额小数点有明显错误的除外。</w:t>
      </w:r>
    </w:p>
    <w:p>
      <w:pPr>
        <w:pStyle w:val="2"/>
        <w:spacing w:before="229" w:after="120" w:afterLines="50" w:line="218" w:lineRule="auto"/>
        <w:ind w:left="6" w:firstLine="558"/>
        <w:outlineLvl w:val="2"/>
        <w:rPr>
          <w:rFonts w:hint="eastAsia"/>
          <w:color w:val="auto"/>
          <w:spacing w:val="-1"/>
          <w:sz w:val="28"/>
          <w:szCs w:val="28"/>
          <w:highlight w:val="none"/>
          <w:lang w:eastAsia="zh-CN"/>
          <w14:textOutline w14:w="5448" w14:cap="sq" w14:cmpd="sng" w14:algn="ctr">
            <w14:solidFill>
              <w14:srgbClr w14:val="000000"/>
            </w14:solidFill>
            <w14:prstDash w14:val="solid"/>
            <w14:bevel/>
          </w14:textOutline>
        </w:rPr>
      </w:pPr>
      <w:r>
        <w:rPr>
          <w:color w:val="auto"/>
          <w:spacing w:val="-1"/>
          <w:sz w:val="28"/>
          <w:szCs w:val="28"/>
          <w:highlight w:val="none"/>
          <w:lang w:eastAsia="zh-CN"/>
          <w14:textOutline w14:w="5448" w14:cap="sq" w14:cmpd="sng" w14:algn="ctr">
            <w14:solidFill>
              <w14:srgbClr w14:val="000000"/>
            </w14:solidFill>
            <w14:prstDash w14:val="solid"/>
            <w14:bevel/>
          </w14:textOutline>
        </w:rPr>
        <w:t>3.2详细评审</w:t>
      </w:r>
    </w:p>
    <w:p>
      <w:pPr>
        <w:pStyle w:val="2"/>
        <w:ind w:firstLine="480"/>
        <w:rPr>
          <w:rFonts w:hint="eastAsia"/>
          <w:color w:val="auto"/>
          <w:highlight w:val="none"/>
          <w:lang w:eastAsia="zh-CN"/>
        </w:rPr>
      </w:pPr>
      <w:r>
        <w:rPr>
          <w:color w:val="auto"/>
          <w:highlight w:val="none"/>
          <w:lang w:eastAsia="zh-CN"/>
        </w:rPr>
        <w:t>3.2.1评标委员会按本章第2.2款规定的量化因素和分值进行打分，并计算出综合评估得分。</w:t>
      </w:r>
    </w:p>
    <w:p>
      <w:pPr>
        <w:pStyle w:val="2"/>
        <w:ind w:firstLine="480"/>
        <w:rPr>
          <w:rFonts w:hint="eastAsia"/>
          <w:color w:val="auto"/>
          <w:highlight w:val="none"/>
          <w:lang w:eastAsia="zh-CN"/>
        </w:rPr>
      </w:pPr>
      <w:r>
        <w:rPr>
          <w:color w:val="auto"/>
          <w:highlight w:val="none"/>
          <w:lang w:eastAsia="zh-CN"/>
        </w:rPr>
        <w:t>（1）按本章第2.2.4（1）目规定的评审因素和分值对资信业绩部分计算出得分A；</w:t>
      </w:r>
    </w:p>
    <w:p>
      <w:pPr>
        <w:pStyle w:val="2"/>
        <w:ind w:firstLine="480"/>
        <w:rPr>
          <w:rFonts w:hint="eastAsia"/>
          <w:color w:val="auto"/>
          <w:highlight w:val="none"/>
          <w:lang w:eastAsia="zh-CN"/>
        </w:rPr>
      </w:pPr>
      <w:r>
        <w:rPr>
          <w:color w:val="auto"/>
          <w:highlight w:val="none"/>
          <w:lang w:eastAsia="zh-CN"/>
        </w:rPr>
        <w:t>（2）按本章第2.2.4（2）目规定的评审因素和分值对设计方案部分计算出得分B；</w:t>
      </w:r>
    </w:p>
    <w:p>
      <w:pPr>
        <w:pStyle w:val="2"/>
        <w:ind w:firstLine="480"/>
        <w:rPr>
          <w:rFonts w:hint="eastAsia"/>
          <w:color w:val="auto"/>
          <w:highlight w:val="none"/>
          <w:lang w:eastAsia="zh-CN"/>
        </w:rPr>
      </w:pPr>
      <w:r>
        <w:rPr>
          <w:color w:val="auto"/>
          <w:highlight w:val="none"/>
          <w:lang w:eastAsia="zh-CN"/>
        </w:rPr>
        <w:t>（3）按本章第2.2.4（3）目规定的评审因素和分值对投标报价部分计算出得分C；</w:t>
      </w:r>
    </w:p>
    <w:p>
      <w:pPr>
        <w:pStyle w:val="2"/>
        <w:ind w:firstLine="480"/>
        <w:rPr>
          <w:rFonts w:hint="eastAsia"/>
          <w:color w:val="auto"/>
          <w:highlight w:val="none"/>
          <w:lang w:eastAsia="zh-CN"/>
        </w:rPr>
      </w:pPr>
      <w:r>
        <w:rPr>
          <w:color w:val="auto"/>
          <w:highlight w:val="none"/>
          <w:lang w:eastAsia="zh-CN"/>
        </w:rPr>
        <w:t>（4）按本章第2.2.4（4）目规定的评审因素和分值对其他因素部分计算出得分D。</w:t>
      </w:r>
    </w:p>
    <w:p>
      <w:pPr>
        <w:pStyle w:val="2"/>
        <w:ind w:firstLine="480"/>
        <w:rPr>
          <w:rFonts w:hint="eastAsia"/>
          <w:color w:val="auto"/>
          <w:highlight w:val="none"/>
          <w:lang w:eastAsia="zh-CN"/>
        </w:rPr>
      </w:pPr>
      <w:r>
        <w:rPr>
          <w:color w:val="auto"/>
          <w:highlight w:val="none"/>
          <w:lang w:eastAsia="zh-CN"/>
        </w:rPr>
        <w:t>3.2.2评分分值计算保留小数点后两位，小数点后第三位“四舍五入”。</w:t>
      </w:r>
    </w:p>
    <w:p>
      <w:pPr>
        <w:pStyle w:val="2"/>
        <w:ind w:firstLine="480"/>
        <w:rPr>
          <w:rFonts w:hint="eastAsia"/>
          <w:color w:val="auto"/>
          <w:highlight w:val="none"/>
          <w:lang w:eastAsia="zh-CN"/>
        </w:rPr>
      </w:pPr>
      <w:r>
        <w:rPr>
          <w:color w:val="auto"/>
          <w:highlight w:val="none"/>
          <w:lang w:eastAsia="zh-CN"/>
        </w:rPr>
        <w:t>3.2.3</w:t>
      </w:r>
      <w:r>
        <w:rPr>
          <w:rFonts w:hint="eastAsia"/>
          <w:color w:val="auto"/>
          <w:highlight w:val="none"/>
          <w:lang w:eastAsia="zh-CN"/>
        </w:rPr>
        <w:t>供应商</w:t>
      </w:r>
      <w:r>
        <w:rPr>
          <w:color w:val="auto"/>
          <w:highlight w:val="none"/>
          <w:lang w:eastAsia="zh-CN"/>
        </w:rPr>
        <w:t>得分=A+B+C+D。</w:t>
      </w:r>
    </w:p>
    <w:p>
      <w:pPr>
        <w:pStyle w:val="2"/>
        <w:ind w:firstLine="480"/>
        <w:rPr>
          <w:rFonts w:hint="eastAsia"/>
          <w:color w:val="auto"/>
          <w:highlight w:val="none"/>
          <w:lang w:eastAsia="zh-CN"/>
        </w:rPr>
      </w:pPr>
      <w:r>
        <w:rPr>
          <w:color w:val="auto"/>
          <w:highlight w:val="none"/>
          <w:lang w:eastAsia="zh-CN"/>
        </w:rPr>
        <w:t>3.2.4评标委员会发现</w:t>
      </w:r>
      <w:r>
        <w:rPr>
          <w:rFonts w:hint="eastAsia"/>
          <w:color w:val="auto"/>
          <w:highlight w:val="none"/>
          <w:lang w:eastAsia="zh-CN"/>
        </w:rPr>
        <w:t>供应商</w:t>
      </w:r>
      <w:r>
        <w:rPr>
          <w:color w:val="auto"/>
          <w:highlight w:val="none"/>
          <w:lang w:eastAsia="zh-CN"/>
        </w:rPr>
        <w:t>的报价明显低于其他投标报价，使得其投标报价可能低于其个别成本的，应当要求该</w:t>
      </w:r>
      <w:r>
        <w:rPr>
          <w:rFonts w:hint="eastAsia"/>
          <w:color w:val="auto"/>
          <w:highlight w:val="none"/>
          <w:lang w:eastAsia="zh-CN"/>
        </w:rPr>
        <w:t>供应商</w:t>
      </w:r>
      <w:r>
        <w:rPr>
          <w:color w:val="auto"/>
          <w:highlight w:val="none"/>
          <w:lang w:eastAsia="zh-CN"/>
        </w:rPr>
        <w:t>作出书面说明并提供相应的证明材料。</w:t>
      </w:r>
      <w:r>
        <w:rPr>
          <w:rFonts w:hint="eastAsia"/>
          <w:color w:val="auto"/>
          <w:highlight w:val="none"/>
          <w:lang w:eastAsia="zh-CN"/>
        </w:rPr>
        <w:t>供应商</w:t>
      </w:r>
      <w:r>
        <w:rPr>
          <w:color w:val="auto"/>
          <w:highlight w:val="none"/>
          <w:lang w:eastAsia="zh-CN"/>
        </w:rPr>
        <w:t>不能合理说明或者不能提供相应证明材料的，评标委员会应当认定该</w:t>
      </w:r>
      <w:r>
        <w:rPr>
          <w:rFonts w:hint="eastAsia"/>
          <w:color w:val="auto"/>
          <w:highlight w:val="none"/>
          <w:lang w:eastAsia="zh-CN"/>
        </w:rPr>
        <w:t>供应商</w:t>
      </w:r>
      <w:r>
        <w:rPr>
          <w:color w:val="auto"/>
          <w:highlight w:val="none"/>
          <w:lang w:eastAsia="zh-CN"/>
        </w:rPr>
        <w:t>以低于成本报价竞标，并否决其投标。</w:t>
      </w:r>
    </w:p>
    <w:p>
      <w:pPr>
        <w:pStyle w:val="2"/>
        <w:spacing w:before="229" w:after="120" w:afterLines="50" w:line="218" w:lineRule="auto"/>
        <w:ind w:left="6" w:firstLine="558"/>
        <w:outlineLvl w:val="2"/>
        <w:rPr>
          <w:rFonts w:hint="eastAsia"/>
          <w:color w:val="auto"/>
          <w:spacing w:val="-1"/>
          <w:sz w:val="28"/>
          <w:szCs w:val="28"/>
          <w:highlight w:val="none"/>
          <w:lang w:eastAsia="zh-CN"/>
          <w14:textOutline w14:w="5448" w14:cap="sq" w14:cmpd="sng" w14:algn="ctr">
            <w14:solidFill>
              <w14:srgbClr w14:val="000000"/>
            </w14:solidFill>
            <w14:prstDash w14:val="solid"/>
            <w14:bevel/>
          </w14:textOutline>
        </w:rPr>
      </w:pPr>
      <w:r>
        <w:rPr>
          <w:color w:val="auto"/>
          <w:spacing w:val="-1"/>
          <w:sz w:val="28"/>
          <w:szCs w:val="28"/>
          <w:highlight w:val="none"/>
          <w:lang w:eastAsia="zh-CN"/>
          <w14:textOutline w14:w="5448" w14:cap="sq" w14:cmpd="sng" w14:algn="ctr">
            <w14:solidFill>
              <w14:srgbClr w14:val="000000"/>
            </w14:solidFill>
            <w14:prstDash w14:val="solid"/>
            <w14:bevel/>
          </w14:textOutline>
        </w:rPr>
        <w:t>3.3</w:t>
      </w:r>
      <w:r>
        <w:rPr>
          <w:rFonts w:hint="eastAsia"/>
          <w:color w:val="auto"/>
          <w:spacing w:val="-1"/>
          <w:sz w:val="28"/>
          <w:szCs w:val="28"/>
          <w:highlight w:val="none"/>
          <w:lang w:eastAsia="zh-CN"/>
          <w14:textOutline w14:w="5448" w14:cap="sq" w14:cmpd="sng" w14:algn="ctr">
            <w14:solidFill>
              <w14:srgbClr w14:val="000000"/>
            </w14:solidFill>
            <w14:prstDash w14:val="solid"/>
            <w14:bevel/>
          </w14:textOutline>
        </w:rPr>
        <w:t>响应文件</w:t>
      </w:r>
      <w:r>
        <w:rPr>
          <w:color w:val="auto"/>
          <w:spacing w:val="-1"/>
          <w:sz w:val="28"/>
          <w:szCs w:val="28"/>
          <w:highlight w:val="none"/>
          <w:lang w:eastAsia="zh-CN"/>
          <w14:textOutline w14:w="5448" w14:cap="sq" w14:cmpd="sng" w14:algn="ctr">
            <w14:solidFill>
              <w14:srgbClr w14:val="000000"/>
            </w14:solidFill>
            <w14:prstDash w14:val="solid"/>
            <w14:bevel/>
          </w14:textOutline>
        </w:rPr>
        <w:t>的澄清</w:t>
      </w:r>
    </w:p>
    <w:p>
      <w:pPr>
        <w:pStyle w:val="2"/>
        <w:ind w:firstLine="480"/>
        <w:rPr>
          <w:rFonts w:hint="eastAsia"/>
          <w:color w:val="auto"/>
          <w:highlight w:val="none"/>
          <w:lang w:eastAsia="zh-CN"/>
        </w:rPr>
      </w:pPr>
      <w:r>
        <w:rPr>
          <w:color w:val="auto"/>
          <w:highlight w:val="none"/>
          <w:lang w:eastAsia="zh-CN"/>
        </w:rPr>
        <w:t>3.3.1在评标过程中，评标委员会可以书面形式要求</w:t>
      </w:r>
      <w:r>
        <w:rPr>
          <w:rFonts w:hint="eastAsia"/>
          <w:color w:val="auto"/>
          <w:highlight w:val="none"/>
          <w:lang w:eastAsia="zh-CN"/>
        </w:rPr>
        <w:t>供应商</w:t>
      </w:r>
      <w:r>
        <w:rPr>
          <w:color w:val="auto"/>
          <w:highlight w:val="none"/>
          <w:lang w:eastAsia="zh-CN"/>
        </w:rPr>
        <w:t>对</w:t>
      </w:r>
      <w:r>
        <w:rPr>
          <w:rFonts w:hint="eastAsia"/>
          <w:color w:val="auto"/>
          <w:highlight w:val="none"/>
          <w:lang w:eastAsia="zh-CN"/>
        </w:rPr>
        <w:t>响应文件</w:t>
      </w:r>
      <w:r>
        <w:rPr>
          <w:color w:val="auto"/>
          <w:highlight w:val="none"/>
          <w:lang w:eastAsia="zh-CN"/>
        </w:rPr>
        <w:t>中含义不明确、对同类问题表述不一致或者有明显文字和计算错误的内容作必要的澄清、说明或补正。澄清、说明或补正应以书面方式进行。评标委员会不接受</w:t>
      </w:r>
      <w:r>
        <w:rPr>
          <w:rFonts w:hint="eastAsia"/>
          <w:color w:val="auto"/>
          <w:highlight w:val="none"/>
          <w:lang w:eastAsia="zh-CN"/>
        </w:rPr>
        <w:t>供应商</w:t>
      </w:r>
      <w:r>
        <w:rPr>
          <w:color w:val="auto"/>
          <w:highlight w:val="none"/>
          <w:lang w:eastAsia="zh-CN"/>
        </w:rPr>
        <w:t>主动提出的澄清、说明或补正。</w:t>
      </w:r>
    </w:p>
    <w:p>
      <w:pPr>
        <w:pStyle w:val="2"/>
        <w:ind w:firstLine="480"/>
        <w:rPr>
          <w:rFonts w:hint="eastAsia"/>
          <w:color w:val="auto"/>
          <w:highlight w:val="none"/>
          <w:lang w:eastAsia="zh-CN"/>
        </w:rPr>
      </w:pPr>
      <w:r>
        <w:rPr>
          <w:color w:val="auto"/>
          <w:highlight w:val="none"/>
          <w:lang w:eastAsia="zh-CN"/>
        </w:rPr>
        <w:t>3.3.2澄清、说明或补正不得超出</w:t>
      </w:r>
      <w:r>
        <w:rPr>
          <w:rFonts w:hint="eastAsia"/>
          <w:color w:val="auto"/>
          <w:highlight w:val="none"/>
          <w:lang w:eastAsia="zh-CN"/>
        </w:rPr>
        <w:t>响应文件</w:t>
      </w:r>
      <w:r>
        <w:rPr>
          <w:color w:val="auto"/>
          <w:highlight w:val="none"/>
          <w:lang w:eastAsia="zh-CN"/>
        </w:rPr>
        <w:t>的范围且不得改变</w:t>
      </w:r>
      <w:r>
        <w:rPr>
          <w:rFonts w:hint="eastAsia"/>
          <w:color w:val="auto"/>
          <w:highlight w:val="none"/>
          <w:lang w:eastAsia="zh-CN"/>
        </w:rPr>
        <w:t>响应文件</w:t>
      </w:r>
      <w:r>
        <w:rPr>
          <w:color w:val="auto"/>
          <w:highlight w:val="none"/>
          <w:lang w:eastAsia="zh-CN"/>
        </w:rPr>
        <w:t>的实质性内容，并构成</w:t>
      </w:r>
      <w:r>
        <w:rPr>
          <w:rFonts w:hint="eastAsia"/>
          <w:color w:val="auto"/>
          <w:highlight w:val="none"/>
          <w:lang w:eastAsia="zh-CN"/>
        </w:rPr>
        <w:t>响应文件</w:t>
      </w:r>
      <w:r>
        <w:rPr>
          <w:color w:val="auto"/>
          <w:highlight w:val="none"/>
          <w:lang w:eastAsia="zh-CN"/>
        </w:rPr>
        <w:t>的组成部分。</w:t>
      </w:r>
    </w:p>
    <w:p>
      <w:pPr>
        <w:pStyle w:val="2"/>
        <w:ind w:firstLine="480"/>
        <w:rPr>
          <w:rFonts w:hint="eastAsia"/>
          <w:color w:val="auto"/>
          <w:highlight w:val="none"/>
          <w:lang w:eastAsia="zh-CN"/>
        </w:rPr>
      </w:pPr>
      <w:r>
        <w:rPr>
          <w:color w:val="auto"/>
          <w:highlight w:val="none"/>
          <w:lang w:eastAsia="zh-CN"/>
        </w:rPr>
        <w:t>3.3.3评标委员会对</w:t>
      </w:r>
      <w:r>
        <w:rPr>
          <w:rFonts w:hint="eastAsia"/>
          <w:color w:val="auto"/>
          <w:highlight w:val="none"/>
          <w:lang w:eastAsia="zh-CN"/>
        </w:rPr>
        <w:t>供应商</w:t>
      </w:r>
      <w:r>
        <w:rPr>
          <w:color w:val="auto"/>
          <w:highlight w:val="none"/>
          <w:lang w:eastAsia="zh-CN"/>
        </w:rPr>
        <w:t>提交的澄清、说明或补正有疑问的，可以要求</w:t>
      </w:r>
      <w:r>
        <w:rPr>
          <w:rFonts w:hint="eastAsia"/>
          <w:color w:val="auto"/>
          <w:highlight w:val="none"/>
          <w:lang w:eastAsia="zh-CN"/>
        </w:rPr>
        <w:t>供应商</w:t>
      </w:r>
      <w:r>
        <w:rPr>
          <w:color w:val="auto"/>
          <w:highlight w:val="none"/>
          <w:lang w:eastAsia="zh-CN"/>
        </w:rPr>
        <w:t>进一步澄清、说明或补正，直至满足评标委员会的要求。</w:t>
      </w:r>
    </w:p>
    <w:p>
      <w:pPr>
        <w:pStyle w:val="2"/>
        <w:spacing w:before="229" w:after="120" w:afterLines="50" w:line="218" w:lineRule="auto"/>
        <w:ind w:left="6" w:firstLine="558"/>
        <w:outlineLvl w:val="2"/>
        <w:rPr>
          <w:rFonts w:hint="eastAsia"/>
          <w:color w:val="auto"/>
          <w:spacing w:val="-1"/>
          <w:sz w:val="28"/>
          <w:szCs w:val="28"/>
          <w:highlight w:val="none"/>
          <w:lang w:eastAsia="zh-CN"/>
          <w14:textOutline w14:w="5448" w14:cap="sq" w14:cmpd="sng" w14:algn="ctr">
            <w14:solidFill>
              <w14:srgbClr w14:val="000000"/>
            </w14:solidFill>
            <w14:prstDash w14:val="solid"/>
            <w14:bevel/>
          </w14:textOutline>
        </w:rPr>
      </w:pPr>
      <w:r>
        <w:rPr>
          <w:color w:val="auto"/>
          <w:spacing w:val="-1"/>
          <w:sz w:val="28"/>
          <w:szCs w:val="28"/>
          <w:highlight w:val="none"/>
          <w:lang w:eastAsia="zh-CN"/>
          <w14:textOutline w14:w="5448" w14:cap="sq" w14:cmpd="sng" w14:algn="ctr">
            <w14:solidFill>
              <w14:srgbClr w14:val="000000"/>
            </w14:solidFill>
            <w14:prstDash w14:val="solid"/>
            <w14:bevel/>
          </w14:textOutline>
        </w:rPr>
        <w:t>3.4评标结果</w:t>
      </w:r>
    </w:p>
    <w:p>
      <w:pPr>
        <w:pStyle w:val="2"/>
        <w:ind w:firstLine="480"/>
        <w:rPr>
          <w:rFonts w:hint="eastAsia"/>
          <w:color w:val="auto"/>
          <w:highlight w:val="none"/>
          <w:lang w:eastAsia="zh-CN"/>
        </w:rPr>
      </w:pPr>
      <w:r>
        <w:rPr>
          <w:color w:val="auto"/>
          <w:highlight w:val="none"/>
          <w:lang w:eastAsia="zh-CN"/>
        </w:rPr>
        <w:t>3.4.1除第二章“</w:t>
      </w:r>
      <w:r>
        <w:rPr>
          <w:rFonts w:hint="eastAsia"/>
          <w:color w:val="auto"/>
          <w:highlight w:val="none"/>
          <w:lang w:eastAsia="zh-CN"/>
        </w:rPr>
        <w:t>供应商</w:t>
      </w:r>
      <w:r>
        <w:rPr>
          <w:color w:val="auto"/>
          <w:highlight w:val="none"/>
          <w:lang w:eastAsia="zh-CN"/>
        </w:rPr>
        <w:t>须知”前附表授权直接确定中标人外，评标委员会按照得分由高到低的顺序推荐中标候选人，并标明排序。</w:t>
      </w:r>
    </w:p>
    <w:p>
      <w:pPr>
        <w:pStyle w:val="2"/>
        <w:ind w:firstLine="480"/>
        <w:rPr>
          <w:rFonts w:hint="eastAsia"/>
          <w:color w:val="auto"/>
          <w:highlight w:val="none"/>
          <w:lang w:eastAsia="zh-CN"/>
        </w:rPr>
      </w:pPr>
      <w:r>
        <w:rPr>
          <w:color w:val="auto"/>
          <w:highlight w:val="none"/>
          <w:lang w:eastAsia="zh-CN"/>
        </w:rPr>
        <w:t>3.4.2评标委员会完成评标后，应当向采购人提交书面评标报告和中标候选人名单。</w:t>
      </w:r>
    </w:p>
    <w:p>
      <w:pPr>
        <w:kinsoku/>
        <w:autoSpaceDE/>
        <w:autoSpaceDN/>
        <w:adjustRightInd/>
        <w:snapToGrid/>
        <w:textAlignment w:val="auto"/>
        <w:rPr>
          <w:rFonts w:eastAsia="宋体" w:cs="宋体"/>
          <w:color w:val="auto"/>
          <w:sz w:val="24"/>
          <w:szCs w:val="31"/>
          <w:highlight w:val="none"/>
          <w:lang w:eastAsia="zh-CN"/>
        </w:rPr>
      </w:pPr>
      <w:r>
        <w:rPr>
          <w:color w:val="auto"/>
          <w:highlight w:val="none"/>
          <w:lang w:eastAsia="zh-CN"/>
        </w:rPr>
        <w:br w:type="page"/>
      </w:r>
    </w:p>
    <w:p>
      <w:pPr>
        <w:spacing w:line="360" w:lineRule="auto"/>
        <w:ind w:firstLine="560" w:firstLineChars="200"/>
        <w:jc w:val="center"/>
        <w:rPr>
          <w:rFonts w:cs="宋体"/>
          <w:b/>
          <w:color w:val="auto"/>
          <w:sz w:val="28"/>
          <w:highlight w:val="none"/>
          <w:lang w:eastAsia="zh-CN"/>
        </w:rPr>
      </w:pPr>
      <w:r>
        <w:rPr>
          <w:rFonts w:cs="宋体"/>
          <w:b/>
          <w:color w:val="auto"/>
          <w:sz w:val="28"/>
          <w:highlight w:val="none"/>
          <w:lang w:eastAsia="zh-CN"/>
        </w:rPr>
        <w:t>政府采购政策</w:t>
      </w:r>
    </w:p>
    <w:p>
      <w:pPr>
        <w:spacing w:line="400" w:lineRule="exact"/>
        <w:ind w:firstLine="420" w:firstLineChars="200"/>
        <w:rPr>
          <w:rFonts w:cs="宋体"/>
          <w:color w:val="auto"/>
          <w:highlight w:val="none"/>
          <w:lang w:eastAsia="zh-CN"/>
        </w:rPr>
      </w:pPr>
      <w:r>
        <w:rPr>
          <w:rFonts w:cs="宋体"/>
          <w:color w:val="auto"/>
          <w:highlight w:val="none"/>
          <w:lang w:eastAsia="zh-CN"/>
        </w:rPr>
        <w:t xml:space="preserve">一、 小型和微型企业产品价格扣除 </w:t>
      </w:r>
    </w:p>
    <w:p>
      <w:pPr>
        <w:spacing w:line="400" w:lineRule="exact"/>
        <w:ind w:firstLine="420" w:firstLineChars="200"/>
        <w:rPr>
          <w:rFonts w:cs="宋体"/>
          <w:color w:val="auto"/>
          <w:highlight w:val="none"/>
          <w:lang w:eastAsia="zh-CN"/>
        </w:rPr>
      </w:pPr>
      <w:r>
        <w:rPr>
          <w:rFonts w:cs="宋体"/>
          <w:color w:val="auto"/>
          <w:highlight w:val="none"/>
          <w:lang w:eastAsia="zh-CN"/>
        </w:rPr>
        <w:t>(一) 根据财政部、工业和信息化部印发的《政府采购促进中小企业发展管理办法》（财库[2020]46 号）、《关于进一步加大政府采购支持中小企业力度的通知》（财库〔2022〕19 号）的规定，</w:t>
      </w:r>
      <w:r>
        <w:rPr>
          <w:rFonts w:hint="eastAsia" w:ascii="Arial" w:hAnsi="Arial" w:eastAsia="宋体" w:cs="Arial"/>
          <w:b/>
          <w:bCs/>
          <w:color w:val="auto"/>
          <w:sz w:val="21"/>
          <w:szCs w:val="21"/>
          <w:highlight w:val="none"/>
          <w:lang w:val="en-US" w:eastAsia="zh-CN" w:bidi="ar"/>
        </w:rPr>
        <w:t>本项目专门面向中小企业采购，申请人应为中小微企业、监狱企业、残疾人福利性单位，不再进行价格扣除。中小企业参加政府采购活动，应当出具本办法规定的《中小企业声明函》。</w:t>
      </w:r>
      <w:r>
        <w:rPr>
          <w:rFonts w:hint="default" w:ascii="Arial" w:hAnsi="Arial" w:eastAsia="宋体" w:cs="宋体"/>
          <w:b/>
          <w:bCs/>
          <w:color w:val="auto"/>
          <w:sz w:val="21"/>
          <w:szCs w:val="21"/>
          <w:highlight w:val="none"/>
          <w:lang w:val="en-US" w:eastAsia="zh-CN" w:bidi="ar"/>
        </w:rPr>
        <w:t xml:space="preserve"> </w:t>
      </w:r>
      <w:r>
        <w:rPr>
          <w:rFonts w:cs="宋体"/>
          <w:b/>
          <w:bCs/>
          <w:color w:val="auto"/>
          <w:highlight w:val="none"/>
          <w:lang w:eastAsia="zh-CN"/>
        </w:rPr>
        <w:t xml:space="preserve"> </w:t>
      </w:r>
    </w:p>
    <w:p>
      <w:pPr>
        <w:spacing w:line="400" w:lineRule="exact"/>
        <w:ind w:firstLine="420" w:firstLineChars="200"/>
        <w:rPr>
          <w:rFonts w:cs="宋体"/>
          <w:color w:val="auto"/>
          <w:highlight w:val="none"/>
          <w:lang w:eastAsia="zh-CN"/>
        </w:rPr>
      </w:pPr>
      <w:r>
        <w:rPr>
          <w:rFonts w:cs="宋体"/>
          <w:color w:val="auto"/>
          <w:highlight w:val="none"/>
          <w:lang w:eastAsia="zh-CN"/>
        </w:rPr>
        <w:t xml:space="preserve">(二) 《政府采购促进中小企业发展管理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以《工业和信息化部、国家统计局、国家发展和改革委员会、财政部关于印发中小企业划型标准规定的通知》（工信部联企业[2011]300 号）规定的划分标准为准。小型、微型企业提供中型企业制造的货物的，视同为中型企业。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 </w:t>
      </w:r>
    </w:p>
    <w:p>
      <w:pPr>
        <w:spacing w:line="400" w:lineRule="exact"/>
        <w:ind w:firstLine="420" w:firstLineChars="200"/>
        <w:rPr>
          <w:rFonts w:cs="宋体"/>
          <w:color w:val="auto"/>
          <w:highlight w:val="none"/>
          <w:lang w:eastAsia="zh-CN"/>
        </w:rPr>
      </w:pPr>
      <w:r>
        <w:rPr>
          <w:rFonts w:cs="宋体"/>
          <w:color w:val="auto"/>
          <w:highlight w:val="none"/>
          <w:lang w:eastAsia="zh-CN"/>
        </w:rPr>
        <w:t xml:space="preserve">(三) 参加政府采购活动的中小企业应当提供《中小企业声明函》（格式见第六章投标文件格式）。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共和国政府采购法》等国家有关规定追究相应责任。 </w:t>
      </w:r>
    </w:p>
    <w:p>
      <w:pPr>
        <w:spacing w:line="400" w:lineRule="exact"/>
        <w:ind w:firstLine="420" w:firstLineChars="200"/>
        <w:rPr>
          <w:rFonts w:cs="宋体"/>
          <w:color w:val="auto"/>
          <w:highlight w:val="none"/>
          <w:lang w:eastAsia="zh-CN"/>
        </w:rPr>
      </w:pPr>
      <w:r>
        <w:rPr>
          <w:rFonts w:cs="宋体"/>
          <w:color w:val="auto"/>
          <w:highlight w:val="none"/>
          <w:lang w:eastAsia="zh-CN"/>
        </w:rPr>
        <w:t xml:space="preserve">(四) 监狱企业产品价格扣除 </w:t>
      </w:r>
    </w:p>
    <w:p>
      <w:pPr>
        <w:spacing w:line="400" w:lineRule="exact"/>
        <w:ind w:firstLine="420" w:firstLineChars="200"/>
        <w:rPr>
          <w:rFonts w:cs="宋体"/>
          <w:color w:val="auto"/>
          <w:highlight w:val="none"/>
          <w:lang w:eastAsia="zh-CN"/>
        </w:rPr>
      </w:pPr>
      <w:r>
        <w:rPr>
          <w:rFonts w:cs="宋体"/>
          <w:color w:val="auto"/>
          <w:highlight w:val="none"/>
          <w:lang w:eastAsia="zh-CN"/>
        </w:rPr>
        <w:t xml:space="preserve">1.监狱企业视同小型、微型企业，按上述第（一）条款享受评审中价格扣除。 </w:t>
      </w:r>
    </w:p>
    <w:p>
      <w:pPr>
        <w:spacing w:line="400" w:lineRule="exact"/>
        <w:ind w:firstLine="420" w:firstLineChars="200"/>
        <w:rPr>
          <w:rFonts w:cs="宋体"/>
          <w:color w:val="auto"/>
          <w:highlight w:val="none"/>
          <w:lang w:eastAsia="zh-CN"/>
        </w:rPr>
      </w:pPr>
      <w:r>
        <w:rPr>
          <w:rFonts w:cs="宋体"/>
          <w:color w:val="auto"/>
          <w:highlight w:val="none"/>
          <w:lang w:eastAsia="zh-CN"/>
        </w:rPr>
        <w:t xml:space="preserve">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pPr>
        <w:spacing w:line="400" w:lineRule="exact"/>
        <w:ind w:firstLine="420" w:firstLineChars="200"/>
        <w:rPr>
          <w:rFonts w:cs="宋体"/>
          <w:color w:val="auto"/>
          <w:highlight w:val="none"/>
          <w:lang w:eastAsia="zh-CN"/>
        </w:rPr>
      </w:pPr>
      <w:r>
        <w:rPr>
          <w:rFonts w:cs="宋体"/>
          <w:color w:val="auto"/>
          <w:highlight w:val="none"/>
          <w:lang w:eastAsia="zh-CN"/>
        </w:rPr>
        <w:t xml:space="preserve">3.监狱企业参加政府采购活动时，应当提供由省级以上监狱管理局、戒毒管理局（含新疆生产建设兵团）出具的属于监狱企业的证明文件，否则不予认可。 </w:t>
      </w:r>
    </w:p>
    <w:p>
      <w:pPr>
        <w:spacing w:line="400" w:lineRule="exact"/>
        <w:ind w:firstLine="420" w:firstLineChars="200"/>
        <w:rPr>
          <w:rFonts w:cs="宋体"/>
          <w:color w:val="auto"/>
          <w:highlight w:val="none"/>
          <w:lang w:eastAsia="zh-CN"/>
        </w:rPr>
      </w:pPr>
      <w:r>
        <w:rPr>
          <w:rFonts w:cs="宋体"/>
          <w:color w:val="auto"/>
          <w:highlight w:val="none"/>
          <w:lang w:eastAsia="zh-CN"/>
        </w:rPr>
        <w:t xml:space="preserve">(五) 残疾人福利性单位产品价格扣除 </w:t>
      </w:r>
    </w:p>
    <w:p>
      <w:pPr>
        <w:spacing w:line="400" w:lineRule="exact"/>
        <w:ind w:firstLine="420" w:firstLineChars="200"/>
        <w:rPr>
          <w:rFonts w:cs="宋体"/>
          <w:color w:val="auto"/>
          <w:highlight w:val="none"/>
          <w:lang w:eastAsia="zh-CN"/>
        </w:rPr>
      </w:pPr>
      <w:r>
        <w:rPr>
          <w:rFonts w:cs="宋体"/>
          <w:color w:val="auto"/>
          <w:highlight w:val="none"/>
          <w:lang w:eastAsia="zh-CN"/>
        </w:rPr>
        <w:t xml:space="preserve">1.残疾人福利性单位视同小型、微型企业，按上述第（一）条款享受评审中价格扣除。 </w:t>
      </w:r>
    </w:p>
    <w:p>
      <w:pPr>
        <w:spacing w:line="400" w:lineRule="exact"/>
        <w:ind w:firstLine="420" w:firstLineChars="200"/>
        <w:rPr>
          <w:rFonts w:cs="宋体"/>
          <w:color w:val="auto"/>
          <w:highlight w:val="none"/>
          <w:lang w:eastAsia="zh-CN"/>
        </w:rPr>
      </w:pPr>
      <w:r>
        <w:rPr>
          <w:rFonts w:cs="宋体"/>
          <w:color w:val="auto"/>
          <w:highlight w:val="none"/>
          <w:lang w:eastAsia="zh-CN"/>
        </w:rPr>
        <w:t xml:space="preserve">2. 根据财政部、民政部、中国残疾人联合会印发的《关于促进残疾人就业政府采购政策的通知》（财库〔2017〕141 号）的规定，符合条件的残疾人福利性单位在参加政府采购活动时，应当提供该通知规定的《残疾人福利性单位声明函》（格式见第六章投标文件格式），并对声明的真实性负责。一旦中标将在中标公告中公告其声明函，接受社会监督。投标人提供的《残疾人福利性单位声明函》与事实不符的，依照《中华人民共和国政府采购法》第七十七条第一款的规定追究法律责任。 </w:t>
      </w:r>
    </w:p>
    <w:p>
      <w:pPr>
        <w:spacing w:line="400" w:lineRule="exact"/>
        <w:ind w:firstLine="420" w:firstLineChars="200"/>
        <w:rPr>
          <w:rFonts w:cs="宋体"/>
          <w:color w:val="auto"/>
          <w:highlight w:val="none"/>
          <w:lang w:eastAsia="zh-CN"/>
        </w:rPr>
      </w:pPr>
      <w:r>
        <w:rPr>
          <w:rFonts w:cs="宋体"/>
          <w:color w:val="auto"/>
          <w:highlight w:val="none"/>
          <w:lang w:eastAsia="zh-CN"/>
        </w:rPr>
        <w:t xml:space="preserve">二、 节能产品、环境标志产品价格扣除 </w:t>
      </w:r>
    </w:p>
    <w:p>
      <w:pPr>
        <w:spacing w:line="400" w:lineRule="exact"/>
        <w:ind w:firstLine="420" w:firstLineChars="200"/>
        <w:rPr>
          <w:rFonts w:cs="宋体"/>
          <w:color w:val="auto"/>
          <w:highlight w:val="none"/>
          <w:lang w:eastAsia="zh-CN"/>
        </w:rPr>
      </w:pPr>
      <w:r>
        <w:rPr>
          <w:rFonts w:cs="宋体"/>
          <w:color w:val="auto"/>
          <w:highlight w:val="none"/>
          <w:lang w:eastAsia="zh-CN"/>
        </w:rPr>
        <w:t>(一) 拟采购产品属于节能产品政府采购品目清单规定必须强制采购的，实行强制采购。 如拟采购产品属于实施政府强制采购品目清单范围的节能产品，则投标人所投产品必须获得国家确定的认证机构出具的、处于有效期之内的节能产品认证证书，否则投标无效；</w:t>
      </w:r>
    </w:p>
    <w:p>
      <w:pPr>
        <w:spacing w:line="400" w:lineRule="exact"/>
        <w:ind w:firstLine="420" w:firstLineChars="200"/>
        <w:rPr>
          <w:rFonts w:cs="宋体"/>
          <w:color w:val="auto"/>
          <w:highlight w:val="none"/>
          <w:lang w:eastAsia="zh-CN"/>
        </w:rPr>
      </w:pPr>
      <w:r>
        <w:rPr>
          <w:rFonts w:cs="宋体"/>
          <w:color w:val="auto"/>
          <w:highlight w:val="none"/>
          <w:lang w:eastAsia="zh-CN"/>
        </w:rPr>
        <w:t xml:space="preserve">(二) 本次采购产品在财政部、发展改革委、生态环境部、市场监管总局等部门最新发布的《节能产品政府采购品目清单》或《环境标志产品政府采购品目清单》的清单范围内但不属于国家强制采购的产品，对于具有国家确定的认证机构出具的、处于有效期之内的节能产品或环境标志产品认证证书的，对节能产品或环境标志产品的价格分别给予3%的价格扣除。 </w:t>
      </w:r>
    </w:p>
    <w:p>
      <w:pPr>
        <w:spacing w:line="360" w:lineRule="auto"/>
        <w:rPr>
          <w:rFonts w:cs="宋体"/>
          <w:color w:val="auto"/>
          <w:highlight w:val="none"/>
          <w:lang w:eastAsia="zh-CN"/>
        </w:rPr>
      </w:pPr>
      <w:r>
        <w:rPr>
          <w:rFonts w:cs="宋体"/>
          <w:color w:val="auto"/>
          <w:highlight w:val="none"/>
          <w:lang w:eastAsia="zh-CN"/>
        </w:rPr>
        <w:t>(三) 属于品目清单范围内的节能或环境标志产品，应当提供国家确定的认证机构出具的、处于有效期之内的节能产品或环境标志产品认证证书复印件，并加盖投标人单位的公章</w:t>
      </w:r>
      <w:r>
        <w:rPr>
          <w:rFonts w:cs="宋体"/>
          <w:color w:val="auto"/>
          <w:szCs w:val="18"/>
          <w:highlight w:val="none"/>
          <w:lang w:eastAsia="zh-CN"/>
        </w:rPr>
        <w:t>。</w:t>
      </w:r>
    </w:p>
    <w:p>
      <w:pPr>
        <w:pStyle w:val="45"/>
        <w:spacing w:before="48" w:after="48"/>
        <w:ind w:firstLine="480"/>
        <w:rPr>
          <w:rFonts w:hint="eastAsia" w:ascii="宋体" w:hAnsi="宋体"/>
          <w:color w:val="auto"/>
          <w:highlight w:val="none"/>
          <w:lang w:eastAsia="zh-CN"/>
        </w:rPr>
      </w:pPr>
      <w:r>
        <w:rPr>
          <w:rFonts w:hint="eastAsia"/>
          <w:color w:val="auto"/>
          <w:highlight w:val="none"/>
          <w:lang w:eastAsia="zh-CN"/>
        </w:rPr>
        <w:br w:type="page"/>
      </w:r>
    </w:p>
    <w:p>
      <w:pPr>
        <w:spacing w:line="226" w:lineRule="auto"/>
        <w:rPr>
          <w:rFonts w:eastAsiaTheme="minorEastAsia"/>
          <w:color w:val="auto"/>
          <w:sz w:val="20"/>
          <w:szCs w:val="20"/>
          <w:highlight w:val="none"/>
          <w:lang w:eastAsia="zh-CN"/>
        </w:rPr>
      </w:pPr>
    </w:p>
    <w:p>
      <w:pPr>
        <w:pStyle w:val="45"/>
        <w:spacing w:before="48" w:after="48"/>
        <w:ind w:firstLine="480"/>
        <w:rPr>
          <w:color w:val="auto"/>
          <w:highlight w:val="none"/>
          <w:lang w:eastAsia="zh-CN"/>
        </w:rPr>
      </w:pPr>
    </w:p>
    <w:p>
      <w:pPr>
        <w:spacing w:line="284" w:lineRule="auto"/>
        <w:rPr>
          <w:color w:val="auto"/>
          <w:highlight w:val="none"/>
          <w:lang w:eastAsia="zh-CN"/>
        </w:rPr>
      </w:pPr>
    </w:p>
    <w:p>
      <w:pPr>
        <w:pStyle w:val="3"/>
        <w:bidi w:val="0"/>
        <w:rPr>
          <w:rFonts w:hint="eastAsia"/>
          <w:color w:val="auto"/>
          <w:highlight w:val="none"/>
          <w:lang w:eastAsia="zh-CN"/>
        </w:rPr>
      </w:pPr>
      <w:bookmarkStart w:id="74" w:name="_Toc18947"/>
      <w:r>
        <w:rPr>
          <w:color w:val="auto"/>
          <w:highlight w:val="none"/>
          <w:lang w:eastAsia="zh-CN"/>
        </w:rPr>
        <w:t>第四章合同条款及格式</w:t>
      </w:r>
      <w:bookmarkEnd w:id="74"/>
    </w:p>
    <w:p>
      <w:pPr>
        <w:rPr>
          <w:color w:val="auto"/>
          <w:highlight w:val="none"/>
          <w:lang w:eastAsia="zh-CN"/>
        </w:rPr>
      </w:pPr>
    </w:p>
    <w:p>
      <w:pPr>
        <w:rPr>
          <w:color w:val="auto"/>
          <w:highlight w:val="none"/>
          <w:lang w:eastAsia="zh-CN"/>
        </w:rPr>
      </w:pPr>
    </w:p>
    <w:p>
      <w:pPr>
        <w:jc w:val="center"/>
        <w:outlineLvl w:val="1"/>
        <w:rPr>
          <w:rFonts w:hAnsi="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（本合同格式仅供参考，具体以甲乙双方签定合同为准）</w:t>
      </w:r>
    </w:p>
    <w:p>
      <w:pPr>
        <w:rPr>
          <w:rFonts w:hAnsi="宋体" w:cs="宋体"/>
          <w:color w:val="auto"/>
          <w:sz w:val="24"/>
          <w:highlight w:val="none"/>
          <w:lang w:eastAsia="zh-CN"/>
        </w:rPr>
      </w:pPr>
    </w:p>
    <w:p>
      <w:pPr>
        <w:rPr>
          <w:rFonts w:hAnsi="宋体" w:cs="宋体"/>
          <w:color w:val="auto"/>
          <w:sz w:val="24"/>
          <w:highlight w:val="none"/>
          <w:lang w:eastAsia="zh-CN"/>
        </w:rPr>
      </w:pPr>
    </w:p>
    <w:p>
      <w:pPr>
        <w:rPr>
          <w:rFonts w:ascii="宋体" w:hAnsi="宋体" w:cs="宋体"/>
          <w:color w:val="auto"/>
          <w:sz w:val="24"/>
          <w:highlight w:val="none"/>
          <w:lang w:eastAsia="zh-CN"/>
        </w:rPr>
      </w:pPr>
    </w:p>
    <w:p>
      <w:pPr>
        <w:rPr>
          <w:rFonts w:ascii="宋体" w:hAnsi="宋体" w:cs="宋体"/>
          <w:color w:val="auto"/>
          <w:sz w:val="24"/>
          <w:highlight w:val="none"/>
          <w:lang w:eastAsia="zh-CN"/>
        </w:rPr>
      </w:pPr>
    </w:p>
    <w:p>
      <w:pPr>
        <w:rPr>
          <w:rFonts w:ascii="宋体" w:hAnsi="宋体" w:cs="宋体"/>
          <w:color w:val="auto"/>
          <w:sz w:val="24"/>
          <w:highlight w:val="none"/>
          <w:lang w:eastAsia="zh-CN"/>
        </w:rPr>
      </w:pPr>
    </w:p>
    <w:p>
      <w:pPr>
        <w:rPr>
          <w:rFonts w:ascii="宋体" w:hAnsi="宋体"/>
          <w:color w:val="auto"/>
          <w:highlight w:val="none"/>
          <w:lang w:eastAsia="zh-CN"/>
        </w:rPr>
      </w:pPr>
    </w:p>
    <w:p>
      <w:pPr>
        <w:outlineLvl w:val="1"/>
        <w:rPr>
          <w:rFonts w:ascii="宋体" w:hAnsi="宋体" w:cs="黑体"/>
          <w:color w:val="auto"/>
          <w:sz w:val="32"/>
          <w:szCs w:val="32"/>
          <w:highlight w:val="none"/>
          <w:lang w:eastAsia="zh-CN"/>
        </w:rPr>
      </w:pPr>
      <w:r>
        <w:rPr>
          <w:rFonts w:hint="eastAsia" w:ascii="宋体" w:hAnsi="宋体" w:cs="黑体"/>
          <w:color w:val="auto"/>
          <w:sz w:val="32"/>
          <w:szCs w:val="32"/>
          <w:highlight w:val="none"/>
          <w:lang w:eastAsia="zh-CN"/>
        </w:rPr>
        <w:t xml:space="preserve">采购项目编号：                              </w:t>
      </w:r>
    </w:p>
    <w:p>
      <w:pPr>
        <w:rPr>
          <w:rFonts w:ascii="宋体" w:hAnsi="宋体" w:cs="黑体"/>
          <w:color w:val="auto"/>
          <w:sz w:val="32"/>
          <w:szCs w:val="32"/>
          <w:highlight w:val="none"/>
          <w:lang w:eastAsia="zh-CN"/>
        </w:rPr>
      </w:pPr>
    </w:p>
    <w:p>
      <w:pPr>
        <w:outlineLvl w:val="1"/>
        <w:rPr>
          <w:rFonts w:ascii="宋体" w:hAnsi="宋体"/>
          <w:color w:val="auto"/>
          <w:highlight w:val="none"/>
          <w:lang w:eastAsia="zh-CN"/>
        </w:rPr>
      </w:pPr>
      <w:r>
        <w:rPr>
          <w:rFonts w:hint="eastAsia" w:ascii="宋体" w:hAnsi="宋体" w:cs="黑体"/>
          <w:color w:val="auto"/>
          <w:sz w:val="32"/>
          <w:szCs w:val="32"/>
          <w:highlight w:val="none"/>
          <w:lang w:eastAsia="zh-CN"/>
        </w:rPr>
        <w:t xml:space="preserve">采购项目名称：     </w:t>
      </w:r>
      <w:r>
        <w:rPr>
          <w:rFonts w:hint="eastAsia" w:ascii="宋体" w:hAnsi="宋体"/>
          <w:color w:val="auto"/>
          <w:highlight w:val="none"/>
          <w:lang w:eastAsia="zh-CN"/>
        </w:rPr>
        <w:t xml:space="preserve">                             </w:t>
      </w:r>
    </w:p>
    <w:p>
      <w:pPr>
        <w:rPr>
          <w:rFonts w:ascii="宋体" w:hAnsi="宋体"/>
          <w:color w:val="auto"/>
          <w:highlight w:val="none"/>
          <w:lang w:eastAsia="zh-CN"/>
        </w:rPr>
      </w:pPr>
    </w:p>
    <w:p>
      <w:pPr>
        <w:rPr>
          <w:rFonts w:ascii="宋体" w:hAnsi="宋体"/>
          <w:color w:val="auto"/>
          <w:highlight w:val="none"/>
          <w:lang w:eastAsia="zh-CN"/>
        </w:rPr>
      </w:pPr>
      <w:r>
        <w:rPr>
          <w:rFonts w:hint="eastAsia" w:ascii="宋体" w:hAnsi="宋体"/>
          <w:color w:val="auto"/>
          <w:highlight w:val="none"/>
          <w:lang w:eastAsia="zh-CN"/>
        </w:rPr>
        <w:t xml:space="preserve">                              </w:t>
      </w:r>
    </w:p>
    <w:p>
      <w:pPr>
        <w:rPr>
          <w:rFonts w:ascii="宋体" w:hAnsi="宋体"/>
          <w:color w:val="auto"/>
          <w:highlight w:val="none"/>
          <w:lang w:eastAsia="zh-CN"/>
        </w:rPr>
      </w:pPr>
    </w:p>
    <w:p>
      <w:pPr>
        <w:rPr>
          <w:rFonts w:ascii="宋体" w:hAnsi="宋体"/>
          <w:color w:val="auto"/>
          <w:highlight w:val="none"/>
          <w:lang w:eastAsia="zh-CN"/>
        </w:rPr>
      </w:pPr>
    </w:p>
    <w:p>
      <w:pPr>
        <w:rPr>
          <w:rFonts w:ascii="宋体" w:hAnsi="宋体"/>
          <w:color w:val="auto"/>
          <w:highlight w:val="none"/>
          <w:lang w:eastAsia="zh-CN"/>
        </w:rPr>
      </w:pPr>
    </w:p>
    <w:p>
      <w:pPr>
        <w:rPr>
          <w:rFonts w:ascii="宋体" w:hAnsi="宋体"/>
          <w:color w:val="auto"/>
          <w:highlight w:val="none"/>
          <w:lang w:eastAsia="zh-CN"/>
        </w:rPr>
      </w:pPr>
    </w:p>
    <w:p>
      <w:pPr>
        <w:rPr>
          <w:rFonts w:ascii="宋体" w:hAnsi="宋体"/>
          <w:color w:val="auto"/>
          <w:highlight w:val="none"/>
          <w:lang w:eastAsia="zh-CN"/>
        </w:rPr>
      </w:pPr>
    </w:p>
    <w:p>
      <w:pPr>
        <w:rPr>
          <w:rFonts w:ascii="宋体" w:hAnsi="宋体"/>
          <w:color w:val="auto"/>
          <w:highlight w:val="none"/>
          <w:lang w:eastAsia="zh-CN"/>
        </w:rPr>
      </w:pPr>
    </w:p>
    <w:p>
      <w:pPr>
        <w:rPr>
          <w:rFonts w:ascii="宋体" w:hAnsi="宋体"/>
          <w:color w:val="auto"/>
          <w:highlight w:val="none"/>
          <w:lang w:eastAsia="zh-CN"/>
        </w:rPr>
      </w:pPr>
    </w:p>
    <w:p>
      <w:pPr>
        <w:rPr>
          <w:rFonts w:ascii="宋体" w:hAnsi="宋体"/>
          <w:color w:val="auto"/>
          <w:highlight w:val="none"/>
          <w:lang w:eastAsia="zh-CN"/>
        </w:rPr>
      </w:pPr>
    </w:p>
    <w:p>
      <w:pPr>
        <w:rPr>
          <w:rFonts w:ascii="宋体" w:hAnsi="宋体"/>
          <w:color w:val="auto"/>
          <w:highlight w:val="none"/>
          <w:lang w:eastAsia="zh-CN"/>
        </w:rPr>
      </w:pPr>
    </w:p>
    <w:p>
      <w:pPr>
        <w:rPr>
          <w:rFonts w:ascii="宋体" w:hAnsi="宋体"/>
          <w:color w:val="auto"/>
          <w:highlight w:val="none"/>
          <w:lang w:eastAsia="zh-CN"/>
        </w:rPr>
      </w:pPr>
    </w:p>
    <w:p>
      <w:pPr>
        <w:outlineLvl w:val="1"/>
        <w:rPr>
          <w:rFonts w:ascii="宋体" w:hAnsi="宋体" w:cs="黑体"/>
          <w:color w:val="auto"/>
          <w:sz w:val="32"/>
          <w:szCs w:val="32"/>
          <w:highlight w:val="none"/>
          <w:lang w:eastAsia="zh-CN"/>
        </w:rPr>
      </w:pPr>
      <w:r>
        <w:rPr>
          <w:rFonts w:hint="eastAsia" w:ascii="宋体" w:hAnsi="宋体" w:cs="黑体"/>
          <w:color w:val="auto"/>
          <w:sz w:val="32"/>
          <w:szCs w:val="32"/>
          <w:highlight w:val="none"/>
          <w:lang w:eastAsia="zh-CN"/>
        </w:rPr>
        <w:t xml:space="preserve">采购人：                                 </w:t>
      </w:r>
    </w:p>
    <w:p>
      <w:pPr>
        <w:rPr>
          <w:rFonts w:ascii="宋体" w:hAnsi="宋体" w:cs="黑体"/>
          <w:color w:val="auto"/>
          <w:sz w:val="32"/>
          <w:szCs w:val="32"/>
          <w:highlight w:val="none"/>
          <w:lang w:eastAsia="zh-CN"/>
        </w:rPr>
      </w:pPr>
    </w:p>
    <w:p>
      <w:pPr>
        <w:outlineLvl w:val="1"/>
        <w:rPr>
          <w:rFonts w:ascii="宋体" w:hAnsi="宋体" w:cs="黑体"/>
          <w:color w:val="auto"/>
          <w:sz w:val="32"/>
          <w:szCs w:val="32"/>
          <w:highlight w:val="none"/>
          <w:lang w:eastAsia="zh-CN"/>
        </w:rPr>
      </w:pPr>
      <w:r>
        <w:rPr>
          <w:rFonts w:hint="eastAsia" w:ascii="宋体" w:hAnsi="宋体" w:cs="黑体"/>
          <w:color w:val="auto"/>
          <w:sz w:val="32"/>
          <w:szCs w:val="32"/>
          <w:highlight w:val="none"/>
          <w:lang w:eastAsia="zh-CN"/>
        </w:rPr>
        <w:t xml:space="preserve">供应商：                                 </w:t>
      </w:r>
    </w:p>
    <w:p>
      <w:pPr>
        <w:rPr>
          <w:rFonts w:ascii="宋体" w:hAnsi="宋体" w:cs="黑体"/>
          <w:color w:val="auto"/>
          <w:sz w:val="32"/>
          <w:szCs w:val="32"/>
          <w:highlight w:val="none"/>
          <w:lang w:eastAsia="zh-CN"/>
        </w:rPr>
      </w:pPr>
    </w:p>
    <w:p>
      <w:pPr>
        <w:outlineLvl w:val="1"/>
        <w:rPr>
          <w:color w:val="auto"/>
          <w:highlight w:val="none"/>
          <w:lang w:eastAsia="zh-CN"/>
        </w:rPr>
      </w:pPr>
      <w:r>
        <w:rPr>
          <w:rFonts w:hint="eastAsia" w:ascii="宋体" w:hAnsi="宋体" w:cs="黑体"/>
          <w:color w:val="auto"/>
          <w:sz w:val="32"/>
          <w:szCs w:val="32"/>
          <w:highlight w:val="none"/>
          <w:lang w:eastAsia="zh-CN"/>
        </w:rPr>
        <w:t>签署日期：</w:t>
      </w:r>
      <w:r>
        <w:rPr>
          <w:rFonts w:hint="eastAsia" w:ascii="宋体" w:hAnsi="宋体"/>
          <w:color w:val="auto"/>
          <w:highlight w:val="none"/>
          <w:lang w:eastAsia="zh-CN"/>
        </w:rPr>
        <w:t xml:space="preserve">                   </w:t>
      </w:r>
      <w:r>
        <w:rPr>
          <w:rFonts w:hint="eastAsia"/>
          <w:color w:val="auto"/>
          <w:highlight w:val="none"/>
          <w:lang w:eastAsia="zh-CN"/>
        </w:rPr>
        <w:t xml:space="preserve">              </w:t>
      </w:r>
    </w:p>
    <w:p>
      <w:pPr>
        <w:rPr>
          <w:color w:val="auto"/>
          <w:highlight w:val="none"/>
          <w:lang w:eastAsia="zh-CN"/>
        </w:rPr>
      </w:pPr>
    </w:p>
    <w:p>
      <w:pPr>
        <w:rPr>
          <w:color w:val="auto"/>
          <w:highlight w:val="none"/>
          <w:lang w:eastAsia="zh-CN"/>
        </w:rPr>
      </w:pPr>
    </w:p>
    <w:p>
      <w:pPr>
        <w:kinsoku/>
        <w:autoSpaceDE/>
        <w:autoSpaceDN/>
        <w:adjustRightInd/>
        <w:snapToGrid/>
        <w:textAlignment w:val="auto"/>
        <w:rPr>
          <w:color w:val="auto"/>
          <w:highlight w:val="none"/>
          <w:lang w:eastAsia="zh-CN"/>
        </w:rPr>
      </w:pPr>
      <w:r>
        <w:rPr>
          <w:color w:val="auto"/>
          <w:highlight w:val="none"/>
          <w:lang w:eastAsia="zh-CN"/>
        </w:rPr>
        <w:br w:type="page"/>
      </w:r>
    </w:p>
    <w:p>
      <w:pPr>
        <w:jc w:val="center"/>
        <w:rPr>
          <w:b/>
          <w:bCs/>
          <w:color w:val="auto"/>
          <w:sz w:val="36"/>
          <w:szCs w:val="36"/>
          <w:highlight w:val="none"/>
          <w:lang w:eastAsia="zh-CN"/>
        </w:rPr>
      </w:pPr>
    </w:p>
    <w:p>
      <w:pPr>
        <w:jc w:val="center"/>
        <w:outlineLvl w:val="2"/>
        <w:rPr>
          <w:rFonts w:ascii="宋体" w:hAnsi="宋体"/>
          <w:b/>
          <w:bCs/>
          <w:color w:val="auto"/>
          <w:sz w:val="36"/>
          <w:szCs w:val="36"/>
          <w:highlight w:val="none"/>
          <w:lang w:eastAsia="zh-CN"/>
        </w:rPr>
      </w:pPr>
      <w:r>
        <w:rPr>
          <w:rFonts w:hint="eastAsia" w:ascii="宋体" w:hAnsi="宋体"/>
          <w:b/>
          <w:bCs/>
          <w:color w:val="auto"/>
          <w:sz w:val="32"/>
          <w:szCs w:val="32"/>
          <w:highlight w:val="none"/>
          <w:lang w:eastAsia="zh-CN"/>
        </w:rPr>
        <w:t>合同书（格式）</w:t>
      </w:r>
    </w:p>
    <w:p>
      <w:pPr>
        <w:rPr>
          <w:rFonts w:ascii="宋体" w:hAnsi="宋体"/>
          <w:color w:val="auto"/>
          <w:highlight w:val="none"/>
          <w:lang w:eastAsia="zh-CN"/>
        </w:rPr>
      </w:pPr>
    </w:p>
    <w:p>
      <w:pPr>
        <w:spacing w:line="360" w:lineRule="auto"/>
        <w:rPr>
          <w:rFonts w:ascii="宋体" w:hAnsi="宋体"/>
          <w:color w:val="auto"/>
          <w:highlight w:val="none"/>
          <w:lang w:eastAsia="zh-CN"/>
        </w:rPr>
      </w:pPr>
      <w:r>
        <w:rPr>
          <w:rFonts w:hint="eastAsia" w:ascii="宋体" w:hAnsi="宋体"/>
          <w:color w:val="auto"/>
          <w:sz w:val="24"/>
          <w:highlight w:val="none"/>
          <w:lang w:eastAsia="zh-CN"/>
        </w:rPr>
        <w:t xml:space="preserve">       </w:t>
      </w:r>
      <w:r>
        <w:rPr>
          <w:rFonts w:hint="eastAsia" w:ascii="宋体" w:hAnsi="宋体"/>
          <w:color w:val="auto"/>
          <w:highlight w:val="none"/>
          <w:lang w:eastAsia="zh-CN"/>
        </w:rPr>
        <w:t xml:space="preserve"> </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（以下简称采购方）</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（项目名称）项目中所需</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（服务名称）经</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以</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 xml:space="preserve">（采购项目编号）号采购文件实施政府采购。经评定， </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以下简称供应商）为中标供应商。鉴于买方为获得以下服务，依据《中华人民共和国民法典》《中华人民共和国政府采购法》及其有关规定，买卖双方同意按照下述的条款和条件，签署本合同。</w:t>
      </w:r>
    </w:p>
    <w:p>
      <w:pPr>
        <w:outlineLvl w:val="2"/>
        <w:rPr>
          <w:rFonts w:ascii="宋体" w:hAnsi="宋体"/>
          <w:b/>
          <w:bCs/>
          <w:color w:val="auto"/>
          <w:sz w:val="28"/>
          <w:szCs w:val="28"/>
          <w:highlight w:val="none"/>
          <w:lang w:eastAsia="zh-CN"/>
        </w:rPr>
      </w:pPr>
      <w:r>
        <w:rPr>
          <w:rFonts w:hint="eastAsia" w:ascii="宋体" w:hAnsi="宋体"/>
          <w:b/>
          <w:bCs/>
          <w:color w:val="auto"/>
          <w:sz w:val="28"/>
          <w:szCs w:val="28"/>
          <w:highlight w:val="none"/>
          <w:lang w:eastAsia="zh-CN"/>
        </w:rPr>
        <w:t>一、合同文件</w:t>
      </w:r>
    </w:p>
    <w:p>
      <w:pPr>
        <w:spacing w:line="360" w:lineRule="auto"/>
        <w:ind w:firstLine="420" w:firstLineChars="200"/>
        <w:rPr>
          <w:rFonts w:ascii="宋体" w:hAnsi="宋体"/>
          <w:color w:val="auto"/>
          <w:highlight w:val="none"/>
          <w:lang w:eastAsia="zh-CN"/>
        </w:rPr>
      </w:pPr>
      <w:r>
        <w:rPr>
          <w:rFonts w:hint="eastAsia" w:ascii="宋体" w:hAnsi="宋体"/>
          <w:color w:val="auto"/>
          <w:highlight w:val="none"/>
          <w:lang w:eastAsia="zh-CN"/>
        </w:rPr>
        <w:t>下列文件是构成合同的组成部分，应该认为是一个整体。彼此相互解释、相互补充。如果合同文件之间存在矛盾或不一致之处，以下述文件的排列顺序在先者为准。组成合同的文件如下：</w:t>
      </w:r>
    </w:p>
    <w:p>
      <w:pPr>
        <w:spacing w:line="360" w:lineRule="auto"/>
        <w:ind w:firstLine="420" w:firstLineChars="200"/>
        <w:rPr>
          <w:rFonts w:ascii="宋体" w:hAnsi="宋体"/>
          <w:color w:val="auto"/>
          <w:highlight w:val="none"/>
          <w:lang w:eastAsia="zh-CN"/>
        </w:rPr>
      </w:pPr>
      <w:r>
        <w:rPr>
          <w:rFonts w:hint="eastAsia" w:ascii="宋体" w:hAnsi="宋体"/>
          <w:color w:val="auto"/>
          <w:highlight w:val="none"/>
          <w:lang w:eastAsia="zh-CN"/>
        </w:rPr>
        <w:t>1.本合同书</w:t>
      </w:r>
    </w:p>
    <w:p>
      <w:pPr>
        <w:spacing w:line="360" w:lineRule="auto"/>
        <w:ind w:firstLine="420" w:firstLineChars="200"/>
        <w:rPr>
          <w:rFonts w:ascii="宋体" w:hAnsi="宋体"/>
          <w:color w:val="auto"/>
          <w:highlight w:val="none"/>
          <w:lang w:eastAsia="zh-CN"/>
        </w:rPr>
      </w:pPr>
      <w:r>
        <w:rPr>
          <w:rFonts w:hint="eastAsia" w:ascii="宋体" w:hAnsi="宋体"/>
          <w:color w:val="auto"/>
          <w:highlight w:val="none"/>
          <w:lang w:eastAsia="zh-CN"/>
        </w:rPr>
        <w:t>2.</w:t>
      </w:r>
      <w:r>
        <w:rPr>
          <w:rFonts w:hint="eastAsia" w:ascii="宋体" w:hAnsi="宋体" w:eastAsia="宋体" w:cs="宋体"/>
          <w:color w:val="auto"/>
          <w:highlight w:val="none"/>
          <w:lang w:eastAsia="zh-CN"/>
        </w:rPr>
        <w:t>成交</w:t>
      </w:r>
      <w:r>
        <w:rPr>
          <w:rFonts w:hint="eastAsia" w:ascii="宋体" w:hAnsi="宋体"/>
          <w:color w:val="auto"/>
          <w:highlight w:val="none"/>
          <w:lang w:eastAsia="zh-CN"/>
        </w:rPr>
        <w:t>通知书</w:t>
      </w:r>
    </w:p>
    <w:p>
      <w:pPr>
        <w:spacing w:line="360" w:lineRule="auto"/>
        <w:ind w:firstLine="420" w:firstLineChars="200"/>
        <w:rPr>
          <w:rFonts w:ascii="宋体" w:hAnsi="宋体"/>
          <w:color w:val="auto"/>
          <w:highlight w:val="none"/>
          <w:lang w:eastAsia="zh-CN"/>
        </w:rPr>
      </w:pPr>
      <w:r>
        <w:rPr>
          <w:rFonts w:hint="eastAsia" w:ascii="宋体" w:hAnsi="宋体"/>
          <w:color w:val="auto"/>
          <w:highlight w:val="none"/>
          <w:lang w:eastAsia="zh-CN"/>
        </w:rPr>
        <w:t>3.合同修改协议</w:t>
      </w:r>
    </w:p>
    <w:p>
      <w:pPr>
        <w:spacing w:line="360" w:lineRule="auto"/>
        <w:ind w:firstLine="420" w:firstLineChars="200"/>
        <w:rPr>
          <w:rFonts w:ascii="宋体" w:hAnsi="宋体"/>
          <w:color w:val="auto"/>
          <w:highlight w:val="none"/>
          <w:lang w:eastAsia="zh-CN"/>
        </w:rPr>
      </w:pPr>
      <w:r>
        <w:rPr>
          <w:rFonts w:hint="eastAsia" w:ascii="宋体" w:hAnsi="宋体"/>
          <w:color w:val="auto"/>
          <w:highlight w:val="none"/>
          <w:lang w:eastAsia="zh-CN"/>
        </w:rPr>
        <w:t>4.</w:t>
      </w:r>
      <w:r>
        <w:rPr>
          <w:rFonts w:hint="eastAsia" w:ascii="宋体" w:hAnsi="宋体" w:eastAsia="宋体" w:cs="宋体"/>
          <w:color w:val="auto"/>
          <w:highlight w:val="none"/>
          <w:lang w:eastAsia="zh-CN"/>
        </w:rPr>
        <w:t>响应</w:t>
      </w:r>
      <w:r>
        <w:rPr>
          <w:rFonts w:hint="eastAsia" w:ascii="宋体" w:hAnsi="宋体"/>
          <w:color w:val="auto"/>
          <w:highlight w:val="none"/>
          <w:lang w:eastAsia="zh-CN"/>
        </w:rPr>
        <w:t>文件（含澄清文件）</w:t>
      </w:r>
    </w:p>
    <w:p>
      <w:pPr>
        <w:spacing w:line="360" w:lineRule="auto"/>
        <w:ind w:firstLine="420" w:firstLineChars="200"/>
        <w:rPr>
          <w:rFonts w:ascii="宋体" w:hAnsi="宋体"/>
          <w:color w:val="auto"/>
          <w:highlight w:val="none"/>
          <w:lang w:eastAsia="zh-CN"/>
        </w:rPr>
      </w:pPr>
      <w:r>
        <w:rPr>
          <w:rFonts w:hint="eastAsia" w:ascii="宋体" w:hAnsi="宋体"/>
          <w:color w:val="auto"/>
          <w:highlight w:val="none"/>
          <w:lang w:eastAsia="zh-CN"/>
        </w:rPr>
        <w:t>5.</w:t>
      </w:r>
      <w:r>
        <w:rPr>
          <w:rFonts w:hint="eastAsia" w:ascii="宋体" w:hAnsi="宋体" w:eastAsia="宋体" w:cs="宋体"/>
          <w:color w:val="auto"/>
          <w:highlight w:val="none"/>
          <w:lang w:eastAsia="zh-CN"/>
        </w:rPr>
        <w:t>磋商</w:t>
      </w:r>
      <w:r>
        <w:rPr>
          <w:rFonts w:hint="eastAsia" w:ascii="宋体" w:hAnsi="宋体"/>
          <w:color w:val="auto"/>
          <w:highlight w:val="none"/>
          <w:lang w:eastAsia="zh-CN"/>
        </w:rPr>
        <w:t>文件（含补遗文件、修改文件）</w:t>
      </w:r>
    </w:p>
    <w:p>
      <w:pPr>
        <w:outlineLvl w:val="2"/>
        <w:rPr>
          <w:rFonts w:ascii="宋体" w:hAnsi="宋体"/>
          <w:b/>
          <w:bCs/>
          <w:color w:val="auto"/>
          <w:sz w:val="28"/>
          <w:szCs w:val="28"/>
          <w:highlight w:val="none"/>
          <w:lang w:eastAsia="zh-CN"/>
        </w:rPr>
      </w:pPr>
      <w:r>
        <w:rPr>
          <w:rFonts w:hint="eastAsia" w:ascii="宋体" w:hAnsi="宋体"/>
          <w:b/>
          <w:bCs/>
          <w:color w:val="auto"/>
          <w:sz w:val="28"/>
          <w:szCs w:val="28"/>
          <w:highlight w:val="none"/>
          <w:lang w:eastAsia="zh-CN"/>
        </w:rPr>
        <w:t>二、服务名称及数量</w:t>
      </w:r>
    </w:p>
    <w:p>
      <w:pPr>
        <w:spacing w:line="360" w:lineRule="auto"/>
        <w:ind w:firstLine="420" w:firstLineChars="200"/>
        <w:rPr>
          <w:rFonts w:ascii="宋体" w:hAnsi="宋体"/>
          <w:color w:val="auto"/>
          <w:sz w:val="24"/>
          <w:highlight w:val="none"/>
          <w:lang w:eastAsia="zh-CN"/>
        </w:rPr>
      </w:pPr>
      <w:r>
        <w:rPr>
          <w:rFonts w:hint="eastAsia" w:ascii="宋体" w:hAnsi="宋体"/>
          <w:color w:val="auto"/>
          <w:highlight w:val="none"/>
          <w:lang w:eastAsia="zh-CN"/>
        </w:rPr>
        <w:t>本合同所提供的服务及数量详见招标文件的《项目招标需求》。</w:t>
      </w:r>
    </w:p>
    <w:p>
      <w:pPr>
        <w:outlineLvl w:val="2"/>
        <w:rPr>
          <w:rFonts w:ascii="宋体" w:hAnsi="宋体"/>
          <w:b/>
          <w:bCs/>
          <w:color w:val="auto"/>
          <w:sz w:val="28"/>
          <w:szCs w:val="28"/>
          <w:highlight w:val="none"/>
          <w:lang w:eastAsia="zh-CN"/>
        </w:rPr>
      </w:pPr>
      <w:r>
        <w:rPr>
          <w:rFonts w:hint="eastAsia" w:ascii="宋体" w:hAnsi="宋体"/>
          <w:b/>
          <w:bCs/>
          <w:color w:val="auto"/>
          <w:sz w:val="28"/>
          <w:szCs w:val="28"/>
          <w:highlight w:val="none"/>
          <w:lang w:eastAsia="zh-CN"/>
        </w:rPr>
        <w:t>三、合同金额</w:t>
      </w:r>
    </w:p>
    <w:p>
      <w:pPr>
        <w:spacing w:line="360" w:lineRule="auto"/>
        <w:ind w:firstLine="420" w:firstLineChars="200"/>
        <w:rPr>
          <w:rFonts w:ascii="宋体" w:hAnsi="宋体"/>
          <w:color w:val="auto"/>
          <w:highlight w:val="none"/>
          <w:lang w:eastAsia="zh-CN"/>
        </w:rPr>
      </w:pPr>
      <w:r>
        <w:rPr>
          <w:rFonts w:hint="eastAsia" w:ascii="宋体" w:hAnsi="宋体"/>
          <w:color w:val="auto"/>
          <w:highlight w:val="none"/>
          <w:lang w:eastAsia="zh-CN"/>
        </w:rPr>
        <w:t xml:space="preserve">本合同金额为(大写) </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元人民币（￥：</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元人民币）。</w:t>
      </w:r>
    </w:p>
    <w:p>
      <w:pPr>
        <w:spacing w:line="360" w:lineRule="auto"/>
        <w:ind w:firstLine="420" w:firstLineChars="200"/>
        <w:rPr>
          <w:rFonts w:ascii="宋体" w:hAnsi="宋体"/>
          <w:color w:val="auto"/>
          <w:highlight w:val="none"/>
          <w:lang w:eastAsia="zh-CN"/>
        </w:rPr>
      </w:pPr>
      <w:r>
        <w:rPr>
          <w:rFonts w:hint="eastAsia" w:ascii="宋体" w:hAnsi="宋体"/>
          <w:color w:val="auto"/>
          <w:highlight w:val="none"/>
          <w:lang w:eastAsia="zh-CN"/>
        </w:rPr>
        <w:t>合同金额应包含本招标内容全部工作所需的一切费用，包括各项成本、利润、税金等。</w:t>
      </w:r>
    </w:p>
    <w:p>
      <w:pPr>
        <w:outlineLvl w:val="2"/>
        <w:rPr>
          <w:rFonts w:ascii="宋体" w:hAnsi="宋体"/>
          <w:b/>
          <w:bCs/>
          <w:color w:val="auto"/>
          <w:sz w:val="28"/>
          <w:szCs w:val="28"/>
          <w:highlight w:val="none"/>
          <w:lang w:eastAsia="zh-CN"/>
        </w:rPr>
      </w:pPr>
      <w:r>
        <w:rPr>
          <w:rFonts w:hint="eastAsia" w:ascii="宋体" w:hAnsi="宋体"/>
          <w:b/>
          <w:bCs/>
          <w:color w:val="auto"/>
          <w:sz w:val="28"/>
          <w:szCs w:val="28"/>
          <w:highlight w:val="none"/>
          <w:lang w:eastAsia="zh-CN"/>
        </w:rPr>
        <w:t>四、资金支付</w:t>
      </w:r>
    </w:p>
    <w:p>
      <w:pPr>
        <w:spacing w:line="360" w:lineRule="auto"/>
        <w:ind w:firstLine="420" w:firstLineChars="200"/>
        <w:rPr>
          <w:rFonts w:ascii="宋体" w:hAnsi="宋体"/>
          <w:color w:val="auto"/>
          <w:highlight w:val="none"/>
          <w:lang w:eastAsia="zh-CN"/>
        </w:rPr>
      </w:pPr>
      <w:r>
        <w:rPr>
          <w:rFonts w:hint="eastAsia" w:ascii="宋体" w:hAnsi="宋体"/>
          <w:color w:val="auto"/>
          <w:highlight w:val="none"/>
          <w:lang w:eastAsia="zh-CN"/>
        </w:rPr>
        <w:t xml:space="preserve">本合同的资金支付详见招标文件的《项目招标需求》。 </w:t>
      </w:r>
    </w:p>
    <w:p>
      <w:pPr>
        <w:outlineLvl w:val="2"/>
        <w:rPr>
          <w:rFonts w:ascii="宋体" w:hAnsi="宋体"/>
          <w:b/>
          <w:bCs/>
          <w:color w:val="auto"/>
          <w:sz w:val="28"/>
          <w:szCs w:val="28"/>
          <w:highlight w:val="none"/>
          <w:lang w:eastAsia="zh-CN"/>
        </w:rPr>
      </w:pPr>
      <w:r>
        <w:rPr>
          <w:rFonts w:hint="eastAsia" w:ascii="宋体" w:hAnsi="宋体"/>
          <w:b/>
          <w:bCs/>
          <w:color w:val="auto"/>
          <w:sz w:val="28"/>
          <w:szCs w:val="28"/>
          <w:highlight w:val="none"/>
          <w:lang w:eastAsia="zh-CN"/>
        </w:rPr>
        <w:t>五、服务期限和服务地点</w:t>
      </w:r>
    </w:p>
    <w:p>
      <w:pPr>
        <w:spacing w:line="360" w:lineRule="auto"/>
        <w:ind w:firstLine="420" w:firstLineChars="200"/>
        <w:rPr>
          <w:rFonts w:ascii="宋体" w:hAnsi="宋体"/>
          <w:color w:val="auto"/>
          <w:highlight w:val="none"/>
          <w:lang w:eastAsia="zh-CN"/>
        </w:rPr>
      </w:pPr>
      <w:r>
        <w:rPr>
          <w:rFonts w:hint="eastAsia" w:ascii="宋体" w:hAnsi="宋体"/>
          <w:color w:val="auto"/>
          <w:highlight w:val="none"/>
          <w:lang w:eastAsia="zh-CN"/>
        </w:rPr>
        <w:t>本合同的服务期限和服务地点详见招标文件的《项目招标需求》。</w:t>
      </w:r>
    </w:p>
    <w:p>
      <w:pPr>
        <w:outlineLvl w:val="2"/>
        <w:rPr>
          <w:rFonts w:ascii="宋体" w:hAnsi="宋体"/>
          <w:b/>
          <w:bCs/>
          <w:color w:val="auto"/>
          <w:sz w:val="28"/>
          <w:szCs w:val="28"/>
          <w:highlight w:val="none"/>
          <w:lang w:eastAsia="zh-CN"/>
        </w:rPr>
      </w:pPr>
      <w:r>
        <w:rPr>
          <w:rFonts w:hint="eastAsia" w:ascii="宋体" w:hAnsi="宋体"/>
          <w:b/>
          <w:bCs/>
          <w:color w:val="auto"/>
          <w:sz w:val="28"/>
          <w:szCs w:val="28"/>
          <w:highlight w:val="none"/>
          <w:lang w:eastAsia="zh-CN"/>
        </w:rPr>
        <w:t>六、质量保证和服务承诺</w:t>
      </w:r>
    </w:p>
    <w:p>
      <w:pPr>
        <w:spacing w:line="360" w:lineRule="auto"/>
        <w:ind w:firstLine="420" w:firstLineChars="200"/>
        <w:rPr>
          <w:rFonts w:ascii="宋体" w:hAnsi="宋体"/>
          <w:color w:val="auto"/>
          <w:highlight w:val="none"/>
          <w:lang w:eastAsia="zh-CN"/>
        </w:rPr>
      </w:pPr>
      <w:r>
        <w:rPr>
          <w:rFonts w:hint="eastAsia" w:ascii="宋体" w:hAnsi="宋体"/>
          <w:color w:val="auto"/>
          <w:highlight w:val="none"/>
          <w:lang w:eastAsia="zh-CN"/>
        </w:rPr>
        <w:t>本合同的质量保证和服务承诺：</w:t>
      </w:r>
    </w:p>
    <w:p>
      <w:pPr>
        <w:outlineLvl w:val="2"/>
        <w:rPr>
          <w:rFonts w:ascii="宋体" w:hAnsi="宋体"/>
          <w:b/>
          <w:bCs/>
          <w:color w:val="auto"/>
          <w:sz w:val="28"/>
          <w:szCs w:val="28"/>
          <w:highlight w:val="none"/>
          <w:lang w:eastAsia="zh-CN"/>
        </w:rPr>
      </w:pPr>
      <w:r>
        <w:rPr>
          <w:rFonts w:hint="eastAsia" w:ascii="宋体" w:hAnsi="宋体"/>
          <w:b/>
          <w:bCs/>
          <w:color w:val="auto"/>
          <w:sz w:val="28"/>
          <w:szCs w:val="28"/>
          <w:highlight w:val="none"/>
          <w:lang w:eastAsia="zh-CN"/>
        </w:rPr>
        <w:t>七、采购人的权利和义务</w:t>
      </w:r>
    </w:p>
    <w:p>
      <w:pPr>
        <w:outlineLvl w:val="2"/>
        <w:rPr>
          <w:rFonts w:ascii="宋体" w:hAnsi="宋体"/>
          <w:b/>
          <w:bCs/>
          <w:color w:val="auto"/>
          <w:sz w:val="28"/>
          <w:szCs w:val="28"/>
          <w:highlight w:val="none"/>
          <w:lang w:eastAsia="zh-CN"/>
        </w:rPr>
      </w:pPr>
      <w:r>
        <w:rPr>
          <w:rFonts w:hint="eastAsia" w:ascii="宋体" w:hAnsi="宋体"/>
          <w:b/>
          <w:bCs/>
          <w:color w:val="auto"/>
          <w:sz w:val="28"/>
          <w:szCs w:val="28"/>
          <w:highlight w:val="none"/>
          <w:lang w:eastAsia="zh-CN"/>
        </w:rPr>
        <w:t>八、供应商的权利和义务</w:t>
      </w:r>
    </w:p>
    <w:p>
      <w:pPr>
        <w:outlineLvl w:val="2"/>
        <w:rPr>
          <w:rFonts w:ascii="宋体" w:hAnsi="宋体"/>
          <w:b/>
          <w:bCs/>
          <w:color w:val="auto"/>
          <w:sz w:val="28"/>
          <w:szCs w:val="28"/>
          <w:highlight w:val="none"/>
          <w:lang w:eastAsia="zh-CN"/>
        </w:rPr>
      </w:pPr>
      <w:r>
        <w:rPr>
          <w:rFonts w:hint="eastAsia" w:ascii="宋体" w:hAnsi="宋体"/>
          <w:b/>
          <w:bCs/>
          <w:color w:val="auto"/>
          <w:sz w:val="28"/>
          <w:szCs w:val="28"/>
          <w:highlight w:val="none"/>
          <w:lang w:eastAsia="zh-CN"/>
        </w:rPr>
        <w:t>九、验收标准和要求</w:t>
      </w:r>
    </w:p>
    <w:p>
      <w:pPr>
        <w:ind w:firstLine="420" w:firstLineChars="200"/>
        <w:rPr>
          <w:rFonts w:ascii="宋体" w:hAnsi="宋体" w:cs="宋体"/>
          <w:color w:val="auto"/>
          <w:sz w:val="24"/>
          <w:highlight w:val="none"/>
          <w:lang w:eastAsia="zh-CN"/>
        </w:rPr>
      </w:pPr>
      <w:r>
        <w:rPr>
          <w:rFonts w:hint="eastAsia" w:ascii="宋体" w:hAnsi="宋体"/>
          <w:color w:val="auto"/>
          <w:highlight w:val="none"/>
          <w:lang w:eastAsia="zh-CN"/>
        </w:rPr>
        <w:t xml:space="preserve">本合同的验收标准和要求：   </w:t>
      </w:r>
      <w:r>
        <w:rPr>
          <w:rFonts w:hint="eastAsia" w:ascii="宋体" w:hAnsi="宋体" w:cs="宋体"/>
          <w:color w:val="auto"/>
          <w:sz w:val="24"/>
          <w:highlight w:val="none"/>
          <w:lang w:eastAsia="zh-CN"/>
        </w:rPr>
        <w:t xml:space="preserve">                             </w:t>
      </w:r>
    </w:p>
    <w:p>
      <w:pPr>
        <w:outlineLvl w:val="2"/>
        <w:rPr>
          <w:rFonts w:ascii="宋体" w:hAnsi="宋体"/>
          <w:b/>
          <w:bCs/>
          <w:color w:val="auto"/>
          <w:sz w:val="28"/>
          <w:szCs w:val="28"/>
          <w:highlight w:val="none"/>
          <w:lang w:eastAsia="zh-CN"/>
        </w:rPr>
      </w:pPr>
      <w:r>
        <w:rPr>
          <w:rFonts w:hint="eastAsia" w:ascii="宋体" w:hAnsi="宋体"/>
          <w:b/>
          <w:bCs/>
          <w:color w:val="auto"/>
          <w:sz w:val="28"/>
          <w:szCs w:val="28"/>
          <w:highlight w:val="none"/>
          <w:lang w:eastAsia="zh-CN"/>
        </w:rPr>
        <w:t>十、知识产权与保密</w:t>
      </w:r>
    </w:p>
    <w:p>
      <w:pPr>
        <w:ind w:firstLine="420" w:firstLineChars="200"/>
        <w:rPr>
          <w:rFonts w:ascii="宋体" w:hAnsi="宋体"/>
          <w:color w:val="auto"/>
          <w:highlight w:val="none"/>
          <w:lang w:eastAsia="zh-CN"/>
        </w:rPr>
      </w:pPr>
      <w:r>
        <w:rPr>
          <w:rFonts w:hint="eastAsia" w:ascii="宋体" w:hAnsi="宋体"/>
          <w:color w:val="auto"/>
          <w:highlight w:val="none"/>
          <w:lang w:eastAsia="zh-CN"/>
        </w:rPr>
        <w:t xml:space="preserve">本合同的知识产权要求： </w:t>
      </w:r>
    </w:p>
    <w:p>
      <w:pPr>
        <w:ind w:firstLine="420" w:firstLineChars="200"/>
        <w:rPr>
          <w:rFonts w:ascii="宋体" w:hAnsi="宋体"/>
          <w:color w:val="auto"/>
          <w:highlight w:val="none"/>
          <w:lang w:eastAsia="zh-CN"/>
        </w:rPr>
      </w:pPr>
      <w:r>
        <w:rPr>
          <w:rFonts w:hint="eastAsia" w:ascii="宋体" w:hAnsi="宋体"/>
          <w:color w:val="auto"/>
          <w:highlight w:val="none"/>
          <w:lang w:eastAsia="zh-CN"/>
        </w:rPr>
        <w:t>本合同的保密要求：</w:t>
      </w:r>
    </w:p>
    <w:p>
      <w:pPr>
        <w:outlineLvl w:val="2"/>
        <w:rPr>
          <w:rFonts w:ascii="宋体" w:hAnsi="宋体"/>
          <w:b/>
          <w:bCs/>
          <w:color w:val="auto"/>
          <w:sz w:val="28"/>
          <w:szCs w:val="28"/>
          <w:highlight w:val="none"/>
          <w:lang w:eastAsia="zh-CN"/>
        </w:rPr>
      </w:pPr>
      <w:r>
        <w:rPr>
          <w:rFonts w:hint="eastAsia" w:ascii="宋体" w:hAnsi="宋体"/>
          <w:b/>
          <w:bCs/>
          <w:color w:val="auto"/>
          <w:sz w:val="28"/>
          <w:szCs w:val="28"/>
          <w:highlight w:val="none"/>
          <w:lang w:eastAsia="zh-CN"/>
        </w:rPr>
        <w:t>十一、履约保证金</w:t>
      </w:r>
    </w:p>
    <w:p>
      <w:pPr>
        <w:spacing w:line="360" w:lineRule="auto"/>
        <w:ind w:firstLine="420" w:firstLineChars="200"/>
        <w:rPr>
          <w:rFonts w:ascii="宋体" w:hAnsi="宋体"/>
          <w:color w:val="auto"/>
          <w:highlight w:val="none"/>
          <w:lang w:eastAsia="zh-CN"/>
        </w:rPr>
      </w:pPr>
      <w:r>
        <w:rPr>
          <w:rFonts w:hint="eastAsia" w:ascii="宋体" w:hAnsi="宋体"/>
          <w:color w:val="auto"/>
          <w:highlight w:val="none"/>
          <w:lang w:eastAsia="zh-CN"/>
        </w:rPr>
        <w:t>卖方应在中标结果确定后、签署本合同前按照招标文件的规定向</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提交。</w:t>
      </w:r>
    </w:p>
    <w:p>
      <w:pPr>
        <w:spacing w:line="360" w:lineRule="auto"/>
        <w:ind w:firstLine="420" w:firstLineChars="200"/>
        <w:rPr>
          <w:rFonts w:ascii="宋体" w:hAnsi="宋体"/>
          <w:color w:val="auto"/>
          <w:highlight w:val="none"/>
          <w:lang w:eastAsia="zh-CN"/>
        </w:rPr>
      </w:pPr>
      <w:r>
        <w:rPr>
          <w:rFonts w:hint="eastAsia" w:ascii="宋体" w:hAnsi="宋体"/>
          <w:color w:val="auto"/>
          <w:highlight w:val="none"/>
          <w:lang w:eastAsia="zh-CN"/>
        </w:rPr>
        <w:t>履约保证金用于补偿买方因卖方不能履行合同义务而蒙受的损失。</w:t>
      </w:r>
    </w:p>
    <w:p>
      <w:pPr>
        <w:spacing w:line="360" w:lineRule="auto"/>
        <w:ind w:firstLine="420" w:firstLineChars="200"/>
        <w:rPr>
          <w:rFonts w:ascii="宋体" w:hAnsi="宋体"/>
          <w:color w:val="auto"/>
          <w:highlight w:val="none"/>
          <w:lang w:eastAsia="zh-CN"/>
        </w:rPr>
      </w:pPr>
      <w:r>
        <w:rPr>
          <w:rFonts w:hint="eastAsia" w:ascii="宋体" w:hAnsi="宋体"/>
          <w:color w:val="auto"/>
          <w:highlight w:val="none"/>
          <w:lang w:eastAsia="zh-CN"/>
        </w:rPr>
        <w:t>履约保证金按政府采购有关规定返还。</w:t>
      </w:r>
    </w:p>
    <w:p>
      <w:pPr>
        <w:outlineLvl w:val="2"/>
        <w:rPr>
          <w:rFonts w:ascii="宋体" w:hAnsi="宋体"/>
          <w:b/>
          <w:bCs/>
          <w:color w:val="auto"/>
          <w:sz w:val="28"/>
          <w:szCs w:val="28"/>
          <w:highlight w:val="none"/>
          <w:lang w:eastAsia="zh-CN"/>
        </w:rPr>
      </w:pPr>
      <w:r>
        <w:rPr>
          <w:rFonts w:hint="eastAsia" w:ascii="宋体" w:hAnsi="宋体"/>
          <w:b/>
          <w:bCs/>
          <w:color w:val="auto"/>
          <w:sz w:val="28"/>
          <w:szCs w:val="28"/>
          <w:highlight w:val="none"/>
          <w:lang w:eastAsia="zh-CN"/>
        </w:rPr>
        <w:t>十二、合同中止、解除</w:t>
      </w:r>
    </w:p>
    <w:p>
      <w:pPr>
        <w:spacing w:line="360" w:lineRule="auto"/>
        <w:ind w:firstLine="420" w:firstLineChars="200"/>
        <w:rPr>
          <w:rFonts w:ascii="宋体" w:hAnsi="宋体"/>
          <w:color w:val="auto"/>
          <w:highlight w:val="none"/>
          <w:lang w:eastAsia="zh-CN"/>
        </w:rPr>
      </w:pPr>
      <w:r>
        <w:rPr>
          <w:rFonts w:hint="eastAsia" w:ascii="宋体" w:hAnsi="宋体"/>
          <w:color w:val="auto"/>
          <w:highlight w:val="none"/>
          <w:lang w:eastAsia="zh-CN"/>
        </w:rPr>
        <w:t>1.因客观不可预见，致本合同不能履行，本合同可中止；待影响消除后，本合同继续履行；</w:t>
      </w:r>
    </w:p>
    <w:p>
      <w:pPr>
        <w:spacing w:line="360" w:lineRule="auto"/>
        <w:ind w:firstLine="420" w:firstLineChars="200"/>
        <w:rPr>
          <w:rFonts w:ascii="宋体" w:hAnsi="宋体"/>
          <w:color w:val="auto"/>
          <w:highlight w:val="none"/>
          <w:lang w:eastAsia="zh-CN"/>
        </w:rPr>
      </w:pPr>
      <w:r>
        <w:rPr>
          <w:rFonts w:hint="eastAsia" w:ascii="宋体" w:hAnsi="宋体"/>
          <w:color w:val="auto"/>
          <w:highlight w:val="none"/>
          <w:lang w:eastAsia="zh-CN"/>
        </w:rPr>
        <w:t>2.遇不可抗力因素或国家政策变化，本合同可解除；</w:t>
      </w:r>
    </w:p>
    <w:p>
      <w:pPr>
        <w:spacing w:line="360" w:lineRule="auto"/>
        <w:ind w:firstLine="420" w:firstLineChars="200"/>
        <w:rPr>
          <w:rFonts w:ascii="宋体" w:hAnsi="宋体"/>
          <w:color w:val="auto"/>
          <w:highlight w:val="none"/>
          <w:lang w:eastAsia="zh-CN"/>
        </w:rPr>
      </w:pPr>
      <w:r>
        <w:rPr>
          <w:rFonts w:hint="eastAsia" w:ascii="宋体" w:hAnsi="宋体"/>
          <w:color w:val="auto"/>
          <w:highlight w:val="none"/>
          <w:lang w:eastAsia="zh-CN"/>
        </w:rPr>
        <w:t>3.因一方违约，另一方可解除本合同；</w:t>
      </w:r>
    </w:p>
    <w:p>
      <w:pPr>
        <w:spacing w:line="360" w:lineRule="auto"/>
        <w:ind w:firstLine="420" w:firstLineChars="200"/>
        <w:rPr>
          <w:rFonts w:ascii="宋体" w:hAnsi="宋体"/>
          <w:color w:val="auto"/>
          <w:highlight w:val="none"/>
          <w:lang w:eastAsia="zh-CN"/>
        </w:rPr>
      </w:pPr>
      <w:r>
        <w:rPr>
          <w:rFonts w:hint="eastAsia" w:ascii="宋体" w:hAnsi="宋体"/>
          <w:color w:val="auto"/>
          <w:highlight w:val="none"/>
          <w:lang w:eastAsia="zh-CN"/>
        </w:rPr>
        <w:t>4.其他约定：</w:t>
      </w:r>
    </w:p>
    <w:p>
      <w:pPr>
        <w:outlineLvl w:val="2"/>
        <w:rPr>
          <w:rFonts w:ascii="宋体" w:hAnsi="宋体"/>
          <w:b/>
          <w:bCs/>
          <w:color w:val="auto"/>
          <w:sz w:val="28"/>
          <w:szCs w:val="28"/>
          <w:highlight w:val="none"/>
          <w:lang w:eastAsia="zh-CN"/>
        </w:rPr>
      </w:pPr>
      <w:r>
        <w:rPr>
          <w:rFonts w:hint="eastAsia" w:ascii="宋体" w:hAnsi="宋体"/>
          <w:b/>
          <w:bCs/>
          <w:color w:val="auto"/>
          <w:sz w:val="28"/>
          <w:szCs w:val="28"/>
          <w:highlight w:val="none"/>
          <w:lang w:eastAsia="zh-CN"/>
        </w:rPr>
        <w:t>十三、违约责任</w:t>
      </w:r>
    </w:p>
    <w:p>
      <w:pPr>
        <w:spacing w:line="360" w:lineRule="auto"/>
        <w:ind w:firstLine="420" w:firstLineChars="200"/>
        <w:rPr>
          <w:rFonts w:ascii="宋体" w:hAnsi="宋体"/>
          <w:color w:val="auto"/>
          <w:highlight w:val="none"/>
          <w:lang w:eastAsia="zh-CN"/>
        </w:rPr>
      </w:pPr>
      <w:r>
        <w:rPr>
          <w:rFonts w:hint="eastAsia" w:ascii="宋体" w:hAnsi="宋体"/>
          <w:color w:val="auto"/>
          <w:highlight w:val="none"/>
          <w:lang w:eastAsia="zh-CN"/>
        </w:rPr>
        <w:t>本合同的违约责任：</w:t>
      </w:r>
    </w:p>
    <w:p>
      <w:pPr>
        <w:outlineLvl w:val="2"/>
        <w:rPr>
          <w:rFonts w:ascii="宋体" w:hAnsi="宋体"/>
          <w:b/>
          <w:bCs/>
          <w:color w:val="auto"/>
          <w:sz w:val="28"/>
          <w:szCs w:val="28"/>
          <w:highlight w:val="none"/>
          <w:lang w:eastAsia="zh-CN"/>
        </w:rPr>
      </w:pPr>
      <w:r>
        <w:rPr>
          <w:rFonts w:hint="eastAsia" w:ascii="宋体" w:hAnsi="宋体"/>
          <w:b/>
          <w:bCs/>
          <w:color w:val="auto"/>
          <w:sz w:val="28"/>
          <w:szCs w:val="28"/>
          <w:highlight w:val="none"/>
          <w:lang w:eastAsia="zh-CN"/>
        </w:rPr>
        <w:t>十四、争议解决</w:t>
      </w:r>
    </w:p>
    <w:p>
      <w:pPr>
        <w:spacing w:line="360" w:lineRule="auto"/>
        <w:ind w:firstLine="420" w:firstLineChars="200"/>
        <w:rPr>
          <w:rFonts w:ascii="宋体" w:hAnsi="宋体"/>
          <w:color w:val="auto"/>
          <w:highlight w:val="none"/>
          <w:lang w:eastAsia="zh-CN"/>
        </w:rPr>
      </w:pPr>
      <w:r>
        <w:rPr>
          <w:rFonts w:hint="eastAsia" w:ascii="宋体" w:hAnsi="宋体"/>
          <w:color w:val="auto"/>
          <w:highlight w:val="none"/>
          <w:lang w:eastAsia="zh-CN"/>
        </w:rPr>
        <w:t>本合同发生争议，由双方协商或由政府采购监管部门调解解决，协商或调解不成时按以下第</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种方式解决：</w:t>
      </w:r>
    </w:p>
    <w:p>
      <w:pPr>
        <w:spacing w:line="360" w:lineRule="auto"/>
        <w:ind w:firstLine="420" w:firstLineChars="200"/>
        <w:rPr>
          <w:rFonts w:ascii="宋体" w:hAnsi="宋体"/>
          <w:color w:val="auto"/>
          <w:highlight w:val="none"/>
          <w:lang w:eastAsia="zh-CN"/>
        </w:rPr>
      </w:pPr>
      <w:r>
        <w:rPr>
          <w:rFonts w:hint="eastAsia" w:ascii="宋体" w:hAnsi="宋体"/>
          <w:color w:val="auto"/>
          <w:highlight w:val="none"/>
          <w:lang w:eastAsia="zh-CN"/>
        </w:rPr>
        <w:t>1.梅河口仲裁委员会仲裁；</w:t>
      </w:r>
    </w:p>
    <w:p>
      <w:pPr>
        <w:spacing w:line="360" w:lineRule="auto"/>
        <w:ind w:firstLine="420" w:firstLineChars="200"/>
        <w:rPr>
          <w:rFonts w:ascii="宋体" w:hAnsi="宋体"/>
          <w:color w:val="auto"/>
          <w:highlight w:val="none"/>
          <w:lang w:eastAsia="zh-CN"/>
        </w:rPr>
      </w:pPr>
      <w:r>
        <w:rPr>
          <w:rFonts w:hint="eastAsia" w:ascii="宋体" w:hAnsi="宋体"/>
          <w:color w:val="auto"/>
          <w:highlight w:val="none"/>
          <w:lang w:eastAsia="zh-CN"/>
        </w:rPr>
        <w:t>2.向甲方所在地人民法院提起诉讼。</w:t>
      </w:r>
    </w:p>
    <w:p>
      <w:pPr>
        <w:outlineLvl w:val="2"/>
        <w:rPr>
          <w:rFonts w:ascii="宋体" w:hAnsi="宋体"/>
          <w:b/>
          <w:bCs/>
          <w:color w:val="auto"/>
          <w:sz w:val="28"/>
          <w:szCs w:val="28"/>
          <w:highlight w:val="none"/>
          <w:lang w:eastAsia="zh-CN"/>
        </w:rPr>
      </w:pPr>
      <w:r>
        <w:rPr>
          <w:rFonts w:hint="eastAsia" w:ascii="宋体" w:hAnsi="宋体"/>
          <w:b/>
          <w:bCs/>
          <w:color w:val="auto"/>
          <w:sz w:val="28"/>
          <w:szCs w:val="28"/>
          <w:highlight w:val="none"/>
          <w:lang w:eastAsia="zh-CN"/>
        </w:rPr>
        <w:t>十五、合同生效及其它</w:t>
      </w:r>
    </w:p>
    <w:p>
      <w:pPr>
        <w:spacing w:line="360" w:lineRule="auto"/>
        <w:ind w:firstLine="420" w:firstLineChars="200"/>
        <w:rPr>
          <w:rFonts w:ascii="宋体" w:hAnsi="宋体"/>
          <w:color w:val="auto"/>
          <w:highlight w:val="none"/>
          <w:lang w:eastAsia="zh-CN"/>
        </w:rPr>
      </w:pPr>
      <w:r>
        <w:rPr>
          <w:rFonts w:hint="eastAsia" w:ascii="宋体" w:hAnsi="宋体"/>
          <w:color w:val="auto"/>
          <w:highlight w:val="none"/>
          <w:lang w:eastAsia="zh-CN"/>
        </w:rPr>
        <w:t>政府采购项目的采购合同内容的确定应以招标文件和投标文件为基础，不得违背其实质性内容。政府采购项目的采购合同自签订之日起七个工作日内，买方应当将合同副本报同级政府采购管理监督部门和有关部门备案。合同将在买卖双方签字盖章后开始生效。</w:t>
      </w:r>
    </w:p>
    <w:p>
      <w:pPr>
        <w:spacing w:line="360" w:lineRule="auto"/>
        <w:ind w:firstLine="420" w:firstLineChars="200"/>
        <w:rPr>
          <w:rFonts w:ascii="宋体" w:hAnsi="宋体"/>
          <w:color w:val="auto"/>
          <w:highlight w:val="none"/>
          <w:lang w:eastAsia="zh-CN"/>
        </w:rPr>
      </w:pPr>
      <w:r>
        <w:rPr>
          <w:rFonts w:hint="eastAsia" w:ascii="宋体" w:hAnsi="宋体"/>
          <w:color w:val="auto"/>
          <w:highlight w:val="none"/>
          <w:lang w:eastAsia="zh-CN"/>
        </w:rPr>
        <w:t>本合同一式三份，具同等法律效力。买卖双方各执一份。</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存档一份。</w:t>
      </w:r>
    </w:p>
    <w:p>
      <w:pPr>
        <w:outlineLvl w:val="2"/>
        <w:rPr>
          <w:rFonts w:ascii="宋体" w:hAnsi="宋体"/>
          <w:b/>
          <w:bCs/>
          <w:color w:val="auto"/>
          <w:sz w:val="28"/>
          <w:szCs w:val="28"/>
          <w:highlight w:val="none"/>
          <w:lang w:eastAsia="zh-CN"/>
        </w:rPr>
      </w:pPr>
      <w:r>
        <w:rPr>
          <w:rFonts w:hint="eastAsia" w:ascii="宋体" w:hAnsi="宋体"/>
          <w:b/>
          <w:bCs/>
          <w:color w:val="auto"/>
          <w:sz w:val="28"/>
          <w:szCs w:val="28"/>
          <w:highlight w:val="none"/>
          <w:lang w:eastAsia="zh-CN"/>
        </w:rPr>
        <w:t>十六、补充条款</w:t>
      </w:r>
    </w:p>
    <w:p>
      <w:pPr>
        <w:spacing w:line="360" w:lineRule="auto"/>
        <w:ind w:firstLine="420" w:firstLineChars="200"/>
        <w:rPr>
          <w:rFonts w:ascii="宋体" w:hAnsi="宋体"/>
          <w:color w:val="auto"/>
          <w:highlight w:val="none"/>
          <w:lang w:eastAsia="zh-CN"/>
        </w:rPr>
      </w:pPr>
      <w:r>
        <w:rPr>
          <w:rFonts w:hint="eastAsia" w:ascii="宋体" w:hAnsi="宋体"/>
          <w:color w:val="auto"/>
          <w:highlight w:val="none"/>
          <w:lang w:eastAsia="zh-CN"/>
        </w:rPr>
        <w:t>如需修改或补充合同内容，经协商，双方可签署书面修改或补充协议，该协议将作为本合同的一个组成部分。</w:t>
      </w:r>
    </w:p>
    <w:p>
      <w:pPr>
        <w:rPr>
          <w:color w:val="auto"/>
          <w:highlight w:val="none"/>
          <w:lang w:eastAsia="zh-CN"/>
        </w:rPr>
      </w:pPr>
    </w:p>
    <w:p>
      <w:pPr>
        <w:spacing w:line="360" w:lineRule="auto"/>
        <w:rPr>
          <w:rFonts w:cs="宋体"/>
          <w:color w:val="auto"/>
          <w:sz w:val="24"/>
          <w:highlight w:val="none"/>
          <w:lang w:eastAsia="zh-CN"/>
        </w:rPr>
      </w:pPr>
      <w:r>
        <w:rPr>
          <w:rFonts w:hint="eastAsia" w:cs="宋体"/>
          <w:color w:val="auto"/>
          <w:sz w:val="24"/>
          <w:highlight w:val="none"/>
          <w:lang w:eastAsia="zh-CN"/>
        </w:rPr>
        <w:t>采购人：</w:t>
      </w:r>
      <w:r>
        <w:rPr>
          <w:rFonts w:hint="eastAsia" w:cs="宋体"/>
          <w:color w:val="auto"/>
          <w:sz w:val="24"/>
          <w:highlight w:val="none"/>
          <w:u w:val="single"/>
          <w:lang w:eastAsia="zh-CN"/>
        </w:rPr>
        <w:t xml:space="preserve">                  </w:t>
      </w:r>
      <w:r>
        <w:rPr>
          <w:rFonts w:hint="eastAsia" w:cs="宋体"/>
          <w:color w:val="auto"/>
          <w:sz w:val="24"/>
          <w:highlight w:val="none"/>
          <w:lang w:eastAsia="zh-CN"/>
        </w:rPr>
        <w:t>（盖章）  供应商：</w:t>
      </w:r>
      <w:r>
        <w:rPr>
          <w:rFonts w:hint="eastAsia" w:cs="宋体"/>
          <w:color w:val="auto"/>
          <w:sz w:val="24"/>
          <w:highlight w:val="none"/>
          <w:u w:val="single"/>
          <w:lang w:eastAsia="zh-CN"/>
        </w:rPr>
        <w:t xml:space="preserve">                 </w:t>
      </w:r>
      <w:r>
        <w:rPr>
          <w:rFonts w:hint="eastAsia" w:cs="宋体"/>
          <w:color w:val="auto"/>
          <w:sz w:val="24"/>
          <w:highlight w:val="none"/>
          <w:lang w:eastAsia="zh-CN"/>
        </w:rPr>
        <w:t xml:space="preserve"> （盖章）</w:t>
      </w:r>
    </w:p>
    <w:p>
      <w:pPr>
        <w:spacing w:line="360" w:lineRule="auto"/>
        <w:rPr>
          <w:rFonts w:cs="宋体"/>
          <w:color w:val="auto"/>
          <w:sz w:val="24"/>
          <w:highlight w:val="none"/>
          <w:lang w:eastAsia="zh-CN"/>
        </w:rPr>
      </w:pPr>
      <w:r>
        <w:rPr>
          <w:rFonts w:hint="eastAsia" w:cs="宋体"/>
          <w:color w:val="auto"/>
          <w:sz w:val="24"/>
          <w:highlight w:val="none"/>
          <w:lang w:eastAsia="zh-CN"/>
        </w:rPr>
        <w:t>签约代表：</w:t>
      </w:r>
      <w:r>
        <w:rPr>
          <w:rFonts w:hint="eastAsia" w:cs="宋体"/>
          <w:color w:val="auto"/>
          <w:sz w:val="24"/>
          <w:highlight w:val="none"/>
          <w:u w:val="single"/>
          <w:lang w:eastAsia="zh-CN"/>
        </w:rPr>
        <w:t xml:space="preserve">                 </w:t>
      </w:r>
      <w:r>
        <w:rPr>
          <w:rFonts w:hint="eastAsia" w:cs="宋体"/>
          <w:color w:val="auto"/>
          <w:sz w:val="24"/>
          <w:highlight w:val="none"/>
          <w:lang w:eastAsia="zh-CN"/>
        </w:rPr>
        <w:t xml:space="preserve">         签约代表：</w:t>
      </w:r>
      <w:r>
        <w:rPr>
          <w:rFonts w:hint="eastAsia" w:cs="宋体"/>
          <w:color w:val="auto"/>
          <w:sz w:val="24"/>
          <w:highlight w:val="none"/>
          <w:u w:val="single"/>
          <w:lang w:eastAsia="zh-CN"/>
        </w:rPr>
        <w:t xml:space="preserve">               </w:t>
      </w:r>
      <w:r>
        <w:rPr>
          <w:rFonts w:hint="eastAsia" w:cs="宋体"/>
          <w:color w:val="auto"/>
          <w:sz w:val="24"/>
          <w:highlight w:val="none"/>
          <w:lang w:eastAsia="zh-CN"/>
        </w:rPr>
        <w:t xml:space="preserve">          </w:t>
      </w:r>
    </w:p>
    <w:p>
      <w:pPr>
        <w:spacing w:line="360" w:lineRule="auto"/>
        <w:rPr>
          <w:rFonts w:cs="宋体"/>
          <w:color w:val="auto"/>
          <w:sz w:val="24"/>
          <w:highlight w:val="none"/>
          <w:u w:val="single"/>
          <w:lang w:eastAsia="zh-CN"/>
        </w:rPr>
      </w:pPr>
      <w:r>
        <w:rPr>
          <w:rFonts w:hint="eastAsia" w:cs="宋体"/>
          <w:color w:val="auto"/>
          <w:sz w:val="24"/>
          <w:highlight w:val="none"/>
          <w:lang w:eastAsia="zh-CN"/>
        </w:rPr>
        <w:t>地    址：</w:t>
      </w:r>
      <w:r>
        <w:rPr>
          <w:rFonts w:hint="eastAsia" w:cs="宋体"/>
          <w:color w:val="auto"/>
          <w:sz w:val="24"/>
          <w:highlight w:val="none"/>
          <w:u w:val="single"/>
          <w:lang w:eastAsia="zh-CN"/>
        </w:rPr>
        <w:t xml:space="preserve">                 </w:t>
      </w:r>
      <w:r>
        <w:rPr>
          <w:rFonts w:hint="eastAsia" w:cs="宋体"/>
          <w:color w:val="auto"/>
          <w:sz w:val="24"/>
          <w:highlight w:val="none"/>
          <w:lang w:eastAsia="zh-CN"/>
        </w:rPr>
        <w:t xml:space="preserve">         地    址：</w:t>
      </w:r>
      <w:r>
        <w:rPr>
          <w:rFonts w:hint="eastAsia" w:cs="宋体"/>
          <w:color w:val="auto"/>
          <w:sz w:val="24"/>
          <w:highlight w:val="none"/>
          <w:u w:val="single"/>
          <w:lang w:eastAsia="zh-CN"/>
        </w:rPr>
        <w:t xml:space="preserve">               </w:t>
      </w:r>
    </w:p>
    <w:p>
      <w:pPr>
        <w:spacing w:line="360" w:lineRule="auto"/>
        <w:rPr>
          <w:rFonts w:cs="宋体"/>
          <w:color w:val="auto"/>
          <w:sz w:val="24"/>
          <w:highlight w:val="none"/>
          <w:lang w:eastAsia="zh-CN"/>
        </w:rPr>
      </w:pPr>
      <w:r>
        <w:rPr>
          <w:rFonts w:hint="eastAsia" w:cs="宋体"/>
          <w:color w:val="auto"/>
          <w:sz w:val="24"/>
          <w:highlight w:val="none"/>
          <w:lang w:eastAsia="zh-CN"/>
        </w:rPr>
        <w:t>电    话：</w:t>
      </w:r>
      <w:r>
        <w:rPr>
          <w:rFonts w:hint="eastAsia" w:cs="宋体"/>
          <w:color w:val="auto"/>
          <w:sz w:val="24"/>
          <w:highlight w:val="none"/>
          <w:u w:val="single"/>
          <w:lang w:eastAsia="zh-CN"/>
        </w:rPr>
        <w:t xml:space="preserve">                 </w:t>
      </w:r>
      <w:r>
        <w:rPr>
          <w:rFonts w:hint="eastAsia" w:cs="宋体"/>
          <w:color w:val="auto"/>
          <w:sz w:val="24"/>
          <w:highlight w:val="none"/>
          <w:lang w:eastAsia="zh-CN"/>
        </w:rPr>
        <w:t xml:space="preserve">         电    话：</w:t>
      </w:r>
      <w:r>
        <w:rPr>
          <w:rFonts w:hint="eastAsia" w:cs="宋体"/>
          <w:color w:val="auto"/>
          <w:sz w:val="24"/>
          <w:highlight w:val="none"/>
          <w:u w:val="single"/>
          <w:lang w:eastAsia="zh-CN"/>
        </w:rPr>
        <w:t xml:space="preserve">               </w:t>
      </w:r>
    </w:p>
    <w:p>
      <w:pPr>
        <w:spacing w:line="360" w:lineRule="auto"/>
        <w:rPr>
          <w:rFonts w:cs="宋体"/>
          <w:color w:val="auto"/>
          <w:sz w:val="24"/>
          <w:highlight w:val="none"/>
          <w:lang w:eastAsia="zh-CN"/>
        </w:rPr>
      </w:pPr>
      <w:r>
        <w:rPr>
          <w:rFonts w:hint="eastAsia" w:cs="宋体"/>
          <w:color w:val="auto"/>
          <w:sz w:val="24"/>
          <w:highlight w:val="none"/>
          <w:lang w:eastAsia="zh-CN"/>
        </w:rPr>
        <w:t>传    真：</w:t>
      </w:r>
      <w:r>
        <w:rPr>
          <w:rFonts w:hint="eastAsia" w:cs="宋体"/>
          <w:color w:val="auto"/>
          <w:sz w:val="24"/>
          <w:highlight w:val="none"/>
          <w:u w:val="single"/>
          <w:lang w:eastAsia="zh-CN"/>
        </w:rPr>
        <w:t xml:space="preserve">                 </w:t>
      </w:r>
      <w:r>
        <w:rPr>
          <w:rFonts w:hint="eastAsia" w:cs="宋体"/>
          <w:color w:val="auto"/>
          <w:sz w:val="24"/>
          <w:highlight w:val="none"/>
          <w:lang w:eastAsia="zh-CN"/>
        </w:rPr>
        <w:t xml:space="preserve">         传    真：</w:t>
      </w:r>
      <w:r>
        <w:rPr>
          <w:rFonts w:hint="eastAsia" w:cs="宋体"/>
          <w:color w:val="auto"/>
          <w:sz w:val="24"/>
          <w:highlight w:val="none"/>
          <w:u w:val="single"/>
          <w:lang w:eastAsia="zh-CN"/>
        </w:rPr>
        <w:t xml:space="preserve">               </w:t>
      </w:r>
    </w:p>
    <w:p>
      <w:pPr>
        <w:spacing w:line="360" w:lineRule="auto"/>
        <w:rPr>
          <w:rFonts w:cs="宋体"/>
          <w:color w:val="auto"/>
          <w:sz w:val="24"/>
          <w:highlight w:val="none"/>
          <w:lang w:eastAsia="zh-CN"/>
        </w:rPr>
      </w:pPr>
      <w:r>
        <w:rPr>
          <w:rFonts w:hint="eastAsia" w:cs="宋体"/>
          <w:color w:val="auto"/>
          <w:sz w:val="24"/>
          <w:highlight w:val="none"/>
          <w:lang w:eastAsia="zh-CN"/>
        </w:rPr>
        <w:t>签约日期：</w:t>
      </w:r>
      <w:r>
        <w:rPr>
          <w:rFonts w:hint="eastAsia" w:cs="宋体"/>
          <w:color w:val="auto"/>
          <w:sz w:val="24"/>
          <w:highlight w:val="none"/>
          <w:u w:val="single"/>
          <w:lang w:eastAsia="zh-CN"/>
        </w:rPr>
        <w:t xml:space="preserve">                 </w:t>
      </w:r>
      <w:r>
        <w:rPr>
          <w:rFonts w:hint="eastAsia" w:cs="宋体"/>
          <w:color w:val="auto"/>
          <w:sz w:val="24"/>
          <w:highlight w:val="none"/>
          <w:lang w:eastAsia="zh-CN"/>
        </w:rPr>
        <w:t xml:space="preserve">         签约日期：</w:t>
      </w:r>
      <w:r>
        <w:rPr>
          <w:rFonts w:hint="eastAsia" w:cs="宋体"/>
          <w:color w:val="auto"/>
          <w:sz w:val="24"/>
          <w:highlight w:val="none"/>
          <w:u w:val="single"/>
          <w:lang w:eastAsia="zh-CN"/>
        </w:rPr>
        <w:t xml:space="preserve">                </w:t>
      </w:r>
      <w:r>
        <w:rPr>
          <w:rFonts w:hint="eastAsia" w:cs="宋体"/>
          <w:color w:val="auto"/>
          <w:sz w:val="24"/>
          <w:highlight w:val="none"/>
          <w:lang w:eastAsia="zh-CN"/>
        </w:rPr>
        <w:t xml:space="preserve">  </w:t>
      </w:r>
    </w:p>
    <w:p>
      <w:pPr>
        <w:spacing w:line="360" w:lineRule="auto"/>
        <w:rPr>
          <w:rFonts w:cs="宋体"/>
          <w:color w:val="auto"/>
          <w:sz w:val="24"/>
          <w:highlight w:val="none"/>
          <w:lang w:eastAsia="zh-CN"/>
        </w:rPr>
      </w:pPr>
      <w:r>
        <w:rPr>
          <w:rFonts w:hint="eastAsia" w:cs="宋体"/>
          <w:b/>
          <w:bCs/>
          <w:color w:val="auto"/>
          <w:highlight w:val="none"/>
          <w:lang w:eastAsia="zh-CN"/>
        </w:rPr>
        <w:t xml:space="preserve">具体约定以甲乙双方签定合同为准   </w:t>
      </w:r>
      <w:r>
        <w:rPr>
          <w:rFonts w:hint="eastAsia" w:cs="宋体"/>
          <w:color w:val="auto"/>
          <w:sz w:val="24"/>
          <w:highlight w:val="none"/>
          <w:lang w:eastAsia="zh-CN"/>
        </w:rPr>
        <w:t xml:space="preserve">             </w:t>
      </w:r>
    </w:p>
    <w:p>
      <w:pPr>
        <w:spacing w:line="276" w:lineRule="auto"/>
        <w:rPr>
          <w:color w:val="auto"/>
          <w:highlight w:val="none"/>
          <w:lang w:eastAsia="zh-CN"/>
        </w:rPr>
      </w:pPr>
    </w:p>
    <w:p>
      <w:pPr>
        <w:spacing w:line="276" w:lineRule="auto"/>
        <w:rPr>
          <w:color w:val="auto"/>
          <w:highlight w:val="none"/>
          <w:lang w:eastAsia="zh-CN"/>
        </w:rPr>
      </w:pPr>
    </w:p>
    <w:p>
      <w:pPr>
        <w:spacing w:line="276" w:lineRule="auto"/>
        <w:rPr>
          <w:color w:val="auto"/>
          <w:highlight w:val="none"/>
          <w:lang w:eastAsia="zh-CN"/>
        </w:rPr>
      </w:pPr>
    </w:p>
    <w:p>
      <w:pPr>
        <w:spacing w:line="277" w:lineRule="auto"/>
        <w:rPr>
          <w:color w:val="auto"/>
          <w:highlight w:val="none"/>
          <w:lang w:eastAsia="zh-CN"/>
        </w:rPr>
      </w:pPr>
    </w:p>
    <w:p>
      <w:pPr>
        <w:pStyle w:val="45"/>
        <w:spacing w:before="48" w:after="48"/>
        <w:ind w:firstLine="480"/>
        <w:rPr>
          <w:rFonts w:hint="eastAsia" w:ascii="宋体" w:hAnsi="宋体"/>
          <w:color w:val="auto"/>
          <w:highlight w:val="none"/>
          <w:lang w:eastAsia="zh-CN"/>
        </w:rPr>
      </w:pPr>
      <w:r>
        <w:rPr>
          <w:rFonts w:hint="eastAsia"/>
          <w:color w:val="auto"/>
          <w:highlight w:val="none"/>
          <w:lang w:eastAsia="zh-CN"/>
        </w:rPr>
        <w:br w:type="page"/>
      </w:r>
    </w:p>
    <w:p>
      <w:pPr>
        <w:pStyle w:val="2"/>
        <w:spacing w:before="91" w:line="221" w:lineRule="auto"/>
        <w:ind w:left="2670" w:firstLine="560"/>
        <w:outlineLvl w:val="1"/>
        <w:rPr>
          <w:rFonts w:hint="eastAsia"/>
          <w:color w:val="auto"/>
          <w:sz w:val="28"/>
          <w:szCs w:val="28"/>
          <w:highlight w:val="none"/>
          <w:lang w:eastAsia="zh-CN"/>
        </w:rPr>
      </w:pPr>
    </w:p>
    <w:p>
      <w:pPr>
        <w:pStyle w:val="3"/>
        <w:bidi w:val="0"/>
        <w:rPr>
          <w:rFonts w:hint="eastAsia"/>
          <w:color w:val="auto"/>
          <w:highlight w:val="none"/>
          <w:lang w:eastAsia="zh-CN"/>
        </w:rPr>
      </w:pPr>
      <w:bookmarkStart w:id="75" w:name="_Toc30768"/>
      <w:r>
        <w:rPr>
          <w:color w:val="auto"/>
          <w:highlight w:val="none"/>
          <w:lang w:eastAsia="zh-CN"/>
        </w:rPr>
        <w:t>第五章</w:t>
      </w:r>
      <w:r>
        <w:rPr>
          <w:rFonts w:hint="eastAsia"/>
          <w:color w:val="auto"/>
          <w:highlight w:val="none"/>
          <w:lang w:eastAsia="zh-CN"/>
        </w:rPr>
        <w:t xml:space="preserve"> 项目采购需求</w:t>
      </w:r>
      <w:bookmarkEnd w:id="75"/>
    </w:p>
    <w:p>
      <w:pPr>
        <w:pStyle w:val="2"/>
        <w:ind w:firstLine="552"/>
        <w:rPr>
          <w:rFonts w:hint="eastAsia"/>
          <w:color w:val="auto"/>
          <w:spacing w:val="-4"/>
          <w:sz w:val="28"/>
          <w:szCs w:val="28"/>
          <w:highlight w:val="none"/>
          <w:lang w:eastAsia="zh-CN"/>
        </w:rPr>
      </w:pPr>
    </w:p>
    <w:p>
      <w:pPr>
        <w:pStyle w:val="2"/>
        <w:ind w:firstLine="474"/>
        <w:outlineLvl w:val="1"/>
        <w:rPr>
          <w:rFonts w:hint="eastAsia"/>
          <w:b/>
          <w:bCs/>
          <w:color w:val="auto"/>
          <w:spacing w:val="-4"/>
          <w:szCs w:val="24"/>
          <w:highlight w:val="none"/>
          <w:lang w:eastAsia="zh-CN"/>
        </w:rPr>
      </w:pPr>
      <w:r>
        <w:rPr>
          <w:rFonts w:hint="eastAsia"/>
          <w:b/>
          <w:bCs/>
          <w:color w:val="auto"/>
          <w:spacing w:val="-4"/>
          <w:szCs w:val="24"/>
          <w:highlight w:val="none"/>
          <w:lang w:eastAsia="zh-CN"/>
        </w:rPr>
        <w:t>一、项目总体情况</w:t>
      </w:r>
    </w:p>
    <w:p>
      <w:pPr>
        <w:pStyle w:val="2"/>
        <w:ind w:firstLine="472"/>
        <w:rPr>
          <w:rFonts w:hint="eastAsia" w:asciiTheme="minorEastAsia" w:hAnsiTheme="minorEastAsia" w:eastAsiaTheme="minorEastAsia"/>
          <w:color w:val="auto"/>
          <w:spacing w:val="-4"/>
          <w:szCs w:val="24"/>
          <w:highlight w:val="none"/>
          <w:lang w:eastAsia="zh-CN"/>
        </w:rPr>
      </w:pPr>
      <w:r>
        <w:rPr>
          <w:rFonts w:hint="eastAsia" w:asciiTheme="minorEastAsia" w:hAnsiTheme="minorEastAsia" w:eastAsiaTheme="minorEastAsia"/>
          <w:color w:val="auto"/>
          <w:spacing w:val="-4"/>
          <w:szCs w:val="24"/>
          <w:highlight w:val="none"/>
          <w:lang w:eastAsia="zh-CN"/>
        </w:rPr>
        <w:t>（一）项目名称：梅河口市2025年大中型水库移民后期扶持专项资金项目监理服务</w:t>
      </w:r>
    </w:p>
    <w:p>
      <w:pPr>
        <w:pStyle w:val="2"/>
        <w:ind w:firstLine="472"/>
        <w:rPr>
          <w:rFonts w:hint="eastAsia" w:asciiTheme="minorEastAsia" w:hAnsiTheme="minorEastAsia" w:eastAsiaTheme="minorEastAsia"/>
          <w:color w:val="auto"/>
          <w:spacing w:val="-4"/>
          <w:szCs w:val="24"/>
          <w:highlight w:val="none"/>
          <w:lang w:eastAsia="zh-CN"/>
        </w:rPr>
      </w:pPr>
      <w:r>
        <w:rPr>
          <w:rFonts w:hint="eastAsia" w:asciiTheme="minorEastAsia" w:hAnsiTheme="minorEastAsia" w:eastAsiaTheme="minorEastAsia"/>
          <w:color w:val="auto"/>
          <w:spacing w:val="-4"/>
          <w:szCs w:val="24"/>
          <w:highlight w:val="none"/>
          <w:lang w:eastAsia="zh-CN"/>
        </w:rPr>
        <w:t>（二）项目概况：施工建设内容包括新建水泥路、沥青路、农田作业路、边沟、路灯等，本监理标对施工阶段及保修阶段全过程监理。</w:t>
      </w:r>
    </w:p>
    <w:p>
      <w:pPr>
        <w:pStyle w:val="2"/>
        <w:ind w:firstLine="472"/>
        <w:rPr>
          <w:rFonts w:hint="eastAsia" w:asciiTheme="minorEastAsia" w:hAnsiTheme="minorEastAsia" w:eastAsiaTheme="minorEastAsia"/>
          <w:color w:val="auto"/>
          <w:spacing w:val="-4"/>
          <w:szCs w:val="24"/>
          <w:highlight w:val="none"/>
          <w:lang w:eastAsia="zh-CN"/>
        </w:rPr>
      </w:pPr>
      <w:r>
        <w:rPr>
          <w:rFonts w:hint="eastAsia" w:asciiTheme="minorEastAsia" w:hAnsiTheme="minorEastAsia" w:eastAsiaTheme="minorEastAsia"/>
          <w:color w:val="auto"/>
          <w:spacing w:val="-4"/>
          <w:szCs w:val="24"/>
          <w:highlight w:val="none"/>
          <w:lang w:eastAsia="zh-CN"/>
        </w:rPr>
        <w:t>施工具体建设地点及内容见下表</w:t>
      </w:r>
    </w:p>
    <w:tbl>
      <w:tblPr>
        <w:tblStyle w:val="32"/>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753"/>
        <w:gridCol w:w="4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tcPr>
          <w:p>
            <w:pPr>
              <w:spacing w:line="360" w:lineRule="exact"/>
              <w:jc w:val="center"/>
              <w:rPr>
                <w:rFonts w:hint="eastAsia" w:ascii="宋体" w:hAnsi="宋体" w:eastAsia="宋体"/>
                <w:b/>
                <w:bCs/>
                <w:color w:val="auto"/>
                <w:highlight w:val="none"/>
                <w:lang w:eastAsia="zh-CN"/>
              </w:rPr>
            </w:pPr>
            <w:r>
              <w:rPr>
                <w:rFonts w:hint="eastAsia" w:ascii="宋体" w:hAnsi="宋体" w:eastAsia="宋体"/>
                <w:b/>
                <w:bCs/>
                <w:color w:val="auto"/>
                <w:highlight w:val="none"/>
                <w:lang w:eastAsia="zh-CN"/>
              </w:rPr>
              <w:t>序号</w:t>
            </w:r>
          </w:p>
        </w:tc>
        <w:tc>
          <w:tcPr>
            <w:tcW w:w="3753" w:type="dxa"/>
          </w:tcPr>
          <w:p>
            <w:pPr>
              <w:spacing w:line="360" w:lineRule="exact"/>
              <w:jc w:val="center"/>
              <w:rPr>
                <w:rFonts w:ascii="宋体" w:hAnsi="宋体"/>
                <w:b/>
                <w:bCs/>
                <w:color w:val="auto"/>
                <w:highlight w:val="none"/>
              </w:rPr>
            </w:pPr>
            <w:r>
              <w:rPr>
                <w:rFonts w:hint="eastAsia" w:ascii="宋体" w:hAnsi="宋体"/>
                <w:b/>
                <w:bCs/>
                <w:color w:val="auto"/>
                <w:highlight w:val="none"/>
              </w:rPr>
              <w:t>项目名称</w:t>
            </w:r>
          </w:p>
        </w:tc>
        <w:tc>
          <w:tcPr>
            <w:tcW w:w="4115" w:type="dxa"/>
          </w:tcPr>
          <w:p>
            <w:pPr>
              <w:spacing w:line="360" w:lineRule="exact"/>
              <w:rPr>
                <w:rFonts w:ascii="宋体" w:hAnsi="宋体"/>
                <w:b/>
                <w:bCs/>
                <w:color w:val="auto"/>
                <w:highlight w:val="none"/>
              </w:rPr>
            </w:pPr>
            <w:r>
              <w:rPr>
                <w:rFonts w:hint="eastAsia" w:ascii="宋体" w:hAnsi="宋体"/>
                <w:b/>
                <w:bCs/>
                <w:color w:val="auto"/>
                <w:highlight w:val="none"/>
              </w:rPr>
              <w:t>主要建设内容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vAlign w:val="center"/>
          </w:tcPr>
          <w:p>
            <w:pPr>
              <w:spacing w:line="360" w:lineRule="exact"/>
              <w:jc w:val="center"/>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1</w:t>
            </w:r>
          </w:p>
        </w:tc>
        <w:tc>
          <w:tcPr>
            <w:tcW w:w="3753" w:type="dxa"/>
            <w:vAlign w:val="center"/>
          </w:tcPr>
          <w:p>
            <w:pPr>
              <w:spacing w:line="360" w:lineRule="exact"/>
              <w:rPr>
                <w:rFonts w:ascii="宋体" w:hAnsi="宋体"/>
                <w:color w:val="auto"/>
                <w:sz w:val="22"/>
                <w:szCs w:val="22"/>
                <w:highlight w:val="none"/>
                <w:lang w:eastAsia="zh-CN"/>
              </w:rPr>
            </w:pPr>
            <w:r>
              <w:rPr>
                <w:rFonts w:hint="eastAsia" w:ascii="宋体" w:hAnsi="宋体"/>
                <w:color w:val="auto"/>
                <w:sz w:val="22"/>
                <w:szCs w:val="22"/>
                <w:highlight w:val="none"/>
                <w:lang w:eastAsia="zh-CN"/>
              </w:rPr>
              <w:t>梅河口市牛心顶镇大沙河村水泥路</w:t>
            </w:r>
          </w:p>
        </w:tc>
        <w:tc>
          <w:tcPr>
            <w:tcW w:w="4115" w:type="dxa"/>
            <w:vAlign w:val="center"/>
          </w:tcPr>
          <w:p>
            <w:pPr>
              <w:spacing w:line="360" w:lineRule="exact"/>
              <w:rPr>
                <w:rFonts w:ascii="宋体" w:hAnsi="宋体"/>
                <w:color w:val="auto"/>
                <w:sz w:val="22"/>
                <w:szCs w:val="22"/>
                <w:highlight w:val="none"/>
                <w:lang w:eastAsia="zh-CN"/>
              </w:rPr>
            </w:pPr>
            <w:r>
              <w:rPr>
                <w:rFonts w:hint="eastAsia" w:ascii="宋体" w:hAnsi="宋体"/>
                <w:color w:val="auto"/>
                <w:sz w:val="22"/>
                <w:szCs w:val="22"/>
                <w:highlight w:val="none"/>
                <w:lang w:eastAsia="zh-CN"/>
              </w:rPr>
              <w:t>新建水泥路3.038公里，宽度2.0/2.5/3.0/3.5米涵管8道48米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vAlign w:val="center"/>
          </w:tcPr>
          <w:p>
            <w:pPr>
              <w:spacing w:line="360" w:lineRule="exact"/>
              <w:jc w:val="center"/>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2</w:t>
            </w:r>
          </w:p>
        </w:tc>
        <w:tc>
          <w:tcPr>
            <w:tcW w:w="3753" w:type="dxa"/>
            <w:vAlign w:val="center"/>
          </w:tcPr>
          <w:p>
            <w:pPr>
              <w:spacing w:line="360" w:lineRule="exact"/>
              <w:rPr>
                <w:rFonts w:ascii="宋体" w:hAnsi="宋体"/>
                <w:color w:val="auto"/>
                <w:sz w:val="22"/>
                <w:szCs w:val="22"/>
                <w:highlight w:val="none"/>
                <w:lang w:eastAsia="zh-CN"/>
              </w:rPr>
            </w:pPr>
            <w:r>
              <w:rPr>
                <w:rFonts w:hint="eastAsia" w:ascii="宋体" w:hAnsi="宋体"/>
                <w:color w:val="auto"/>
                <w:sz w:val="22"/>
                <w:szCs w:val="22"/>
                <w:highlight w:val="none"/>
                <w:lang w:eastAsia="zh-CN"/>
              </w:rPr>
              <w:t>梅河口市牛心顶镇双泉村路灯</w:t>
            </w:r>
          </w:p>
        </w:tc>
        <w:tc>
          <w:tcPr>
            <w:tcW w:w="4115" w:type="dxa"/>
            <w:vAlign w:val="center"/>
          </w:tcPr>
          <w:p>
            <w:pPr>
              <w:spacing w:line="360" w:lineRule="exact"/>
              <w:rPr>
                <w:rFonts w:ascii="宋体" w:hAnsi="宋体"/>
                <w:color w:val="auto"/>
                <w:sz w:val="22"/>
                <w:szCs w:val="22"/>
                <w:highlight w:val="none"/>
              </w:rPr>
            </w:pPr>
            <w:r>
              <w:rPr>
                <w:rFonts w:hint="eastAsia" w:ascii="宋体" w:hAnsi="宋体"/>
                <w:color w:val="auto"/>
                <w:sz w:val="22"/>
                <w:szCs w:val="22"/>
                <w:highlight w:val="none"/>
              </w:rPr>
              <w:t>新建路灯80盏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vAlign w:val="center"/>
          </w:tcPr>
          <w:p>
            <w:pPr>
              <w:spacing w:line="360" w:lineRule="exact"/>
              <w:jc w:val="center"/>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3</w:t>
            </w:r>
          </w:p>
        </w:tc>
        <w:tc>
          <w:tcPr>
            <w:tcW w:w="3753" w:type="dxa"/>
            <w:vAlign w:val="center"/>
          </w:tcPr>
          <w:p>
            <w:pPr>
              <w:spacing w:line="360" w:lineRule="exact"/>
              <w:rPr>
                <w:rFonts w:ascii="宋体" w:hAnsi="宋体"/>
                <w:color w:val="auto"/>
                <w:sz w:val="22"/>
                <w:szCs w:val="22"/>
                <w:highlight w:val="none"/>
                <w:lang w:eastAsia="zh-CN"/>
              </w:rPr>
            </w:pPr>
            <w:r>
              <w:rPr>
                <w:rFonts w:hint="eastAsia" w:ascii="宋体" w:hAnsi="宋体"/>
                <w:color w:val="auto"/>
                <w:sz w:val="22"/>
                <w:szCs w:val="22"/>
                <w:highlight w:val="none"/>
                <w:lang w:eastAsia="zh-CN"/>
              </w:rPr>
              <w:t>梅河口市双兴镇庆胜村路灯</w:t>
            </w:r>
          </w:p>
        </w:tc>
        <w:tc>
          <w:tcPr>
            <w:tcW w:w="4115" w:type="dxa"/>
            <w:vAlign w:val="center"/>
          </w:tcPr>
          <w:p>
            <w:pPr>
              <w:spacing w:line="360" w:lineRule="exact"/>
              <w:rPr>
                <w:rFonts w:ascii="宋体" w:hAnsi="宋体"/>
                <w:color w:val="auto"/>
                <w:sz w:val="22"/>
                <w:szCs w:val="22"/>
                <w:highlight w:val="none"/>
              </w:rPr>
            </w:pPr>
            <w:r>
              <w:rPr>
                <w:rFonts w:hint="eastAsia" w:ascii="宋体" w:hAnsi="宋体"/>
                <w:color w:val="auto"/>
                <w:sz w:val="22"/>
                <w:szCs w:val="22"/>
                <w:highlight w:val="none"/>
              </w:rPr>
              <w:t>新建路灯118盏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vAlign w:val="center"/>
          </w:tcPr>
          <w:p>
            <w:pPr>
              <w:spacing w:line="360" w:lineRule="exact"/>
              <w:jc w:val="center"/>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4</w:t>
            </w:r>
          </w:p>
        </w:tc>
        <w:tc>
          <w:tcPr>
            <w:tcW w:w="3753" w:type="dxa"/>
            <w:vAlign w:val="center"/>
          </w:tcPr>
          <w:p>
            <w:pPr>
              <w:spacing w:line="360" w:lineRule="exact"/>
              <w:rPr>
                <w:rFonts w:ascii="宋体" w:hAnsi="宋体"/>
                <w:color w:val="auto"/>
                <w:sz w:val="22"/>
                <w:szCs w:val="22"/>
                <w:highlight w:val="none"/>
                <w:lang w:eastAsia="zh-CN"/>
              </w:rPr>
            </w:pPr>
            <w:r>
              <w:rPr>
                <w:rFonts w:hint="eastAsia" w:ascii="宋体" w:hAnsi="宋体"/>
                <w:color w:val="auto"/>
                <w:sz w:val="22"/>
                <w:szCs w:val="22"/>
                <w:highlight w:val="none"/>
                <w:lang w:eastAsia="zh-CN"/>
              </w:rPr>
              <w:t>梅河口市双兴镇双兴村沥青路</w:t>
            </w:r>
          </w:p>
        </w:tc>
        <w:tc>
          <w:tcPr>
            <w:tcW w:w="4115" w:type="dxa"/>
            <w:vAlign w:val="center"/>
          </w:tcPr>
          <w:p>
            <w:pPr>
              <w:spacing w:line="360" w:lineRule="exact"/>
              <w:rPr>
                <w:rFonts w:ascii="宋体" w:hAnsi="宋体"/>
                <w:color w:val="auto"/>
                <w:sz w:val="22"/>
                <w:szCs w:val="22"/>
                <w:highlight w:val="none"/>
                <w:lang w:eastAsia="zh-CN"/>
              </w:rPr>
            </w:pPr>
            <w:r>
              <w:rPr>
                <w:rFonts w:hint="eastAsia" w:ascii="宋体" w:hAnsi="宋体"/>
                <w:color w:val="auto"/>
                <w:sz w:val="22"/>
                <w:szCs w:val="22"/>
                <w:highlight w:val="none"/>
                <w:lang w:eastAsia="zh-CN"/>
              </w:rPr>
              <w:t>新建沥青路2.439公里，宽度4/4.5米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vAlign w:val="center"/>
          </w:tcPr>
          <w:p>
            <w:pPr>
              <w:spacing w:line="360" w:lineRule="exact"/>
              <w:jc w:val="center"/>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5</w:t>
            </w:r>
          </w:p>
        </w:tc>
        <w:tc>
          <w:tcPr>
            <w:tcW w:w="3753" w:type="dxa"/>
            <w:vAlign w:val="center"/>
          </w:tcPr>
          <w:p>
            <w:pPr>
              <w:spacing w:line="360" w:lineRule="exact"/>
              <w:rPr>
                <w:rFonts w:ascii="宋体" w:hAnsi="宋体"/>
                <w:color w:val="auto"/>
                <w:sz w:val="22"/>
                <w:szCs w:val="22"/>
                <w:highlight w:val="none"/>
                <w:lang w:eastAsia="zh-CN"/>
              </w:rPr>
            </w:pPr>
            <w:r>
              <w:rPr>
                <w:rFonts w:hint="eastAsia" w:ascii="宋体" w:hAnsi="宋体"/>
                <w:color w:val="auto"/>
                <w:sz w:val="22"/>
                <w:szCs w:val="22"/>
                <w:highlight w:val="none"/>
                <w:lang w:eastAsia="zh-CN"/>
              </w:rPr>
              <w:t>梅河口市双兴镇双兴村路灯</w:t>
            </w:r>
          </w:p>
        </w:tc>
        <w:tc>
          <w:tcPr>
            <w:tcW w:w="4115" w:type="dxa"/>
            <w:vAlign w:val="center"/>
          </w:tcPr>
          <w:p>
            <w:pPr>
              <w:spacing w:line="360" w:lineRule="exact"/>
              <w:rPr>
                <w:rFonts w:ascii="宋体" w:hAnsi="宋体"/>
                <w:color w:val="auto"/>
                <w:sz w:val="22"/>
                <w:szCs w:val="22"/>
                <w:highlight w:val="none"/>
              </w:rPr>
            </w:pPr>
            <w:r>
              <w:rPr>
                <w:rFonts w:hint="eastAsia" w:ascii="宋体" w:hAnsi="宋体"/>
                <w:color w:val="auto"/>
                <w:sz w:val="22"/>
                <w:szCs w:val="22"/>
                <w:highlight w:val="none"/>
              </w:rPr>
              <w:t>新建路灯35盏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vAlign w:val="center"/>
          </w:tcPr>
          <w:p>
            <w:pPr>
              <w:spacing w:line="360" w:lineRule="exact"/>
              <w:jc w:val="center"/>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6</w:t>
            </w:r>
          </w:p>
        </w:tc>
        <w:tc>
          <w:tcPr>
            <w:tcW w:w="3753" w:type="dxa"/>
            <w:vAlign w:val="center"/>
          </w:tcPr>
          <w:p>
            <w:pPr>
              <w:spacing w:line="360" w:lineRule="exact"/>
              <w:rPr>
                <w:rFonts w:ascii="宋体" w:hAnsi="宋体"/>
                <w:color w:val="auto"/>
                <w:sz w:val="22"/>
                <w:szCs w:val="22"/>
                <w:highlight w:val="none"/>
                <w:lang w:eastAsia="zh-CN"/>
              </w:rPr>
            </w:pPr>
            <w:r>
              <w:rPr>
                <w:rFonts w:hint="eastAsia" w:ascii="宋体" w:hAnsi="宋体"/>
                <w:color w:val="auto"/>
                <w:sz w:val="22"/>
                <w:szCs w:val="22"/>
                <w:highlight w:val="none"/>
                <w:lang w:eastAsia="zh-CN"/>
              </w:rPr>
              <w:t>梅河口市双兴镇裕庆村路灯</w:t>
            </w:r>
          </w:p>
        </w:tc>
        <w:tc>
          <w:tcPr>
            <w:tcW w:w="4115" w:type="dxa"/>
            <w:vAlign w:val="center"/>
          </w:tcPr>
          <w:p>
            <w:pPr>
              <w:spacing w:line="360" w:lineRule="exact"/>
              <w:rPr>
                <w:rFonts w:ascii="宋体" w:hAnsi="宋体"/>
                <w:color w:val="auto"/>
                <w:sz w:val="22"/>
                <w:szCs w:val="22"/>
                <w:highlight w:val="none"/>
              </w:rPr>
            </w:pPr>
            <w:r>
              <w:rPr>
                <w:rFonts w:hint="eastAsia" w:ascii="宋体" w:hAnsi="宋体"/>
                <w:color w:val="auto"/>
                <w:sz w:val="22"/>
                <w:szCs w:val="22"/>
                <w:highlight w:val="none"/>
              </w:rPr>
              <w:t>新建路灯100盏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vAlign w:val="center"/>
          </w:tcPr>
          <w:p>
            <w:pPr>
              <w:spacing w:line="360" w:lineRule="exact"/>
              <w:jc w:val="center"/>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7</w:t>
            </w:r>
          </w:p>
        </w:tc>
        <w:tc>
          <w:tcPr>
            <w:tcW w:w="3753" w:type="dxa"/>
            <w:vAlign w:val="center"/>
          </w:tcPr>
          <w:p>
            <w:pPr>
              <w:spacing w:line="360" w:lineRule="exact"/>
              <w:rPr>
                <w:rFonts w:ascii="宋体" w:hAnsi="宋体"/>
                <w:color w:val="auto"/>
                <w:sz w:val="22"/>
                <w:szCs w:val="22"/>
                <w:highlight w:val="none"/>
                <w:lang w:eastAsia="zh-CN"/>
              </w:rPr>
            </w:pPr>
            <w:r>
              <w:rPr>
                <w:rFonts w:hint="eastAsia" w:ascii="宋体" w:hAnsi="宋体"/>
                <w:color w:val="auto"/>
                <w:sz w:val="22"/>
                <w:szCs w:val="22"/>
                <w:highlight w:val="none"/>
                <w:lang w:eastAsia="zh-CN"/>
              </w:rPr>
              <w:t>梅河口市山城镇城西村水泥路</w:t>
            </w:r>
          </w:p>
        </w:tc>
        <w:tc>
          <w:tcPr>
            <w:tcW w:w="4115" w:type="dxa"/>
            <w:vAlign w:val="center"/>
          </w:tcPr>
          <w:p>
            <w:pPr>
              <w:spacing w:line="360" w:lineRule="exact"/>
              <w:rPr>
                <w:rFonts w:ascii="宋体" w:hAnsi="宋体"/>
                <w:color w:val="auto"/>
                <w:sz w:val="22"/>
                <w:szCs w:val="22"/>
                <w:highlight w:val="none"/>
                <w:lang w:eastAsia="zh-CN"/>
              </w:rPr>
            </w:pPr>
            <w:r>
              <w:rPr>
                <w:rFonts w:hint="eastAsia" w:ascii="宋体" w:hAnsi="宋体"/>
                <w:color w:val="auto"/>
                <w:sz w:val="22"/>
                <w:szCs w:val="22"/>
                <w:highlight w:val="none"/>
                <w:lang w:eastAsia="zh-CN"/>
              </w:rPr>
              <w:t>新建水泥路1.932公里，路面宽度为2.0/2.5/3.0米，圆管涵5道30米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vAlign w:val="center"/>
          </w:tcPr>
          <w:p>
            <w:pPr>
              <w:spacing w:line="360" w:lineRule="exact"/>
              <w:jc w:val="center"/>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8</w:t>
            </w:r>
          </w:p>
        </w:tc>
        <w:tc>
          <w:tcPr>
            <w:tcW w:w="3753" w:type="dxa"/>
            <w:vAlign w:val="center"/>
          </w:tcPr>
          <w:p>
            <w:pPr>
              <w:spacing w:line="360" w:lineRule="exact"/>
              <w:rPr>
                <w:rFonts w:ascii="宋体" w:hAnsi="宋体"/>
                <w:color w:val="auto"/>
                <w:sz w:val="22"/>
                <w:szCs w:val="22"/>
                <w:highlight w:val="none"/>
                <w:lang w:eastAsia="zh-CN"/>
              </w:rPr>
            </w:pPr>
            <w:r>
              <w:rPr>
                <w:rFonts w:hint="eastAsia" w:ascii="宋体" w:hAnsi="宋体"/>
                <w:color w:val="auto"/>
                <w:sz w:val="22"/>
                <w:szCs w:val="22"/>
                <w:highlight w:val="none"/>
                <w:lang w:eastAsia="zh-CN"/>
              </w:rPr>
              <w:t>梅河口市山城镇大泉眼村水泥路</w:t>
            </w:r>
          </w:p>
        </w:tc>
        <w:tc>
          <w:tcPr>
            <w:tcW w:w="4115" w:type="dxa"/>
            <w:vAlign w:val="center"/>
          </w:tcPr>
          <w:p>
            <w:pPr>
              <w:spacing w:line="360" w:lineRule="exact"/>
              <w:rPr>
                <w:rFonts w:ascii="宋体" w:hAnsi="宋体"/>
                <w:color w:val="auto"/>
                <w:sz w:val="22"/>
                <w:szCs w:val="22"/>
                <w:highlight w:val="none"/>
                <w:lang w:eastAsia="zh-CN"/>
              </w:rPr>
            </w:pPr>
            <w:r>
              <w:rPr>
                <w:rFonts w:hint="eastAsia" w:ascii="宋体" w:hAnsi="宋体"/>
                <w:color w:val="auto"/>
                <w:sz w:val="22"/>
                <w:szCs w:val="22"/>
                <w:highlight w:val="none"/>
                <w:lang w:eastAsia="zh-CN"/>
              </w:rPr>
              <w:t>新建水泥路1.008公里，路面宽度为2.0/2.5/3.0/3.5米，圆管涵7道42米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vAlign w:val="center"/>
          </w:tcPr>
          <w:p>
            <w:pPr>
              <w:spacing w:line="360" w:lineRule="exact"/>
              <w:jc w:val="center"/>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9</w:t>
            </w:r>
          </w:p>
        </w:tc>
        <w:tc>
          <w:tcPr>
            <w:tcW w:w="3753" w:type="dxa"/>
            <w:vAlign w:val="center"/>
          </w:tcPr>
          <w:p>
            <w:pPr>
              <w:spacing w:line="360" w:lineRule="exact"/>
              <w:rPr>
                <w:rFonts w:ascii="宋体" w:hAnsi="宋体"/>
                <w:color w:val="auto"/>
                <w:sz w:val="22"/>
                <w:szCs w:val="22"/>
                <w:highlight w:val="none"/>
                <w:lang w:eastAsia="zh-CN"/>
              </w:rPr>
            </w:pPr>
            <w:r>
              <w:rPr>
                <w:rFonts w:hint="eastAsia" w:ascii="宋体" w:hAnsi="宋体"/>
                <w:color w:val="auto"/>
                <w:sz w:val="22"/>
                <w:szCs w:val="22"/>
                <w:highlight w:val="none"/>
                <w:lang w:eastAsia="zh-CN"/>
              </w:rPr>
              <w:t>梅河口市小杨乡双阳村农田作业路</w:t>
            </w:r>
          </w:p>
        </w:tc>
        <w:tc>
          <w:tcPr>
            <w:tcW w:w="4115" w:type="dxa"/>
            <w:vAlign w:val="center"/>
          </w:tcPr>
          <w:p>
            <w:pPr>
              <w:spacing w:line="360" w:lineRule="exact"/>
              <w:rPr>
                <w:rFonts w:ascii="宋体" w:hAnsi="宋体"/>
                <w:color w:val="auto"/>
                <w:sz w:val="22"/>
                <w:szCs w:val="22"/>
                <w:highlight w:val="none"/>
                <w:lang w:eastAsia="zh-CN"/>
              </w:rPr>
            </w:pPr>
            <w:r>
              <w:rPr>
                <w:rFonts w:hint="eastAsia" w:ascii="宋体" w:hAnsi="宋体"/>
                <w:color w:val="auto"/>
                <w:sz w:val="22"/>
                <w:szCs w:val="22"/>
                <w:highlight w:val="none"/>
                <w:lang w:eastAsia="zh-CN"/>
              </w:rPr>
              <w:t>新建水泥路1.717公里，路面宽度为3.0米，圆涵管8道48米。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vAlign w:val="center"/>
          </w:tcPr>
          <w:p>
            <w:pPr>
              <w:spacing w:line="360" w:lineRule="exact"/>
              <w:jc w:val="center"/>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10</w:t>
            </w:r>
          </w:p>
        </w:tc>
        <w:tc>
          <w:tcPr>
            <w:tcW w:w="3753" w:type="dxa"/>
            <w:vAlign w:val="center"/>
          </w:tcPr>
          <w:p>
            <w:pPr>
              <w:spacing w:line="360" w:lineRule="exact"/>
              <w:rPr>
                <w:rFonts w:ascii="宋体" w:hAnsi="宋体"/>
                <w:color w:val="auto"/>
                <w:sz w:val="22"/>
                <w:szCs w:val="22"/>
                <w:highlight w:val="none"/>
                <w:lang w:eastAsia="zh-CN"/>
              </w:rPr>
            </w:pPr>
            <w:r>
              <w:rPr>
                <w:rFonts w:hint="eastAsia" w:ascii="宋体" w:hAnsi="宋体"/>
                <w:color w:val="auto"/>
                <w:sz w:val="22"/>
                <w:szCs w:val="22"/>
                <w:highlight w:val="none"/>
                <w:lang w:eastAsia="zh-CN"/>
              </w:rPr>
              <w:t>梅河口市小杨乡陈大桥村农田作业路</w:t>
            </w:r>
          </w:p>
        </w:tc>
        <w:tc>
          <w:tcPr>
            <w:tcW w:w="4115" w:type="dxa"/>
            <w:vAlign w:val="center"/>
          </w:tcPr>
          <w:p>
            <w:pPr>
              <w:spacing w:line="360" w:lineRule="exact"/>
              <w:rPr>
                <w:rFonts w:ascii="宋体" w:hAnsi="宋体"/>
                <w:color w:val="auto"/>
                <w:sz w:val="22"/>
                <w:szCs w:val="22"/>
                <w:highlight w:val="none"/>
                <w:lang w:eastAsia="zh-CN"/>
              </w:rPr>
            </w:pPr>
            <w:r>
              <w:rPr>
                <w:rFonts w:hint="eastAsia" w:ascii="宋体" w:hAnsi="宋体"/>
                <w:color w:val="auto"/>
                <w:sz w:val="22"/>
                <w:szCs w:val="22"/>
                <w:highlight w:val="none"/>
                <w:lang w:eastAsia="zh-CN"/>
              </w:rPr>
              <w:t>新建水泥路2.335公里，扣除原有过水路面20米，实际修建长度为2.315公里,路面宽度均为2.5米，圆涵管3道18米。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vAlign w:val="center"/>
          </w:tcPr>
          <w:p>
            <w:pPr>
              <w:spacing w:line="360" w:lineRule="exact"/>
              <w:jc w:val="center"/>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11</w:t>
            </w:r>
          </w:p>
        </w:tc>
        <w:tc>
          <w:tcPr>
            <w:tcW w:w="3753" w:type="dxa"/>
            <w:vAlign w:val="center"/>
          </w:tcPr>
          <w:p>
            <w:pPr>
              <w:spacing w:line="360" w:lineRule="exact"/>
              <w:rPr>
                <w:rFonts w:ascii="宋体" w:hAnsi="宋体"/>
                <w:color w:val="auto"/>
                <w:sz w:val="22"/>
                <w:szCs w:val="22"/>
                <w:highlight w:val="none"/>
                <w:lang w:eastAsia="zh-CN"/>
              </w:rPr>
            </w:pPr>
            <w:r>
              <w:rPr>
                <w:rFonts w:hint="eastAsia" w:ascii="宋体" w:hAnsi="宋体"/>
                <w:color w:val="auto"/>
                <w:sz w:val="22"/>
                <w:szCs w:val="22"/>
                <w:highlight w:val="none"/>
                <w:lang w:eastAsia="zh-CN"/>
              </w:rPr>
              <w:t>梅河口市小杨乡保祥村沥青路</w:t>
            </w:r>
          </w:p>
        </w:tc>
        <w:tc>
          <w:tcPr>
            <w:tcW w:w="4115" w:type="dxa"/>
            <w:vAlign w:val="center"/>
          </w:tcPr>
          <w:p>
            <w:pPr>
              <w:spacing w:line="360" w:lineRule="exact"/>
              <w:rPr>
                <w:rFonts w:ascii="宋体" w:hAnsi="宋体"/>
                <w:color w:val="auto"/>
                <w:sz w:val="22"/>
                <w:szCs w:val="22"/>
                <w:highlight w:val="none"/>
                <w:lang w:eastAsia="zh-CN"/>
              </w:rPr>
            </w:pPr>
            <w:r>
              <w:rPr>
                <w:rFonts w:hint="eastAsia" w:ascii="宋体" w:hAnsi="宋体"/>
                <w:color w:val="auto"/>
                <w:sz w:val="22"/>
                <w:szCs w:val="22"/>
                <w:highlight w:val="none"/>
                <w:lang w:eastAsia="zh-CN"/>
              </w:rPr>
              <w:t>新建沥青路3.868公里，扣除原有交叉路口8米，实际修建长度为3.860公里,路面宽度为3.0/3.5米，圆涵管1道6米。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vAlign w:val="center"/>
          </w:tcPr>
          <w:p>
            <w:pPr>
              <w:spacing w:line="360" w:lineRule="exact"/>
              <w:jc w:val="center"/>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12</w:t>
            </w:r>
          </w:p>
        </w:tc>
        <w:tc>
          <w:tcPr>
            <w:tcW w:w="3753" w:type="dxa"/>
            <w:vAlign w:val="center"/>
          </w:tcPr>
          <w:p>
            <w:pPr>
              <w:spacing w:line="360" w:lineRule="exact"/>
              <w:rPr>
                <w:rFonts w:ascii="宋体" w:hAnsi="宋体"/>
                <w:color w:val="auto"/>
                <w:sz w:val="22"/>
                <w:szCs w:val="22"/>
                <w:highlight w:val="none"/>
                <w:lang w:eastAsia="zh-CN"/>
              </w:rPr>
            </w:pPr>
            <w:r>
              <w:rPr>
                <w:rFonts w:hint="eastAsia" w:ascii="宋体" w:hAnsi="宋体"/>
                <w:color w:val="auto"/>
                <w:sz w:val="22"/>
                <w:szCs w:val="22"/>
                <w:highlight w:val="none"/>
                <w:lang w:eastAsia="zh-CN"/>
              </w:rPr>
              <w:t>梅河口市小杨乡保祥村路灯</w:t>
            </w:r>
          </w:p>
        </w:tc>
        <w:tc>
          <w:tcPr>
            <w:tcW w:w="4115" w:type="dxa"/>
            <w:vAlign w:val="center"/>
          </w:tcPr>
          <w:p>
            <w:pPr>
              <w:spacing w:line="360" w:lineRule="exact"/>
              <w:rPr>
                <w:rFonts w:ascii="宋体" w:hAnsi="宋体"/>
                <w:color w:val="auto"/>
                <w:sz w:val="22"/>
                <w:szCs w:val="22"/>
                <w:highlight w:val="none"/>
              </w:rPr>
            </w:pPr>
            <w:r>
              <w:rPr>
                <w:rFonts w:hint="eastAsia" w:ascii="宋体" w:hAnsi="宋体"/>
                <w:color w:val="auto"/>
                <w:sz w:val="22"/>
                <w:szCs w:val="22"/>
                <w:highlight w:val="none"/>
              </w:rPr>
              <w:t>新建路灯150盏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vAlign w:val="center"/>
          </w:tcPr>
          <w:p>
            <w:pPr>
              <w:spacing w:line="360" w:lineRule="exact"/>
              <w:jc w:val="center"/>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13</w:t>
            </w:r>
          </w:p>
        </w:tc>
        <w:tc>
          <w:tcPr>
            <w:tcW w:w="3753" w:type="dxa"/>
            <w:vAlign w:val="center"/>
          </w:tcPr>
          <w:p>
            <w:pPr>
              <w:spacing w:line="360" w:lineRule="exact"/>
              <w:rPr>
                <w:rFonts w:ascii="宋体" w:hAnsi="宋体"/>
                <w:color w:val="auto"/>
                <w:sz w:val="22"/>
                <w:szCs w:val="22"/>
                <w:highlight w:val="none"/>
                <w:lang w:eastAsia="zh-CN"/>
              </w:rPr>
            </w:pPr>
            <w:r>
              <w:rPr>
                <w:rFonts w:hint="eastAsia" w:ascii="宋体" w:hAnsi="宋体"/>
                <w:color w:val="auto"/>
                <w:sz w:val="22"/>
                <w:szCs w:val="22"/>
                <w:highlight w:val="none"/>
                <w:lang w:eastAsia="zh-CN"/>
              </w:rPr>
              <w:t>梅河口市吉乐乡吉安村水泥路</w:t>
            </w:r>
          </w:p>
        </w:tc>
        <w:tc>
          <w:tcPr>
            <w:tcW w:w="4115" w:type="dxa"/>
            <w:vAlign w:val="center"/>
          </w:tcPr>
          <w:p>
            <w:pPr>
              <w:spacing w:line="360" w:lineRule="exact"/>
              <w:rPr>
                <w:rFonts w:ascii="宋体" w:hAnsi="宋体"/>
                <w:color w:val="auto"/>
                <w:sz w:val="22"/>
                <w:szCs w:val="22"/>
                <w:highlight w:val="none"/>
                <w:lang w:eastAsia="zh-CN"/>
              </w:rPr>
            </w:pPr>
            <w:r>
              <w:rPr>
                <w:rFonts w:hint="eastAsia" w:ascii="宋体" w:hAnsi="宋体"/>
                <w:color w:val="auto"/>
                <w:sz w:val="22"/>
                <w:szCs w:val="22"/>
                <w:highlight w:val="none"/>
                <w:lang w:eastAsia="zh-CN"/>
              </w:rPr>
              <w:t>新建水泥路0.866公里，路面宽度为3.0米，圆管涵3道18米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vAlign w:val="center"/>
          </w:tcPr>
          <w:p>
            <w:pPr>
              <w:spacing w:line="360" w:lineRule="exact"/>
              <w:jc w:val="center"/>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14</w:t>
            </w:r>
          </w:p>
        </w:tc>
        <w:tc>
          <w:tcPr>
            <w:tcW w:w="3753" w:type="dxa"/>
            <w:vAlign w:val="center"/>
          </w:tcPr>
          <w:p>
            <w:pPr>
              <w:spacing w:line="360" w:lineRule="exact"/>
              <w:rPr>
                <w:rFonts w:ascii="宋体" w:hAnsi="宋体"/>
                <w:color w:val="auto"/>
                <w:sz w:val="22"/>
                <w:szCs w:val="22"/>
                <w:highlight w:val="none"/>
                <w:lang w:eastAsia="zh-CN"/>
              </w:rPr>
            </w:pPr>
            <w:r>
              <w:rPr>
                <w:rFonts w:hint="eastAsia" w:ascii="宋体" w:hAnsi="宋体"/>
                <w:color w:val="auto"/>
                <w:sz w:val="22"/>
                <w:szCs w:val="22"/>
                <w:highlight w:val="none"/>
                <w:lang w:eastAsia="zh-CN"/>
              </w:rPr>
              <w:t>梅河口市李炉乡凤城村路灯</w:t>
            </w:r>
          </w:p>
        </w:tc>
        <w:tc>
          <w:tcPr>
            <w:tcW w:w="4115" w:type="dxa"/>
            <w:vAlign w:val="center"/>
          </w:tcPr>
          <w:p>
            <w:pPr>
              <w:spacing w:line="360" w:lineRule="exact"/>
              <w:rPr>
                <w:rFonts w:ascii="宋体" w:hAnsi="宋体"/>
                <w:color w:val="auto"/>
                <w:sz w:val="22"/>
                <w:szCs w:val="22"/>
                <w:highlight w:val="none"/>
              </w:rPr>
            </w:pPr>
            <w:r>
              <w:rPr>
                <w:rFonts w:hint="eastAsia" w:ascii="宋体" w:hAnsi="宋体"/>
                <w:color w:val="auto"/>
                <w:sz w:val="22"/>
                <w:szCs w:val="22"/>
                <w:highlight w:val="none"/>
              </w:rPr>
              <w:t>新建路灯60盏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vAlign w:val="center"/>
          </w:tcPr>
          <w:p>
            <w:pPr>
              <w:spacing w:line="360" w:lineRule="exact"/>
              <w:jc w:val="center"/>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15</w:t>
            </w:r>
          </w:p>
        </w:tc>
        <w:tc>
          <w:tcPr>
            <w:tcW w:w="3753" w:type="dxa"/>
            <w:vAlign w:val="center"/>
          </w:tcPr>
          <w:p>
            <w:pPr>
              <w:spacing w:line="360" w:lineRule="exact"/>
              <w:rPr>
                <w:rFonts w:ascii="宋体" w:hAnsi="宋体"/>
                <w:color w:val="auto"/>
                <w:sz w:val="22"/>
                <w:szCs w:val="22"/>
                <w:highlight w:val="none"/>
                <w:lang w:eastAsia="zh-CN"/>
              </w:rPr>
            </w:pPr>
            <w:r>
              <w:rPr>
                <w:rFonts w:hint="eastAsia" w:ascii="宋体" w:hAnsi="宋体"/>
                <w:color w:val="auto"/>
                <w:sz w:val="22"/>
                <w:szCs w:val="22"/>
                <w:highlight w:val="none"/>
                <w:lang w:eastAsia="zh-CN"/>
              </w:rPr>
              <w:t>梅河口市李炉乡连山村路灯</w:t>
            </w:r>
          </w:p>
        </w:tc>
        <w:tc>
          <w:tcPr>
            <w:tcW w:w="4115" w:type="dxa"/>
            <w:vAlign w:val="center"/>
          </w:tcPr>
          <w:p>
            <w:pPr>
              <w:spacing w:line="360" w:lineRule="exact"/>
              <w:rPr>
                <w:rFonts w:ascii="宋体" w:hAnsi="宋体"/>
                <w:color w:val="auto"/>
                <w:sz w:val="22"/>
                <w:szCs w:val="22"/>
                <w:highlight w:val="none"/>
              </w:rPr>
            </w:pPr>
            <w:r>
              <w:rPr>
                <w:rFonts w:hint="eastAsia" w:ascii="宋体" w:hAnsi="宋体"/>
                <w:color w:val="auto"/>
                <w:sz w:val="22"/>
                <w:szCs w:val="22"/>
                <w:highlight w:val="none"/>
              </w:rPr>
              <w:t>新建路灯60盏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vAlign w:val="center"/>
          </w:tcPr>
          <w:p>
            <w:pPr>
              <w:spacing w:line="360" w:lineRule="exact"/>
              <w:jc w:val="center"/>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16</w:t>
            </w:r>
          </w:p>
        </w:tc>
        <w:tc>
          <w:tcPr>
            <w:tcW w:w="3753" w:type="dxa"/>
            <w:vAlign w:val="center"/>
          </w:tcPr>
          <w:p>
            <w:pPr>
              <w:spacing w:line="360" w:lineRule="exact"/>
              <w:rPr>
                <w:rFonts w:ascii="宋体" w:hAnsi="宋体"/>
                <w:color w:val="auto"/>
                <w:sz w:val="22"/>
                <w:szCs w:val="22"/>
                <w:highlight w:val="none"/>
                <w:lang w:eastAsia="zh-CN"/>
              </w:rPr>
            </w:pPr>
            <w:r>
              <w:rPr>
                <w:rFonts w:hint="eastAsia" w:ascii="宋体" w:hAnsi="宋体"/>
                <w:color w:val="auto"/>
                <w:sz w:val="22"/>
                <w:szCs w:val="22"/>
                <w:highlight w:val="none"/>
                <w:lang w:eastAsia="zh-CN"/>
              </w:rPr>
              <w:t>梅河口市红梅镇中兴村水泥路</w:t>
            </w:r>
          </w:p>
        </w:tc>
        <w:tc>
          <w:tcPr>
            <w:tcW w:w="4115" w:type="dxa"/>
            <w:vAlign w:val="center"/>
          </w:tcPr>
          <w:p>
            <w:pPr>
              <w:spacing w:line="360" w:lineRule="exact"/>
              <w:rPr>
                <w:rFonts w:ascii="宋体" w:hAnsi="宋体"/>
                <w:color w:val="auto"/>
                <w:sz w:val="22"/>
                <w:szCs w:val="22"/>
                <w:highlight w:val="none"/>
                <w:lang w:eastAsia="zh-CN"/>
              </w:rPr>
            </w:pPr>
            <w:r>
              <w:rPr>
                <w:rFonts w:hint="eastAsia" w:ascii="宋体" w:hAnsi="宋体"/>
                <w:color w:val="auto"/>
                <w:sz w:val="22"/>
                <w:szCs w:val="22"/>
                <w:highlight w:val="none"/>
                <w:lang w:eastAsia="zh-CN"/>
              </w:rPr>
              <w:t>新建水泥路1.653公里，路面宽度为2.5/3.0米，圆涵管5道30米。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vAlign w:val="center"/>
          </w:tcPr>
          <w:p>
            <w:pPr>
              <w:spacing w:line="360" w:lineRule="exact"/>
              <w:jc w:val="center"/>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17</w:t>
            </w:r>
          </w:p>
        </w:tc>
        <w:tc>
          <w:tcPr>
            <w:tcW w:w="3753" w:type="dxa"/>
            <w:vAlign w:val="center"/>
          </w:tcPr>
          <w:p>
            <w:pPr>
              <w:spacing w:line="360" w:lineRule="exact"/>
              <w:rPr>
                <w:rFonts w:ascii="宋体" w:hAnsi="宋体"/>
                <w:color w:val="auto"/>
                <w:sz w:val="22"/>
                <w:szCs w:val="22"/>
                <w:highlight w:val="none"/>
                <w:lang w:eastAsia="zh-CN"/>
              </w:rPr>
            </w:pPr>
            <w:r>
              <w:rPr>
                <w:rFonts w:hint="eastAsia" w:ascii="宋体" w:hAnsi="宋体"/>
                <w:color w:val="auto"/>
                <w:sz w:val="22"/>
                <w:szCs w:val="22"/>
                <w:highlight w:val="none"/>
                <w:lang w:eastAsia="zh-CN"/>
              </w:rPr>
              <w:t>梅河口市山城镇小湾村水泥路</w:t>
            </w:r>
          </w:p>
        </w:tc>
        <w:tc>
          <w:tcPr>
            <w:tcW w:w="4115" w:type="dxa"/>
            <w:vAlign w:val="center"/>
          </w:tcPr>
          <w:p>
            <w:pPr>
              <w:spacing w:line="360" w:lineRule="exact"/>
              <w:rPr>
                <w:rFonts w:ascii="宋体" w:hAnsi="宋体"/>
                <w:color w:val="auto"/>
                <w:sz w:val="22"/>
                <w:szCs w:val="22"/>
                <w:highlight w:val="none"/>
                <w:lang w:eastAsia="zh-CN"/>
              </w:rPr>
            </w:pPr>
            <w:r>
              <w:rPr>
                <w:rFonts w:hint="eastAsia" w:ascii="宋体" w:hAnsi="宋体"/>
                <w:color w:val="auto"/>
                <w:sz w:val="22"/>
                <w:szCs w:val="22"/>
                <w:highlight w:val="none"/>
                <w:lang w:eastAsia="zh-CN"/>
              </w:rPr>
              <w:t>新建水泥路2.428公里，路面宽度为3.0/3.5/4.0米，涵管14道88米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vAlign w:val="center"/>
          </w:tcPr>
          <w:p>
            <w:pPr>
              <w:jc w:val="center"/>
              <w:textAlignment w:val="center"/>
              <w:rPr>
                <w:rFonts w:hint="eastAsia" w:ascii="宋体" w:hAnsi="宋体" w:eastAsia="宋体" w:cs="Times New Roman"/>
                <w:color w:val="auto"/>
                <w:sz w:val="22"/>
                <w:szCs w:val="22"/>
                <w:highlight w:val="none"/>
                <w:lang w:eastAsia="zh-CN"/>
              </w:rPr>
            </w:pPr>
            <w:r>
              <w:rPr>
                <w:rFonts w:hint="eastAsia" w:ascii="宋体" w:hAnsi="宋体" w:eastAsia="宋体" w:cs="Times New Roman"/>
                <w:color w:val="auto"/>
                <w:sz w:val="22"/>
                <w:szCs w:val="22"/>
                <w:highlight w:val="none"/>
                <w:lang w:eastAsia="zh-CN"/>
              </w:rPr>
              <w:t>18</w:t>
            </w:r>
          </w:p>
        </w:tc>
        <w:tc>
          <w:tcPr>
            <w:tcW w:w="3753" w:type="dxa"/>
            <w:vAlign w:val="center"/>
          </w:tcPr>
          <w:p>
            <w:pPr>
              <w:jc w:val="both"/>
              <w:textAlignment w:val="center"/>
              <w:rPr>
                <w:rFonts w:ascii="宋体" w:hAnsi="宋体"/>
                <w:color w:val="auto"/>
                <w:sz w:val="22"/>
                <w:szCs w:val="22"/>
                <w:highlight w:val="none"/>
                <w:lang w:eastAsia="zh-CN"/>
              </w:rPr>
            </w:pPr>
            <w:r>
              <w:rPr>
                <w:rFonts w:hint="eastAsia" w:ascii="宋体" w:hAnsi="宋体" w:eastAsia="宋体" w:cs="Times New Roman"/>
                <w:color w:val="auto"/>
                <w:sz w:val="22"/>
                <w:szCs w:val="22"/>
                <w:highlight w:val="none"/>
                <w:lang w:eastAsia="zh-CN"/>
              </w:rPr>
              <w:t>梅河口市山城镇西花园村边沟工程</w:t>
            </w:r>
          </w:p>
        </w:tc>
        <w:tc>
          <w:tcPr>
            <w:tcW w:w="4115" w:type="dxa"/>
            <w:vAlign w:val="center"/>
          </w:tcPr>
          <w:p>
            <w:pPr>
              <w:spacing w:line="360" w:lineRule="exact"/>
              <w:rPr>
                <w:rFonts w:ascii="宋体" w:hAnsi="宋体"/>
                <w:color w:val="auto"/>
                <w:sz w:val="22"/>
                <w:szCs w:val="22"/>
                <w:highlight w:val="none"/>
                <w:lang w:eastAsia="zh-CN"/>
              </w:rPr>
            </w:pPr>
            <w:r>
              <w:rPr>
                <w:rFonts w:hint="eastAsia" w:ascii="宋体" w:hAnsi="宋体"/>
                <w:color w:val="auto"/>
                <w:sz w:val="22"/>
                <w:szCs w:val="22"/>
                <w:highlight w:val="none"/>
                <w:lang w:eastAsia="zh-CN"/>
              </w:rPr>
              <w:t>新建浆砌石边沟346米，新建预制槽边沟990米，新建涵管41道192米。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vAlign w:val="center"/>
          </w:tcPr>
          <w:p>
            <w:pPr>
              <w:jc w:val="center"/>
              <w:textAlignment w:val="center"/>
              <w:rPr>
                <w:rFonts w:hint="eastAsia" w:ascii="宋体" w:hAnsi="宋体" w:eastAsia="宋体" w:cs="Times New Roman"/>
                <w:color w:val="auto"/>
                <w:sz w:val="22"/>
                <w:szCs w:val="22"/>
                <w:highlight w:val="none"/>
                <w:lang w:eastAsia="zh-CN"/>
              </w:rPr>
            </w:pPr>
            <w:r>
              <w:rPr>
                <w:rFonts w:hint="eastAsia" w:ascii="宋体" w:hAnsi="宋体" w:eastAsia="宋体" w:cs="Times New Roman"/>
                <w:color w:val="auto"/>
                <w:sz w:val="22"/>
                <w:szCs w:val="22"/>
                <w:highlight w:val="none"/>
                <w:lang w:eastAsia="zh-CN"/>
              </w:rPr>
              <w:t>19</w:t>
            </w:r>
          </w:p>
        </w:tc>
        <w:tc>
          <w:tcPr>
            <w:tcW w:w="3753" w:type="dxa"/>
            <w:vAlign w:val="center"/>
          </w:tcPr>
          <w:p>
            <w:pPr>
              <w:jc w:val="both"/>
              <w:textAlignment w:val="center"/>
              <w:rPr>
                <w:rFonts w:hint="eastAsia" w:ascii="宋体" w:hAnsi="宋体" w:eastAsia="宋体" w:cs="Times New Roman"/>
                <w:color w:val="auto"/>
                <w:sz w:val="22"/>
                <w:szCs w:val="22"/>
                <w:highlight w:val="none"/>
                <w:lang w:eastAsia="zh-CN"/>
              </w:rPr>
            </w:pPr>
            <w:r>
              <w:rPr>
                <w:rFonts w:hint="eastAsia" w:ascii="宋体" w:hAnsi="宋体" w:eastAsia="宋体" w:cs="Times New Roman"/>
                <w:color w:val="auto"/>
                <w:sz w:val="22"/>
                <w:szCs w:val="22"/>
                <w:highlight w:val="none"/>
                <w:lang w:eastAsia="zh-CN"/>
              </w:rPr>
              <w:t>梅河口市中和镇兰堡村水泥路工程</w:t>
            </w:r>
          </w:p>
        </w:tc>
        <w:tc>
          <w:tcPr>
            <w:tcW w:w="4115" w:type="dxa"/>
            <w:vAlign w:val="center"/>
          </w:tcPr>
          <w:p>
            <w:pPr>
              <w:spacing w:line="360" w:lineRule="exact"/>
              <w:rPr>
                <w:rFonts w:ascii="宋体" w:hAnsi="宋体"/>
                <w:color w:val="auto"/>
                <w:sz w:val="22"/>
                <w:szCs w:val="22"/>
                <w:highlight w:val="none"/>
                <w:lang w:eastAsia="zh-CN"/>
              </w:rPr>
            </w:pPr>
            <w:r>
              <w:rPr>
                <w:rFonts w:hint="eastAsia" w:ascii="宋体" w:hAnsi="宋体"/>
                <w:color w:val="auto"/>
                <w:sz w:val="22"/>
                <w:szCs w:val="22"/>
                <w:highlight w:val="none"/>
                <w:lang w:eastAsia="zh-CN"/>
              </w:rPr>
              <w:t>新建水泥路2.127公里，宽度2.5/3.0米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vAlign w:val="center"/>
          </w:tcPr>
          <w:p>
            <w:pPr>
              <w:jc w:val="center"/>
              <w:textAlignment w:val="center"/>
              <w:rPr>
                <w:rFonts w:hint="eastAsia" w:ascii="宋体" w:hAnsi="宋体" w:eastAsia="宋体" w:cs="Times New Roman"/>
                <w:color w:val="auto"/>
                <w:sz w:val="22"/>
                <w:szCs w:val="22"/>
                <w:highlight w:val="none"/>
                <w:lang w:eastAsia="zh-CN"/>
              </w:rPr>
            </w:pPr>
            <w:r>
              <w:rPr>
                <w:rFonts w:hint="eastAsia" w:ascii="宋体" w:hAnsi="宋体" w:eastAsia="宋体" w:cs="Times New Roman"/>
                <w:color w:val="auto"/>
                <w:sz w:val="22"/>
                <w:szCs w:val="22"/>
                <w:highlight w:val="none"/>
                <w:lang w:eastAsia="zh-CN"/>
              </w:rPr>
              <w:t>20</w:t>
            </w:r>
          </w:p>
        </w:tc>
        <w:tc>
          <w:tcPr>
            <w:tcW w:w="3753" w:type="dxa"/>
            <w:vAlign w:val="center"/>
          </w:tcPr>
          <w:p>
            <w:pPr>
              <w:jc w:val="both"/>
              <w:textAlignment w:val="center"/>
              <w:rPr>
                <w:rFonts w:hint="eastAsia" w:ascii="宋体" w:hAnsi="宋体" w:eastAsia="宋体" w:cs="Times New Roman"/>
                <w:color w:val="auto"/>
                <w:sz w:val="22"/>
                <w:szCs w:val="22"/>
                <w:highlight w:val="none"/>
                <w:lang w:eastAsia="zh-CN"/>
              </w:rPr>
            </w:pPr>
            <w:r>
              <w:rPr>
                <w:rFonts w:hint="eastAsia" w:ascii="宋体" w:hAnsi="宋体" w:eastAsia="宋体" w:cs="Times New Roman"/>
                <w:color w:val="auto"/>
                <w:sz w:val="22"/>
                <w:szCs w:val="22"/>
                <w:highlight w:val="none"/>
                <w:lang w:eastAsia="zh-CN"/>
              </w:rPr>
              <w:t>梅河口市进化镇三合村沥青路工程</w:t>
            </w:r>
          </w:p>
        </w:tc>
        <w:tc>
          <w:tcPr>
            <w:tcW w:w="4115" w:type="dxa"/>
            <w:vAlign w:val="center"/>
          </w:tcPr>
          <w:p>
            <w:pPr>
              <w:spacing w:line="360" w:lineRule="exact"/>
              <w:rPr>
                <w:rFonts w:ascii="宋体" w:hAnsi="宋体"/>
                <w:color w:val="auto"/>
                <w:sz w:val="22"/>
                <w:szCs w:val="22"/>
                <w:highlight w:val="none"/>
                <w:lang w:eastAsia="zh-CN"/>
              </w:rPr>
            </w:pPr>
            <w:r>
              <w:rPr>
                <w:rFonts w:hint="eastAsia" w:ascii="宋体" w:hAnsi="宋体"/>
                <w:color w:val="auto"/>
                <w:sz w:val="22"/>
                <w:szCs w:val="22"/>
                <w:highlight w:val="none"/>
                <w:lang w:eastAsia="zh-CN"/>
              </w:rPr>
              <w:t>新建沥青路0.663公里，宽度4米，涵管1道6米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vAlign w:val="center"/>
          </w:tcPr>
          <w:p>
            <w:pPr>
              <w:jc w:val="center"/>
              <w:textAlignment w:val="center"/>
              <w:rPr>
                <w:rFonts w:hint="eastAsia" w:ascii="宋体" w:hAnsi="宋体" w:eastAsia="宋体" w:cs="Times New Roman"/>
                <w:color w:val="auto"/>
                <w:sz w:val="22"/>
                <w:szCs w:val="22"/>
                <w:highlight w:val="none"/>
                <w:lang w:eastAsia="zh-CN"/>
              </w:rPr>
            </w:pPr>
            <w:r>
              <w:rPr>
                <w:rFonts w:hint="eastAsia" w:ascii="宋体" w:hAnsi="宋体" w:eastAsia="宋体" w:cs="Times New Roman"/>
                <w:color w:val="auto"/>
                <w:sz w:val="22"/>
                <w:szCs w:val="22"/>
                <w:highlight w:val="none"/>
                <w:lang w:eastAsia="zh-CN"/>
              </w:rPr>
              <w:t>21</w:t>
            </w:r>
          </w:p>
        </w:tc>
        <w:tc>
          <w:tcPr>
            <w:tcW w:w="3753" w:type="dxa"/>
            <w:vAlign w:val="center"/>
          </w:tcPr>
          <w:p>
            <w:pPr>
              <w:jc w:val="both"/>
              <w:textAlignment w:val="center"/>
              <w:rPr>
                <w:rFonts w:hint="eastAsia" w:ascii="宋体" w:hAnsi="宋体" w:eastAsia="宋体" w:cs="Times New Roman"/>
                <w:color w:val="auto"/>
                <w:sz w:val="22"/>
                <w:szCs w:val="22"/>
                <w:highlight w:val="none"/>
                <w:lang w:eastAsia="zh-CN"/>
              </w:rPr>
            </w:pPr>
            <w:r>
              <w:rPr>
                <w:rFonts w:hint="eastAsia" w:ascii="宋体" w:hAnsi="宋体" w:eastAsia="宋体" w:cs="Times New Roman"/>
                <w:color w:val="auto"/>
                <w:sz w:val="22"/>
                <w:szCs w:val="22"/>
                <w:highlight w:val="none"/>
                <w:lang w:eastAsia="zh-CN"/>
              </w:rPr>
              <w:t>梅河口市湾龙镇双山村水泥路工程</w:t>
            </w:r>
          </w:p>
        </w:tc>
        <w:tc>
          <w:tcPr>
            <w:tcW w:w="4115" w:type="dxa"/>
            <w:vAlign w:val="center"/>
          </w:tcPr>
          <w:p>
            <w:pPr>
              <w:spacing w:line="360" w:lineRule="exact"/>
              <w:rPr>
                <w:rFonts w:ascii="宋体" w:hAnsi="宋体"/>
                <w:color w:val="auto"/>
                <w:sz w:val="22"/>
                <w:szCs w:val="22"/>
                <w:highlight w:val="none"/>
                <w:lang w:eastAsia="zh-CN"/>
              </w:rPr>
            </w:pPr>
            <w:r>
              <w:rPr>
                <w:rFonts w:hint="eastAsia" w:ascii="宋体" w:hAnsi="宋体"/>
                <w:color w:val="auto"/>
                <w:sz w:val="22"/>
                <w:szCs w:val="22"/>
                <w:highlight w:val="none"/>
                <w:lang w:eastAsia="zh-CN"/>
              </w:rPr>
              <w:t>新建水泥路0.734公里，路面宽度3.0/4.0米，圆管涵0.6米16米，圆管涵1.0米6米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vAlign w:val="center"/>
          </w:tcPr>
          <w:p>
            <w:pPr>
              <w:jc w:val="center"/>
              <w:textAlignment w:val="center"/>
              <w:rPr>
                <w:rFonts w:hint="eastAsia" w:ascii="宋体" w:hAnsi="宋体" w:eastAsia="宋体" w:cs="Times New Roman"/>
                <w:color w:val="auto"/>
                <w:sz w:val="22"/>
                <w:szCs w:val="22"/>
                <w:highlight w:val="none"/>
                <w:lang w:eastAsia="zh-CN"/>
              </w:rPr>
            </w:pPr>
            <w:r>
              <w:rPr>
                <w:rFonts w:hint="eastAsia" w:ascii="宋体" w:hAnsi="宋体" w:eastAsia="宋体" w:cs="Times New Roman"/>
                <w:color w:val="auto"/>
                <w:sz w:val="22"/>
                <w:szCs w:val="22"/>
                <w:highlight w:val="none"/>
                <w:lang w:eastAsia="zh-CN"/>
              </w:rPr>
              <w:t>22</w:t>
            </w:r>
          </w:p>
        </w:tc>
        <w:tc>
          <w:tcPr>
            <w:tcW w:w="3753" w:type="dxa"/>
            <w:vAlign w:val="center"/>
          </w:tcPr>
          <w:p>
            <w:pPr>
              <w:jc w:val="both"/>
              <w:textAlignment w:val="center"/>
              <w:rPr>
                <w:rFonts w:hint="eastAsia" w:ascii="宋体" w:hAnsi="宋体" w:eastAsia="宋体" w:cs="Times New Roman"/>
                <w:color w:val="auto"/>
                <w:sz w:val="22"/>
                <w:szCs w:val="22"/>
                <w:highlight w:val="none"/>
                <w:lang w:eastAsia="zh-CN"/>
              </w:rPr>
            </w:pPr>
            <w:r>
              <w:rPr>
                <w:rFonts w:hint="eastAsia" w:ascii="宋体" w:hAnsi="宋体" w:eastAsia="宋体" w:cs="Times New Roman"/>
                <w:color w:val="auto"/>
                <w:sz w:val="22"/>
                <w:szCs w:val="22"/>
                <w:highlight w:val="none"/>
                <w:lang w:eastAsia="zh-CN"/>
              </w:rPr>
              <w:t>梅河口市牛心顶镇双泉村水泥路工程</w:t>
            </w:r>
          </w:p>
        </w:tc>
        <w:tc>
          <w:tcPr>
            <w:tcW w:w="4115" w:type="dxa"/>
            <w:vAlign w:val="center"/>
          </w:tcPr>
          <w:p>
            <w:pPr>
              <w:spacing w:line="360" w:lineRule="exact"/>
              <w:rPr>
                <w:rFonts w:ascii="宋体" w:hAnsi="宋体"/>
                <w:color w:val="auto"/>
                <w:sz w:val="22"/>
                <w:szCs w:val="22"/>
                <w:highlight w:val="none"/>
                <w:lang w:eastAsia="zh-CN"/>
              </w:rPr>
            </w:pPr>
            <w:r>
              <w:rPr>
                <w:rFonts w:hint="eastAsia" w:ascii="宋体" w:hAnsi="宋体"/>
                <w:color w:val="auto"/>
                <w:sz w:val="22"/>
                <w:szCs w:val="22"/>
                <w:highlight w:val="none"/>
                <w:lang w:eastAsia="zh-CN"/>
              </w:rPr>
              <w:t>新建水泥路0.691公里，路面宽度3.0/2.5米，圆管涵0.6米24米，新建警告标志两座及警示桩等附属交通设施</w:t>
            </w:r>
          </w:p>
        </w:tc>
      </w:tr>
    </w:tbl>
    <w:p>
      <w:pPr>
        <w:pStyle w:val="2"/>
        <w:ind w:firstLine="472"/>
        <w:rPr>
          <w:rFonts w:hint="eastAsia" w:asciiTheme="minorEastAsia" w:hAnsiTheme="minorEastAsia" w:eastAsiaTheme="minorEastAsia"/>
          <w:color w:val="auto"/>
          <w:spacing w:val="-4"/>
          <w:szCs w:val="24"/>
          <w:highlight w:val="none"/>
          <w:lang w:eastAsia="zh-CN"/>
        </w:rPr>
      </w:pPr>
    </w:p>
    <w:p>
      <w:pPr>
        <w:pStyle w:val="2"/>
        <w:kinsoku/>
        <w:ind w:firstLine="472"/>
        <w:rPr>
          <w:rFonts w:hint="eastAsia" w:asciiTheme="minorEastAsia" w:hAnsiTheme="minorEastAsia" w:eastAsiaTheme="minorEastAsia"/>
          <w:color w:val="auto"/>
          <w:spacing w:val="-4"/>
          <w:szCs w:val="24"/>
          <w:highlight w:val="none"/>
          <w:lang w:eastAsia="zh-CN"/>
        </w:rPr>
      </w:pPr>
      <w:r>
        <w:rPr>
          <w:rFonts w:hint="eastAsia" w:asciiTheme="minorEastAsia" w:hAnsiTheme="minorEastAsia" w:eastAsiaTheme="minorEastAsia"/>
          <w:color w:val="auto"/>
          <w:spacing w:val="-4"/>
          <w:szCs w:val="24"/>
          <w:highlight w:val="none"/>
          <w:lang w:eastAsia="zh-CN"/>
        </w:rPr>
        <w:t>（三）服务内容：</w:t>
      </w:r>
      <w:r>
        <w:rPr>
          <w:rFonts w:hint="eastAsia"/>
          <w:color w:val="auto"/>
          <w:highlight w:val="none"/>
          <w:lang w:eastAsia="zh-CN"/>
        </w:rPr>
        <w:t>对采购人指定的项目施工阶段及保修阶段全过程监理</w:t>
      </w:r>
    </w:p>
    <w:p>
      <w:pPr>
        <w:pStyle w:val="2"/>
        <w:kinsoku/>
        <w:ind w:firstLine="472"/>
        <w:rPr>
          <w:rFonts w:hint="eastAsia" w:asciiTheme="minorEastAsia" w:hAnsiTheme="minorEastAsia" w:eastAsiaTheme="minorEastAsia"/>
          <w:color w:val="auto"/>
          <w:spacing w:val="-4"/>
          <w:szCs w:val="24"/>
          <w:highlight w:val="none"/>
          <w:lang w:eastAsia="zh-CN"/>
        </w:rPr>
      </w:pPr>
      <w:r>
        <w:rPr>
          <w:rFonts w:hint="eastAsia" w:asciiTheme="minorEastAsia" w:hAnsiTheme="minorEastAsia" w:eastAsiaTheme="minorEastAsia"/>
          <w:color w:val="auto"/>
          <w:spacing w:val="-4"/>
          <w:szCs w:val="24"/>
          <w:highlight w:val="none"/>
          <w:lang w:eastAsia="zh-CN"/>
        </w:rPr>
        <w:t>（四）服务期限：自签订合同之日起至工程竣工验收合格且保修期届满之日止。</w:t>
      </w:r>
    </w:p>
    <w:p>
      <w:pPr>
        <w:pStyle w:val="2"/>
        <w:kinsoku/>
        <w:ind w:firstLine="472"/>
        <w:rPr>
          <w:rFonts w:hint="eastAsia" w:asciiTheme="minorEastAsia" w:hAnsiTheme="minorEastAsia" w:eastAsiaTheme="minorEastAsia"/>
          <w:color w:val="auto"/>
          <w:spacing w:val="-4"/>
          <w:szCs w:val="24"/>
          <w:highlight w:val="none"/>
          <w:lang w:eastAsia="zh-CN"/>
        </w:rPr>
      </w:pPr>
      <w:r>
        <w:rPr>
          <w:rFonts w:hint="eastAsia" w:asciiTheme="minorEastAsia" w:hAnsiTheme="minorEastAsia" w:eastAsiaTheme="minorEastAsia"/>
          <w:color w:val="auto"/>
          <w:spacing w:val="-4"/>
          <w:szCs w:val="24"/>
          <w:highlight w:val="none"/>
          <w:lang w:eastAsia="zh-CN"/>
        </w:rPr>
        <w:t>（五）预算金额：35.6107万元</w:t>
      </w:r>
    </w:p>
    <w:p>
      <w:pPr>
        <w:kinsoku/>
        <w:rPr>
          <w:color w:val="auto"/>
          <w:highlight w:val="none"/>
          <w:lang w:eastAsia="zh-CN"/>
        </w:rPr>
      </w:pPr>
    </w:p>
    <w:p>
      <w:pPr>
        <w:pStyle w:val="2"/>
        <w:kinsoku/>
        <w:ind w:firstLine="474"/>
        <w:outlineLvl w:val="1"/>
        <w:rPr>
          <w:rFonts w:hint="eastAsia" w:asciiTheme="minorEastAsia" w:hAnsiTheme="minorEastAsia" w:eastAsiaTheme="minorEastAsia"/>
          <w:b/>
          <w:bCs/>
          <w:color w:val="auto"/>
          <w:spacing w:val="-4"/>
          <w:szCs w:val="24"/>
          <w:highlight w:val="none"/>
          <w:lang w:eastAsia="zh-CN"/>
        </w:rPr>
      </w:pPr>
      <w:r>
        <w:rPr>
          <w:rFonts w:hint="eastAsia" w:asciiTheme="minorEastAsia" w:hAnsiTheme="minorEastAsia" w:eastAsiaTheme="minorEastAsia"/>
          <w:b/>
          <w:bCs/>
          <w:color w:val="auto"/>
          <w:spacing w:val="-4"/>
          <w:szCs w:val="24"/>
          <w:highlight w:val="none"/>
          <w:lang w:eastAsia="zh-CN"/>
        </w:rPr>
        <w:t>二、委托人要求</w:t>
      </w:r>
    </w:p>
    <w:p>
      <w:pPr>
        <w:pStyle w:val="2"/>
        <w:kinsoku/>
        <w:ind w:firstLine="472"/>
        <w:outlineLvl w:val="2"/>
        <w:rPr>
          <w:rFonts w:hint="eastAsia" w:asciiTheme="minorEastAsia" w:hAnsiTheme="minorEastAsia" w:eastAsiaTheme="minorEastAsia"/>
          <w:color w:val="auto"/>
          <w:spacing w:val="-4"/>
          <w:szCs w:val="24"/>
          <w:highlight w:val="none"/>
          <w:lang w:eastAsia="zh-CN"/>
        </w:rPr>
      </w:pPr>
      <w:r>
        <w:rPr>
          <w:rFonts w:hint="eastAsia" w:asciiTheme="minorEastAsia" w:hAnsiTheme="minorEastAsia" w:eastAsiaTheme="minorEastAsia"/>
          <w:color w:val="auto"/>
          <w:spacing w:val="-4"/>
          <w:szCs w:val="24"/>
          <w:highlight w:val="none"/>
          <w:lang w:eastAsia="zh-CN"/>
        </w:rPr>
        <w:t>（一）监理范围及内容：</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1、监理服务的范围：主要对工程施工阶段及保修阶段全过程监理。</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2、监理服务的内容：主要是工程施工过程中的质量控制、进度控制、投资控制、合同管理、信息管理和施工协调工作。</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3、设计方面</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（1）核查并签发施工图，发现问题向委托人反映，重大问题向委托人做专题报告。</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（2）主持或与委托人联合主持设计技术交底会议，编写会议纪要。</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（3）协助委托人会同设计人对重大技术问题和优化设计进行专题讨论。</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（4）审核承包人对施工图的意见和建议，协助委托人会同设计人进行研究。</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（5）其他相关业务。</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4、采购方面</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（1）协助委托人进行采购招标。</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（2）协助委托人对进场的永久工程设备进行质量检验与到货验收。</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（3）其他相关业务。</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5、施工方面</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（1）协助委托人进行工程施工招标和签订工程施工合同 。</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（2）全面管理工程施工合同，审查承包人选择的分包单位，并报委托人批准。</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（3）督促委托人按工程施工合同的约定，落实必须提供的施工条件；检查承包人的开工准备工作。</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（4）审核按工程施工合同文件约定应由承包人提交的设计文件。</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（5）审查承包人提交的施工组织设计、施工进度计划、施工措施计划；审核工艺试验成果等。</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签发补充设计文件、技术要求等，答复承包人提出的建议和意见。</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进度控制。协助委托人编制控制性总进度计划，审批承包人编制的进度计划；检查实施情况，督促承包人采取措施，实现合同工期目标。当实施进度发生较大偏差时，要求承包人调整进度计划；向委托人提出调整控制性进度计划的建议意见。</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7）施工质量控制。审查承包人的质量保证体系和措施；审查承包人的实验室条件；依据工程施工合同文件、设计文件、技术标准，对施工全过程进行检查，对重要部位、关键工序进行旁站监理；按照有关规定，对承包人进场的工程设备、建筑材料、建筑构配件、中间产品进行跟踪检测和平行检测，复核承包人自评的工程质量等级；审核承包人提出的工程质量缺陷处理方案，参与调查质量事故。</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（8）资金控制。协助委托人编制付款计划；审查承包人提交的资金流计划；核定承包人完成的工程量，审核承包人提交的支付申请，签发付款凭证；受理索赔申请，提出处理建议意见；处理工程变更。</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（9）施工安全控制。审查承包人提出的安全技术措施、专项施工方案，并检查实施情况；检查防洪度汛措施落实情况；参与安全事故调查。</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（10）协调施工合同各方之间的关系。</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（11）按有关规定参加工程验收，负责完成监理资料的汇总、整理，协助委托人检查承包人的合同执行情况；做好验收的各项准备工作或者配合工作，提供工程监理资料，提交监理工作报告。 </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（12）档案管理。做好施工现场的监理记录与信息反馈，做好监理文档管理工作，合同期限届满时按照档案管理要求整理、归档并移交委托人。</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（13）监督承包人执行保修期工作计划，检查和验收尾工项目，对已移交工程中出现的质量缺陷等调查原因并提出处理意见。</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（14）按照委托人签订的工程保险合同，做好施工现场工程保险合同的管理。协助委托人向保险公司及时提供一切必要的材料和证据。</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（15）其他相关工作。</w:t>
      </w:r>
    </w:p>
    <w:p>
      <w:pPr>
        <w:kinsoku/>
        <w:spacing w:line="360" w:lineRule="auto"/>
        <w:ind w:firstLine="480" w:firstLineChars="200"/>
        <w:outlineLvl w:val="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（二）监理依据：本次监理遵照（但不限于）以下规定执行</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1、国家法律、行政法规和部门规章以及地方法规、规章；</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2、《中华人民共和国建筑法》；</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3、《中华人民共和国民法典》；</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4、《建设工程质量管理条例》；</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5、《建设工程安全生产管理条例》；</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6、《市政工程建设监理规定》；</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7、国家、建设部颁发的有关工程施工、检验、验收的规范、规程和标准；</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8、经批准的本工程的有关建设文件、设计文件及设计变更文件；</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9、监理合同、施工合同等合同文件；</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10、监理人员和试验检测仪器设备要求：需具备经纬仪、水准仪、交通工具、电脑、打印机、相机等。</w:t>
      </w:r>
    </w:p>
    <w:p>
      <w:pPr>
        <w:kinsoku/>
        <w:spacing w:line="360" w:lineRule="auto"/>
        <w:ind w:firstLine="200"/>
        <w:outlineLvl w:val="1"/>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三、委托人财产清单</w:t>
      </w:r>
    </w:p>
    <w:p>
      <w:pPr>
        <w:kinsoku/>
        <w:spacing w:line="360" w:lineRule="auto"/>
        <w:ind w:firstLine="480" w:firstLineChars="200"/>
        <w:outlineLvl w:val="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（一）委托人提供的设备、设施</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1、委托人提供的办公房屋及冷暖设施：无</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2、委托人提供的设备清单：无</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3、委托人提供的设施清单：无</w:t>
      </w:r>
    </w:p>
    <w:p>
      <w:pPr>
        <w:kinsoku/>
        <w:spacing w:line="360" w:lineRule="auto"/>
        <w:ind w:firstLine="480" w:firstLineChars="200"/>
        <w:outlineLvl w:val="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（二）委托人提供的资料</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1、施工场地及毗邻区域内的供水、排水、供电、供气、供热、通信、广播电视等地下管线资料、气象和水文观测资料，相邻建筑物和构筑物、地下工程的有关资料，以及其他与建设工程有关的原始资料</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2、定位放线的基准点、基准线和基准标高</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3、委托人取得的有关审批、核准和备案材料</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4、勘察文件、设计文件等资料</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5、技术标准、规范</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6、工程承包合同及其他相关合同</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7、其他资料</w:t>
      </w:r>
    </w:p>
    <w:p>
      <w:pPr>
        <w:kinsoku/>
        <w:spacing w:line="360" w:lineRule="auto"/>
        <w:ind w:firstLine="200"/>
        <w:outlineLvl w:val="1"/>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四、监理人需要自备的工作条件</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（一）监理人自备的工作手册：如本项目必备的规范标准、图集等</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（二）监理人自备的办公设备：如电脑、软件、投影、打印机、复印机、照相机等</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（三）监理人自备的交通工具：如出行车辆等</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（四）监理人自备的现场办公设施：如办公桌椅、文件柜等</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（五）监理人自备的安全设施：如安全帽、安全鞋、手电筒等</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（六）监理人自备的试验检测仪器、设备、工具</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（七）监理人自备的试验用房、样品用房</w:t>
      </w:r>
    </w:p>
    <w:p>
      <w:pPr>
        <w:pStyle w:val="2"/>
        <w:kinsoku/>
        <w:spacing w:line="240" w:lineRule="auto"/>
        <w:ind w:firstLine="472"/>
        <w:rPr>
          <w:rFonts w:hint="eastAsia" w:asciiTheme="minorEastAsia" w:hAnsiTheme="minorEastAsia" w:eastAsiaTheme="minorEastAsia"/>
          <w:color w:val="auto"/>
          <w:spacing w:val="-4"/>
          <w:szCs w:val="24"/>
          <w:highlight w:val="none"/>
          <w:lang w:eastAsia="zh-CN"/>
        </w:rPr>
      </w:pPr>
    </w:p>
    <w:p>
      <w:pPr>
        <w:pStyle w:val="2"/>
        <w:spacing w:before="91" w:line="220" w:lineRule="auto"/>
        <w:ind w:firstLine="557" w:firstLineChars="205"/>
        <w:rPr>
          <w:rFonts w:hint="eastAsia"/>
          <w:color w:val="auto"/>
          <w:spacing w:val="-4"/>
          <w:sz w:val="28"/>
          <w:szCs w:val="28"/>
          <w:highlight w:val="none"/>
          <w:lang w:eastAsia="zh-CN"/>
        </w:rPr>
      </w:pPr>
    </w:p>
    <w:p>
      <w:pPr>
        <w:ind w:firstLine="200"/>
        <w:rPr>
          <w:color w:val="auto"/>
          <w:sz w:val="24"/>
          <w:szCs w:val="24"/>
          <w:highlight w:val="none"/>
          <w:lang w:eastAsia="zh-CN"/>
        </w:rPr>
      </w:pPr>
    </w:p>
    <w:p>
      <w:pPr>
        <w:pStyle w:val="46"/>
        <w:wordWrap/>
        <w:snapToGrid w:val="0"/>
        <w:spacing w:before="0" w:after="0"/>
        <w:ind w:left="0" w:right="0" w:firstLine="200"/>
        <w:jc w:val="left"/>
        <w:rPr>
          <w:i w:val="0"/>
          <w:color w:val="auto"/>
          <w:sz w:val="24"/>
          <w:szCs w:val="24"/>
          <w:highlight w:val="none"/>
        </w:rPr>
      </w:pPr>
    </w:p>
    <w:p>
      <w:pPr>
        <w:kinsoku/>
        <w:autoSpaceDE/>
        <w:autoSpaceDN/>
        <w:adjustRightInd/>
        <w:snapToGrid/>
        <w:textAlignment w:val="auto"/>
        <w:rPr>
          <w:rFonts w:eastAsiaTheme="minorEastAsia"/>
          <w:color w:val="auto"/>
          <w:sz w:val="24"/>
          <w:szCs w:val="24"/>
          <w:highlight w:val="none"/>
          <w:lang w:eastAsia="zh-CN"/>
        </w:rPr>
      </w:pPr>
      <w:r>
        <w:rPr>
          <w:rFonts w:eastAsiaTheme="minorEastAsia"/>
          <w:color w:val="auto"/>
          <w:sz w:val="24"/>
          <w:szCs w:val="24"/>
          <w:highlight w:val="none"/>
          <w:lang w:eastAsia="zh-CN"/>
        </w:rPr>
        <w:br w:type="page"/>
      </w:r>
    </w:p>
    <w:p>
      <w:pPr>
        <w:pStyle w:val="46"/>
        <w:rPr>
          <w:color w:val="auto"/>
          <w:highlight w:val="none"/>
        </w:rPr>
      </w:pPr>
    </w:p>
    <w:p>
      <w:pPr>
        <w:pStyle w:val="46"/>
        <w:rPr>
          <w:color w:val="auto"/>
          <w:highlight w:val="none"/>
        </w:rPr>
      </w:pPr>
    </w:p>
    <w:p>
      <w:pPr>
        <w:spacing w:line="241" w:lineRule="auto"/>
        <w:rPr>
          <w:color w:val="auto"/>
          <w:highlight w:val="none"/>
          <w:lang w:eastAsia="zh-CN"/>
        </w:rPr>
      </w:pPr>
    </w:p>
    <w:p>
      <w:pPr>
        <w:spacing w:line="241" w:lineRule="auto"/>
        <w:rPr>
          <w:color w:val="auto"/>
          <w:highlight w:val="none"/>
          <w:lang w:eastAsia="zh-CN"/>
        </w:rPr>
      </w:pPr>
    </w:p>
    <w:p>
      <w:pPr>
        <w:spacing w:line="241" w:lineRule="auto"/>
        <w:rPr>
          <w:color w:val="auto"/>
          <w:highlight w:val="none"/>
          <w:lang w:eastAsia="zh-CN"/>
        </w:rPr>
      </w:pPr>
    </w:p>
    <w:p>
      <w:pPr>
        <w:pStyle w:val="3"/>
        <w:bidi w:val="0"/>
        <w:rPr>
          <w:rFonts w:hint="eastAsia"/>
          <w:color w:val="auto"/>
          <w:highlight w:val="none"/>
          <w:lang w:eastAsia="zh-CN"/>
        </w:rPr>
      </w:pPr>
      <w:bookmarkStart w:id="76" w:name="_Toc16390"/>
      <w:r>
        <w:rPr>
          <w:color w:val="auto"/>
          <w:highlight w:val="none"/>
          <w:lang w:eastAsia="zh-CN"/>
        </w:rPr>
        <w:t>第六章响应文件格式</w:t>
      </w:r>
      <w:bookmarkEnd w:id="76"/>
    </w:p>
    <w:p>
      <w:pPr>
        <w:rPr>
          <w:color w:val="auto"/>
          <w:highlight w:val="none"/>
          <w:lang w:eastAsia="zh-CN"/>
        </w:rPr>
      </w:pPr>
    </w:p>
    <w:p>
      <w:pPr>
        <w:rPr>
          <w:color w:val="auto"/>
          <w:highlight w:val="none"/>
          <w:lang w:eastAsia="zh-CN"/>
        </w:rPr>
      </w:pPr>
    </w:p>
    <w:p>
      <w:pPr>
        <w:rPr>
          <w:color w:val="auto"/>
          <w:highlight w:val="none"/>
          <w:lang w:eastAsia="zh-CN"/>
        </w:rPr>
      </w:pPr>
    </w:p>
    <w:p>
      <w:pPr>
        <w:rPr>
          <w:color w:val="auto"/>
          <w:highlight w:val="none"/>
          <w:lang w:eastAsia="zh-CN"/>
        </w:rPr>
      </w:pPr>
    </w:p>
    <w:p>
      <w:pPr>
        <w:spacing w:line="222" w:lineRule="auto"/>
        <w:rPr>
          <w:color w:val="auto"/>
          <w:sz w:val="43"/>
          <w:szCs w:val="43"/>
          <w:highlight w:val="none"/>
          <w:lang w:eastAsia="zh-CN"/>
        </w:rPr>
        <w:sectPr>
          <w:pgSz w:w="11906" w:h="16839"/>
          <w:pgMar w:top="1431" w:right="1785" w:bottom="957" w:left="1785" w:header="0" w:footer="795" w:gutter="0"/>
          <w:pgNumType w:fmt="decimal"/>
          <w:cols w:space="720" w:num="1"/>
        </w:sectPr>
      </w:pPr>
    </w:p>
    <w:p>
      <w:pPr>
        <w:spacing w:line="245" w:lineRule="auto"/>
        <w:rPr>
          <w:color w:val="auto"/>
          <w:highlight w:val="none"/>
          <w:lang w:eastAsia="zh-CN"/>
        </w:rPr>
      </w:pPr>
    </w:p>
    <w:p>
      <w:pPr>
        <w:spacing w:line="245" w:lineRule="auto"/>
        <w:rPr>
          <w:color w:val="auto"/>
          <w:highlight w:val="none"/>
          <w:lang w:eastAsia="zh-CN"/>
        </w:rPr>
      </w:pPr>
    </w:p>
    <w:p>
      <w:pPr>
        <w:spacing w:line="246" w:lineRule="auto"/>
        <w:rPr>
          <w:color w:val="auto"/>
          <w:highlight w:val="none"/>
          <w:lang w:eastAsia="zh-CN"/>
        </w:rPr>
      </w:pPr>
    </w:p>
    <w:p>
      <w:pPr>
        <w:spacing w:line="246" w:lineRule="auto"/>
        <w:rPr>
          <w:color w:val="auto"/>
          <w:highlight w:val="none"/>
          <w:lang w:eastAsia="zh-CN"/>
        </w:rPr>
      </w:pPr>
    </w:p>
    <w:p>
      <w:pPr>
        <w:spacing w:line="246" w:lineRule="auto"/>
        <w:rPr>
          <w:color w:val="auto"/>
          <w:highlight w:val="none"/>
          <w:lang w:eastAsia="zh-CN"/>
        </w:rPr>
      </w:pPr>
    </w:p>
    <w:p>
      <w:pPr>
        <w:jc w:val="center"/>
        <w:rPr>
          <w:rFonts w:eastAsiaTheme="minorEastAsia"/>
          <w:b/>
          <w:bCs/>
          <w:color w:val="auto"/>
          <w:sz w:val="44"/>
          <w:szCs w:val="44"/>
          <w:highlight w:val="none"/>
          <w:lang w:eastAsia="zh-CN"/>
        </w:rPr>
      </w:pPr>
      <w:r>
        <w:rPr>
          <w:rFonts w:hint="eastAsia" w:ascii="宋体" w:hAnsi="宋体" w:eastAsia="宋体" w:cs="宋体"/>
          <w:b/>
          <w:bCs/>
          <w:color w:val="auto"/>
          <w:sz w:val="44"/>
          <w:szCs w:val="44"/>
          <w:highlight w:val="none"/>
          <w:lang w:eastAsia="zh-CN"/>
        </w:rPr>
        <w:t>（项目名称）</w:t>
      </w:r>
    </w:p>
    <w:p>
      <w:pPr>
        <w:spacing w:line="257" w:lineRule="auto"/>
        <w:rPr>
          <w:color w:val="auto"/>
          <w:highlight w:val="none"/>
          <w:lang w:eastAsia="zh-CN"/>
        </w:rPr>
      </w:pPr>
    </w:p>
    <w:p>
      <w:pPr>
        <w:spacing w:line="257" w:lineRule="auto"/>
        <w:rPr>
          <w:color w:val="auto"/>
          <w:highlight w:val="none"/>
          <w:lang w:eastAsia="zh-CN"/>
        </w:rPr>
      </w:pPr>
    </w:p>
    <w:p>
      <w:pPr>
        <w:spacing w:line="257" w:lineRule="auto"/>
        <w:rPr>
          <w:color w:val="auto"/>
          <w:highlight w:val="none"/>
          <w:lang w:eastAsia="zh-CN"/>
        </w:rPr>
      </w:pPr>
    </w:p>
    <w:p>
      <w:pPr>
        <w:spacing w:line="258" w:lineRule="auto"/>
        <w:rPr>
          <w:color w:val="auto"/>
          <w:highlight w:val="none"/>
          <w:lang w:eastAsia="zh-CN"/>
        </w:rPr>
      </w:pPr>
    </w:p>
    <w:p>
      <w:pPr>
        <w:spacing w:line="258" w:lineRule="auto"/>
        <w:rPr>
          <w:color w:val="auto"/>
          <w:highlight w:val="none"/>
          <w:lang w:eastAsia="zh-CN"/>
        </w:rPr>
      </w:pPr>
    </w:p>
    <w:p>
      <w:pPr>
        <w:spacing w:line="258" w:lineRule="auto"/>
        <w:rPr>
          <w:color w:val="auto"/>
          <w:highlight w:val="none"/>
          <w:lang w:eastAsia="zh-CN"/>
        </w:rPr>
      </w:pPr>
    </w:p>
    <w:p>
      <w:pPr>
        <w:spacing w:line="258" w:lineRule="auto"/>
        <w:rPr>
          <w:color w:val="auto"/>
          <w:highlight w:val="none"/>
          <w:lang w:eastAsia="zh-CN"/>
        </w:rPr>
      </w:pPr>
    </w:p>
    <w:p>
      <w:pPr>
        <w:spacing w:line="258" w:lineRule="auto"/>
        <w:rPr>
          <w:color w:val="auto"/>
          <w:highlight w:val="none"/>
          <w:lang w:eastAsia="zh-CN"/>
        </w:rPr>
      </w:pPr>
    </w:p>
    <w:p>
      <w:pPr>
        <w:spacing w:line="258" w:lineRule="auto"/>
        <w:rPr>
          <w:color w:val="auto"/>
          <w:highlight w:val="none"/>
          <w:lang w:eastAsia="zh-CN"/>
        </w:rPr>
      </w:pPr>
    </w:p>
    <w:p>
      <w:pPr>
        <w:jc w:val="center"/>
        <w:outlineLvl w:val="0"/>
        <w:rPr>
          <w:b/>
          <w:bCs/>
          <w:color w:val="auto"/>
          <w:sz w:val="56"/>
          <w:szCs w:val="56"/>
          <w:highlight w:val="none"/>
          <w:lang w:eastAsia="zh-CN"/>
        </w:rPr>
      </w:pPr>
      <w:bookmarkStart w:id="77" w:name="_Toc20790"/>
      <w:bookmarkStart w:id="78" w:name="_Toc10911"/>
      <w:r>
        <w:rPr>
          <w:rFonts w:hint="eastAsia" w:ascii="宋体" w:hAnsi="宋体" w:eastAsia="宋体" w:cs="宋体"/>
          <w:b/>
          <w:bCs/>
          <w:color w:val="auto"/>
          <w:sz w:val="56"/>
          <w:szCs w:val="56"/>
          <w:highlight w:val="none"/>
          <w:lang w:eastAsia="zh-CN"/>
        </w:rPr>
        <w:t>响 应 文 件</w:t>
      </w:r>
      <w:bookmarkEnd w:id="77"/>
      <w:bookmarkEnd w:id="78"/>
    </w:p>
    <w:p>
      <w:pPr>
        <w:spacing w:line="246" w:lineRule="auto"/>
        <w:rPr>
          <w:color w:val="auto"/>
          <w:highlight w:val="none"/>
          <w:lang w:eastAsia="zh-CN"/>
        </w:rPr>
      </w:pPr>
    </w:p>
    <w:p>
      <w:pPr>
        <w:spacing w:line="246" w:lineRule="auto"/>
        <w:rPr>
          <w:color w:val="auto"/>
          <w:highlight w:val="none"/>
          <w:lang w:eastAsia="zh-CN"/>
        </w:rPr>
      </w:pPr>
    </w:p>
    <w:p>
      <w:pPr>
        <w:spacing w:line="246" w:lineRule="auto"/>
        <w:rPr>
          <w:color w:val="auto"/>
          <w:highlight w:val="none"/>
          <w:lang w:eastAsia="zh-CN"/>
        </w:rPr>
      </w:pPr>
    </w:p>
    <w:p>
      <w:pPr>
        <w:spacing w:line="247" w:lineRule="auto"/>
        <w:rPr>
          <w:color w:val="auto"/>
          <w:highlight w:val="none"/>
          <w:lang w:eastAsia="zh-CN"/>
        </w:rPr>
      </w:pPr>
    </w:p>
    <w:p>
      <w:pPr>
        <w:spacing w:line="247" w:lineRule="auto"/>
        <w:rPr>
          <w:color w:val="auto"/>
          <w:highlight w:val="none"/>
          <w:lang w:eastAsia="zh-CN"/>
        </w:rPr>
      </w:pPr>
    </w:p>
    <w:p>
      <w:pPr>
        <w:spacing w:line="247" w:lineRule="auto"/>
        <w:rPr>
          <w:color w:val="auto"/>
          <w:highlight w:val="none"/>
          <w:lang w:eastAsia="zh-CN"/>
        </w:rPr>
      </w:pPr>
    </w:p>
    <w:p>
      <w:pPr>
        <w:spacing w:line="247" w:lineRule="auto"/>
        <w:rPr>
          <w:color w:val="auto"/>
          <w:highlight w:val="none"/>
          <w:lang w:eastAsia="zh-CN"/>
        </w:rPr>
      </w:pPr>
    </w:p>
    <w:p>
      <w:pPr>
        <w:spacing w:line="247" w:lineRule="auto"/>
        <w:rPr>
          <w:color w:val="auto"/>
          <w:highlight w:val="none"/>
          <w:lang w:eastAsia="zh-CN"/>
        </w:rPr>
      </w:pPr>
    </w:p>
    <w:p>
      <w:pPr>
        <w:spacing w:line="247" w:lineRule="auto"/>
        <w:rPr>
          <w:color w:val="auto"/>
          <w:highlight w:val="none"/>
          <w:lang w:eastAsia="zh-CN"/>
        </w:rPr>
      </w:pPr>
    </w:p>
    <w:p>
      <w:pPr>
        <w:spacing w:line="247" w:lineRule="auto"/>
        <w:rPr>
          <w:color w:val="auto"/>
          <w:highlight w:val="none"/>
          <w:lang w:eastAsia="zh-CN"/>
        </w:rPr>
      </w:pPr>
    </w:p>
    <w:p>
      <w:pPr>
        <w:spacing w:line="247" w:lineRule="auto"/>
        <w:rPr>
          <w:color w:val="auto"/>
          <w:highlight w:val="none"/>
          <w:lang w:eastAsia="zh-CN"/>
        </w:rPr>
      </w:pPr>
    </w:p>
    <w:p>
      <w:pPr>
        <w:spacing w:line="247" w:lineRule="auto"/>
        <w:rPr>
          <w:color w:val="auto"/>
          <w:highlight w:val="none"/>
          <w:lang w:eastAsia="zh-CN"/>
        </w:rPr>
      </w:pPr>
    </w:p>
    <w:p>
      <w:pPr>
        <w:spacing w:line="247" w:lineRule="auto"/>
        <w:rPr>
          <w:color w:val="auto"/>
          <w:highlight w:val="none"/>
          <w:lang w:eastAsia="zh-CN"/>
        </w:rPr>
      </w:pPr>
    </w:p>
    <w:p>
      <w:pPr>
        <w:spacing w:line="247" w:lineRule="auto"/>
        <w:rPr>
          <w:color w:val="auto"/>
          <w:highlight w:val="none"/>
          <w:lang w:eastAsia="zh-CN"/>
        </w:rPr>
      </w:pPr>
    </w:p>
    <w:p>
      <w:pPr>
        <w:spacing w:line="247" w:lineRule="auto"/>
        <w:rPr>
          <w:color w:val="auto"/>
          <w:highlight w:val="none"/>
          <w:lang w:eastAsia="zh-CN"/>
        </w:rPr>
      </w:pPr>
    </w:p>
    <w:p>
      <w:pPr>
        <w:spacing w:line="247" w:lineRule="auto"/>
        <w:rPr>
          <w:color w:val="auto"/>
          <w:highlight w:val="none"/>
          <w:lang w:eastAsia="zh-CN"/>
        </w:rPr>
      </w:pPr>
    </w:p>
    <w:p>
      <w:pPr>
        <w:pStyle w:val="2"/>
        <w:spacing w:before="91" w:line="219" w:lineRule="auto"/>
        <w:ind w:left="568" w:firstLine="548"/>
        <w:outlineLvl w:val="1"/>
        <w:rPr>
          <w:rFonts w:hint="eastAsia"/>
          <w:color w:val="auto"/>
          <w:sz w:val="28"/>
          <w:szCs w:val="28"/>
          <w:highlight w:val="none"/>
          <w:lang w:eastAsia="zh-CN"/>
        </w:rPr>
      </w:pPr>
      <w:r>
        <w:rPr>
          <w:rFonts w:hint="eastAsia"/>
          <w:color w:val="auto"/>
          <w:spacing w:val="-6"/>
          <w:sz w:val="28"/>
          <w:szCs w:val="28"/>
          <w:highlight w:val="none"/>
          <w:lang w:eastAsia="zh-CN"/>
        </w:rPr>
        <w:t>供应商</w:t>
      </w:r>
      <w:r>
        <w:rPr>
          <w:color w:val="auto"/>
          <w:spacing w:val="-6"/>
          <w:sz w:val="28"/>
          <w:szCs w:val="28"/>
          <w:highlight w:val="none"/>
          <w:lang w:eastAsia="zh-CN"/>
        </w:rPr>
        <w:t>：(盖单位公章)</w:t>
      </w:r>
    </w:p>
    <w:p>
      <w:pPr>
        <w:spacing w:line="373" w:lineRule="auto"/>
        <w:rPr>
          <w:color w:val="auto"/>
          <w:highlight w:val="none"/>
          <w:lang w:eastAsia="zh-CN"/>
        </w:rPr>
      </w:pPr>
    </w:p>
    <w:p>
      <w:pPr>
        <w:pStyle w:val="2"/>
        <w:spacing w:before="91" w:line="220" w:lineRule="auto"/>
        <w:ind w:left="566" w:firstLine="556"/>
        <w:outlineLvl w:val="1"/>
        <w:rPr>
          <w:rFonts w:hint="eastAsia"/>
          <w:color w:val="auto"/>
          <w:sz w:val="28"/>
          <w:szCs w:val="28"/>
          <w:highlight w:val="none"/>
          <w:lang w:eastAsia="zh-CN"/>
        </w:rPr>
      </w:pPr>
      <w:r>
        <w:rPr>
          <w:color w:val="auto"/>
          <w:spacing w:val="-2"/>
          <w:sz w:val="28"/>
          <w:szCs w:val="28"/>
          <w:highlight w:val="none"/>
          <w:lang w:eastAsia="zh-CN"/>
        </w:rPr>
        <w:t>法定代表人或其委托代理人：</w:t>
      </w:r>
      <w:r>
        <w:rPr>
          <w:color w:val="auto"/>
          <w:spacing w:val="-3"/>
          <w:sz w:val="28"/>
          <w:szCs w:val="28"/>
          <w:highlight w:val="none"/>
          <w:lang w:eastAsia="zh-CN"/>
        </w:rPr>
        <w:t>(签字)</w:t>
      </w:r>
    </w:p>
    <w:p>
      <w:pPr>
        <w:spacing w:line="374" w:lineRule="auto"/>
        <w:rPr>
          <w:color w:val="auto"/>
          <w:highlight w:val="none"/>
          <w:lang w:eastAsia="zh-CN"/>
        </w:rPr>
      </w:pPr>
    </w:p>
    <w:p>
      <w:pPr>
        <w:pStyle w:val="2"/>
        <w:spacing w:before="91" w:line="220" w:lineRule="auto"/>
        <w:ind w:left="613" w:firstLine="530"/>
        <w:outlineLvl w:val="1"/>
        <w:rPr>
          <w:rFonts w:hint="eastAsia"/>
          <w:color w:val="auto"/>
          <w:sz w:val="28"/>
          <w:szCs w:val="28"/>
          <w:highlight w:val="none"/>
          <w:lang w:eastAsia="zh-CN"/>
        </w:rPr>
      </w:pPr>
      <w:r>
        <w:rPr>
          <w:color w:val="auto"/>
          <w:spacing w:val="-15"/>
          <w:sz w:val="28"/>
          <w:szCs w:val="28"/>
          <w:highlight w:val="none"/>
          <w:lang w:eastAsia="zh-CN"/>
        </w:rPr>
        <w:t>日期：</w:t>
      </w:r>
      <w:r>
        <w:rPr>
          <w:rFonts w:hint="eastAsia"/>
          <w:color w:val="auto"/>
          <w:spacing w:val="-15"/>
          <w:sz w:val="28"/>
          <w:szCs w:val="28"/>
          <w:highlight w:val="none"/>
          <w:lang w:eastAsia="zh-CN"/>
        </w:rPr>
        <w:t xml:space="preserve">  </w:t>
      </w:r>
      <w:r>
        <w:rPr>
          <w:color w:val="auto"/>
          <w:spacing w:val="-15"/>
          <w:sz w:val="28"/>
          <w:szCs w:val="28"/>
          <w:highlight w:val="none"/>
          <w:lang w:eastAsia="zh-CN"/>
        </w:rPr>
        <w:t>年</w:t>
      </w:r>
      <w:r>
        <w:rPr>
          <w:rFonts w:hint="eastAsia"/>
          <w:color w:val="auto"/>
          <w:spacing w:val="-15"/>
          <w:sz w:val="28"/>
          <w:szCs w:val="28"/>
          <w:highlight w:val="none"/>
          <w:lang w:eastAsia="zh-CN"/>
        </w:rPr>
        <w:t xml:space="preserve">  </w:t>
      </w:r>
      <w:r>
        <w:rPr>
          <w:color w:val="auto"/>
          <w:spacing w:val="-15"/>
          <w:sz w:val="28"/>
          <w:szCs w:val="28"/>
          <w:highlight w:val="none"/>
          <w:lang w:eastAsia="zh-CN"/>
        </w:rPr>
        <w:t>月</w:t>
      </w:r>
      <w:r>
        <w:rPr>
          <w:rFonts w:hint="eastAsia"/>
          <w:color w:val="auto"/>
          <w:spacing w:val="-15"/>
          <w:sz w:val="28"/>
          <w:szCs w:val="28"/>
          <w:highlight w:val="none"/>
          <w:lang w:eastAsia="zh-CN"/>
        </w:rPr>
        <w:t xml:space="preserve">  </w:t>
      </w:r>
      <w:r>
        <w:rPr>
          <w:color w:val="auto"/>
          <w:spacing w:val="-15"/>
          <w:sz w:val="28"/>
          <w:szCs w:val="28"/>
          <w:highlight w:val="none"/>
          <w:lang w:eastAsia="zh-CN"/>
        </w:rPr>
        <w:t>日</w:t>
      </w:r>
    </w:p>
    <w:p>
      <w:pPr>
        <w:spacing w:line="220" w:lineRule="auto"/>
        <w:rPr>
          <w:rFonts w:eastAsiaTheme="minorEastAsia"/>
          <w:color w:val="auto"/>
          <w:sz w:val="28"/>
          <w:szCs w:val="28"/>
          <w:highlight w:val="none"/>
          <w:lang w:eastAsia="zh-CN"/>
        </w:rPr>
      </w:pPr>
    </w:p>
    <w:p>
      <w:pPr>
        <w:pStyle w:val="45"/>
        <w:spacing w:before="48" w:after="48"/>
        <w:ind w:firstLine="480"/>
        <w:rPr>
          <w:color w:val="auto"/>
          <w:highlight w:val="none"/>
          <w:lang w:eastAsia="zh-CN"/>
        </w:rPr>
        <w:sectPr>
          <w:pgSz w:w="11906" w:h="16839"/>
          <w:pgMar w:top="1431" w:right="1785" w:bottom="957" w:left="1785" w:header="0" w:footer="795" w:gutter="0"/>
          <w:pgNumType w:fmt="decimal"/>
          <w:cols w:space="720" w:num="1"/>
        </w:sectPr>
      </w:pPr>
    </w:p>
    <w:p>
      <w:pPr>
        <w:pStyle w:val="2"/>
        <w:ind w:firstLine="480"/>
        <w:rPr>
          <w:rFonts w:hint="eastAsia"/>
          <w:color w:val="auto"/>
          <w:highlight w:val="none"/>
          <w:lang w:eastAsia="zh-CN"/>
        </w:rPr>
      </w:pPr>
    </w:p>
    <w:p>
      <w:pPr>
        <w:pStyle w:val="2"/>
        <w:ind w:firstLine="643"/>
        <w:jc w:val="center"/>
        <w:outlineLvl w:val="2"/>
        <w:rPr>
          <w:rFonts w:hint="eastAsia"/>
          <w:b/>
          <w:bCs/>
          <w:color w:val="auto"/>
          <w:sz w:val="32"/>
          <w:szCs w:val="36"/>
          <w:highlight w:val="none"/>
          <w:lang w:eastAsia="zh-CN"/>
        </w:rPr>
      </w:pPr>
      <w:r>
        <w:rPr>
          <w:b/>
          <w:bCs/>
          <w:color w:val="auto"/>
          <w:sz w:val="32"/>
          <w:szCs w:val="36"/>
          <w:highlight w:val="none"/>
          <w:lang w:eastAsia="zh-CN"/>
        </w:rPr>
        <w:t>目</w:t>
      </w:r>
      <w:r>
        <w:rPr>
          <w:rFonts w:hint="eastAsia"/>
          <w:b/>
          <w:bCs/>
          <w:color w:val="auto"/>
          <w:sz w:val="32"/>
          <w:szCs w:val="36"/>
          <w:highlight w:val="none"/>
          <w:lang w:eastAsia="zh-CN"/>
        </w:rPr>
        <w:t xml:space="preserve">  </w:t>
      </w:r>
      <w:r>
        <w:rPr>
          <w:b/>
          <w:bCs/>
          <w:color w:val="auto"/>
          <w:sz w:val="32"/>
          <w:szCs w:val="36"/>
          <w:highlight w:val="none"/>
          <w:lang w:eastAsia="zh-CN"/>
        </w:rPr>
        <w:t>录</w:t>
      </w:r>
    </w:p>
    <w:p>
      <w:pPr>
        <w:spacing w:line="256" w:lineRule="auto"/>
        <w:rPr>
          <w:color w:val="auto"/>
          <w:highlight w:val="none"/>
          <w:lang w:eastAsia="zh-CN"/>
        </w:rPr>
      </w:pPr>
    </w:p>
    <w:p>
      <w:pPr>
        <w:pStyle w:val="2"/>
        <w:ind w:firstLine="480"/>
        <w:rPr>
          <w:rFonts w:hint="eastAsia"/>
          <w:color w:val="auto"/>
          <w:highlight w:val="none"/>
          <w:lang w:eastAsia="zh-CN"/>
        </w:rPr>
      </w:pPr>
    </w:p>
    <w:p>
      <w:pPr>
        <w:pStyle w:val="2"/>
        <w:ind w:firstLine="480"/>
        <w:outlineLvl w:val="2"/>
        <w:rPr>
          <w:rFonts w:hint="eastAsia"/>
          <w:color w:val="auto"/>
          <w:highlight w:val="none"/>
          <w:lang w:eastAsia="zh-CN"/>
        </w:rPr>
      </w:pPr>
      <w:r>
        <w:rPr>
          <w:color w:val="auto"/>
          <w:highlight w:val="none"/>
          <w:lang w:eastAsia="zh-CN"/>
        </w:rPr>
        <w:t>一、</w:t>
      </w:r>
      <w:r>
        <w:rPr>
          <w:rFonts w:hint="eastAsia"/>
          <w:color w:val="auto"/>
          <w:highlight w:val="none"/>
          <w:lang w:eastAsia="zh-CN"/>
        </w:rPr>
        <w:t>磋商函</w:t>
      </w:r>
      <w:r>
        <w:rPr>
          <w:color w:val="auto"/>
          <w:highlight w:val="none"/>
          <w:lang w:eastAsia="zh-CN"/>
        </w:rPr>
        <w:t>及</w:t>
      </w:r>
      <w:r>
        <w:rPr>
          <w:rFonts w:hint="eastAsia"/>
          <w:color w:val="auto"/>
          <w:highlight w:val="none"/>
          <w:lang w:eastAsia="zh-CN"/>
        </w:rPr>
        <w:t>磋商函</w:t>
      </w:r>
      <w:r>
        <w:rPr>
          <w:color w:val="auto"/>
          <w:highlight w:val="none"/>
          <w:lang w:eastAsia="zh-CN"/>
        </w:rPr>
        <w:t>附录</w:t>
      </w:r>
    </w:p>
    <w:p>
      <w:pPr>
        <w:pStyle w:val="2"/>
        <w:ind w:firstLine="480"/>
        <w:outlineLvl w:val="2"/>
        <w:rPr>
          <w:rFonts w:hint="eastAsia"/>
          <w:color w:val="auto"/>
          <w:highlight w:val="none"/>
          <w:lang w:eastAsia="zh-CN"/>
        </w:rPr>
      </w:pPr>
      <w:r>
        <w:rPr>
          <w:color w:val="auto"/>
          <w:highlight w:val="none"/>
          <w:lang w:eastAsia="zh-CN"/>
        </w:rPr>
        <w:t>二、法定代表人身份证明、授权委托书</w:t>
      </w:r>
    </w:p>
    <w:p>
      <w:pPr>
        <w:pStyle w:val="2"/>
        <w:ind w:firstLine="480"/>
        <w:outlineLvl w:val="2"/>
        <w:rPr>
          <w:rFonts w:hint="eastAsia"/>
          <w:color w:val="auto"/>
          <w:highlight w:val="none"/>
          <w:lang w:eastAsia="zh-CN"/>
        </w:rPr>
      </w:pPr>
      <w:r>
        <w:rPr>
          <w:color w:val="auto"/>
          <w:highlight w:val="none"/>
          <w:lang w:eastAsia="zh-CN"/>
        </w:rPr>
        <w:t>三、开标一览表</w:t>
      </w:r>
    </w:p>
    <w:p>
      <w:pPr>
        <w:pStyle w:val="2"/>
        <w:ind w:firstLine="480"/>
        <w:outlineLvl w:val="2"/>
        <w:rPr>
          <w:rFonts w:hint="eastAsia"/>
          <w:color w:val="auto"/>
          <w:highlight w:val="none"/>
          <w:lang w:eastAsia="zh-CN"/>
        </w:rPr>
      </w:pPr>
      <w:r>
        <w:rPr>
          <w:color w:val="auto"/>
          <w:highlight w:val="none"/>
          <w:lang w:eastAsia="zh-CN"/>
        </w:rPr>
        <w:t>四</w:t>
      </w:r>
      <w:r>
        <w:rPr>
          <w:rFonts w:hint="eastAsia"/>
          <w:color w:val="auto"/>
          <w:highlight w:val="none"/>
          <w:lang w:eastAsia="zh-CN"/>
        </w:rPr>
        <w:t>、磋商</w:t>
      </w:r>
      <w:r>
        <w:rPr>
          <w:color w:val="auto"/>
          <w:highlight w:val="none"/>
          <w:lang w:eastAsia="zh-CN"/>
        </w:rPr>
        <w:t>保证金</w:t>
      </w:r>
    </w:p>
    <w:p>
      <w:pPr>
        <w:pStyle w:val="2"/>
        <w:ind w:firstLine="480"/>
        <w:outlineLvl w:val="2"/>
        <w:rPr>
          <w:rFonts w:hint="eastAsia"/>
          <w:color w:val="auto"/>
          <w:highlight w:val="none"/>
          <w:lang w:eastAsia="zh-CN"/>
        </w:rPr>
      </w:pPr>
      <w:r>
        <w:rPr>
          <w:color w:val="auto"/>
          <w:highlight w:val="none"/>
          <w:lang w:eastAsia="zh-CN"/>
        </w:rPr>
        <w:t>五、</w:t>
      </w:r>
      <w:r>
        <w:rPr>
          <w:rFonts w:hint="eastAsia"/>
          <w:color w:val="auto"/>
          <w:highlight w:val="none"/>
          <w:lang w:eastAsia="zh-CN"/>
        </w:rPr>
        <w:t>供应商</w:t>
      </w:r>
      <w:r>
        <w:rPr>
          <w:color w:val="auto"/>
          <w:highlight w:val="none"/>
          <w:lang w:eastAsia="zh-CN"/>
        </w:rPr>
        <w:t>基本情况表</w:t>
      </w:r>
    </w:p>
    <w:p>
      <w:pPr>
        <w:pStyle w:val="2"/>
        <w:ind w:firstLine="480"/>
        <w:outlineLvl w:val="2"/>
        <w:rPr>
          <w:rFonts w:hint="eastAsia"/>
          <w:color w:val="auto"/>
          <w:highlight w:val="none"/>
          <w:lang w:eastAsia="zh-CN"/>
        </w:rPr>
      </w:pPr>
      <w:r>
        <w:rPr>
          <w:color w:val="auto"/>
          <w:highlight w:val="none"/>
          <w:lang w:eastAsia="zh-CN"/>
        </w:rPr>
        <w:t>六、监理大纲</w:t>
      </w:r>
    </w:p>
    <w:p>
      <w:pPr>
        <w:pStyle w:val="2"/>
        <w:ind w:firstLine="480"/>
        <w:outlineLvl w:val="2"/>
        <w:rPr>
          <w:rFonts w:hint="eastAsia"/>
          <w:color w:val="auto"/>
          <w:highlight w:val="none"/>
          <w:lang w:eastAsia="zh-CN"/>
        </w:rPr>
      </w:pPr>
      <w:r>
        <w:rPr>
          <w:color w:val="auto"/>
          <w:highlight w:val="none"/>
          <w:lang w:eastAsia="zh-CN"/>
        </w:rPr>
        <w:t>七、其他材料</w:t>
      </w:r>
    </w:p>
    <w:p>
      <w:pPr>
        <w:pStyle w:val="2"/>
        <w:spacing w:before="183" w:line="219" w:lineRule="auto"/>
        <w:ind w:left="68" w:firstLine="474"/>
        <w:outlineLvl w:val="0"/>
        <w:rPr>
          <w:rFonts w:hint="eastAsia"/>
          <w:color w:val="auto"/>
          <w:spacing w:val="-3"/>
          <w:szCs w:val="24"/>
          <w:highlight w:val="none"/>
          <w:lang w:eastAsia="zh-CN"/>
        </w:rPr>
      </w:pPr>
    </w:p>
    <w:p>
      <w:pPr>
        <w:pStyle w:val="2"/>
        <w:spacing w:before="183" w:line="219" w:lineRule="auto"/>
        <w:ind w:left="68" w:firstLine="480"/>
        <w:outlineLvl w:val="0"/>
        <w:rPr>
          <w:rFonts w:hint="eastAsia"/>
          <w:color w:val="auto"/>
          <w:szCs w:val="24"/>
          <w:highlight w:val="none"/>
          <w:lang w:eastAsia="zh-CN"/>
        </w:rPr>
      </w:pPr>
    </w:p>
    <w:p>
      <w:pPr>
        <w:spacing w:line="219" w:lineRule="auto"/>
        <w:rPr>
          <w:color w:val="auto"/>
          <w:sz w:val="24"/>
          <w:szCs w:val="24"/>
          <w:highlight w:val="none"/>
          <w:lang w:eastAsia="zh-CN"/>
        </w:rPr>
        <w:sectPr>
          <w:pgSz w:w="11906" w:h="16839"/>
          <w:pgMar w:top="1431" w:right="1785" w:bottom="957" w:left="1785" w:header="0" w:footer="795" w:gutter="0"/>
          <w:pgNumType w:fmt="decimal"/>
          <w:cols w:space="720" w:num="1"/>
        </w:sectPr>
      </w:pPr>
    </w:p>
    <w:p>
      <w:pPr>
        <w:pStyle w:val="4"/>
        <w:outlineLvl w:val="0"/>
        <w:rPr>
          <w:color w:val="auto"/>
          <w:highlight w:val="none"/>
          <w:lang w:eastAsia="zh-CN"/>
        </w:rPr>
      </w:pPr>
      <w:bookmarkStart w:id="79" w:name="_Toc14580"/>
      <w:r>
        <w:rPr>
          <w:color w:val="auto"/>
          <w:highlight w:val="none"/>
          <w:lang w:eastAsia="zh-CN"/>
        </w:rPr>
        <w:t>一、</w:t>
      </w:r>
      <w:r>
        <w:rPr>
          <w:rFonts w:hint="eastAsia"/>
          <w:color w:val="auto"/>
          <w:highlight w:val="none"/>
          <w:lang w:eastAsia="zh-CN"/>
        </w:rPr>
        <w:t>磋商函</w:t>
      </w:r>
      <w:r>
        <w:rPr>
          <w:color w:val="auto"/>
          <w:highlight w:val="none"/>
          <w:lang w:eastAsia="zh-CN"/>
        </w:rPr>
        <w:t>及</w:t>
      </w:r>
      <w:r>
        <w:rPr>
          <w:rFonts w:hint="eastAsia"/>
          <w:color w:val="auto"/>
          <w:highlight w:val="none"/>
          <w:lang w:eastAsia="zh-CN"/>
        </w:rPr>
        <w:t>磋商函</w:t>
      </w:r>
      <w:r>
        <w:rPr>
          <w:color w:val="auto"/>
          <w:highlight w:val="none"/>
          <w:lang w:eastAsia="zh-CN"/>
        </w:rPr>
        <w:t>附录</w:t>
      </w:r>
      <w:bookmarkEnd w:id="79"/>
    </w:p>
    <w:p>
      <w:pPr>
        <w:pStyle w:val="5"/>
        <w:outlineLvl w:val="1"/>
        <w:rPr>
          <w:color w:val="auto"/>
          <w:highlight w:val="none"/>
          <w:lang w:eastAsia="zh-CN"/>
        </w:rPr>
      </w:pPr>
      <w:bookmarkStart w:id="80" w:name="_Toc11193"/>
      <w:r>
        <w:rPr>
          <w:color w:val="auto"/>
          <w:highlight w:val="none"/>
          <w:lang w:eastAsia="zh-CN"/>
        </w:rPr>
        <w:t>(</w:t>
      </w:r>
      <w:r>
        <w:rPr>
          <w:rFonts w:hint="eastAsia" w:ascii="宋体" w:hAnsi="宋体" w:cs="宋体"/>
          <w:color w:val="auto"/>
          <w:highlight w:val="none"/>
          <w:lang w:eastAsia="zh-CN"/>
        </w:rPr>
        <w:t>一</w:t>
      </w:r>
      <w:r>
        <w:rPr>
          <w:color w:val="auto"/>
          <w:highlight w:val="none"/>
          <w:lang w:eastAsia="zh-CN"/>
        </w:rPr>
        <w:t>)</w:t>
      </w:r>
      <w:r>
        <w:rPr>
          <w:rFonts w:hint="eastAsia" w:ascii="宋体" w:hAnsi="宋体" w:cs="宋体"/>
          <w:color w:val="auto"/>
          <w:highlight w:val="none"/>
          <w:lang w:eastAsia="zh-CN"/>
        </w:rPr>
        <w:t>磋商函</w:t>
      </w:r>
      <w:bookmarkEnd w:id="80"/>
    </w:p>
    <w:p>
      <w:pPr>
        <w:pStyle w:val="2"/>
        <w:spacing w:line="500" w:lineRule="exact"/>
        <w:ind w:firstLine="486"/>
        <w:rPr>
          <w:rFonts w:hint="eastAsia"/>
          <w:color w:val="auto"/>
          <w:szCs w:val="24"/>
          <w:highlight w:val="none"/>
          <w:lang w:eastAsia="zh-CN"/>
        </w:rPr>
      </w:pPr>
      <w:r>
        <w:rPr>
          <w:color w:val="auto"/>
          <w:spacing w:val="3"/>
          <w:szCs w:val="24"/>
          <w:highlight w:val="none"/>
          <w:lang w:eastAsia="zh-CN"/>
        </w:rPr>
        <w:t>致</w:t>
      </w:r>
      <w:r>
        <w:rPr>
          <w:color w:val="auto"/>
          <w:spacing w:val="-16"/>
          <w:szCs w:val="24"/>
          <w:highlight w:val="none"/>
          <w:lang w:eastAsia="zh-CN"/>
        </w:rPr>
        <w:t>：</w:t>
      </w:r>
      <w:r>
        <w:rPr>
          <w:color w:val="auto"/>
          <w:spacing w:val="-16"/>
          <w:szCs w:val="24"/>
          <w:highlight w:val="none"/>
          <w:u w:val="single"/>
          <w:lang w:eastAsia="zh-CN"/>
        </w:rPr>
        <w:t>（</w:t>
      </w:r>
      <w:r>
        <w:rPr>
          <w:rFonts w:hint="eastAsia"/>
          <w:color w:val="auto"/>
          <w:spacing w:val="3"/>
          <w:szCs w:val="24"/>
          <w:highlight w:val="none"/>
          <w:u w:val="single"/>
          <w:lang w:eastAsia="zh-CN"/>
        </w:rPr>
        <w:t>采购</w:t>
      </w:r>
      <w:r>
        <w:rPr>
          <w:color w:val="auto"/>
          <w:spacing w:val="3"/>
          <w:szCs w:val="24"/>
          <w:highlight w:val="none"/>
          <w:u w:val="single"/>
          <w:lang w:eastAsia="zh-CN"/>
        </w:rPr>
        <w:t>人名称）</w:t>
      </w:r>
    </w:p>
    <w:p>
      <w:pPr>
        <w:pStyle w:val="2"/>
        <w:kinsoku/>
        <w:spacing w:line="500" w:lineRule="exact"/>
        <w:ind w:firstLine="478"/>
        <w:rPr>
          <w:rFonts w:hint="eastAsia"/>
          <w:color w:val="auto"/>
          <w:szCs w:val="24"/>
          <w:highlight w:val="none"/>
          <w:lang w:eastAsia="zh-CN"/>
        </w:rPr>
      </w:pPr>
      <w:r>
        <w:rPr>
          <w:color w:val="auto"/>
          <w:spacing w:val="-1"/>
          <w:szCs w:val="24"/>
          <w:highlight w:val="none"/>
          <w:lang w:eastAsia="zh-CN"/>
        </w:rPr>
        <w:t>1、在考察现场并充分研究项目编号为</w:t>
      </w:r>
      <w:r>
        <w:rPr>
          <w:rFonts w:hint="eastAsia"/>
          <w:color w:val="auto"/>
          <w:spacing w:val="-1"/>
          <w:szCs w:val="24"/>
          <w:highlight w:val="none"/>
          <w:u w:val="single"/>
          <w:lang w:eastAsia="zh-CN"/>
        </w:rPr>
        <w:t xml:space="preserve">     </w:t>
      </w:r>
      <w:r>
        <w:rPr>
          <w:color w:val="auto"/>
          <w:spacing w:val="-1"/>
          <w:szCs w:val="24"/>
          <w:highlight w:val="none"/>
          <w:lang w:eastAsia="zh-CN"/>
        </w:rPr>
        <w:t>的</w:t>
      </w:r>
      <w:r>
        <w:rPr>
          <w:color w:val="auto"/>
          <w:spacing w:val="-2"/>
          <w:szCs w:val="24"/>
          <w:highlight w:val="none"/>
          <w:u w:val="single"/>
          <w:lang w:eastAsia="zh-CN"/>
        </w:rPr>
        <w:t>（项目名称</w:t>
      </w:r>
      <w:r>
        <w:rPr>
          <w:color w:val="auto"/>
          <w:spacing w:val="-29"/>
          <w:szCs w:val="24"/>
          <w:highlight w:val="none"/>
          <w:u w:val="single"/>
          <w:lang w:eastAsia="zh-CN"/>
        </w:rPr>
        <w:t>）</w:t>
      </w:r>
      <w:r>
        <w:rPr>
          <w:color w:val="auto"/>
          <w:spacing w:val="-29"/>
          <w:szCs w:val="24"/>
          <w:highlight w:val="none"/>
          <w:lang w:eastAsia="zh-CN"/>
        </w:rPr>
        <w:t>（</w:t>
      </w:r>
      <w:r>
        <w:rPr>
          <w:color w:val="auto"/>
          <w:spacing w:val="-2"/>
          <w:szCs w:val="24"/>
          <w:highlight w:val="none"/>
          <w:lang w:eastAsia="zh-CN"/>
        </w:rPr>
        <w:t>以下简称“本工程”）磋商文件的全部内容后，我方兹以：</w:t>
      </w:r>
      <w:r>
        <w:rPr>
          <w:rFonts w:hint="eastAsia"/>
          <w:color w:val="auto"/>
          <w:spacing w:val="-2"/>
          <w:szCs w:val="24"/>
          <w:highlight w:val="none"/>
          <w:lang w:eastAsia="zh-CN"/>
        </w:rPr>
        <w:t>人民币（大写）</w:t>
      </w:r>
      <w:r>
        <w:rPr>
          <w:color w:val="auto"/>
          <w:spacing w:val="-2"/>
          <w:szCs w:val="24"/>
          <w:highlight w:val="none"/>
          <w:u w:val="single"/>
          <w:lang w:eastAsia="zh-CN"/>
        </w:rPr>
        <w:t xml:space="preserve">            </w:t>
      </w:r>
      <w:r>
        <w:rPr>
          <w:color w:val="auto"/>
          <w:spacing w:val="-2"/>
          <w:szCs w:val="24"/>
          <w:highlight w:val="none"/>
          <w:lang w:eastAsia="zh-CN"/>
        </w:rPr>
        <w:t xml:space="preserve"> </w:t>
      </w:r>
      <w:r>
        <w:rPr>
          <w:rFonts w:hint="eastAsia"/>
          <w:color w:val="auto"/>
          <w:spacing w:val="-2"/>
          <w:szCs w:val="24"/>
          <w:highlight w:val="none"/>
          <w:lang w:eastAsia="zh-CN"/>
        </w:rPr>
        <w:t>（￥</w:t>
      </w:r>
      <w:r>
        <w:rPr>
          <w:color w:val="auto"/>
          <w:spacing w:val="-2"/>
          <w:szCs w:val="24"/>
          <w:highlight w:val="none"/>
          <w:u w:val="single"/>
          <w:lang w:eastAsia="zh-CN"/>
        </w:rPr>
        <w:t xml:space="preserve">             </w:t>
      </w:r>
      <w:r>
        <w:rPr>
          <w:color w:val="auto"/>
          <w:spacing w:val="-2"/>
          <w:szCs w:val="24"/>
          <w:highlight w:val="none"/>
          <w:lang w:eastAsia="zh-CN"/>
        </w:rPr>
        <w:t xml:space="preserve"> </w:t>
      </w:r>
      <w:r>
        <w:rPr>
          <w:rFonts w:hint="eastAsia"/>
          <w:color w:val="auto"/>
          <w:spacing w:val="-2"/>
          <w:szCs w:val="24"/>
          <w:highlight w:val="none"/>
          <w:lang w:eastAsia="zh-CN"/>
        </w:rPr>
        <w:t>元）</w:t>
      </w:r>
      <w:r>
        <w:rPr>
          <w:color w:val="auto"/>
          <w:spacing w:val="-1"/>
          <w:szCs w:val="24"/>
          <w:highlight w:val="none"/>
          <w:lang w:eastAsia="zh-CN"/>
        </w:rPr>
        <w:t>的磋商价格，我方将按照磋商文件的要求，提供并交付与其相一致</w:t>
      </w:r>
      <w:r>
        <w:rPr>
          <w:color w:val="auto"/>
          <w:spacing w:val="-8"/>
          <w:szCs w:val="24"/>
          <w:highlight w:val="none"/>
          <w:lang w:eastAsia="zh-CN"/>
        </w:rPr>
        <w:t>的服务。</w:t>
      </w:r>
    </w:p>
    <w:p>
      <w:pPr>
        <w:pStyle w:val="2"/>
        <w:kinsoku/>
        <w:spacing w:line="500" w:lineRule="exact"/>
        <w:ind w:firstLine="478"/>
        <w:rPr>
          <w:rFonts w:hint="eastAsia"/>
          <w:color w:val="auto"/>
          <w:szCs w:val="24"/>
          <w:highlight w:val="none"/>
          <w:lang w:eastAsia="zh-CN"/>
        </w:rPr>
      </w:pPr>
      <w:r>
        <w:rPr>
          <w:color w:val="auto"/>
          <w:spacing w:val="-1"/>
          <w:szCs w:val="24"/>
          <w:highlight w:val="none"/>
          <w:lang w:eastAsia="zh-CN"/>
        </w:rPr>
        <w:t>2、我方承诺在磋商文件规定的响应有效期内不修改、撤销响应文件。</w:t>
      </w:r>
    </w:p>
    <w:p>
      <w:pPr>
        <w:pStyle w:val="2"/>
        <w:kinsoku/>
        <w:spacing w:line="500" w:lineRule="exact"/>
        <w:ind w:firstLine="476"/>
        <w:rPr>
          <w:rFonts w:hint="eastAsia"/>
          <w:color w:val="auto"/>
          <w:szCs w:val="24"/>
          <w:highlight w:val="none"/>
          <w:lang w:eastAsia="zh-CN"/>
        </w:rPr>
      </w:pPr>
      <w:r>
        <w:rPr>
          <w:color w:val="auto"/>
          <w:spacing w:val="-2"/>
          <w:szCs w:val="24"/>
          <w:highlight w:val="none"/>
          <w:lang w:eastAsia="zh-CN"/>
        </w:rPr>
        <w:t>3、如我方中标：</w:t>
      </w:r>
    </w:p>
    <w:p>
      <w:pPr>
        <w:pStyle w:val="2"/>
        <w:kinsoku/>
        <w:spacing w:line="500" w:lineRule="exact"/>
        <w:ind w:firstLine="478"/>
        <w:rPr>
          <w:rFonts w:hint="eastAsia"/>
          <w:color w:val="auto"/>
          <w:spacing w:val="-1"/>
          <w:szCs w:val="24"/>
          <w:highlight w:val="none"/>
          <w:lang w:eastAsia="zh-CN"/>
        </w:rPr>
      </w:pPr>
      <w:r>
        <w:rPr>
          <w:color w:val="auto"/>
          <w:spacing w:val="-1"/>
          <w:szCs w:val="24"/>
          <w:highlight w:val="none"/>
          <w:lang w:eastAsia="zh-CN"/>
        </w:rPr>
        <w:t>（1）我方承诺在收到中标通知书后，在中标通知书规定的期限内与你方签订合同。</w:t>
      </w:r>
    </w:p>
    <w:p>
      <w:pPr>
        <w:pStyle w:val="2"/>
        <w:kinsoku/>
        <w:spacing w:line="500" w:lineRule="exact"/>
        <w:ind w:firstLine="478"/>
        <w:rPr>
          <w:rFonts w:hint="eastAsia"/>
          <w:color w:val="auto"/>
          <w:spacing w:val="-1"/>
          <w:szCs w:val="24"/>
          <w:highlight w:val="none"/>
          <w:lang w:eastAsia="zh-CN"/>
        </w:rPr>
      </w:pPr>
      <w:r>
        <w:rPr>
          <w:color w:val="auto"/>
          <w:spacing w:val="-1"/>
          <w:szCs w:val="24"/>
          <w:highlight w:val="none"/>
          <w:lang w:eastAsia="zh-CN"/>
        </w:rPr>
        <w:t>（2）随同本磋商函递交的磋商函附录属于合同文件的组成部分，对我方构成约束力。</w:t>
      </w:r>
    </w:p>
    <w:p>
      <w:pPr>
        <w:pStyle w:val="2"/>
        <w:kinsoku/>
        <w:spacing w:line="500" w:lineRule="exact"/>
        <w:ind w:firstLine="478"/>
        <w:rPr>
          <w:rFonts w:hint="eastAsia"/>
          <w:color w:val="auto"/>
          <w:spacing w:val="-1"/>
          <w:szCs w:val="24"/>
          <w:highlight w:val="none"/>
          <w:lang w:eastAsia="zh-CN"/>
        </w:rPr>
      </w:pPr>
      <w:r>
        <w:rPr>
          <w:color w:val="auto"/>
          <w:spacing w:val="-1"/>
          <w:szCs w:val="24"/>
          <w:highlight w:val="none"/>
          <w:lang w:eastAsia="zh-CN"/>
        </w:rPr>
        <w:t>（3）我方承诺按照磋商文件规定向你方递交履约担保。</w:t>
      </w:r>
    </w:p>
    <w:p>
      <w:pPr>
        <w:pStyle w:val="2"/>
        <w:kinsoku/>
        <w:spacing w:line="500" w:lineRule="exact"/>
        <w:ind w:firstLine="478"/>
        <w:rPr>
          <w:rFonts w:hint="eastAsia"/>
          <w:color w:val="auto"/>
          <w:spacing w:val="-1"/>
          <w:szCs w:val="24"/>
          <w:highlight w:val="none"/>
          <w:lang w:eastAsia="zh-CN"/>
        </w:rPr>
      </w:pPr>
      <w:r>
        <w:rPr>
          <w:color w:val="auto"/>
          <w:spacing w:val="-1"/>
          <w:szCs w:val="24"/>
          <w:highlight w:val="none"/>
          <w:lang w:eastAsia="zh-CN"/>
        </w:rPr>
        <w:t>（4）我方承诺在合同约定的期限内完成并移交全部合同工程。</w:t>
      </w:r>
    </w:p>
    <w:p>
      <w:pPr>
        <w:pStyle w:val="2"/>
        <w:kinsoku/>
        <w:spacing w:line="500" w:lineRule="exact"/>
        <w:ind w:firstLine="478"/>
        <w:rPr>
          <w:rFonts w:hint="eastAsia"/>
          <w:color w:val="auto"/>
          <w:spacing w:val="-1"/>
          <w:szCs w:val="24"/>
          <w:highlight w:val="none"/>
          <w:lang w:eastAsia="zh-CN"/>
        </w:rPr>
      </w:pPr>
      <w:r>
        <w:rPr>
          <w:rFonts w:hint="eastAsia"/>
          <w:color w:val="auto"/>
          <w:spacing w:val="-1"/>
          <w:szCs w:val="24"/>
          <w:highlight w:val="none"/>
          <w:lang w:eastAsia="zh-CN"/>
        </w:rPr>
        <w:t>4</w:t>
      </w:r>
      <w:r>
        <w:rPr>
          <w:color w:val="auto"/>
          <w:spacing w:val="-1"/>
          <w:szCs w:val="24"/>
          <w:highlight w:val="none"/>
          <w:lang w:eastAsia="zh-CN"/>
        </w:rPr>
        <w:t>、我方在此声明，所递交的响应文件及有关资料内容完整、真实和准确，且不存在第二章“</w:t>
      </w:r>
      <w:r>
        <w:rPr>
          <w:rFonts w:hint="eastAsia"/>
          <w:color w:val="auto"/>
          <w:spacing w:val="-1"/>
          <w:szCs w:val="24"/>
          <w:highlight w:val="none"/>
          <w:lang w:eastAsia="zh-CN"/>
        </w:rPr>
        <w:t>供应商</w:t>
      </w:r>
      <w:r>
        <w:rPr>
          <w:color w:val="auto"/>
          <w:spacing w:val="-1"/>
          <w:szCs w:val="24"/>
          <w:highlight w:val="none"/>
          <w:lang w:eastAsia="zh-CN"/>
        </w:rPr>
        <w:t>须知”第1.4.3项规定的任何一种情形。</w:t>
      </w:r>
    </w:p>
    <w:p>
      <w:pPr>
        <w:pStyle w:val="2"/>
        <w:kinsoku/>
        <w:spacing w:line="500" w:lineRule="exact"/>
        <w:ind w:firstLine="478"/>
        <w:rPr>
          <w:rFonts w:hint="eastAsia"/>
          <w:color w:val="auto"/>
          <w:spacing w:val="-1"/>
          <w:szCs w:val="24"/>
          <w:highlight w:val="none"/>
          <w:lang w:eastAsia="zh-CN"/>
        </w:rPr>
      </w:pPr>
      <w:r>
        <w:rPr>
          <w:rFonts w:hint="eastAsia"/>
          <w:color w:val="auto"/>
          <w:spacing w:val="-1"/>
          <w:szCs w:val="24"/>
          <w:highlight w:val="none"/>
          <w:lang w:eastAsia="zh-CN"/>
        </w:rPr>
        <w:t>5</w:t>
      </w:r>
      <w:r>
        <w:rPr>
          <w:color w:val="auto"/>
          <w:spacing w:val="-1"/>
          <w:szCs w:val="24"/>
          <w:highlight w:val="none"/>
          <w:lang w:eastAsia="zh-CN"/>
        </w:rPr>
        <w:t>、我们已详细阅读了全部磋商文件，包括磋商文件的修改、补充文件、参考资料及有关的附件，我们接受磋商文件的全部条款和条件，并严格按照磋商文件要求编制投标书和履行一切必要手续。</w:t>
      </w:r>
    </w:p>
    <w:p>
      <w:pPr>
        <w:pStyle w:val="2"/>
        <w:kinsoku/>
        <w:spacing w:line="500" w:lineRule="exact"/>
        <w:ind w:firstLine="478"/>
        <w:rPr>
          <w:rFonts w:hint="eastAsia"/>
          <w:color w:val="auto"/>
          <w:spacing w:val="-1"/>
          <w:szCs w:val="24"/>
          <w:highlight w:val="none"/>
          <w:lang w:eastAsia="zh-CN"/>
        </w:rPr>
      </w:pPr>
      <w:r>
        <w:rPr>
          <w:rFonts w:hint="eastAsia"/>
          <w:color w:val="auto"/>
          <w:spacing w:val="-1"/>
          <w:szCs w:val="24"/>
          <w:highlight w:val="none"/>
          <w:lang w:eastAsia="zh-CN"/>
        </w:rPr>
        <w:t>6</w:t>
      </w:r>
      <w:r>
        <w:rPr>
          <w:color w:val="auto"/>
          <w:spacing w:val="-1"/>
          <w:szCs w:val="24"/>
          <w:highlight w:val="none"/>
          <w:lang w:eastAsia="zh-CN"/>
        </w:rPr>
        <w:t>、我们对磋商文件关于时限、程序方面的规定没有异议，保证按照磋商文件规定的时限和程序参加投标活动。</w:t>
      </w:r>
    </w:p>
    <w:p>
      <w:pPr>
        <w:pStyle w:val="2"/>
        <w:kinsoku/>
        <w:spacing w:line="500" w:lineRule="exact"/>
        <w:ind w:firstLine="478"/>
        <w:rPr>
          <w:rFonts w:hint="eastAsia"/>
          <w:color w:val="auto"/>
          <w:spacing w:val="-1"/>
          <w:szCs w:val="24"/>
          <w:highlight w:val="none"/>
          <w:lang w:eastAsia="zh-CN"/>
        </w:rPr>
      </w:pPr>
      <w:r>
        <w:rPr>
          <w:rFonts w:hint="eastAsia"/>
          <w:color w:val="auto"/>
          <w:spacing w:val="-1"/>
          <w:szCs w:val="24"/>
          <w:highlight w:val="none"/>
          <w:lang w:eastAsia="zh-CN"/>
        </w:rPr>
        <w:t>7</w:t>
      </w:r>
      <w:r>
        <w:rPr>
          <w:color w:val="auto"/>
          <w:spacing w:val="-1"/>
          <w:szCs w:val="24"/>
          <w:highlight w:val="none"/>
          <w:lang w:eastAsia="zh-CN"/>
        </w:rPr>
        <w:t>、我们同意在</w:t>
      </w:r>
      <w:r>
        <w:rPr>
          <w:rFonts w:hint="eastAsia"/>
          <w:color w:val="auto"/>
          <w:spacing w:val="-1"/>
          <w:szCs w:val="24"/>
          <w:highlight w:val="none"/>
          <w:lang w:eastAsia="zh-CN"/>
        </w:rPr>
        <w:t>供应商</w:t>
      </w:r>
      <w:r>
        <w:rPr>
          <w:color w:val="auto"/>
          <w:spacing w:val="-1"/>
          <w:szCs w:val="24"/>
          <w:highlight w:val="none"/>
          <w:lang w:eastAsia="zh-CN"/>
        </w:rPr>
        <w:t>须知规定的开标时间起遵循本投标书，并在</w:t>
      </w:r>
      <w:r>
        <w:rPr>
          <w:rFonts w:hint="eastAsia"/>
          <w:color w:val="auto"/>
          <w:spacing w:val="-1"/>
          <w:szCs w:val="24"/>
          <w:highlight w:val="none"/>
          <w:lang w:eastAsia="zh-CN"/>
        </w:rPr>
        <w:t>供应商</w:t>
      </w:r>
      <w:r>
        <w:rPr>
          <w:color w:val="auto"/>
          <w:spacing w:val="-1"/>
          <w:szCs w:val="24"/>
          <w:highlight w:val="none"/>
          <w:lang w:eastAsia="zh-CN"/>
        </w:rPr>
        <w:t>须知规定的响应有效期满之前均具有约束力。</w:t>
      </w:r>
    </w:p>
    <w:p>
      <w:pPr>
        <w:pStyle w:val="2"/>
        <w:kinsoku/>
        <w:spacing w:line="500" w:lineRule="exact"/>
        <w:ind w:firstLine="478"/>
        <w:rPr>
          <w:rFonts w:hint="eastAsia"/>
          <w:color w:val="auto"/>
          <w:spacing w:val="-1"/>
          <w:szCs w:val="24"/>
          <w:highlight w:val="none"/>
          <w:lang w:eastAsia="zh-CN"/>
        </w:rPr>
      </w:pPr>
      <w:r>
        <w:rPr>
          <w:rFonts w:hint="eastAsia"/>
          <w:color w:val="auto"/>
          <w:spacing w:val="-1"/>
          <w:szCs w:val="24"/>
          <w:highlight w:val="none"/>
          <w:lang w:eastAsia="zh-CN"/>
        </w:rPr>
        <w:t>8</w:t>
      </w:r>
      <w:r>
        <w:rPr>
          <w:color w:val="auto"/>
          <w:spacing w:val="-1"/>
          <w:szCs w:val="24"/>
          <w:highlight w:val="none"/>
          <w:lang w:eastAsia="zh-CN"/>
        </w:rPr>
        <w:t>、我们如果在规定的响应有效期内撤回投标，则你方可不予退还我们的磋商保证金。</w:t>
      </w:r>
    </w:p>
    <w:p>
      <w:pPr>
        <w:pStyle w:val="2"/>
        <w:kinsoku/>
        <w:spacing w:line="500" w:lineRule="exact"/>
        <w:ind w:firstLine="478"/>
        <w:rPr>
          <w:rFonts w:hint="eastAsia"/>
          <w:color w:val="auto"/>
          <w:spacing w:val="-1"/>
          <w:szCs w:val="24"/>
          <w:highlight w:val="none"/>
          <w:lang w:eastAsia="zh-CN"/>
        </w:rPr>
      </w:pPr>
      <w:r>
        <w:rPr>
          <w:rFonts w:hint="eastAsia"/>
          <w:color w:val="auto"/>
          <w:spacing w:val="-1"/>
          <w:szCs w:val="24"/>
          <w:highlight w:val="none"/>
          <w:lang w:eastAsia="zh-CN"/>
        </w:rPr>
        <w:t>9</w:t>
      </w:r>
      <w:r>
        <w:rPr>
          <w:color w:val="auto"/>
          <w:spacing w:val="-1"/>
          <w:szCs w:val="24"/>
          <w:highlight w:val="none"/>
          <w:lang w:eastAsia="zh-CN"/>
        </w:rPr>
        <w:t>、我们保证向你方提供你方可能要求的与本投标有关的任何证据或资料。</w:t>
      </w:r>
    </w:p>
    <w:p>
      <w:pPr>
        <w:pStyle w:val="2"/>
        <w:kinsoku/>
        <w:spacing w:line="500" w:lineRule="exact"/>
        <w:ind w:firstLine="478"/>
        <w:rPr>
          <w:rFonts w:hint="eastAsia"/>
          <w:color w:val="auto"/>
          <w:spacing w:val="-1"/>
          <w:szCs w:val="24"/>
          <w:highlight w:val="none"/>
          <w:lang w:eastAsia="zh-CN"/>
        </w:rPr>
      </w:pPr>
      <w:r>
        <w:rPr>
          <w:color w:val="auto"/>
          <w:spacing w:val="-1"/>
          <w:szCs w:val="24"/>
          <w:highlight w:val="none"/>
          <w:lang w:eastAsia="zh-CN"/>
        </w:rPr>
        <w:t>1</w:t>
      </w:r>
      <w:r>
        <w:rPr>
          <w:rFonts w:hint="eastAsia"/>
          <w:color w:val="auto"/>
          <w:spacing w:val="-1"/>
          <w:szCs w:val="24"/>
          <w:highlight w:val="none"/>
          <w:lang w:eastAsia="zh-CN"/>
        </w:rPr>
        <w:t>0</w:t>
      </w:r>
      <w:r>
        <w:rPr>
          <w:color w:val="auto"/>
          <w:spacing w:val="-1"/>
          <w:szCs w:val="24"/>
          <w:highlight w:val="none"/>
          <w:lang w:eastAsia="zh-CN"/>
        </w:rPr>
        <w:t>、我们完全理解你方不一定要接受最低报价的投标或收到的任何投标。</w:t>
      </w:r>
    </w:p>
    <w:p>
      <w:pPr>
        <w:pStyle w:val="2"/>
        <w:kinsoku/>
        <w:spacing w:line="500" w:lineRule="exact"/>
        <w:ind w:firstLine="478"/>
        <w:rPr>
          <w:rFonts w:hint="eastAsia"/>
          <w:color w:val="auto"/>
          <w:spacing w:val="-1"/>
          <w:szCs w:val="24"/>
          <w:highlight w:val="none"/>
          <w:lang w:eastAsia="zh-CN"/>
        </w:rPr>
      </w:pPr>
      <w:r>
        <w:rPr>
          <w:color w:val="auto"/>
          <w:spacing w:val="-1"/>
          <w:szCs w:val="24"/>
          <w:highlight w:val="none"/>
          <w:lang w:eastAsia="zh-CN"/>
        </w:rPr>
        <w:t>1</w:t>
      </w:r>
      <w:r>
        <w:rPr>
          <w:rFonts w:hint="eastAsia"/>
          <w:color w:val="auto"/>
          <w:spacing w:val="-1"/>
          <w:szCs w:val="24"/>
          <w:highlight w:val="none"/>
          <w:lang w:eastAsia="zh-CN"/>
        </w:rPr>
        <w:t>1</w:t>
      </w:r>
      <w:r>
        <w:rPr>
          <w:color w:val="auto"/>
          <w:spacing w:val="-1"/>
          <w:szCs w:val="24"/>
          <w:highlight w:val="none"/>
          <w:lang w:eastAsia="zh-CN"/>
        </w:rPr>
        <w:t>、本投标自开标之日起</w:t>
      </w:r>
      <w:r>
        <w:rPr>
          <w:rFonts w:hint="eastAsia"/>
          <w:color w:val="auto"/>
          <w:spacing w:val="-1"/>
          <w:szCs w:val="24"/>
          <w:highlight w:val="none"/>
          <w:lang w:eastAsia="zh-CN"/>
        </w:rPr>
        <w:t>90</w:t>
      </w:r>
      <w:r>
        <w:rPr>
          <w:color w:val="auto"/>
          <w:spacing w:val="-1"/>
          <w:szCs w:val="24"/>
          <w:highlight w:val="none"/>
          <w:lang w:eastAsia="zh-CN"/>
        </w:rPr>
        <w:t>天内有效。</w:t>
      </w:r>
    </w:p>
    <w:p>
      <w:pPr>
        <w:pStyle w:val="2"/>
        <w:kinsoku/>
        <w:spacing w:line="500" w:lineRule="exact"/>
        <w:ind w:firstLine="478"/>
        <w:rPr>
          <w:rFonts w:hint="eastAsia"/>
          <w:color w:val="auto"/>
          <w:szCs w:val="24"/>
          <w:highlight w:val="none"/>
          <w:lang w:eastAsia="zh-CN"/>
        </w:rPr>
      </w:pPr>
      <w:r>
        <w:rPr>
          <w:color w:val="auto"/>
          <w:spacing w:val="-1"/>
          <w:szCs w:val="24"/>
          <w:highlight w:val="none"/>
          <w:lang w:eastAsia="zh-CN"/>
        </w:rPr>
        <w:t>1</w:t>
      </w:r>
      <w:r>
        <w:rPr>
          <w:rFonts w:hint="eastAsia"/>
          <w:color w:val="auto"/>
          <w:spacing w:val="-1"/>
          <w:szCs w:val="24"/>
          <w:highlight w:val="none"/>
          <w:lang w:eastAsia="zh-CN"/>
        </w:rPr>
        <w:t>2</w:t>
      </w:r>
      <w:r>
        <w:rPr>
          <w:color w:val="auto"/>
          <w:spacing w:val="-1"/>
          <w:szCs w:val="24"/>
          <w:highlight w:val="none"/>
          <w:lang w:eastAsia="zh-CN"/>
        </w:rPr>
        <w:t>、我方保证严格遵守《中华人民共和国政府采购法》的有关规定，若有下列情形之一的，我方将被处不予退还磋商保证金，列入不良行为记录名单，在一至三年内禁止参加政府采购活动，并予以公告：</w:t>
      </w:r>
    </w:p>
    <w:p>
      <w:pPr>
        <w:pStyle w:val="2"/>
        <w:kinsoku/>
        <w:spacing w:line="500" w:lineRule="exact"/>
        <w:ind w:firstLine="478"/>
        <w:rPr>
          <w:rFonts w:hint="eastAsia"/>
          <w:color w:val="auto"/>
          <w:spacing w:val="-1"/>
          <w:szCs w:val="24"/>
          <w:highlight w:val="none"/>
          <w:lang w:eastAsia="zh-CN"/>
        </w:rPr>
      </w:pPr>
      <w:r>
        <w:rPr>
          <w:color w:val="auto"/>
          <w:spacing w:val="-1"/>
          <w:szCs w:val="24"/>
          <w:highlight w:val="none"/>
          <w:lang w:eastAsia="zh-CN"/>
        </w:rPr>
        <w:t>（1）提供虚假材料谋取成交、成交的；</w:t>
      </w:r>
    </w:p>
    <w:p>
      <w:pPr>
        <w:pStyle w:val="2"/>
        <w:kinsoku/>
        <w:spacing w:line="500" w:lineRule="exact"/>
        <w:ind w:firstLine="478"/>
        <w:rPr>
          <w:rFonts w:hint="eastAsia"/>
          <w:color w:val="auto"/>
          <w:spacing w:val="-1"/>
          <w:szCs w:val="24"/>
          <w:highlight w:val="none"/>
          <w:lang w:eastAsia="zh-CN"/>
        </w:rPr>
      </w:pPr>
      <w:r>
        <w:rPr>
          <w:color w:val="auto"/>
          <w:spacing w:val="-1"/>
          <w:szCs w:val="24"/>
          <w:highlight w:val="none"/>
          <w:lang w:eastAsia="zh-CN"/>
        </w:rPr>
        <w:t>（2）采取不正当手段诋毁、排挤其他</w:t>
      </w:r>
      <w:r>
        <w:rPr>
          <w:rFonts w:hint="eastAsia"/>
          <w:color w:val="auto"/>
          <w:spacing w:val="-1"/>
          <w:szCs w:val="24"/>
          <w:highlight w:val="none"/>
          <w:lang w:eastAsia="zh-CN"/>
        </w:rPr>
        <w:t>供应商</w:t>
      </w:r>
      <w:r>
        <w:rPr>
          <w:color w:val="auto"/>
          <w:spacing w:val="-1"/>
          <w:szCs w:val="24"/>
          <w:highlight w:val="none"/>
          <w:lang w:eastAsia="zh-CN"/>
        </w:rPr>
        <w:t>的；</w:t>
      </w:r>
    </w:p>
    <w:p>
      <w:pPr>
        <w:pStyle w:val="2"/>
        <w:kinsoku/>
        <w:spacing w:line="500" w:lineRule="exact"/>
        <w:ind w:firstLine="478"/>
        <w:rPr>
          <w:rFonts w:hint="eastAsia"/>
          <w:color w:val="auto"/>
          <w:spacing w:val="-1"/>
          <w:szCs w:val="24"/>
          <w:highlight w:val="none"/>
          <w:lang w:eastAsia="zh-CN"/>
        </w:rPr>
      </w:pPr>
      <w:r>
        <w:rPr>
          <w:color w:val="auto"/>
          <w:spacing w:val="-1"/>
          <w:szCs w:val="24"/>
          <w:highlight w:val="none"/>
          <w:lang w:eastAsia="zh-CN"/>
        </w:rPr>
        <w:t>（3）与其他</w:t>
      </w:r>
      <w:r>
        <w:rPr>
          <w:rFonts w:hint="eastAsia"/>
          <w:color w:val="auto"/>
          <w:spacing w:val="-1"/>
          <w:szCs w:val="24"/>
          <w:highlight w:val="none"/>
          <w:lang w:eastAsia="zh-CN"/>
        </w:rPr>
        <w:t>供应商</w:t>
      </w:r>
      <w:r>
        <w:rPr>
          <w:color w:val="auto"/>
          <w:spacing w:val="-1"/>
          <w:szCs w:val="24"/>
          <w:highlight w:val="none"/>
          <w:lang w:eastAsia="zh-CN"/>
        </w:rPr>
        <w:t>、招标机构或者采购单位人员或者其他有关人员恶意串通的；</w:t>
      </w:r>
    </w:p>
    <w:p>
      <w:pPr>
        <w:pStyle w:val="2"/>
        <w:kinsoku/>
        <w:spacing w:line="500" w:lineRule="exact"/>
        <w:ind w:firstLine="478"/>
        <w:rPr>
          <w:rFonts w:hint="eastAsia"/>
          <w:color w:val="auto"/>
          <w:spacing w:val="-1"/>
          <w:szCs w:val="24"/>
          <w:highlight w:val="none"/>
          <w:lang w:eastAsia="zh-CN"/>
        </w:rPr>
      </w:pPr>
      <w:r>
        <w:rPr>
          <w:color w:val="auto"/>
          <w:spacing w:val="-1"/>
          <w:szCs w:val="24"/>
          <w:highlight w:val="none"/>
          <w:lang w:eastAsia="zh-CN"/>
        </w:rPr>
        <w:t>（4）向竞争性磋商小组成员、招标机构或者采购单位人员或者其他有关人员行贿或者提供其他不正当利益的；</w:t>
      </w:r>
    </w:p>
    <w:p>
      <w:pPr>
        <w:pStyle w:val="2"/>
        <w:kinsoku/>
        <w:spacing w:line="500" w:lineRule="exact"/>
        <w:ind w:firstLine="478"/>
        <w:rPr>
          <w:rFonts w:hint="eastAsia"/>
          <w:color w:val="auto"/>
          <w:spacing w:val="-1"/>
          <w:szCs w:val="24"/>
          <w:highlight w:val="none"/>
          <w:lang w:eastAsia="zh-CN"/>
        </w:rPr>
      </w:pPr>
      <w:r>
        <w:rPr>
          <w:color w:val="auto"/>
          <w:spacing w:val="-1"/>
          <w:szCs w:val="24"/>
          <w:highlight w:val="none"/>
          <w:lang w:eastAsia="zh-CN"/>
        </w:rPr>
        <w:t>（5）被评定成交后无正当理由不与招标人或者招标代理机构订立合同，或者成交后不按磋商文件和成交供应商的响应文件订立合同，或者与招标人另行订立背离合同实质性内容的协议的；</w:t>
      </w:r>
    </w:p>
    <w:p>
      <w:pPr>
        <w:pStyle w:val="2"/>
        <w:kinsoku/>
        <w:spacing w:line="500" w:lineRule="exact"/>
        <w:ind w:firstLine="478"/>
        <w:rPr>
          <w:rFonts w:hint="eastAsia"/>
          <w:color w:val="auto"/>
          <w:spacing w:val="-1"/>
          <w:szCs w:val="24"/>
          <w:highlight w:val="none"/>
          <w:lang w:eastAsia="zh-CN"/>
        </w:rPr>
      </w:pPr>
      <w:r>
        <w:rPr>
          <w:color w:val="auto"/>
          <w:spacing w:val="-1"/>
          <w:szCs w:val="24"/>
          <w:highlight w:val="none"/>
          <w:lang w:eastAsia="zh-CN"/>
        </w:rPr>
        <w:t>（6）将成交项目转让给他人或者将成交项目分包给他人的；</w:t>
      </w:r>
    </w:p>
    <w:p>
      <w:pPr>
        <w:pStyle w:val="2"/>
        <w:kinsoku/>
        <w:spacing w:line="500" w:lineRule="exact"/>
        <w:ind w:firstLine="478"/>
        <w:rPr>
          <w:rFonts w:hint="eastAsia"/>
          <w:color w:val="auto"/>
          <w:spacing w:val="-1"/>
          <w:szCs w:val="24"/>
          <w:highlight w:val="none"/>
          <w:lang w:eastAsia="zh-CN"/>
        </w:rPr>
      </w:pPr>
      <w:r>
        <w:rPr>
          <w:color w:val="auto"/>
          <w:spacing w:val="-1"/>
          <w:szCs w:val="24"/>
          <w:highlight w:val="none"/>
          <w:lang w:eastAsia="zh-CN"/>
        </w:rPr>
        <w:t>（7）签订合同后拒绝履行合同义务的；</w:t>
      </w:r>
    </w:p>
    <w:p>
      <w:pPr>
        <w:pStyle w:val="2"/>
        <w:kinsoku/>
        <w:spacing w:line="500" w:lineRule="exact"/>
        <w:ind w:firstLine="478"/>
        <w:rPr>
          <w:rFonts w:hint="eastAsia"/>
          <w:color w:val="auto"/>
          <w:spacing w:val="-1"/>
          <w:szCs w:val="24"/>
          <w:highlight w:val="none"/>
          <w:lang w:eastAsia="zh-CN"/>
        </w:rPr>
      </w:pPr>
      <w:r>
        <w:rPr>
          <w:color w:val="auto"/>
          <w:spacing w:val="-1"/>
          <w:szCs w:val="24"/>
          <w:highlight w:val="none"/>
          <w:lang w:eastAsia="zh-CN"/>
        </w:rPr>
        <w:t>（8）拒绝有关部门监督检查或提供虚假情况的。</w:t>
      </w:r>
    </w:p>
    <w:p>
      <w:pPr>
        <w:pStyle w:val="2"/>
        <w:kinsoku/>
        <w:spacing w:line="500" w:lineRule="exact"/>
        <w:ind w:firstLine="478"/>
        <w:rPr>
          <w:rFonts w:hint="eastAsia"/>
          <w:color w:val="auto"/>
          <w:spacing w:val="-1"/>
          <w:szCs w:val="24"/>
          <w:highlight w:val="none"/>
          <w:lang w:eastAsia="zh-CN"/>
        </w:rPr>
      </w:pPr>
      <w:r>
        <w:rPr>
          <w:color w:val="auto"/>
          <w:spacing w:val="-1"/>
          <w:szCs w:val="24"/>
          <w:highlight w:val="none"/>
          <w:lang w:eastAsia="zh-CN"/>
        </w:rPr>
        <w:t>1</w:t>
      </w:r>
      <w:r>
        <w:rPr>
          <w:rFonts w:hint="eastAsia"/>
          <w:color w:val="auto"/>
          <w:spacing w:val="-1"/>
          <w:szCs w:val="24"/>
          <w:highlight w:val="none"/>
          <w:lang w:eastAsia="zh-CN"/>
        </w:rPr>
        <w:t>3</w:t>
      </w:r>
      <w:r>
        <w:rPr>
          <w:color w:val="auto"/>
          <w:spacing w:val="-1"/>
          <w:szCs w:val="24"/>
          <w:highlight w:val="none"/>
          <w:lang w:eastAsia="zh-CN"/>
        </w:rPr>
        <w:t>、（其他补充说明）。</w:t>
      </w:r>
    </w:p>
    <w:p>
      <w:pPr>
        <w:spacing w:line="245" w:lineRule="auto"/>
        <w:rPr>
          <w:color w:val="auto"/>
          <w:highlight w:val="none"/>
          <w:lang w:eastAsia="zh-CN"/>
        </w:rPr>
      </w:pPr>
    </w:p>
    <w:p>
      <w:pPr>
        <w:spacing w:line="245" w:lineRule="auto"/>
        <w:rPr>
          <w:color w:val="auto"/>
          <w:highlight w:val="none"/>
          <w:lang w:eastAsia="zh-CN"/>
        </w:rPr>
      </w:pPr>
    </w:p>
    <w:p>
      <w:pPr>
        <w:spacing w:line="245" w:lineRule="auto"/>
        <w:rPr>
          <w:color w:val="auto"/>
          <w:highlight w:val="none"/>
          <w:lang w:eastAsia="zh-CN"/>
        </w:rPr>
      </w:pPr>
    </w:p>
    <w:p>
      <w:pPr>
        <w:spacing w:line="245" w:lineRule="auto"/>
        <w:rPr>
          <w:color w:val="auto"/>
          <w:highlight w:val="none"/>
          <w:lang w:eastAsia="zh-CN"/>
        </w:rPr>
      </w:pPr>
    </w:p>
    <w:p>
      <w:pPr>
        <w:spacing w:line="246" w:lineRule="auto"/>
        <w:rPr>
          <w:color w:val="auto"/>
          <w:highlight w:val="none"/>
          <w:lang w:eastAsia="zh-CN"/>
        </w:rPr>
      </w:pPr>
    </w:p>
    <w:p>
      <w:pPr>
        <w:spacing w:line="246" w:lineRule="auto"/>
        <w:rPr>
          <w:color w:val="auto"/>
          <w:highlight w:val="none"/>
          <w:lang w:eastAsia="zh-CN"/>
        </w:rPr>
      </w:pPr>
    </w:p>
    <w:p>
      <w:pPr>
        <w:spacing w:line="246" w:lineRule="auto"/>
        <w:rPr>
          <w:color w:val="auto"/>
          <w:highlight w:val="none"/>
          <w:lang w:eastAsia="zh-CN"/>
        </w:rPr>
      </w:pPr>
    </w:p>
    <w:p>
      <w:pPr>
        <w:spacing w:line="246" w:lineRule="auto"/>
        <w:rPr>
          <w:color w:val="auto"/>
          <w:highlight w:val="none"/>
          <w:lang w:eastAsia="zh-CN"/>
        </w:rPr>
      </w:pPr>
    </w:p>
    <w:p>
      <w:pPr>
        <w:pStyle w:val="2"/>
        <w:spacing w:before="79"/>
        <w:ind w:firstLine="482"/>
        <w:jc w:val="right"/>
        <w:rPr>
          <w:rFonts w:hint="eastAsia"/>
          <w:color w:val="auto"/>
          <w:szCs w:val="24"/>
          <w:highlight w:val="none"/>
          <w:lang w:eastAsia="zh-CN"/>
        </w:rPr>
      </w:pPr>
      <w:r>
        <w:rPr>
          <w:rFonts w:hint="eastAsia"/>
          <w:color w:val="auto"/>
          <w:spacing w:val="1"/>
          <w:szCs w:val="24"/>
          <w:highlight w:val="none"/>
          <w:lang w:eastAsia="zh-CN"/>
        </w:rPr>
        <w:t>供应商</w:t>
      </w:r>
      <w:r>
        <w:rPr>
          <w:color w:val="auto"/>
          <w:spacing w:val="-17"/>
          <w:szCs w:val="24"/>
          <w:highlight w:val="none"/>
          <w:lang w:eastAsia="zh-CN"/>
        </w:rPr>
        <w:t>：</w:t>
      </w:r>
      <w:r>
        <w:rPr>
          <w:rFonts w:hint="eastAsia"/>
          <w:color w:val="auto"/>
          <w:spacing w:val="-17"/>
          <w:szCs w:val="24"/>
          <w:highlight w:val="none"/>
          <w:u w:val="single"/>
          <w:lang w:eastAsia="zh-CN"/>
        </w:rPr>
        <w:t xml:space="preserve">       </w:t>
      </w:r>
      <w:r>
        <w:rPr>
          <w:color w:val="auto"/>
          <w:spacing w:val="-17"/>
          <w:szCs w:val="24"/>
          <w:highlight w:val="none"/>
          <w:lang w:eastAsia="zh-CN"/>
        </w:rPr>
        <w:t>（</w:t>
      </w:r>
      <w:r>
        <w:rPr>
          <w:color w:val="auto"/>
          <w:spacing w:val="1"/>
          <w:szCs w:val="24"/>
          <w:highlight w:val="none"/>
          <w:lang w:eastAsia="zh-CN"/>
        </w:rPr>
        <w:t>盖单位章）</w:t>
      </w:r>
    </w:p>
    <w:p>
      <w:pPr>
        <w:pStyle w:val="2"/>
        <w:spacing w:line="219" w:lineRule="auto"/>
        <w:ind w:firstLine="482"/>
        <w:jc w:val="right"/>
        <w:rPr>
          <w:rFonts w:hint="eastAsia"/>
          <w:color w:val="auto"/>
          <w:szCs w:val="24"/>
          <w:highlight w:val="none"/>
          <w:lang w:eastAsia="zh-CN"/>
        </w:rPr>
      </w:pPr>
      <w:r>
        <w:rPr>
          <w:color w:val="auto"/>
          <w:spacing w:val="1"/>
          <w:szCs w:val="24"/>
          <w:highlight w:val="none"/>
          <w:lang w:eastAsia="zh-CN"/>
        </w:rPr>
        <w:t>法定代表人或其委托代理人</w:t>
      </w:r>
      <w:r>
        <w:rPr>
          <w:color w:val="auto"/>
          <w:spacing w:val="-14"/>
          <w:szCs w:val="24"/>
          <w:highlight w:val="none"/>
          <w:lang w:eastAsia="zh-CN"/>
        </w:rPr>
        <w:t>：</w:t>
      </w:r>
      <w:r>
        <w:rPr>
          <w:rFonts w:hint="eastAsia"/>
          <w:color w:val="auto"/>
          <w:spacing w:val="-14"/>
          <w:szCs w:val="24"/>
          <w:highlight w:val="none"/>
          <w:u w:val="single"/>
          <w:lang w:eastAsia="zh-CN"/>
        </w:rPr>
        <w:t xml:space="preserve">          </w:t>
      </w:r>
      <w:r>
        <w:rPr>
          <w:color w:val="auto"/>
          <w:spacing w:val="-14"/>
          <w:szCs w:val="24"/>
          <w:highlight w:val="none"/>
          <w:lang w:eastAsia="zh-CN"/>
        </w:rPr>
        <w:t>（</w:t>
      </w:r>
      <w:r>
        <w:rPr>
          <w:color w:val="auto"/>
          <w:spacing w:val="1"/>
          <w:szCs w:val="24"/>
          <w:highlight w:val="none"/>
          <w:lang w:eastAsia="zh-CN"/>
        </w:rPr>
        <w:t>签字）</w:t>
      </w:r>
    </w:p>
    <w:p>
      <w:pPr>
        <w:pStyle w:val="2"/>
        <w:spacing w:before="184" w:line="219" w:lineRule="auto"/>
        <w:ind w:firstLine="428"/>
        <w:jc w:val="right"/>
        <w:rPr>
          <w:rFonts w:hint="eastAsia"/>
          <w:color w:val="auto"/>
          <w:spacing w:val="-26"/>
          <w:szCs w:val="24"/>
          <w:highlight w:val="none"/>
          <w:lang w:eastAsia="zh-CN"/>
        </w:rPr>
      </w:pPr>
      <w:r>
        <w:rPr>
          <w:rFonts w:hint="eastAsia"/>
          <w:color w:val="auto"/>
          <w:spacing w:val="-26"/>
          <w:szCs w:val="24"/>
          <w:highlight w:val="none"/>
          <w:lang w:eastAsia="zh-CN"/>
        </w:rPr>
        <w:t xml:space="preserve">  </w:t>
      </w:r>
      <w:r>
        <w:rPr>
          <w:color w:val="auto"/>
          <w:spacing w:val="-26"/>
          <w:szCs w:val="24"/>
          <w:highlight w:val="none"/>
          <w:lang w:eastAsia="zh-CN"/>
        </w:rPr>
        <w:t>年</w:t>
      </w:r>
      <w:r>
        <w:rPr>
          <w:rFonts w:hint="eastAsia"/>
          <w:color w:val="auto"/>
          <w:spacing w:val="-26"/>
          <w:szCs w:val="24"/>
          <w:highlight w:val="none"/>
          <w:lang w:eastAsia="zh-CN"/>
        </w:rPr>
        <w:t xml:space="preserve">  </w:t>
      </w:r>
      <w:r>
        <w:rPr>
          <w:color w:val="auto"/>
          <w:spacing w:val="-26"/>
          <w:szCs w:val="24"/>
          <w:highlight w:val="none"/>
          <w:lang w:eastAsia="zh-CN"/>
        </w:rPr>
        <w:t>月</w:t>
      </w:r>
      <w:r>
        <w:rPr>
          <w:rFonts w:hint="eastAsia"/>
          <w:color w:val="auto"/>
          <w:spacing w:val="-26"/>
          <w:szCs w:val="24"/>
          <w:highlight w:val="none"/>
          <w:lang w:eastAsia="zh-CN"/>
        </w:rPr>
        <w:t xml:space="preserve">  </w:t>
      </w:r>
      <w:r>
        <w:rPr>
          <w:color w:val="auto"/>
          <w:spacing w:val="-26"/>
          <w:szCs w:val="24"/>
          <w:highlight w:val="none"/>
          <w:lang w:eastAsia="zh-CN"/>
        </w:rPr>
        <w:t>日</w:t>
      </w:r>
    </w:p>
    <w:p>
      <w:pPr>
        <w:kinsoku/>
        <w:autoSpaceDE/>
        <w:autoSpaceDN/>
        <w:adjustRightInd/>
        <w:snapToGrid/>
        <w:textAlignment w:val="auto"/>
        <w:rPr>
          <w:rFonts w:eastAsia="宋体"/>
          <w:b/>
          <w:bCs/>
          <w:color w:val="auto"/>
          <w:sz w:val="28"/>
          <w:szCs w:val="32"/>
          <w:highlight w:val="none"/>
          <w:lang w:eastAsia="zh-CN"/>
        </w:rPr>
      </w:pPr>
      <w:bookmarkStart w:id="81" w:name="_Toc12866"/>
      <w:r>
        <w:rPr>
          <w:color w:val="auto"/>
          <w:highlight w:val="none"/>
          <w:lang w:eastAsia="zh-CN"/>
        </w:rPr>
        <w:br w:type="page"/>
      </w:r>
    </w:p>
    <w:p>
      <w:pPr>
        <w:pStyle w:val="5"/>
        <w:outlineLvl w:val="1"/>
        <w:rPr>
          <w:color w:val="auto"/>
          <w:highlight w:val="none"/>
          <w:lang w:eastAsia="zh-CN"/>
        </w:rPr>
      </w:pPr>
      <w:r>
        <w:rPr>
          <w:color w:val="auto"/>
          <w:highlight w:val="none"/>
          <w:lang w:eastAsia="zh-CN"/>
        </w:rPr>
        <w:t>（二）磋商函附录</w:t>
      </w:r>
      <w:bookmarkEnd w:id="81"/>
    </w:p>
    <w:p>
      <w:pPr>
        <w:spacing w:before="164"/>
        <w:rPr>
          <w:color w:val="auto"/>
          <w:highlight w:val="none"/>
          <w:lang w:eastAsia="zh-CN"/>
        </w:rPr>
      </w:pPr>
    </w:p>
    <w:tbl>
      <w:tblPr>
        <w:tblStyle w:val="47"/>
        <w:tblW w:w="86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4"/>
        <w:gridCol w:w="2159"/>
        <w:gridCol w:w="4243"/>
        <w:gridCol w:w="17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544" w:type="dxa"/>
            <w:textDirection w:val="tbRlV"/>
          </w:tcPr>
          <w:p>
            <w:pPr>
              <w:pStyle w:val="48"/>
              <w:spacing w:before="148" w:line="210" w:lineRule="auto"/>
              <w:ind w:left="120"/>
              <w:rPr>
                <w:rFonts w:hint="eastAsia"/>
                <w:color w:val="auto"/>
                <w:highlight w:val="none"/>
              </w:rPr>
            </w:pPr>
            <w:r>
              <w:rPr>
                <w:color w:val="auto"/>
                <w:spacing w:val="-1"/>
                <w:highlight w:val="none"/>
              </w:rPr>
              <w:t>序号</w:t>
            </w:r>
          </w:p>
        </w:tc>
        <w:tc>
          <w:tcPr>
            <w:tcW w:w="2159" w:type="dxa"/>
          </w:tcPr>
          <w:p>
            <w:pPr>
              <w:spacing w:line="274" w:lineRule="auto"/>
              <w:rPr>
                <w:color w:val="auto"/>
                <w:highlight w:val="none"/>
              </w:rPr>
            </w:pPr>
          </w:p>
          <w:p>
            <w:pPr>
              <w:pStyle w:val="48"/>
              <w:spacing w:before="78" w:line="219" w:lineRule="auto"/>
              <w:ind w:left="608"/>
              <w:rPr>
                <w:rFonts w:hint="eastAsia"/>
                <w:color w:val="auto"/>
                <w:highlight w:val="none"/>
              </w:rPr>
            </w:pPr>
            <w:r>
              <w:rPr>
                <w:color w:val="auto"/>
                <w:spacing w:val="-4"/>
                <w:highlight w:val="none"/>
              </w:rPr>
              <w:t>项目内容</w:t>
            </w:r>
          </w:p>
        </w:tc>
        <w:tc>
          <w:tcPr>
            <w:tcW w:w="4243" w:type="dxa"/>
          </w:tcPr>
          <w:p>
            <w:pPr>
              <w:spacing w:line="274" w:lineRule="auto"/>
              <w:rPr>
                <w:color w:val="auto"/>
                <w:highlight w:val="none"/>
              </w:rPr>
            </w:pPr>
          </w:p>
          <w:p>
            <w:pPr>
              <w:pStyle w:val="48"/>
              <w:spacing w:before="78" w:line="219" w:lineRule="auto"/>
              <w:ind w:left="1655"/>
              <w:rPr>
                <w:rFonts w:hint="eastAsia"/>
                <w:color w:val="auto"/>
                <w:highlight w:val="none"/>
              </w:rPr>
            </w:pPr>
            <w:r>
              <w:rPr>
                <w:color w:val="auto"/>
                <w:spacing w:val="-4"/>
                <w:highlight w:val="none"/>
              </w:rPr>
              <w:t>约定内容</w:t>
            </w:r>
          </w:p>
        </w:tc>
        <w:tc>
          <w:tcPr>
            <w:tcW w:w="1705" w:type="dxa"/>
          </w:tcPr>
          <w:p>
            <w:pPr>
              <w:spacing w:line="274" w:lineRule="auto"/>
              <w:rPr>
                <w:color w:val="auto"/>
                <w:highlight w:val="none"/>
              </w:rPr>
            </w:pPr>
          </w:p>
          <w:p>
            <w:pPr>
              <w:pStyle w:val="48"/>
              <w:spacing w:before="78" w:line="220" w:lineRule="auto"/>
              <w:ind w:left="381"/>
              <w:rPr>
                <w:rFonts w:hint="eastAsia"/>
                <w:color w:val="auto"/>
                <w:highlight w:val="none"/>
              </w:rPr>
            </w:pPr>
            <w:r>
              <w:rPr>
                <w:color w:val="auto"/>
                <w:spacing w:val="-4"/>
                <w:highlight w:val="none"/>
              </w:rPr>
              <w:t>是否响应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544" w:type="dxa"/>
          </w:tcPr>
          <w:p>
            <w:pPr>
              <w:pStyle w:val="48"/>
              <w:spacing w:before="225" w:line="184" w:lineRule="auto"/>
              <w:ind w:left="237"/>
              <w:rPr>
                <w:rFonts w:hint="eastAsia"/>
                <w:color w:val="auto"/>
                <w:highlight w:val="none"/>
              </w:rPr>
            </w:pPr>
            <w:r>
              <w:rPr>
                <w:color w:val="auto"/>
                <w:highlight w:val="none"/>
              </w:rPr>
              <w:t>1</w:t>
            </w:r>
          </w:p>
        </w:tc>
        <w:tc>
          <w:tcPr>
            <w:tcW w:w="2159" w:type="dxa"/>
          </w:tcPr>
          <w:p>
            <w:pPr>
              <w:pStyle w:val="48"/>
              <w:spacing w:before="188" w:line="219" w:lineRule="auto"/>
              <w:ind w:left="371"/>
              <w:rPr>
                <w:rFonts w:hint="eastAsia"/>
                <w:color w:val="auto"/>
                <w:highlight w:val="none"/>
              </w:rPr>
            </w:pPr>
            <w:r>
              <w:rPr>
                <w:color w:val="auto"/>
                <w:spacing w:val="-3"/>
                <w:highlight w:val="none"/>
              </w:rPr>
              <w:t>总监理工程师</w:t>
            </w:r>
          </w:p>
        </w:tc>
        <w:tc>
          <w:tcPr>
            <w:tcW w:w="4243" w:type="dxa"/>
          </w:tcPr>
          <w:p>
            <w:pPr>
              <w:pStyle w:val="48"/>
              <w:spacing w:before="188"/>
              <w:ind w:left="105" w:leftChars="50" w:right="105" w:rightChars="50"/>
              <w:jc w:val="both"/>
              <w:rPr>
                <w:rFonts w:hint="eastAsia"/>
                <w:color w:val="auto"/>
                <w:highlight w:val="none"/>
              </w:rPr>
            </w:pPr>
            <w:r>
              <w:rPr>
                <w:color w:val="auto"/>
                <w:spacing w:val="-4"/>
                <w:highlight w:val="none"/>
              </w:rPr>
              <w:t>姓名：</w:t>
            </w:r>
          </w:p>
        </w:tc>
        <w:tc>
          <w:tcPr>
            <w:tcW w:w="1705"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44" w:type="dxa"/>
          </w:tcPr>
          <w:p>
            <w:pPr>
              <w:pStyle w:val="48"/>
              <w:spacing w:before="233" w:line="183" w:lineRule="auto"/>
              <w:ind w:left="223"/>
              <w:rPr>
                <w:rFonts w:hint="eastAsia"/>
                <w:color w:val="auto"/>
                <w:highlight w:val="none"/>
              </w:rPr>
            </w:pPr>
            <w:r>
              <w:rPr>
                <w:color w:val="auto"/>
                <w:highlight w:val="none"/>
              </w:rPr>
              <w:t>2</w:t>
            </w:r>
          </w:p>
        </w:tc>
        <w:tc>
          <w:tcPr>
            <w:tcW w:w="2159" w:type="dxa"/>
          </w:tcPr>
          <w:p>
            <w:pPr>
              <w:pStyle w:val="48"/>
              <w:spacing w:before="195" w:line="220" w:lineRule="auto"/>
              <w:ind w:left="605"/>
              <w:rPr>
                <w:rFonts w:hint="eastAsia"/>
                <w:color w:val="auto"/>
                <w:highlight w:val="none"/>
              </w:rPr>
            </w:pPr>
            <w:r>
              <w:rPr>
                <w:color w:val="auto"/>
                <w:spacing w:val="-3"/>
                <w:highlight w:val="none"/>
              </w:rPr>
              <w:t>监理周期</w:t>
            </w:r>
          </w:p>
        </w:tc>
        <w:tc>
          <w:tcPr>
            <w:tcW w:w="4243" w:type="dxa"/>
          </w:tcPr>
          <w:p>
            <w:pPr>
              <w:pStyle w:val="48"/>
              <w:spacing w:before="40"/>
              <w:ind w:left="105" w:leftChars="50" w:right="105" w:rightChars="50" w:firstLine="30"/>
              <w:rPr>
                <w:rFonts w:hint="eastAsia"/>
                <w:color w:val="auto"/>
                <w:highlight w:val="none"/>
                <w:lang w:eastAsia="zh-CN"/>
              </w:rPr>
            </w:pPr>
            <w:r>
              <w:rPr>
                <w:rFonts w:hint="eastAsia"/>
                <w:color w:val="auto"/>
                <w:highlight w:val="none"/>
                <w:lang w:eastAsia="zh-CN"/>
              </w:rPr>
              <w:t>自签订合同之日起至工程竣工验收合格且保修期届满之日止</w:t>
            </w:r>
          </w:p>
        </w:tc>
        <w:tc>
          <w:tcPr>
            <w:tcW w:w="1705" w:type="dxa"/>
          </w:tcPr>
          <w:p>
            <w:pPr>
              <w:rPr>
                <w:color w:val="auto"/>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44" w:type="dxa"/>
          </w:tcPr>
          <w:p>
            <w:pPr>
              <w:pStyle w:val="48"/>
              <w:spacing w:before="234" w:line="183" w:lineRule="auto"/>
              <w:ind w:left="224"/>
              <w:rPr>
                <w:rFonts w:hint="eastAsia"/>
                <w:color w:val="auto"/>
                <w:highlight w:val="none"/>
              </w:rPr>
            </w:pPr>
            <w:r>
              <w:rPr>
                <w:color w:val="auto"/>
                <w:highlight w:val="none"/>
              </w:rPr>
              <w:t>3</w:t>
            </w:r>
          </w:p>
        </w:tc>
        <w:tc>
          <w:tcPr>
            <w:tcW w:w="2159" w:type="dxa"/>
            <w:vAlign w:val="center"/>
          </w:tcPr>
          <w:p>
            <w:pPr>
              <w:pStyle w:val="48"/>
              <w:spacing w:before="196" w:line="220" w:lineRule="auto"/>
              <w:ind w:left="605"/>
              <w:jc w:val="both"/>
              <w:rPr>
                <w:rFonts w:hint="eastAsia"/>
                <w:color w:val="auto"/>
                <w:highlight w:val="none"/>
              </w:rPr>
            </w:pPr>
            <w:r>
              <w:rPr>
                <w:color w:val="auto"/>
                <w:spacing w:val="-3"/>
                <w:highlight w:val="none"/>
              </w:rPr>
              <w:t>监理标准</w:t>
            </w:r>
          </w:p>
        </w:tc>
        <w:tc>
          <w:tcPr>
            <w:tcW w:w="4243" w:type="dxa"/>
            <w:vAlign w:val="center"/>
          </w:tcPr>
          <w:p>
            <w:pPr>
              <w:pStyle w:val="48"/>
              <w:spacing w:before="40"/>
              <w:ind w:left="108" w:leftChars="50" w:right="105" w:rightChars="50" w:hanging="3"/>
              <w:rPr>
                <w:rFonts w:hint="eastAsia"/>
                <w:color w:val="auto"/>
                <w:highlight w:val="none"/>
                <w:lang w:eastAsia="zh-CN"/>
              </w:rPr>
            </w:pPr>
            <w:r>
              <w:rPr>
                <w:rFonts w:hint="eastAsia"/>
                <w:color w:val="auto"/>
                <w:highlight w:val="none"/>
                <w:lang w:eastAsia="zh-CN"/>
              </w:rPr>
              <w:t>符合国家现行监理规范的合格标准</w:t>
            </w:r>
          </w:p>
        </w:tc>
        <w:tc>
          <w:tcPr>
            <w:tcW w:w="1705" w:type="dxa"/>
          </w:tcPr>
          <w:p>
            <w:pPr>
              <w:rPr>
                <w:color w:val="auto"/>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44" w:type="dxa"/>
          </w:tcPr>
          <w:p>
            <w:pPr>
              <w:pStyle w:val="48"/>
              <w:spacing w:before="229" w:line="183" w:lineRule="auto"/>
              <w:ind w:left="219"/>
              <w:rPr>
                <w:rFonts w:hint="eastAsia"/>
                <w:color w:val="auto"/>
                <w:highlight w:val="none"/>
              </w:rPr>
            </w:pPr>
            <w:r>
              <w:rPr>
                <w:color w:val="auto"/>
                <w:highlight w:val="none"/>
              </w:rPr>
              <w:t>4</w:t>
            </w:r>
          </w:p>
        </w:tc>
        <w:tc>
          <w:tcPr>
            <w:tcW w:w="2159" w:type="dxa"/>
          </w:tcPr>
          <w:p>
            <w:pPr>
              <w:pStyle w:val="48"/>
              <w:spacing w:before="192" w:line="220" w:lineRule="auto"/>
              <w:ind w:left="487"/>
              <w:rPr>
                <w:rFonts w:hint="eastAsia"/>
                <w:color w:val="auto"/>
                <w:highlight w:val="none"/>
              </w:rPr>
            </w:pPr>
            <w:r>
              <w:rPr>
                <w:rFonts w:hint="eastAsia"/>
                <w:color w:val="auto"/>
                <w:spacing w:val="-3"/>
                <w:highlight w:val="none"/>
                <w:lang w:eastAsia="zh-CN"/>
              </w:rPr>
              <w:t>响应</w:t>
            </w:r>
            <w:r>
              <w:rPr>
                <w:color w:val="auto"/>
                <w:spacing w:val="-3"/>
                <w:highlight w:val="none"/>
              </w:rPr>
              <w:t>有效期</w:t>
            </w:r>
          </w:p>
        </w:tc>
        <w:tc>
          <w:tcPr>
            <w:tcW w:w="4243" w:type="dxa"/>
          </w:tcPr>
          <w:p>
            <w:pPr>
              <w:pStyle w:val="48"/>
              <w:spacing w:before="192"/>
              <w:ind w:left="105" w:leftChars="50" w:right="105" w:rightChars="50"/>
              <w:rPr>
                <w:rFonts w:hint="eastAsia"/>
                <w:color w:val="auto"/>
                <w:highlight w:val="none"/>
                <w:lang w:eastAsia="zh-CN"/>
              </w:rPr>
            </w:pPr>
            <w:r>
              <w:rPr>
                <w:rFonts w:hint="eastAsia"/>
                <w:color w:val="auto"/>
                <w:spacing w:val="-1"/>
                <w:highlight w:val="none"/>
                <w:lang w:eastAsia="zh-CN"/>
              </w:rPr>
              <w:t>投标截止之日后90天（日历天）</w:t>
            </w:r>
          </w:p>
        </w:tc>
        <w:tc>
          <w:tcPr>
            <w:tcW w:w="1705" w:type="dxa"/>
          </w:tcPr>
          <w:p>
            <w:pPr>
              <w:rPr>
                <w:color w:val="auto"/>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44" w:type="dxa"/>
          </w:tcPr>
          <w:p>
            <w:pPr>
              <w:pStyle w:val="48"/>
              <w:spacing w:before="230" w:line="182" w:lineRule="auto"/>
              <w:ind w:left="224"/>
              <w:rPr>
                <w:rFonts w:hint="eastAsia"/>
                <w:color w:val="auto"/>
                <w:highlight w:val="none"/>
              </w:rPr>
            </w:pPr>
            <w:r>
              <w:rPr>
                <w:color w:val="auto"/>
                <w:highlight w:val="none"/>
              </w:rPr>
              <w:t>5</w:t>
            </w:r>
          </w:p>
        </w:tc>
        <w:tc>
          <w:tcPr>
            <w:tcW w:w="2159" w:type="dxa"/>
          </w:tcPr>
          <w:p>
            <w:pPr>
              <w:spacing w:line="288" w:lineRule="auto"/>
              <w:rPr>
                <w:color w:val="auto"/>
                <w:highlight w:val="none"/>
              </w:rPr>
            </w:pPr>
          </w:p>
          <w:p>
            <w:pPr>
              <w:pStyle w:val="48"/>
              <w:spacing w:before="78" w:line="99" w:lineRule="exact"/>
              <w:ind w:left="911"/>
              <w:rPr>
                <w:rFonts w:hint="eastAsia"/>
                <w:color w:val="auto"/>
                <w:highlight w:val="none"/>
              </w:rPr>
            </w:pPr>
            <w:r>
              <w:rPr>
                <w:color w:val="auto"/>
                <w:position w:val="1"/>
                <w:highlight w:val="none"/>
              </w:rPr>
              <w:t>...</w:t>
            </w:r>
          </w:p>
        </w:tc>
        <w:tc>
          <w:tcPr>
            <w:tcW w:w="4243" w:type="dxa"/>
          </w:tcPr>
          <w:p>
            <w:pPr>
              <w:rPr>
                <w:color w:val="auto"/>
                <w:highlight w:val="none"/>
              </w:rPr>
            </w:pPr>
          </w:p>
        </w:tc>
        <w:tc>
          <w:tcPr>
            <w:tcW w:w="1705"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544" w:type="dxa"/>
          </w:tcPr>
          <w:p>
            <w:pPr>
              <w:pStyle w:val="48"/>
              <w:spacing w:before="230" w:line="183" w:lineRule="auto"/>
              <w:ind w:left="222"/>
              <w:rPr>
                <w:rFonts w:hint="eastAsia"/>
                <w:color w:val="auto"/>
                <w:highlight w:val="none"/>
              </w:rPr>
            </w:pPr>
            <w:r>
              <w:rPr>
                <w:color w:val="auto"/>
                <w:highlight w:val="none"/>
              </w:rPr>
              <w:t>6</w:t>
            </w:r>
          </w:p>
        </w:tc>
        <w:tc>
          <w:tcPr>
            <w:tcW w:w="2159" w:type="dxa"/>
          </w:tcPr>
          <w:p>
            <w:pPr>
              <w:spacing w:line="289" w:lineRule="auto"/>
              <w:rPr>
                <w:color w:val="auto"/>
                <w:highlight w:val="none"/>
              </w:rPr>
            </w:pPr>
          </w:p>
          <w:p>
            <w:pPr>
              <w:pStyle w:val="48"/>
              <w:spacing w:before="78" w:line="99" w:lineRule="exact"/>
              <w:ind w:left="911"/>
              <w:rPr>
                <w:rFonts w:hint="eastAsia"/>
                <w:color w:val="auto"/>
                <w:highlight w:val="none"/>
              </w:rPr>
            </w:pPr>
            <w:r>
              <w:rPr>
                <w:color w:val="auto"/>
                <w:position w:val="1"/>
                <w:highlight w:val="none"/>
              </w:rPr>
              <w:t>...</w:t>
            </w:r>
          </w:p>
        </w:tc>
        <w:tc>
          <w:tcPr>
            <w:tcW w:w="4243" w:type="dxa"/>
          </w:tcPr>
          <w:p>
            <w:pPr>
              <w:rPr>
                <w:color w:val="auto"/>
                <w:highlight w:val="none"/>
              </w:rPr>
            </w:pPr>
          </w:p>
        </w:tc>
        <w:tc>
          <w:tcPr>
            <w:tcW w:w="1705"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44" w:type="dxa"/>
          </w:tcPr>
          <w:p>
            <w:pPr>
              <w:pStyle w:val="48"/>
              <w:spacing w:before="231" w:line="182" w:lineRule="auto"/>
              <w:ind w:left="225"/>
              <w:rPr>
                <w:rFonts w:hint="eastAsia"/>
                <w:color w:val="auto"/>
                <w:highlight w:val="none"/>
              </w:rPr>
            </w:pPr>
            <w:r>
              <w:rPr>
                <w:color w:val="auto"/>
                <w:highlight w:val="none"/>
              </w:rPr>
              <w:t>7</w:t>
            </w:r>
          </w:p>
        </w:tc>
        <w:tc>
          <w:tcPr>
            <w:tcW w:w="2159" w:type="dxa"/>
          </w:tcPr>
          <w:p>
            <w:pPr>
              <w:spacing w:line="289" w:lineRule="auto"/>
              <w:rPr>
                <w:color w:val="auto"/>
                <w:highlight w:val="none"/>
              </w:rPr>
            </w:pPr>
          </w:p>
          <w:p>
            <w:pPr>
              <w:pStyle w:val="48"/>
              <w:spacing w:before="78" w:line="99" w:lineRule="exact"/>
              <w:ind w:left="911"/>
              <w:rPr>
                <w:rFonts w:hint="eastAsia"/>
                <w:color w:val="auto"/>
                <w:highlight w:val="none"/>
              </w:rPr>
            </w:pPr>
            <w:r>
              <w:rPr>
                <w:color w:val="auto"/>
                <w:position w:val="1"/>
                <w:highlight w:val="none"/>
              </w:rPr>
              <w:t>...</w:t>
            </w:r>
          </w:p>
        </w:tc>
        <w:tc>
          <w:tcPr>
            <w:tcW w:w="4243" w:type="dxa"/>
          </w:tcPr>
          <w:p>
            <w:pPr>
              <w:rPr>
                <w:color w:val="auto"/>
                <w:highlight w:val="none"/>
              </w:rPr>
            </w:pPr>
          </w:p>
        </w:tc>
        <w:tc>
          <w:tcPr>
            <w:tcW w:w="1705"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8651" w:type="dxa"/>
            <w:gridSpan w:val="4"/>
          </w:tcPr>
          <w:p>
            <w:pPr>
              <w:pStyle w:val="48"/>
              <w:spacing w:before="65" w:line="229" w:lineRule="auto"/>
              <w:ind w:left="117" w:right="107" w:firstLine="1"/>
              <w:rPr>
                <w:rFonts w:hint="eastAsia"/>
                <w:color w:val="auto"/>
                <w:highlight w:val="none"/>
                <w:lang w:eastAsia="zh-CN"/>
              </w:rPr>
            </w:pPr>
            <w:r>
              <w:rPr>
                <w:color w:val="auto"/>
                <w:highlight w:val="none"/>
                <w:lang w:eastAsia="zh-CN"/>
              </w:rPr>
              <w:t>备注：</w:t>
            </w:r>
            <w:r>
              <w:rPr>
                <w:rFonts w:hint="eastAsia"/>
                <w:color w:val="auto"/>
                <w:highlight w:val="none"/>
                <w:lang w:eastAsia="zh-CN"/>
              </w:rPr>
              <w:t>供应商</w:t>
            </w:r>
            <w:r>
              <w:rPr>
                <w:color w:val="auto"/>
                <w:highlight w:val="none"/>
                <w:lang w:eastAsia="zh-CN"/>
              </w:rPr>
              <w:t>在响应磋商文件中规定的实质性要求和条件的基础上，可做出其他</w:t>
            </w:r>
            <w:r>
              <w:rPr>
                <w:color w:val="auto"/>
                <w:spacing w:val="-1"/>
                <w:highlight w:val="none"/>
                <w:lang w:eastAsia="zh-CN"/>
              </w:rPr>
              <w:t>有利于采购人的承诺。此类承诺可在本表中予以补充填写。</w:t>
            </w:r>
          </w:p>
        </w:tc>
      </w:tr>
    </w:tbl>
    <w:p>
      <w:pPr>
        <w:pStyle w:val="2"/>
        <w:spacing w:before="196" w:line="480" w:lineRule="exact"/>
        <w:ind w:left="494" w:firstLine="478"/>
        <w:rPr>
          <w:rFonts w:hint="eastAsia" w:asciiTheme="minorEastAsia" w:hAnsiTheme="minorEastAsia" w:eastAsiaTheme="minorEastAsia"/>
          <w:color w:val="auto"/>
          <w:spacing w:val="-1"/>
          <w:position w:val="18"/>
          <w:szCs w:val="24"/>
          <w:highlight w:val="none"/>
          <w:lang w:eastAsia="zh-CN"/>
        </w:rPr>
      </w:pPr>
      <w:r>
        <w:rPr>
          <w:rFonts w:hint="eastAsia" w:asciiTheme="minorEastAsia" w:hAnsiTheme="minorEastAsia" w:eastAsiaTheme="minorEastAsia"/>
          <w:color w:val="auto"/>
          <w:spacing w:val="-1"/>
          <w:position w:val="18"/>
          <w:szCs w:val="24"/>
          <w:highlight w:val="none"/>
          <w:lang w:eastAsia="zh-CN"/>
        </w:rPr>
        <w:t>供应商</w:t>
      </w:r>
      <w:r>
        <w:rPr>
          <w:rFonts w:asciiTheme="minorEastAsia" w:hAnsiTheme="minorEastAsia" w:eastAsiaTheme="minorEastAsia"/>
          <w:color w:val="auto"/>
          <w:spacing w:val="-1"/>
          <w:position w:val="18"/>
          <w:szCs w:val="24"/>
          <w:highlight w:val="none"/>
          <w:lang w:eastAsia="zh-CN"/>
        </w:rPr>
        <w:t>（盖单位公章）：</w:t>
      </w:r>
    </w:p>
    <w:p>
      <w:pPr>
        <w:pStyle w:val="2"/>
        <w:spacing w:before="196" w:line="480" w:lineRule="exact"/>
        <w:ind w:left="494" w:firstLine="478"/>
        <w:rPr>
          <w:rFonts w:hint="eastAsia" w:asciiTheme="minorEastAsia" w:hAnsiTheme="minorEastAsia" w:eastAsiaTheme="minorEastAsia"/>
          <w:color w:val="auto"/>
          <w:spacing w:val="-1"/>
          <w:position w:val="18"/>
          <w:szCs w:val="24"/>
          <w:highlight w:val="none"/>
          <w:lang w:eastAsia="zh-CN"/>
        </w:rPr>
      </w:pPr>
      <w:r>
        <w:rPr>
          <w:rFonts w:asciiTheme="minorEastAsia" w:hAnsiTheme="minorEastAsia" w:eastAsiaTheme="minorEastAsia"/>
          <w:color w:val="auto"/>
          <w:spacing w:val="-1"/>
          <w:position w:val="18"/>
          <w:szCs w:val="24"/>
          <w:highlight w:val="none"/>
          <w:lang w:eastAsia="zh-CN"/>
        </w:rPr>
        <w:t>法人代表或委托代理人（签字）：</w:t>
      </w:r>
    </w:p>
    <w:p>
      <w:pPr>
        <w:pStyle w:val="2"/>
        <w:spacing w:before="196" w:line="480" w:lineRule="exact"/>
        <w:ind w:left="494" w:firstLine="478"/>
        <w:rPr>
          <w:rFonts w:hint="eastAsia" w:asciiTheme="minorEastAsia" w:hAnsiTheme="minorEastAsia" w:eastAsiaTheme="minorEastAsia"/>
          <w:color w:val="auto"/>
          <w:spacing w:val="-1"/>
          <w:position w:val="18"/>
          <w:szCs w:val="24"/>
          <w:highlight w:val="none"/>
          <w:lang w:eastAsia="zh-CN"/>
        </w:rPr>
      </w:pPr>
      <w:r>
        <w:rPr>
          <w:rFonts w:asciiTheme="minorEastAsia" w:hAnsiTheme="minorEastAsia" w:eastAsiaTheme="minorEastAsia"/>
          <w:color w:val="auto"/>
          <w:spacing w:val="-1"/>
          <w:position w:val="18"/>
          <w:szCs w:val="24"/>
          <w:highlight w:val="none"/>
          <w:lang w:eastAsia="zh-CN"/>
        </w:rPr>
        <w:t>日期：</w:t>
      </w:r>
      <w:r>
        <w:rPr>
          <w:rFonts w:hint="eastAsia" w:asciiTheme="minorEastAsia" w:hAnsiTheme="minorEastAsia" w:eastAsiaTheme="minorEastAsia"/>
          <w:color w:val="auto"/>
          <w:spacing w:val="-1"/>
          <w:position w:val="18"/>
          <w:szCs w:val="24"/>
          <w:highlight w:val="none"/>
          <w:lang w:eastAsia="zh-CN"/>
        </w:rPr>
        <w:t xml:space="preserve"> </w:t>
      </w:r>
      <w:r>
        <w:rPr>
          <w:rFonts w:asciiTheme="minorEastAsia" w:hAnsiTheme="minorEastAsia" w:eastAsiaTheme="minorEastAsia"/>
          <w:color w:val="auto"/>
          <w:spacing w:val="-1"/>
          <w:position w:val="18"/>
          <w:szCs w:val="24"/>
          <w:highlight w:val="none"/>
          <w:lang w:eastAsia="zh-CN"/>
        </w:rPr>
        <w:t>年</w:t>
      </w:r>
      <w:r>
        <w:rPr>
          <w:rFonts w:hint="eastAsia" w:asciiTheme="minorEastAsia" w:hAnsiTheme="minorEastAsia" w:eastAsiaTheme="minorEastAsia"/>
          <w:color w:val="auto"/>
          <w:spacing w:val="-1"/>
          <w:position w:val="18"/>
          <w:szCs w:val="24"/>
          <w:highlight w:val="none"/>
          <w:lang w:eastAsia="zh-CN"/>
        </w:rPr>
        <w:t xml:space="preserve"> </w:t>
      </w:r>
      <w:r>
        <w:rPr>
          <w:rFonts w:asciiTheme="minorEastAsia" w:hAnsiTheme="minorEastAsia" w:eastAsiaTheme="minorEastAsia"/>
          <w:color w:val="auto"/>
          <w:spacing w:val="-1"/>
          <w:position w:val="18"/>
          <w:szCs w:val="24"/>
          <w:highlight w:val="none"/>
          <w:lang w:eastAsia="zh-CN"/>
        </w:rPr>
        <w:t>月</w:t>
      </w:r>
      <w:r>
        <w:rPr>
          <w:rFonts w:hint="eastAsia" w:asciiTheme="minorEastAsia" w:hAnsiTheme="minorEastAsia" w:eastAsiaTheme="minorEastAsia"/>
          <w:color w:val="auto"/>
          <w:spacing w:val="-1"/>
          <w:position w:val="18"/>
          <w:szCs w:val="24"/>
          <w:highlight w:val="none"/>
          <w:lang w:eastAsia="zh-CN"/>
        </w:rPr>
        <w:t xml:space="preserve"> </w:t>
      </w:r>
      <w:r>
        <w:rPr>
          <w:rFonts w:asciiTheme="minorEastAsia" w:hAnsiTheme="minorEastAsia" w:eastAsiaTheme="minorEastAsia"/>
          <w:color w:val="auto"/>
          <w:spacing w:val="-1"/>
          <w:position w:val="18"/>
          <w:szCs w:val="24"/>
          <w:highlight w:val="none"/>
          <w:lang w:eastAsia="zh-CN"/>
        </w:rPr>
        <w:t>日</w:t>
      </w:r>
    </w:p>
    <w:p>
      <w:pPr>
        <w:pStyle w:val="46"/>
        <w:rPr>
          <w:color w:val="auto"/>
          <w:highlight w:val="none"/>
        </w:rPr>
      </w:pPr>
    </w:p>
    <w:p>
      <w:pPr>
        <w:spacing w:line="219" w:lineRule="auto"/>
        <w:rPr>
          <w:color w:val="auto"/>
          <w:sz w:val="24"/>
          <w:szCs w:val="24"/>
          <w:highlight w:val="none"/>
          <w:lang w:eastAsia="zh-CN"/>
        </w:rPr>
        <w:sectPr>
          <w:pgSz w:w="11906" w:h="16839"/>
          <w:pgMar w:top="1431" w:right="1785" w:bottom="957" w:left="1356" w:header="0" w:footer="794" w:gutter="0"/>
          <w:pgNumType w:fmt="decimal"/>
          <w:cols w:space="720" w:num="1"/>
        </w:sectPr>
      </w:pPr>
    </w:p>
    <w:p>
      <w:pPr>
        <w:spacing w:line="404" w:lineRule="auto"/>
        <w:rPr>
          <w:color w:val="auto"/>
          <w:highlight w:val="none"/>
          <w:lang w:eastAsia="zh-CN"/>
        </w:rPr>
      </w:pPr>
    </w:p>
    <w:p>
      <w:pPr>
        <w:pStyle w:val="4"/>
        <w:outlineLvl w:val="0"/>
        <w:rPr>
          <w:color w:val="auto"/>
          <w:highlight w:val="none"/>
          <w:lang w:eastAsia="zh-CN"/>
        </w:rPr>
      </w:pPr>
      <w:bookmarkStart w:id="82" w:name="_Toc22766"/>
      <w:bookmarkStart w:id="83" w:name="_Toc9795"/>
      <w:r>
        <w:rPr>
          <w:color w:val="auto"/>
          <w:highlight w:val="none"/>
          <w:lang w:eastAsia="zh-CN"/>
        </w:rPr>
        <w:t>二、法定代表人身份证明</w:t>
      </w:r>
      <w:bookmarkEnd w:id="82"/>
      <w:bookmarkEnd w:id="83"/>
    </w:p>
    <w:p>
      <w:pPr>
        <w:spacing w:line="283" w:lineRule="auto"/>
        <w:rPr>
          <w:color w:val="auto"/>
          <w:highlight w:val="none"/>
          <w:lang w:eastAsia="zh-CN"/>
        </w:rPr>
      </w:pPr>
    </w:p>
    <w:p>
      <w:pPr>
        <w:spacing w:line="284" w:lineRule="auto"/>
        <w:rPr>
          <w:color w:val="auto"/>
          <w:highlight w:val="none"/>
          <w:lang w:eastAsia="zh-CN"/>
        </w:rPr>
      </w:pPr>
    </w:p>
    <w:p>
      <w:pPr>
        <w:pStyle w:val="2"/>
        <w:ind w:firstLine="474"/>
        <w:rPr>
          <w:rFonts w:hint="eastAsia"/>
          <w:color w:val="auto"/>
          <w:szCs w:val="24"/>
          <w:highlight w:val="none"/>
          <w:lang w:eastAsia="zh-CN"/>
        </w:rPr>
      </w:pPr>
      <w:r>
        <w:rPr>
          <w:rFonts w:hint="eastAsia"/>
          <w:color w:val="auto"/>
          <w:spacing w:val="-3"/>
          <w:szCs w:val="24"/>
          <w:highlight w:val="none"/>
          <w:lang w:eastAsia="zh-CN"/>
        </w:rPr>
        <w:t>供应商</w:t>
      </w:r>
      <w:r>
        <w:rPr>
          <w:color w:val="auto"/>
          <w:spacing w:val="-3"/>
          <w:szCs w:val="24"/>
          <w:highlight w:val="none"/>
          <w:lang w:eastAsia="zh-CN"/>
        </w:rPr>
        <w:t>名称：</w:t>
      </w:r>
      <w:r>
        <w:rPr>
          <w:rFonts w:hint="eastAsia"/>
          <w:color w:val="auto"/>
          <w:spacing w:val="-3"/>
          <w:szCs w:val="24"/>
          <w:highlight w:val="none"/>
          <w:u w:val="single"/>
          <w:lang w:eastAsia="zh-CN"/>
        </w:rPr>
        <w:t xml:space="preserve">                      </w:t>
      </w:r>
    </w:p>
    <w:p>
      <w:pPr>
        <w:pStyle w:val="2"/>
        <w:ind w:firstLine="474"/>
        <w:rPr>
          <w:rFonts w:hint="eastAsia"/>
          <w:color w:val="auto"/>
          <w:szCs w:val="24"/>
          <w:highlight w:val="none"/>
          <w:lang w:eastAsia="zh-CN"/>
        </w:rPr>
      </w:pPr>
      <w:r>
        <w:rPr>
          <w:color w:val="auto"/>
          <w:spacing w:val="-3"/>
          <w:szCs w:val="24"/>
          <w:highlight w:val="none"/>
          <w:lang w:eastAsia="zh-CN"/>
        </w:rPr>
        <w:t>单位性质：</w:t>
      </w:r>
      <w:r>
        <w:rPr>
          <w:rFonts w:hint="eastAsia"/>
          <w:color w:val="auto"/>
          <w:spacing w:val="-3"/>
          <w:szCs w:val="24"/>
          <w:highlight w:val="none"/>
          <w:u w:val="single"/>
          <w:lang w:eastAsia="zh-CN"/>
        </w:rPr>
        <w:t xml:space="preserve">                      </w:t>
      </w:r>
    </w:p>
    <w:p>
      <w:pPr>
        <w:pStyle w:val="2"/>
        <w:ind w:firstLine="474"/>
        <w:rPr>
          <w:rFonts w:hint="eastAsia"/>
          <w:color w:val="auto"/>
          <w:szCs w:val="24"/>
          <w:highlight w:val="none"/>
          <w:lang w:eastAsia="zh-CN"/>
        </w:rPr>
      </w:pPr>
      <w:r>
        <w:rPr>
          <w:color w:val="auto"/>
          <w:spacing w:val="-3"/>
          <w:szCs w:val="24"/>
          <w:highlight w:val="none"/>
          <w:lang w:eastAsia="zh-CN"/>
        </w:rPr>
        <w:t>地址：</w:t>
      </w:r>
      <w:r>
        <w:rPr>
          <w:rFonts w:hint="eastAsia"/>
          <w:color w:val="auto"/>
          <w:spacing w:val="-3"/>
          <w:szCs w:val="24"/>
          <w:highlight w:val="none"/>
          <w:u w:val="single"/>
          <w:lang w:eastAsia="zh-CN"/>
        </w:rPr>
        <w:t xml:space="preserve">                      </w:t>
      </w:r>
    </w:p>
    <w:p>
      <w:pPr>
        <w:pStyle w:val="2"/>
        <w:ind w:firstLine="474"/>
        <w:rPr>
          <w:rFonts w:hint="eastAsia"/>
          <w:color w:val="auto"/>
          <w:szCs w:val="24"/>
          <w:highlight w:val="none"/>
          <w:lang w:eastAsia="zh-CN"/>
        </w:rPr>
      </w:pPr>
      <w:r>
        <w:rPr>
          <w:color w:val="auto"/>
          <w:spacing w:val="-3"/>
          <w:szCs w:val="24"/>
          <w:highlight w:val="none"/>
          <w:lang w:eastAsia="zh-CN"/>
        </w:rPr>
        <w:t>成立时间：</w:t>
      </w:r>
      <w:r>
        <w:rPr>
          <w:rFonts w:hint="eastAsia"/>
          <w:color w:val="auto"/>
          <w:spacing w:val="-3"/>
          <w:szCs w:val="24"/>
          <w:highlight w:val="none"/>
          <w:u w:val="single"/>
          <w:lang w:eastAsia="zh-CN"/>
        </w:rPr>
        <w:t xml:space="preserve">                      </w:t>
      </w:r>
    </w:p>
    <w:p>
      <w:pPr>
        <w:pStyle w:val="2"/>
        <w:ind w:firstLine="474"/>
        <w:rPr>
          <w:rFonts w:hint="eastAsia"/>
          <w:color w:val="auto"/>
          <w:szCs w:val="24"/>
          <w:highlight w:val="none"/>
          <w:lang w:eastAsia="zh-CN"/>
        </w:rPr>
      </w:pPr>
      <w:r>
        <w:rPr>
          <w:color w:val="auto"/>
          <w:spacing w:val="-3"/>
          <w:szCs w:val="24"/>
          <w:highlight w:val="none"/>
          <w:lang w:eastAsia="zh-CN"/>
        </w:rPr>
        <w:t>经营期限：</w:t>
      </w:r>
      <w:r>
        <w:rPr>
          <w:rFonts w:hint="eastAsia"/>
          <w:color w:val="auto"/>
          <w:spacing w:val="-3"/>
          <w:szCs w:val="24"/>
          <w:highlight w:val="none"/>
          <w:u w:val="single"/>
          <w:lang w:eastAsia="zh-CN"/>
        </w:rPr>
        <w:t xml:space="preserve">                      </w:t>
      </w:r>
    </w:p>
    <w:p>
      <w:pPr>
        <w:pStyle w:val="2"/>
        <w:ind w:firstLine="476"/>
        <w:rPr>
          <w:rFonts w:hint="eastAsia"/>
          <w:color w:val="auto"/>
          <w:szCs w:val="24"/>
          <w:highlight w:val="none"/>
          <w:lang w:eastAsia="zh-CN"/>
        </w:rPr>
      </w:pPr>
      <w:r>
        <w:rPr>
          <w:color w:val="auto"/>
          <w:spacing w:val="-2"/>
          <w:szCs w:val="24"/>
          <w:highlight w:val="none"/>
          <w:lang w:eastAsia="zh-CN"/>
        </w:rPr>
        <w:t>姓名：</w:t>
      </w:r>
      <w:r>
        <w:rPr>
          <w:rFonts w:hint="eastAsia"/>
          <w:color w:val="auto"/>
          <w:spacing w:val="-2"/>
          <w:szCs w:val="24"/>
          <w:highlight w:val="none"/>
          <w:u w:val="single"/>
          <w:lang w:eastAsia="zh-CN"/>
        </w:rPr>
        <w:t xml:space="preserve">     </w:t>
      </w:r>
      <w:r>
        <w:rPr>
          <w:rFonts w:hint="eastAsia"/>
          <w:color w:val="auto"/>
          <w:spacing w:val="-2"/>
          <w:szCs w:val="24"/>
          <w:highlight w:val="none"/>
          <w:lang w:eastAsia="zh-CN"/>
        </w:rPr>
        <w:t xml:space="preserve"> </w:t>
      </w:r>
      <w:r>
        <w:rPr>
          <w:color w:val="auto"/>
          <w:spacing w:val="-2"/>
          <w:szCs w:val="24"/>
          <w:highlight w:val="none"/>
          <w:lang w:eastAsia="zh-CN"/>
        </w:rPr>
        <w:t>性别：</w:t>
      </w:r>
      <w:r>
        <w:rPr>
          <w:rFonts w:hint="eastAsia"/>
          <w:color w:val="auto"/>
          <w:spacing w:val="-2"/>
          <w:szCs w:val="24"/>
          <w:highlight w:val="none"/>
          <w:u w:val="single"/>
          <w:lang w:eastAsia="zh-CN"/>
        </w:rPr>
        <w:t xml:space="preserve">     </w:t>
      </w:r>
      <w:r>
        <w:rPr>
          <w:color w:val="auto"/>
          <w:spacing w:val="-2"/>
          <w:szCs w:val="24"/>
          <w:highlight w:val="none"/>
          <w:lang w:eastAsia="zh-CN"/>
        </w:rPr>
        <w:t>年龄：</w:t>
      </w:r>
      <w:r>
        <w:rPr>
          <w:rFonts w:hint="eastAsia"/>
          <w:color w:val="auto"/>
          <w:spacing w:val="-2"/>
          <w:szCs w:val="24"/>
          <w:highlight w:val="none"/>
          <w:u w:val="single"/>
          <w:lang w:eastAsia="zh-CN"/>
        </w:rPr>
        <w:t xml:space="preserve">     </w:t>
      </w:r>
      <w:r>
        <w:rPr>
          <w:rFonts w:hint="eastAsia"/>
          <w:color w:val="auto"/>
          <w:spacing w:val="-2"/>
          <w:szCs w:val="24"/>
          <w:highlight w:val="none"/>
          <w:lang w:eastAsia="zh-CN"/>
        </w:rPr>
        <w:t xml:space="preserve"> </w:t>
      </w:r>
      <w:r>
        <w:rPr>
          <w:color w:val="auto"/>
          <w:spacing w:val="-3"/>
          <w:szCs w:val="24"/>
          <w:highlight w:val="none"/>
          <w:lang w:eastAsia="zh-CN"/>
        </w:rPr>
        <w:t>职务：</w:t>
      </w:r>
      <w:r>
        <w:rPr>
          <w:rFonts w:hint="eastAsia"/>
          <w:color w:val="auto"/>
          <w:spacing w:val="-3"/>
          <w:szCs w:val="24"/>
          <w:highlight w:val="none"/>
          <w:u w:val="single"/>
          <w:lang w:eastAsia="zh-CN"/>
        </w:rPr>
        <w:t xml:space="preserve">      </w:t>
      </w:r>
    </w:p>
    <w:p>
      <w:pPr>
        <w:pStyle w:val="2"/>
        <w:ind w:firstLine="478"/>
        <w:rPr>
          <w:rFonts w:hint="eastAsia"/>
          <w:color w:val="auto"/>
          <w:szCs w:val="24"/>
          <w:highlight w:val="none"/>
          <w:lang w:eastAsia="zh-CN"/>
        </w:rPr>
      </w:pPr>
      <w:r>
        <w:rPr>
          <w:color w:val="auto"/>
          <w:spacing w:val="-1"/>
          <w:szCs w:val="24"/>
          <w:highlight w:val="none"/>
          <w:lang w:eastAsia="zh-CN"/>
        </w:rPr>
        <w:t>系</w:t>
      </w:r>
      <w:r>
        <w:rPr>
          <w:rFonts w:hint="eastAsia"/>
          <w:color w:val="auto"/>
          <w:spacing w:val="-1"/>
          <w:szCs w:val="24"/>
          <w:highlight w:val="none"/>
          <w:u w:val="single"/>
          <w:lang w:eastAsia="zh-CN"/>
        </w:rPr>
        <w:t xml:space="preserve">            </w:t>
      </w:r>
      <w:r>
        <w:rPr>
          <w:rFonts w:hint="eastAsia"/>
          <w:color w:val="auto"/>
          <w:spacing w:val="-1"/>
          <w:szCs w:val="24"/>
          <w:highlight w:val="none"/>
          <w:lang w:eastAsia="zh-CN"/>
        </w:rPr>
        <w:t xml:space="preserve"> </w:t>
      </w:r>
      <w:r>
        <w:rPr>
          <w:color w:val="auto"/>
          <w:spacing w:val="-1"/>
          <w:szCs w:val="24"/>
          <w:highlight w:val="none"/>
          <w:lang w:eastAsia="zh-CN"/>
        </w:rPr>
        <w:t>（</w:t>
      </w:r>
      <w:r>
        <w:rPr>
          <w:rFonts w:hint="eastAsia"/>
          <w:color w:val="auto"/>
          <w:spacing w:val="-1"/>
          <w:szCs w:val="24"/>
          <w:highlight w:val="none"/>
          <w:lang w:eastAsia="zh-CN"/>
        </w:rPr>
        <w:t>供应商</w:t>
      </w:r>
      <w:r>
        <w:rPr>
          <w:color w:val="auto"/>
          <w:spacing w:val="-1"/>
          <w:szCs w:val="24"/>
          <w:highlight w:val="none"/>
          <w:lang w:eastAsia="zh-CN"/>
        </w:rPr>
        <w:t>名称）的法定代表人。</w:t>
      </w:r>
    </w:p>
    <w:p>
      <w:pPr>
        <w:pStyle w:val="2"/>
        <w:ind w:firstLine="1416" w:firstLineChars="600"/>
        <w:rPr>
          <w:rFonts w:hint="eastAsia"/>
          <w:color w:val="auto"/>
          <w:szCs w:val="24"/>
          <w:highlight w:val="none"/>
          <w:lang w:eastAsia="zh-CN"/>
        </w:rPr>
      </w:pPr>
      <w:r>
        <w:rPr>
          <w:color w:val="auto"/>
          <w:spacing w:val="-2"/>
          <w:szCs w:val="24"/>
          <w:highlight w:val="none"/>
          <w:lang w:eastAsia="zh-CN"/>
        </w:rPr>
        <w:t>特此证明。</w:t>
      </w:r>
    </w:p>
    <w:p>
      <w:pPr>
        <w:spacing w:line="284" w:lineRule="auto"/>
        <w:rPr>
          <w:color w:val="auto"/>
          <w:highlight w:val="none"/>
          <w:lang w:eastAsia="zh-CN"/>
        </w:rPr>
      </w:pPr>
    </w:p>
    <w:p>
      <w:pPr>
        <w:spacing w:line="284" w:lineRule="auto"/>
        <w:rPr>
          <w:color w:val="auto"/>
          <w:highlight w:val="none"/>
          <w:lang w:eastAsia="zh-CN"/>
        </w:rPr>
      </w:pPr>
    </w:p>
    <w:p>
      <w:pPr>
        <w:pStyle w:val="2"/>
        <w:spacing w:before="79" w:line="219" w:lineRule="auto"/>
        <w:ind w:left="562" w:firstLine="474"/>
        <w:rPr>
          <w:rFonts w:hint="eastAsia"/>
          <w:color w:val="auto"/>
          <w:szCs w:val="24"/>
          <w:highlight w:val="none"/>
          <w:lang w:eastAsia="zh-CN"/>
        </w:rPr>
      </w:pPr>
      <w:r>
        <w:rPr>
          <w:color w:val="auto"/>
          <w:spacing w:val="-3"/>
          <w:szCs w:val="24"/>
          <w:highlight w:val="none"/>
          <w:lang w:eastAsia="zh-CN"/>
        </w:rPr>
        <w:t>附：法定代表人身份证扫描件。</w:t>
      </w:r>
    </w:p>
    <w:p>
      <w:pPr>
        <w:spacing w:line="245" w:lineRule="auto"/>
        <w:rPr>
          <w:color w:val="auto"/>
          <w:highlight w:val="none"/>
          <w:lang w:eastAsia="zh-CN"/>
        </w:rPr>
      </w:pPr>
    </w:p>
    <w:p>
      <w:pPr>
        <w:spacing w:line="245" w:lineRule="auto"/>
        <w:rPr>
          <w:color w:val="auto"/>
          <w:highlight w:val="none"/>
          <w:lang w:eastAsia="zh-CN"/>
        </w:rPr>
      </w:pPr>
    </w:p>
    <w:p>
      <w:pPr>
        <w:spacing w:line="245" w:lineRule="auto"/>
        <w:rPr>
          <w:color w:val="auto"/>
          <w:highlight w:val="none"/>
          <w:lang w:eastAsia="zh-CN"/>
        </w:rPr>
      </w:pPr>
    </w:p>
    <w:p>
      <w:pPr>
        <w:spacing w:line="246" w:lineRule="auto"/>
        <w:rPr>
          <w:color w:val="auto"/>
          <w:highlight w:val="none"/>
          <w:lang w:eastAsia="zh-CN"/>
        </w:rPr>
      </w:pPr>
    </w:p>
    <w:p>
      <w:pPr>
        <w:spacing w:line="246" w:lineRule="auto"/>
        <w:rPr>
          <w:color w:val="auto"/>
          <w:highlight w:val="none"/>
          <w:lang w:eastAsia="zh-CN"/>
        </w:rPr>
      </w:pPr>
    </w:p>
    <w:p>
      <w:pPr>
        <w:spacing w:line="246" w:lineRule="auto"/>
        <w:rPr>
          <w:color w:val="auto"/>
          <w:highlight w:val="none"/>
          <w:lang w:eastAsia="zh-CN"/>
        </w:rPr>
      </w:pPr>
    </w:p>
    <w:p>
      <w:pPr>
        <w:spacing w:line="246" w:lineRule="auto"/>
        <w:rPr>
          <w:color w:val="auto"/>
          <w:highlight w:val="none"/>
          <w:lang w:eastAsia="zh-CN"/>
        </w:rPr>
      </w:pPr>
    </w:p>
    <w:p>
      <w:pPr>
        <w:spacing w:line="246" w:lineRule="auto"/>
        <w:rPr>
          <w:color w:val="auto"/>
          <w:highlight w:val="none"/>
          <w:lang w:eastAsia="zh-CN"/>
        </w:rPr>
      </w:pPr>
    </w:p>
    <w:p>
      <w:pPr>
        <w:pStyle w:val="2"/>
        <w:spacing w:before="79"/>
        <w:ind w:firstLine="484"/>
        <w:jc w:val="right"/>
        <w:rPr>
          <w:rFonts w:hint="eastAsia"/>
          <w:color w:val="auto"/>
          <w:szCs w:val="24"/>
          <w:highlight w:val="none"/>
          <w:lang w:eastAsia="zh-CN"/>
        </w:rPr>
      </w:pPr>
      <w:r>
        <w:rPr>
          <w:rFonts w:hint="eastAsia"/>
          <w:color w:val="auto"/>
          <w:spacing w:val="2"/>
          <w:szCs w:val="24"/>
          <w:highlight w:val="none"/>
          <w:lang w:eastAsia="zh-CN"/>
        </w:rPr>
        <w:t>供应商</w:t>
      </w:r>
      <w:r>
        <w:rPr>
          <w:color w:val="auto"/>
          <w:spacing w:val="-16"/>
          <w:szCs w:val="24"/>
          <w:highlight w:val="none"/>
          <w:lang w:eastAsia="zh-CN"/>
        </w:rPr>
        <w:t>：</w:t>
      </w:r>
      <w:r>
        <w:rPr>
          <w:rFonts w:hint="eastAsia"/>
          <w:color w:val="auto"/>
          <w:spacing w:val="-16"/>
          <w:szCs w:val="24"/>
          <w:highlight w:val="none"/>
          <w:u w:val="single"/>
          <w:lang w:eastAsia="zh-CN"/>
        </w:rPr>
        <w:t xml:space="preserve">     </w:t>
      </w:r>
      <w:r>
        <w:rPr>
          <w:color w:val="auto"/>
          <w:spacing w:val="-16"/>
          <w:szCs w:val="24"/>
          <w:highlight w:val="none"/>
          <w:lang w:eastAsia="zh-CN"/>
        </w:rPr>
        <w:t>（</w:t>
      </w:r>
      <w:r>
        <w:rPr>
          <w:color w:val="auto"/>
          <w:spacing w:val="2"/>
          <w:szCs w:val="24"/>
          <w:highlight w:val="none"/>
          <w:lang w:eastAsia="zh-CN"/>
        </w:rPr>
        <w:t>盖单位公章）</w:t>
      </w:r>
    </w:p>
    <w:p>
      <w:pPr>
        <w:pStyle w:val="2"/>
        <w:spacing w:line="219" w:lineRule="auto"/>
        <w:ind w:firstLine="486"/>
        <w:jc w:val="right"/>
        <w:rPr>
          <w:rFonts w:hint="eastAsia"/>
          <w:color w:val="auto"/>
          <w:szCs w:val="24"/>
          <w:highlight w:val="none"/>
          <w:lang w:eastAsia="zh-CN"/>
        </w:rPr>
      </w:pPr>
      <w:r>
        <w:rPr>
          <w:color w:val="auto"/>
          <w:spacing w:val="3"/>
          <w:szCs w:val="24"/>
          <w:highlight w:val="none"/>
          <w:lang w:eastAsia="zh-CN"/>
        </w:rPr>
        <w:t>法定代表人</w:t>
      </w:r>
      <w:r>
        <w:rPr>
          <w:color w:val="auto"/>
          <w:spacing w:val="-18"/>
          <w:szCs w:val="24"/>
          <w:highlight w:val="none"/>
          <w:lang w:eastAsia="zh-CN"/>
        </w:rPr>
        <w:t>：</w:t>
      </w:r>
      <w:r>
        <w:rPr>
          <w:rFonts w:hint="eastAsia"/>
          <w:color w:val="auto"/>
          <w:spacing w:val="-18"/>
          <w:szCs w:val="24"/>
          <w:highlight w:val="none"/>
          <w:u w:val="single"/>
          <w:lang w:eastAsia="zh-CN"/>
        </w:rPr>
        <w:t xml:space="preserve">       </w:t>
      </w:r>
      <w:r>
        <w:rPr>
          <w:color w:val="auto"/>
          <w:spacing w:val="-18"/>
          <w:szCs w:val="24"/>
          <w:highlight w:val="none"/>
          <w:lang w:eastAsia="zh-CN"/>
        </w:rPr>
        <w:t>（</w:t>
      </w:r>
      <w:r>
        <w:rPr>
          <w:color w:val="auto"/>
          <w:spacing w:val="3"/>
          <w:szCs w:val="24"/>
          <w:highlight w:val="none"/>
          <w:lang w:eastAsia="zh-CN"/>
        </w:rPr>
        <w:t>签字）</w:t>
      </w:r>
    </w:p>
    <w:p>
      <w:pPr>
        <w:spacing w:line="284" w:lineRule="auto"/>
        <w:rPr>
          <w:color w:val="auto"/>
          <w:highlight w:val="none"/>
          <w:lang w:eastAsia="zh-CN"/>
        </w:rPr>
      </w:pPr>
    </w:p>
    <w:p>
      <w:pPr>
        <w:spacing w:line="285" w:lineRule="auto"/>
        <w:rPr>
          <w:color w:val="auto"/>
          <w:highlight w:val="none"/>
          <w:lang w:eastAsia="zh-CN"/>
        </w:rPr>
      </w:pPr>
    </w:p>
    <w:p>
      <w:pPr>
        <w:pStyle w:val="2"/>
        <w:spacing w:before="79" w:line="219" w:lineRule="auto"/>
        <w:ind w:firstLine="446"/>
        <w:jc w:val="right"/>
        <w:rPr>
          <w:rFonts w:hint="eastAsia"/>
          <w:color w:val="auto"/>
          <w:spacing w:val="-17"/>
          <w:szCs w:val="24"/>
          <w:highlight w:val="none"/>
          <w:lang w:eastAsia="zh-CN"/>
        </w:rPr>
      </w:pPr>
      <w:r>
        <w:rPr>
          <w:color w:val="auto"/>
          <w:spacing w:val="-17"/>
          <w:szCs w:val="24"/>
          <w:highlight w:val="none"/>
          <w:lang w:eastAsia="zh-CN"/>
        </w:rPr>
        <w:t>年</w:t>
      </w:r>
      <w:r>
        <w:rPr>
          <w:rFonts w:hint="eastAsia"/>
          <w:color w:val="auto"/>
          <w:spacing w:val="-17"/>
          <w:szCs w:val="24"/>
          <w:highlight w:val="none"/>
          <w:lang w:eastAsia="zh-CN"/>
        </w:rPr>
        <w:t xml:space="preserve">  </w:t>
      </w:r>
      <w:r>
        <w:rPr>
          <w:color w:val="auto"/>
          <w:spacing w:val="-17"/>
          <w:szCs w:val="24"/>
          <w:highlight w:val="none"/>
          <w:lang w:eastAsia="zh-CN"/>
        </w:rPr>
        <w:t>月</w:t>
      </w:r>
      <w:r>
        <w:rPr>
          <w:rFonts w:hint="eastAsia"/>
          <w:color w:val="auto"/>
          <w:spacing w:val="-17"/>
          <w:szCs w:val="24"/>
          <w:highlight w:val="none"/>
          <w:lang w:eastAsia="zh-CN"/>
        </w:rPr>
        <w:t xml:space="preserve">  </w:t>
      </w:r>
      <w:r>
        <w:rPr>
          <w:color w:val="auto"/>
          <w:spacing w:val="-17"/>
          <w:szCs w:val="24"/>
          <w:highlight w:val="none"/>
          <w:lang w:eastAsia="zh-CN"/>
        </w:rPr>
        <w:t>日</w:t>
      </w:r>
    </w:p>
    <w:p>
      <w:pPr>
        <w:pStyle w:val="46"/>
        <w:rPr>
          <w:color w:val="auto"/>
          <w:highlight w:val="none"/>
        </w:rPr>
      </w:pPr>
    </w:p>
    <w:p>
      <w:pPr>
        <w:rPr>
          <w:rFonts w:eastAsiaTheme="minorEastAsia"/>
          <w:color w:val="auto"/>
          <w:highlight w:val="none"/>
          <w:lang w:eastAsia="zh-CN"/>
        </w:rPr>
      </w:pPr>
    </w:p>
    <w:p>
      <w:pPr>
        <w:kinsoku/>
        <w:autoSpaceDE/>
        <w:autoSpaceDN/>
        <w:adjustRightInd/>
        <w:snapToGrid/>
        <w:textAlignment w:val="auto"/>
        <w:rPr>
          <w:color w:val="auto"/>
          <w:highlight w:val="none"/>
          <w:lang w:eastAsia="zh-CN"/>
        </w:rPr>
      </w:pPr>
      <w:r>
        <w:rPr>
          <w:color w:val="auto"/>
          <w:highlight w:val="none"/>
          <w:lang w:eastAsia="zh-CN"/>
        </w:rPr>
        <w:br w:type="page"/>
      </w:r>
    </w:p>
    <w:p>
      <w:pPr>
        <w:spacing w:line="256" w:lineRule="auto"/>
        <w:rPr>
          <w:color w:val="auto"/>
          <w:highlight w:val="none"/>
          <w:lang w:eastAsia="zh-CN"/>
        </w:rPr>
      </w:pPr>
    </w:p>
    <w:p>
      <w:pPr>
        <w:pStyle w:val="4"/>
        <w:outlineLvl w:val="0"/>
        <w:rPr>
          <w:color w:val="auto"/>
          <w:highlight w:val="none"/>
          <w:lang w:eastAsia="zh-CN"/>
        </w:rPr>
      </w:pPr>
      <w:bookmarkStart w:id="84" w:name="_Toc7300"/>
      <w:bookmarkStart w:id="85" w:name="_Toc19807"/>
      <w:r>
        <w:rPr>
          <w:rFonts w:hint="eastAsia"/>
          <w:color w:val="auto"/>
          <w:highlight w:val="none"/>
          <w:lang w:eastAsia="zh-CN"/>
        </w:rPr>
        <w:t>二、</w:t>
      </w:r>
      <w:r>
        <w:rPr>
          <w:color w:val="auto"/>
          <w:highlight w:val="none"/>
          <w:lang w:eastAsia="zh-CN"/>
        </w:rPr>
        <w:t>授权委托书</w:t>
      </w:r>
      <w:bookmarkEnd w:id="84"/>
      <w:bookmarkEnd w:id="85"/>
    </w:p>
    <w:p>
      <w:pPr>
        <w:spacing w:line="323" w:lineRule="auto"/>
        <w:rPr>
          <w:color w:val="auto"/>
          <w:highlight w:val="none"/>
          <w:lang w:eastAsia="zh-CN"/>
        </w:rPr>
      </w:pPr>
    </w:p>
    <w:p>
      <w:pPr>
        <w:spacing w:line="323" w:lineRule="auto"/>
        <w:rPr>
          <w:color w:val="auto"/>
          <w:highlight w:val="none"/>
          <w:lang w:eastAsia="zh-CN"/>
        </w:rPr>
      </w:pPr>
    </w:p>
    <w:p>
      <w:pPr>
        <w:pStyle w:val="2"/>
        <w:ind w:left="105" w:leftChars="50" w:firstLine="480"/>
        <w:rPr>
          <w:rFonts w:hint="eastAsia"/>
          <w:color w:val="auto"/>
          <w:szCs w:val="24"/>
          <w:highlight w:val="none"/>
          <w:lang w:eastAsia="zh-CN"/>
        </w:rPr>
      </w:pPr>
      <w:r>
        <w:rPr>
          <w:color w:val="auto"/>
          <w:szCs w:val="24"/>
          <w:highlight w:val="none"/>
          <w:lang w:eastAsia="zh-CN"/>
        </w:rPr>
        <w:t>本人</w:t>
      </w:r>
      <w:r>
        <w:rPr>
          <w:rFonts w:hint="eastAsia"/>
          <w:color w:val="auto"/>
          <w:szCs w:val="24"/>
          <w:highlight w:val="none"/>
          <w:u w:val="single"/>
          <w:lang w:eastAsia="zh-CN"/>
        </w:rPr>
        <w:t xml:space="preserve">     </w:t>
      </w:r>
      <w:r>
        <w:rPr>
          <w:color w:val="auto"/>
          <w:szCs w:val="24"/>
          <w:highlight w:val="none"/>
          <w:lang w:eastAsia="zh-CN"/>
        </w:rPr>
        <w:t>（姓名）系</w:t>
      </w:r>
      <w:r>
        <w:rPr>
          <w:rFonts w:hint="eastAsia"/>
          <w:color w:val="auto"/>
          <w:szCs w:val="24"/>
          <w:highlight w:val="none"/>
          <w:u w:val="single"/>
          <w:lang w:eastAsia="zh-CN"/>
        </w:rPr>
        <w:t xml:space="preserve">        </w:t>
      </w:r>
      <w:r>
        <w:rPr>
          <w:color w:val="auto"/>
          <w:szCs w:val="24"/>
          <w:highlight w:val="none"/>
          <w:lang w:eastAsia="zh-CN"/>
        </w:rPr>
        <w:t>（</w:t>
      </w:r>
      <w:r>
        <w:rPr>
          <w:rFonts w:hint="eastAsia"/>
          <w:color w:val="auto"/>
          <w:szCs w:val="24"/>
          <w:highlight w:val="none"/>
          <w:lang w:eastAsia="zh-CN"/>
        </w:rPr>
        <w:t>供应商</w:t>
      </w:r>
      <w:r>
        <w:rPr>
          <w:color w:val="auto"/>
          <w:spacing w:val="-1"/>
          <w:szCs w:val="24"/>
          <w:highlight w:val="none"/>
          <w:lang w:eastAsia="zh-CN"/>
        </w:rPr>
        <w:t>名称）的法定代表人，现委托</w:t>
      </w:r>
      <w:r>
        <w:rPr>
          <w:rFonts w:hint="eastAsia" w:ascii="Arial" w:hAnsi="Arial" w:cs="Arial" w:eastAsiaTheme="minorEastAsia"/>
          <w:color w:val="auto"/>
          <w:spacing w:val="-1"/>
          <w:position w:val="-2"/>
          <w:sz w:val="19"/>
          <w:szCs w:val="19"/>
          <w:highlight w:val="none"/>
          <w:u w:val="single"/>
          <w:lang w:eastAsia="zh-CN"/>
        </w:rPr>
        <w:t xml:space="preserve">       </w:t>
      </w:r>
      <w:r>
        <w:rPr>
          <w:rFonts w:hint="eastAsia" w:ascii="Arial" w:hAnsi="Arial" w:cs="Arial" w:eastAsiaTheme="minorEastAsia"/>
          <w:color w:val="auto"/>
          <w:spacing w:val="-1"/>
          <w:position w:val="-2"/>
          <w:sz w:val="19"/>
          <w:szCs w:val="19"/>
          <w:highlight w:val="none"/>
          <w:lang w:eastAsia="zh-CN"/>
        </w:rPr>
        <w:t xml:space="preserve"> </w:t>
      </w:r>
      <w:r>
        <w:rPr>
          <w:color w:val="auto"/>
          <w:spacing w:val="-3"/>
          <w:szCs w:val="24"/>
          <w:highlight w:val="none"/>
          <w:lang w:eastAsia="zh-CN"/>
        </w:rPr>
        <w:t>（姓名）为我方代理人，代理人根据授权，以我方名义签署、澄清、说明、补正、递交、</w:t>
      </w:r>
      <w:r>
        <w:rPr>
          <w:color w:val="auto"/>
          <w:spacing w:val="-2"/>
          <w:szCs w:val="24"/>
          <w:highlight w:val="none"/>
          <w:lang w:eastAsia="zh-CN"/>
        </w:rPr>
        <w:t>撤回、修改</w:t>
      </w:r>
      <w:r>
        <w:rPr>
          <w:rFonts w:hint="eastAsia"/>
          <w:color w:val="auto"/>
          <w:spacing w:val="-2"/>
          <w:szCs w:val="24"/>
          <w:highlight w:val="none"/>
          <w:u w:val="single"/>
          <w:lang w:eastAsia="zh-CN"/>
        </w:rPr>
        <w:t xml:space="preserve">          </w:t>
      </w:r>
      <w:r>
        <w:rPr>
          <w:color w:val="auto"/>
          <w:spacing w:val="-2"/>
          <w:szCs w:val="24"/>
          <w:highlight w:val="none"/>
          <w:lang w:eastAsia="zh-CN"/>
        </w:rPr>
        <w:t>（项目名称）响应文件、签订合同和处理有关事</w:t>
      </w:r>
      <w:r>
        <w:rPr>
          <w:color w:val="auto"/>
          <w:spacing w:val="-3"/>
          <w:szCs w:val="24"/>
          <w:highlight w:val="none"/>
          <w:lang w:eastAsia="zh-CN"/>
        </w:rPr>
        <w:t>宜，其法律后</w:t>
      </w:r>
      <w:r>
        <w:rPr>
          <w:color w:val="auto"/>
          <w:spacing w:val="-2"/>
          <w:szCs w:val="24"/>
          <w:highlight w:val="none"/>
          <w:lang w:eastAsia="zh-CN"/>
        </w:rPr>
        <w:t>果由我方承担。</w:t>
      </w:r>
    </w:p>
    <w:p>
      <w:pPr>
        <w:pStyle w:val="2"/>
        <w:ind w:left="105" w:leftChars="50" w:firstLine="478"/>
        <w:rPr>
          <w:rFonts w:hint="eastAsia"/>
          <w:color w:val="auto"/>
          <w:szCs w:val="24"/>
          <w:highlight w:val="none"/>
          <w:lang w:eastAsia="zh-CN"/>
        </w:rPr>
      </w:pPr>
      <w:r>
        <w:rPr>
          <w:color w:val="auto"/>
          <w:spacing w:val="-1"/>
          <w:szCs w:val="24"/>
          <w:highlight w:val="none"/>
          <w:lang w:eastAsia="zh-CN"/>
        </w:rPr>
        <w:t>委托期限：</w:t>
      </w:r>
      <w:r>
        <w:rPr>
          <w:rFonts w:hint="eastAsia"/>
          <w:color w:val="auto"/>
          <w:spacing w:val="-1"/>
          <w:szCs w:val="24"/>
          <w:highlight w:val="none"/>
          <w:u w:val="single"/>
          <w:lang w:eastAsia="zh-CN"/>
        </w:rPr>
        <w:t xml:space="preserve">              </w:t>
      </w:r>
      <w:r>
        <w:rPr>
          <w:color w:val="auto"/>
          <w:spacing w:val="-1"/>
          <w:szCs w:val="24"/>
          <w:highlight w:val="none"/>
          <w:lang w:eastAsia="zh-CN"/>
        </w:rPr>
        <w:t>。</w:t>
      </w:r>
    </w:p>
    <w:p>
      <w:pPr>
        <w:pStyle w:val="2"/>
        <w:ind w:left="105" w:leftChars="50" w:firstLine="478"/>
        <w:rPr>
          <w:rFonts w:hint="eastAsia"/>
          <w:color w:val="auto"/>
          <w:szCs w:val="24"/>
          <w:highlight w:val="none"/>
          <w:lang w:eastAsia="zh-CN"/>
        </w:rPr>
      </w:pPr>
      <w:r>
        <w:rPr>
          <w:color w:val="auto"/>
          <w:spacing w:val="-1"/>
          <w:szCs w:val="24"/>
          <w:highlight w:val="none"/>
          <w:lang w:eastAsia="zh-CN"/>
        </w:rPr>
        <w:t>代理人无转委托权。</w:t>
      </w:r>
    </w:p>
    <w:p>
      <w:pPr>
        <w:pStyle w:val="2"/>
        <w:ind w:left="105" w:leftChars="50" w:firstLine="478"/>
        <w:rPr>
          <w:rFonts w:hint="eastAsia"/>
          <w:color w:val="auto"/>
          <w:szCs w:val="24"/>
          <w:highlight w:val="none"/>
          <w:lang w:eastAsia="zh-CN"/>
        </w:rPr>
      </w:pPr>
      <w:r>
        <w:rPr>
          <w:color w:val="auto"/>
          <w:spacing w:val="-1"/>
          <w:szCs w:val="24"/>
          <w:highlight w:val="none"/>
          <w:lang w:eastAsia="zh-CN"/>
        </w:rPr>
        <w:t>附：法定代表人身份证扫描件及委托代理人身</w:t>
      </w:r>
      <w:r>
        <w:rPr>
          <w:color w:val="auto"/>
          <w:spacing w:val="-2"/>
          <w:szCs w:val="24"/>
          <w:highlight w:val="none"/>
          <w:lang w:eastAsia="zh-CN"/>
        </w:rPr>
        <w:t>份证扫描件</w:t>
      </w:r>
    </w:p>
    <w:p>
      <w:pPr>
        <w:spacing w:line="360" w:lineRule="auto"/>
        <w:ind w:left="105" w:leftChars="50" w:firstLine="200"/>
        <w:rPr>
          <w:color w:val="auto"/>
          <w:highlight w:val="none"/>
          <w:lang w:eastAsia="zh-CN"/>
        </w:rPr>
      </w:pPr>
    </w:p>
    <w:p>
      <w:pPr>
        <w:spacing w:line="360" w:lineRule="auto"/>
        <w:ind w:left="105" w:leftChars="50" w:firstLine="200"/>
        <w:rPr>
          <w:color w:val="auto"/>
          <w:highlight w:val="none"/>
          <w:lang w:eastAsia="zh-CN"/>
        </w:rPr>
      </w:pPr>
    </w:p>
    <w:p>
      <w:pPr>
        <w:pStyle w:val="2"/>
        <w:ind w:left="105" w:leftChars="50" w:firstLine="480"/>
        <w:rPr>
          <w:rFonts w:hint="eastAsia"/>
          <w:color w:val="auto"/>
          <w:szCs w:val="24"/>
          <w:highlight w:val="none"/>
          <w:lang w:eastAsia="zh-CN"/>
        </w:rPr>
      </w:pPr>
      <w:r>
        <w:rPr>
          <w:color w:val="auto"/>
          <w:szCs w:val="24"/>
          <w:highlight w:val="none"/>
          <w:lang w:eastAsia="zh-CN"/>
        </w:rPr>
        <w:t>注：本授权委托书需由</w:t>
      </w:r>
      <w:r>
        <w:rPr>
          <w:rFonts w:hint="eastAsia"/>
          <w:color w:val="auto"/>
          <w:szCs w:val="24"/>
          <w:highlight w:val="none"/>
          <w:lang w:eastAsia="zh-CN"/>
        </w:rPr>
        <w:t>供应商</w:t>
      </w:r>
      <w:r>
        <w:rPr>
          <w:color w:val="auto"/>
          <w:szCs w:val="24"/>
          <w:highlight w:val="none"/>
          <w:lang w:eastAsia="zh-CN"/>
        </w:rPr>
        <w:t>加盖单位公章并由其法定代</w:t>
      </w:r>
      <w:r>
        <w:rPr>
          <w:color w:val="auto"/>
          <w:spacing w:val="-1"/>
          <w:szCs w:val="24"/>
          <w:highlight w:val="none"/>
          <w:lang w:eastAsia="zh-CN"/>
        </w:rPr>
        <w:t>表人和委托代理人签字。</w:t>
      </w:r>
    </w:p>
    <w:p>
      <w:pPr>
        <w:spacing w:before="27"/>
        <w:rPr>
          <w:color w:val="auto"/>
          <w:highlight w:val="none"/>
          <w:lang w:eastAsia="zh-CN"/>
        </w:rPr>
      </w:pPr>
    </w:p>
    <w:p>
      <w:pPr>
        <w:spacing w:before="27"/>
        <w:rPr>
          <w:color w:val="auto"/>
          <w:highlight w:val="none"/>
          <w:lang w:eastAsia="zh-CN"/>
        </w:rPr>
      </w:pPr>
    </w:p>
    <w:p>
      <w:pPr>
        <w:spacing w:before="26"/>
        <w:rPr>
          <w:color w:val="auto"/>
          <w:highlight w:val="none"/>
          <w:lang w:eastAsia="zh-CN"/>
        </w:rPr>
      </w:pPr>
    </w:p>
    <w:p>
      <w:pPr>
        <w:pStyle w:val="2"/>
        <w:spacing w:before="48" w:line="468" w:lineRule="exact"/>
        <w:ind w:left="3" w:leftChars="0" w:firstLine="2737" w:firstLineChars="0"/>
        <w:rPr>
          <w:rFonts w:hint="eastAsia"/>
          <w:color w:val="auto"/>
          <w:szCs w:val="24"/>
          <w:highlight w:val="none"/>
          <w:lang w:eastAsia="zh-CN"/>
        </w:rPr>
      </w:pPr>
      <w:bookmarkStart w:id="86" w:name="OLE_LINK7"/>
      <w:r>
        <w:rPr>
          <w:rFonts w:hint="eastAsia"/>
          <w:color w:val="auto"/>
          <w:spacing w:val="-3"/>
          <w:position w:val="17"/>
          <w:szCs w:val="24"/>
          <w:highlight w:val="none"/>
          <w:lang w:eastAsia="zh-CN"/>
        </w:rPr>
        <w:t>供应商</w:t>
      </w:r>
      <w:r>
        <w:rPr>
          <w:color w:val="auto"/>
          <w:spacing w:val="-3"/>
          <w:position w:val="17"/>
          <w:szCs w:val="24"/>
          <w:highlight w:val="none"/>
          <w:lang w:eastAsia="zh-CN"/>
        </w:rPr>
        <w:t>名称：</w:t>
      </w:r>
      <w:r>
        <w:rPr>
          <w:rFonts w:hint="eastAsia"/>
          <w:color w:val="auto"/>
          <w:spacing w:val="-3"/>
          <w:position w:val="17"/>
          <w:szCs w:val="24"/>
          <w:highlight w:val="none"/>
          <w:lang w:eastAsia="zh-CN"/>
        </w:rPr>
        <w:t xml:space="preserve"> </w:t>
      </w:r>
      <w:r>
        <w:rPr>
          <w:rFonts w:hint="eastAsia"/>
          <w:color w:val="auto"/>
          <w:spacing w:val="-3"/>
          <w:position w:val="17"/>
          <w:szCs w:val="24"/>
          <w:highlight w:val="none"/>
          <w:u w:val="single"/>
          <w:lang w:eastAsia="zh-CN"/>
        </w:rPr>
        <w:t xml:space="preserve">             </w:t>
      </w:r>
      <w:r>
        <w:rPr>
          <w:rFonts w:hint="eastAsia"/>
          <w:color w:val="auto"/>
          <w:spacing w:val="-3"/>
          <w:position w:val="17"/>
          <w:szCs w:val="24"/>
          <w:highlight w:val="none"/>
          <w:lang w:eastAsia="zh-CN"/>
        </w:rPr>
        <w:t xml:space="preserve">  （</w:t>
      </w:r>
      <w:r>
        <w:rPr>
          <w:rFonts w:hint="eastAsia"/>
          <w:color w:val="auto"/>
          <w:spacing w:val="-3"/>
          <w:position w:val="17"/>
          <w:szCs w:val="24"/>
          <w:highlight w:val="none"/>
          <w:lang w:val="en-US" w:eastAsia="zh-CN"/>
        </w:rPr>
        <w:t>盖单位章）</w:t>
      </w:r>
      <w:r>
        <w:rPr>
          <w:rFonts w:hint="eastAsia"/>
          <w:color w:val="auto"/>
          <w:spacing w:val="-3"/>
          <w:position w:val="17"/>
          <w:szCs w:val="24"/>
          <w:highlight w:val="none"/>
          <w:lang w:eastAsia="zh-CN"/>
        </w:rPr>
        <w:t xml:space="preserve"> </w:t>
      </w:r>
    </w:p>
    <w:p>
      <w:pPr>
        <w:pStyle w:val="2"/>
        <w:spacing w:before="1" w:line="219" w:lineRule="auto"/>
        <w:ind w:left="3" w:leftChars="0" w:firstLine="2737" w:firstLineChars="0"/>
        <w:rPr>
          <w:rFonts w:hint="default"/>
          <w:color w:val="auto"/>
          <w:szCs w:val="24"/>
          <w:highlight w:val="none"/>
          <w:lang w:val="en-US" w:eastAsia="zh-CN"/>
        </w:rPr>
      </w:pPr>
      <w:r>
        <w:rPr>
          <w:color w:val="auto"/>
          <w:spacing w:val="-2"/>
          <w:szCs w:val="24"/>
          <w:highlight w:val="none"/>
          <w:lang w:eastAsia="zh-CN"/>
        </w:rPr>
        <w:t>法定代表人：</w:t>
      </w:r>
      <w:r>
        <w:rPr>
          <w:rFonts w:hint="eastAsia"/>
          <w:color w:val="auto"/>
          <w:spacing w:val="-2"/>
          <w:szCs w:val="24"/>
          <w:highlight w:val="none"/>
          <w:u w:val="single"/>
          <w:lang w:eastAsia="zh-CN"/>
        </w:rPr>
        <w:t xml:space="preserve">              </w:t>
      </w:r>
      <w:r>
        <w:rPr>
          <w:rFonts w:hint="eastAsia"/>
          <w:color w:val="auto"/>
          <w:spacing w:val="-2"/>
          <w:szCs w:val="24"/>
          <w:highlight w:val="none"/>
          <w:lang w:eastAsia="zh-CN"/>
        </w:rPr>
        <w:t xml:space="preserve">  （</w:t>
      </w:r>
      <w:r>
        <w:rPr>
          <w:rFonts w:hint="eastAsia"/>
          <w:color w:val="auto"/>
          <w:spacing w:val="-2"/>
          <w:szCs w:val="24"/>
          <w:highlight w:val="none"/>
          <w:lang w:val="en-US" w:eastAsia="zh-CN"/>
        </w:rPr>
        <w:t>签字）</w:t>
      </w:r>
    </w:p>
    <w:p>
      <w:pPr>
        <w:pStyle w:val="2"/>
        <w:spacing w:before="183" w:line="219" w:lineRule="auto"/>
        <w:ind w:left="3" w:leftChars="0" w:firstLine="2737" w:firstLineChars="0"/>
        <w:rPr>
          <w:rFonts w:hint="eastAsia"/>
          <w:color w:val="auto"/>
          <w:szCs w:val="24"/>
          <w:highlight w:val="none"/>
          <w:lang w:eastAsia="zh-CN"/>
        </w:rPr>
      </w:pPr>
      <w:r>
        <w:rPr>
          <w:color w:val="auto"/>
          <w:spacing w:val="-3"/>
          <w:szCs w:val="24"/>
          <w:highlight w:val="none"/>
          <w:lang w:eastAsia="zh-CN"/>
        </w:rPr>
        <w:t>身份证号码：</w:t>
      </w:r>
      <w:r>
        <w:rPr>
          <w:rFonts w:hint="eastAsia"/>
          <w:color w:val="auto"/>
          <w:spacing w:val="-3"/>
          <w:szCs w:val="24"/>
          <w:highlight w:val="none"/>
          <w:u w:val="single"/>
          <w:lang w:eastAsia="zh-CN"/>
        </w:rPr>
        <w:t xml:space="preserve">              </w:t>
      </w:r>
    </w:p>
    <w:p>
      <w:pPr>
        <w:pStyle w:val="2"/>
        <w:spacing w:before="183" w:line="219" w:lineRule="auto"/>
        <w:ind w:left="3" w:leftChars="0" w:firstLine="2737" w:firstLineChars="0"/>
        <w:rPr>
          <w:rFonts w:hint="default"/>
          <w:color w:val="auto"/>
          <w:szCs w:val="24"/>
          <w:highlight w:val="none"/>
          <w:lang w:val="en-US" w:eastAsia="zh-CN"/>
        </w:rPr>
      </w:pPr>
      <w:r>
        <w:rPr>
          <w:color w:val="auto"/>
          <w:spacing w:val="-2"/>
          <w:szCs w:val="24"/>
          <w:highlight w:val="none"/>
          <w:lang w:eastAsia="zh-CN"/>
        </w:rPr>
        <w:t>委托代理人：</w:t>
      </w:r>
      <w:r>
        <w:rPr>
          <w:rFonts w:hint="eastAsia"/>
          <w:color w:val="auto"/>
          <w:spacing w:val="-2"/>
          <w:szCs w:val="24"/>
          <w:highlight w:val="none"/>
          <w:lang w:eastAsia="zh-CN"/>
        </w:rPr>
        <w:t xml:space="preserve"> </w:t>
      </w:r>
      <w:r>
        <w:rPr>
          <w:rFonts w:hint="eastAsia"/>
          <w:color w:val="auto"/>
          <w:spacing w:val="-2"/>
          <w:szCs w:val="24"/>
          <w:highlight w:val="none"/>
          <w:u w:val="single"/>
          <w:lang w:eastAsia="zh-CN"/>
        </w:rPr>
        <w:t xml:space="preserve">              </w:t>
      </w:r>
      <w:r>
        <w:rPr>
          <w:rFonts w:hint="eastAsia"/>
          <w:color w:val="auto"/>
          <w:spacing w:val="-2"/>
          <w:szCs w:val="24"/>
          <w:highlight w:val="none"/>
          <w:lang w:eastAsia="zh-CN"/>
        </w:rPr>
        <w:t xml:space="preserve"> （</w:t>
      </w:r>
      <w:r>
        <w:rPr>
          <w:rFonts w:hint="eastAsia"/>
          <w:color w:val="auto"/>
          <w:spacing w:val="-2"/>
          <w:szCs w:val="24"/>
          <w:highlight w:val="none"/>
          <w:lang w:val="en-US" w:eastAsia="zh-CN"/>
        </w:rPr>
        <w:t>签字）</w:t>
      </w:r>
    </w:p>
    <w:p>
      <w:pPr>
        <w:pStyle w:val="2"/>
        <w:spacing w:before="184" w:line="219" w:lineRule="auto"/>
        <w:ind w:left="3" w:leftChars="0" w:firstLine="2737" w:firstLineChars="0"/>
        <w:rPr>
          <w:rFonts w:hint="eastAsia"/>
          <w:color w:val="auto"/>
          <w:szCs w:val="24"/>
          <w:highlight w:val="none"/>
          <w:lang w:eastAsia="zh-CN"/>
        </w:rPr>
      </w:pPr>
      <w:r>
        <w:rPr>
          <w:color w:val="auto"/>
          <w:spacing w:val="-3"/>
          <w:szCs w:val="24"/>
          <w:highlight w:val="none"/>
          <w:lang w:eastAsia="zh-CN"/>
        </w:rPr>
        <w:t>身份证号码：</w:t>
      </w:r>
      <w:r>
        <w:rPr>
          <w:rFonts w:hint="eastAsia"/>
          <w:color w:val="auto"/>
          <w:spacing w:val="-3"/>
          <w:szCs w:val="24"/>
          <w:highlight w:val="none"/>
          <w:lang w:eastAsia="zh-CN"/>
        </w:rPr>
        <w:t xml:space="preserve"> </w:t>
      </w:r>
      <w:r>
        <w:rPr>
          <w:rFonts w:hint="eastAsia"/>
          <w:color w:val="auto"/>
          <w:spacing w:val="-3"/>
          <w:szCs w:val="24"/>
          <w:highlight w:val="none"/>
          <w:u w:val="single"/>
          <w:lang w:eastAsia="zh-CN"/>
        </w:rPr>
        <w:t xml:space="preserve">              </w:t>
      </w:r>
      <w:r>
        <w:rPr>
          <w:rFonts w:hint="eastAsia"/>
          <w:color w:val="auto"/>
          <w:spacing w:val="-3"/>
          <w:szCs w:val="24"/>
          <w:highlight w:val="none"/>
          <w:lang w:eastAsia="zh-CN"/>
        </w:rPr>
        <w:t xml:space="preserve">     </w:t>
      </w:r>
    </w:p>
    <w:bookmarkEnd w:id="86"/>
    <w:p>
      <w:pPr>
        <w:spacing w:line="14" w:lineRule="auto"/>
        <w:rPr>
          <w:color w:val="auto"/>
          <w:sz w:val="2"/>
          <w:highlight w:val="none"/>
          <w:lang w:eastAsia="zh-CN"/>
        </w:rPr>
      </w:pPr>
      <w:r>
        <w:rPr>
          <w:color w:val="auto"/>
          <w:sz w:val="2"/>
          <w:szCs w:val="2"/>
          <w:highlight w:val="none"/>
          <w:lang w:eastAsia="zh-CN"/>
        </w:rPr>
        <w:br w:type="column"/>
      </w:r>
    </w:p>
    <w:p>
      <w:pPr>
        <w:pStyle w:val="4"/>
        <w:outlineLvl w:val="0"/>
        <w:rPr>
          <w:color w:val="auto"/>
          <w:highlight w:val="none"/>
          <w:lang w:eastAsia="zh-CN"/>
        </w:rPr>
      </w:pPr>
      <w:r>
        <w:rPr>
          <w:color w:val="auto"/>
          <w:spacing w:val="-8"/>
          <w:position w:val="17"/>
          <w:szCs w:val="24"/>
          <w:highlight w:val="none"/>
          <w:lang w:eastAsia="zh-CN"/>
        </w:rPr>
        <w:t>(</w:t>
      </w:r>
      <w:bookmarkStart w:id="87" w:name="_Toc14240"/>
      <w:bookmarkStart w:id="88" w:name="_Toc8994"/>
      <w:r>
        <w:rPr>
          <w:color w:val="auto"/>
          <w:highlight w:val="none"/>
          <w:lang w:eastAsia="zh-CN"/>
          <w14:textOutline w14:w="6540" w14:cap="sq" w14:cmpd="sng" w14:algn="ctr">
            <w14:solidFill>
              <w14:srgbClr w14:val="000000"/>
            </w14:solidFill>
            <w14:prstDash w14:val="solid"/>
            <w14:bevel/>
          </w14:textOutline>
        </w:rPr>
        <w:t>三、</w:t>
      </w:r>
      <w:r>
        <w:rPr>
          <w:color w:val="auto"/>
          <w:highlight w:val="none"/>
          <w:lang w:eastAsia="zh-CN"/>
        </w:rPr>
        <w:t>开标一览表</w:t>
      </w:r>
      <w:bookmarkEnd w:id="87"/>
      <w:bookmarkEnd w:id="88"/>
    </w:p>
    <w:p>
      <w:pPr>
        <w:pStyle w:val="2"/>
        <w:spacing w:before="175" w:line="218" w:lineRule="auto"/>
        <w:ind w:left="-142" w:firstLine="0" w:firstLineChars="0"/>
        <w:jc w:val="center"/>
        <w:rPr>
          <w:rFonts w:hint="eastAsia"/>
          <w:color w:val="auto"/>
          <w:szCs w:val="24"/>
          <w:highlight w:val="none"/>
          <w:lang w:eastAsia="zh-CN"/>
        </w:rPr>
      </w:pPr>
      <w:r>
        <w:rPr>
          <w:color w:val="auto"/>
          <w:spacing w:val="-3"/>
          <w:szCs w:val="24"/>
          <w:highlight w:val="none"/>
          <w:lang w:eastAsia="zh-CN"/>
        </w:rPr>
        <w:t>（第一次磋商报价）</w:t>
      </w:r>
    </w:p>
    <w:p>
      <w:pPr>
        <w:pStyle w:val="11"/>
        <w:ind w:left="900" w:hanging="480"/>
        <w:rPr>
          <w:color w:val="auto"/>
          <w:sz w:val="24"/>
          <w:szCs w:val="24"/>
          <w:highlight w:val="none"/>
          <w:lang w:eastAsia="zh-CN"/>
        </w:rPr>
      </w:pPr>
    </w:p>
    <w:p>
      <w:pPr>
        <w:spacing w:line="360" w:lineRule="auto"/>
        <w:rPr>
          <w:rFonts w:ascii="宋体" w:hAnsi="宋体"/>
          <w:color w:val="auto"/>
          <w:sz w:val="24"/>
          <w:szCs w:val="24"/>
          <w:highlight w:val="none"/>
          <w:lang w:eastAsia="zh-CN"/>
        </w:rPr>
      </w:pPr>
      <w:r>
        <w:rPr>
          <w:rFonts w:hint="eastAsia" w:ascii="宋体" w:hAnsi="宋体"/>
          <w:color w:val="auto"/>
          <w:sz w:val="24"/>
          <w:szCs w:val="24"/>
          <w:highlight w:val="none"/>
          <w:lang w:eastAsia="zh-CN"/>
        </w:rPr>
        <w:t xml:space="preserve">项目名称：                       </w:t>
      </w:r>
    </w:p>
    <w:p>
      <w:pPr>
        <w:spacing w:line="360" w:lineRule="auto"/>
        <w:rPr>
          <w:rFonts w:ascii="宋体" w:hAnsi="宋体"/>
          <w:bCs/>
          <w:color w:val="auto"/>
          <w:sz w:val="24"/>
          <w:szCs w:val="24"/>
          <w:highlight w:val="none"/>
        </w:rPr>
      </w:pPr>
      <w:r>
        <w:rPr>
          <w:rFonts w:hint="eastAsia" w:ascii="宋体" w:hAnsi="宋体"/>
          <w:color w:val="auto"/>
          <w:sz w:val="24"/>
          <w:szCs w:val="24"/>
          <w:highlight w:val="none"/>
          <w:lang w:eastAsia="zh-CN"/>
        </w:rPr>
        <w:t>项目</w:t>
      </w:r>
      <w:r>
        <w:rPr>
          <w:rFonts w:hint="eastAsia" w:ascii="宋体" w:hAnsi="宋体"/>
          <w:color w:val="auto"/>
          <w:sz w:val="24"/>
          <w:szCs w:val="24"/>
          <w:highlight w:val="none"/>
        </w:rPr>
        <w:t>编号：</w:t>
      </w:r>
      <w:r>
        <w:rPr>
          <w:rFonts w:hint="eastAsia" w:ascii="宋体" w:hAnsi="宋体"/>
          <w:bCs/>
          <w:color w:val="auto"/>
          <w:sz w:val="24"/>
          <w:szCs w:val="24"/>
          <w:highlight w:val="none"/>
        </w:rPr>
        <w:t xml:space="preserve">                                                     </w:t>
      </w:r>
    </w:p>
    <w:tbl>
      <w:tblPr>
        <w:tblStyle w:val="32"/>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9"/>
        <w:gridCol w:w="1271"/>
        <w:gridCol w:w="1253"/>
        <w:gridCol w:w="1276"/>
        <w:gridCol w:w="1276"/>
        <w:gridCol w:w="1040"/>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exact"/>
          <w:jc w:val="center"/>
        </w:trPr>
        <w:tc>
          <w:tcPr>
            <w:tcW w:w="2359" w:type="dxa"/>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供应商</w:t>
            </w:r>
          </w:p>
        </w:tc>
        <w:tc>
          <w:tcPr>
            <w:tcW w:w="1271" w:type="dxa"/>
            <w:tcBorders>
              <w:right w:val="single" w:color="auto" w:sz="4" w:space="0"/>
            </w:tcBorders>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报价</w:t>
            </w:r>
          </w:p>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eastAsia="宋体"/>
                <w:color w:val="auto"/>
                <w:sz w:val="24"/>
                <w:szCs w:val="24"/>
                <w:highlight w:val="none"/>
                <w:lang w:eastAsia="zh-CN"/>
              </w:rPr>
              <w:t>总价，</w:t>
            </w:r>
            <w:r>
              <w:rPr>
                <w:rFonts w:hint="eastAsia" w:ascii="宋体" w:hAnsi="宋体"/>
                <w:color w:val="auto"/>
                <w:sz w:val="24"/>
                <w:szCs w:val="24"/>
                <w:highlight w:val="none"/>
              </w:rPr>
              <w:t>元）</w:t>
            </w:r>
          </w:p>
        </w:tc>
        <w:tc>
          <w:tcPr>
            <w:tcW w:w="1253" w:type="dxa"/>
            <w:tcBorders>
              <w:right w:val="single" w:color="auto" w:sz="4" w:space="0"/>
            </w:tcBorders>
            <w:vAlign w:val="center"/>
          </w:tcPr>
          <w:p>
            <w:pPr>
              <w:spacing w:line="360" w:lineRule="auto"/>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企业资质</w:t>
            </w:r>
          </w:p>
          <w:p>
            <w:pPr>
              <w:spacing w:line="360" w:lineRule="auto"/>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等级</w:t>
            </w:r>
          </w:p>
        </w:tc>
        <w:tc>
          <w:tcPr>
            <w:tcW w:w="1276" w:type="dxa"/>
            <w:tcBorders>
              <w:right w:val="single" w:color="auto" w:sz="4" w:space="0"/>
            </w:tcBorders>
            <w:vAlign w:val="center"/>
          </w:tcPr>
          <w:p>
            <w:pPr>
              <w:spacing w:line="360" w:lineRule="auto"/>
              <w:jc w:val="center"/>
              <w:rPr>
                <w:rFonts w:hAnsi="宋体" w:cs="宋体"/>
                <w:color w:val="auto"/>
                <w:sz w:val="24"/>
                <w:szCs w:val="24"/>
                <w:highlight w:val="none"/>
                <w:lang w:eastAsia="zh-CN"/>
              </w:rPr>
            </w:pPr>
            <w:r>
              <w:rPr>
                <w:rFonts w:hint="eastAsia" w:hAnsi="宋体" w:cs="宋体"/>
                <w:color w:val="auto"/>
                <w:sz w:val="24"/>
                <w:szCs w:val="24"/>
                <w:highlight w:val="none"/>
                <w:lang w:eastAsia="zh-CN"/>
              </w:rPr>
              <w:t>磋商</w:t>
            </w:r>
          </w:p>
          <w:p>
            <w:pPr>
              <w:spacing w:line="360" w:lineRule="auto"/>
              <w:jc w:val="center"/>
              <w:rPr>
                <w:rFonts w:hAnsi="宋体" w:cs="宋体"/>
                <w:color w:val="auto"/>
                <w:sz w:val="24"/>
                <w:szCs w:val="24"/>
                <w:highlight w:val="none"/>
                <w:lang w:eastAsia="zh-CN"/>
              </w:rPr>
            </w:pPr>
            <w:r>
              <w:rPr>
                <w:rFonts w:hint="eastAsia" w:hAnsi="宋体" w:cs="宋体"/>
                <w:color w:val="auto"/>
                <w:sz w:val="24"/>
                <w:szCs w:val="24"/>
                <w:highlight w:val="none"/>
                <w:lang w:eastAsia="zh-CN"/>
              </w:rPr>
              <w:t>保证金</w:t>
            </w:r>
          </w:p>
        </w:tc>
        <w:tc>
          <w:tcPr>
            <w:tcW w:w="1276" w:type="dxa"/>
            <w:tcBorders>
              <w:right w:val="single" w:color="auto" w:sz="4" w:space="0"/>
            </w:tcBorders>
            <w:vAlign w:val="center"/>
          </w:tcPr>
          <w:p>
            <w:pPr>
              <w:spacing w:line="360" w:lineRule="auto"/>
              <w:jc w:val="center"/>
              <w:rPr>
                <w:rFonts w:hAnsi="宋体" w:cs="宋体"/>
                <w:color w:val="auto"/>
                <w:sz w:val="24"/>
                <w:szCs w:val="24"/>
                <w:highlight w:val="none"/>
                <w:lang w:eastAsia="zh-CN"/>
              </w:rPr>
            </w:pPr>
            <w:r>
              <w:rPr>
                <w:rFonts w:hint="eastAsia" w:hAnsi="宋体" w:cs="宋体"/>
                <w:color w:val="auto"/>
                <w:sz w:val="24"/>
                <w:szCs w:val="24"/>
                <w:highlight w:val="none"/>
                <w:lang w:eastAsia="zh-CN"/>
              </w:rPr>
              <w:t>合同履行期限（计划工期）</w:t>
            </w:r>
          </w:p>
        </w:tc>
        <w:tc>
          <w:tcPr>
            <w:tcW w:w="1040" w:type="dxa"/>
            <w:tcBorders>
              <w:right w:val="single" w:color="auto" w:sz="4" w:space="0"/>
            </w:tcBorders>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质量</w:t>
            </w:r>
          </w:p>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标准</w:t>
            </w:r>
          </w:p>
        </w:tc>
        <w:tc>
          <w:tcPr>
            <w:tcW w:w="1545" w:type="dxa"/>
            <w:tcBorders>
              <w:right w:val="single" w:color="auto" w:sz="4" w:space="0"/>
            </w:tcBorders>
            <w:vAlign w:val="center"/>
          </w:tcPr>
          <w:p>
            <w:pPr>
              <w:spacing w:line="360" w:lineRule="auto"/>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总监理</w:t>
            </w:r>
          </w:p>
          <w:p>
            <w:pPr>
              <w:spacing w:line="360" w:lineRule="auto"/>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exact"/>
          <w:jc w:val="center"/>
        </w:trPr>
        <w:tc>
          <w:tcPr>
            <w:tcW w:w="2359" w:type="dxa"/>
            <w:vAlign w:val="center"/>
          </w:tcPr>
          <w:p>
            <w:pPr>
              <w:spacing w:line="360" w:lineRule="auto"/>
              <w:rPr>
                <w:rFonts w:ascii="宋体" w:hAnsi="宋体"/>
                <w:color w:val="auto"/>
                <w:sz w:val="24"/>
                <w:szCs w:val="24"/>
                <w:highlight w:val="none"/>
              </w:rPr>
            </w:pPr>
          </w:p>
        </w:tc>
        <w:tc>
          <w:tcPr>
            <w:tcW w:w="1271" w:type="dxa"/>
            <w:tcBorders>
              <w:right w:val="single" w:color="auto" w:sz="4" w:space="0"/>
            </w:tcBorders>
            <w:vAlign w:val="center"/>
          </w:tcPr>
          <w:p>
            <w:pPr>
              <w:spacing w:line="360" w:lineRule="auto"/>
              <w:jc w:val="center"/>
              <w:rPr>
                <w:rFonts w:ascii="宋体" w:hAnsi="宋体"/>
                <w:color w:val="auto"/>
                <w:sz w:val="24"/>
                <w:szCs w:val="24"/>
                <w:highlight w:val="none"/>
              </w:rPr>
            </w:pPr>
          </w:p>
        </w:tc>
        <w:tc>
          <w:tcPr>
            <w:tcW w:w="1253" w:type="dxa"/>
            <w:tcBorders>
              <w:right w:val="single" w:color="auto" w:sz="4" w:space="0"/>
            </w:tcBorders>
            <w:vAlign w:val="center"/>
          </w:tcPr>
          <w:p>
            <w:pPr>
              <w:spacing w:line="360" w:lineRule="auto"/>
              <w:jc w:val="center"/>
              <w:rPr>
                <w:rFonts w:ascii="宋体" w:hAnsi="宋体"/>
                <w:color w:val="auto"/>
                <w:sz w:val="24"/>
                <w:szCs w:val="24"/>
                <w:highlight w:val="none"/>
              </w:rPr>
            </w:pPr>
          </w:p>
        </w:tc>
        <w:tc>
          <w:tcPr>
            <w:tcW w:w="1276" w:type="dxa"/>
            <w:tcBorders>
              <w:right w:val="single" w:color="auto" w:sz="4" w:space="0"/>
            </w:tcBorders>
            <w:vAlign w:val="center"/>
          </w:tcPr>
          <w:p>
            <w:pPr>
              <w:spacing w:line="360" w:lineRule="auto"/>
              <w:jc w:val="center"/>
              <w:rPr>
                <w:rFonts w:ascii="宋体" w:hAnsi="宋体"/>
                <w:color w:val="auto"/>
                <w:sz w:val="24"/>
                <w:szCs w:val="24"/>
                <w:highlight w:val="none"/>
              </w:rPr>
            </w:pPr>
          </w:p>
        </w:tc>
        <w:tc>
          <w:tcPr>
            <w:tcW w:w="1276" w:type="dxa"/>
            <w:tcBorders>
              <w:right w:val="single" w:color="auto" w:sz="4" w:space="0"/>
            </w:tcBorders>
            <w:vAlign w:val="center"/>
          </w:tcPr>
          <w:p>
            <w:pPr>
              <w:spacing w:line="360" w:lineRule="auto"/>
              <w:jc w:val="center"/>
              <w:rPr>
                <w:rFonts w:ascii="宋体" w:hAnsi="宋体"/>
                <w:color w:val="auto"/>
                <w:sz w:val="24"/>
                <w:szCs w:val="24"/>
                <w:highlight w:val="none"/>
              </w:rPr>
            </w:pPr>
          </w:p>
        </w:tc>
        <w:tc>
          <w:tcPr>
            <w:tcW w:w="1040" w:type="dxa"/>
            <w:tcBorders>
              <w:bottom w:val="single" w:color="auto" w:sz="4" w:space="0"/>
              <w:right w:val="single" w:color="auto" w:sz="4" w:space="0"/>
            </w:tcBorders>
            <w:vAlign w:val="center"/>
          </w:tcPr>
          <w:p>
            <w:pPr>
              <w:spacing w:line="360" w:lineRule="auto"/>
              <w:jc w:val="center"/>
              <w:rPr>
                <w:rFonts w:ascii="宋体" w:hAnsi="宋体"/>
                <w:color w:val="auto"/>
                <w:sz w:val="24"/>
                <w:szCs w:val="24"/>
                <w:highlight w:val="none"/>
              </w:rPr>
            </w:pPr>
          </w:p>
        </w:tc>
        <w:tc>
          <w:tcPr>
            <w:tcW w:w="1545" w:type="dxa"/>
            <w:tcBorders>
              <w:bottom w:val="single" w:color="auto" w:sz="4" w:space="0"/>
              <w:right w:val="single" w:color="auto" w:sz="4" w:space="0"/>
            </w:tcBorders>
            <w:vAlign w:val="center"/>
          </w:tcPr>
          <w:p>
            <w:pPr>
              <w:pStyle w:val="26"/>
              <w:spacing w:line="360" w:lineRule="auto"/>
              <w:jc w:val="center"/>
              <w:rPr>
                <w:rFonts w:ascii="宋体" w:hAnsi="宋体"/>
                <w:color w:val="auto"/>
                <w:sz w:val="24"/>
                <w:highlight w:val="none"/>
              </w:rPr>
            </w:pPr>
          </w:p>
          <w:p>
            <w:pPr>
              <w:pStyle w:val="26"/>
              <w:spacing w:line="360" w:lineRule="auto"/>
              <w:jc w:val="center"/>
              <w:rPr>
                <w:rFonts w:ascii="宋体" w:hAnsi="宋体"/>
                <w:color w:val="auto"/>
                <w:sz w:val="24"/>
                <w:highlight w:val="none"/>
              </w:rPr>
            </w:pPr>
          </w:p>
        </w:tc>
      </w:tr>
    </w:tbl>
    <w:p>
      <w:pPr>
        <w:spacing w:line="360" w:lineRule="auto"/>
        <w:ind w:firstLine="736" w:firstLineChars="307"/>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备注：</w:t>
      </w:r>
      <w:r>
        <w:rPr>
          <w:rFonts w:hint="eastAsia" w:ascii="宋体" w:hAnsi="宋体" w:eastAsia="宋体"/>
          <w:color w:val="auto"/>
          <w:sz w:val="24"/>
          <w:szCs w:val="24"/>
          <w:highlight w:val="none"/>
          <w:lang w:eastAsia="zh-CN"/>
        </w:rPr>
        <w:t>按照“政采云”模板进行填写。</w:t>
      </w:r>
    </w:p>
    <w:p>
      <w:pPr>
        <w:spacing w:line="315" w:lineRule="auto"/>
        <w:ind w:firstLine="480" w:firstLineChars="200"/>
        <w:rPr>
          <w:rFonts w:ascii="宋体" w:hAnsi="宋体" w:cs="宋体"/>
          <w:color w:val="auto"/>
          <w:sz w:val="24"/>
          <w:szCs w:val="24"/>
          <w:highlight w:val="none"/>
          <w:lang w:eastAsia="zh-CN"/>
        </w:rPr>
      </w:pPr>
    </w:p>
    <w:p>
      <w:pPr>
        <w:spacing w:line="480" w:lineRule="auto"/>
        <w:ind w:firstLine="480" w:firstLineChars="200"/>
        <w:rPr>
          <w:rFonts w:ascii="宋体" w:hAnsi="宋体" w:cs="宋体"/>
          <w:color w:val="auto"/>
          <w:sz w:val="24"/>
          <w:szCs w:val="24"/>
          <w:highlight w:val="none"/>
          <w:u w:val="single"/>
          <w:lang w:eastAsia="zh-CN"/>
        </w:rPr>
      </w:pPr>
      <w:r>
        <w:rPr>
          <w:rFonts w:hint="eastAsia" w:ascii="宋体" w:hAnsi="宋体" w:cs="宋体"/>
          <w:color w:val="auto"/>
          <w:sz w:val="24"/>
          <w:szCs w:val="24"/>
          <w:highlight w:val="none"/>
          <w:lang w:eastAsia="zh-CN"/>
        </w:rPr>
        <w:t xml:space="preserve">                   供应商</w:t>
      </w:r>
      <w:r>
        <w:rPr>
          <w:rFonts w:hint="eastAsia" w:ascii="宋体" w:hAnsi="宋体" w:eastAsia="宋体" w:cs="宋体"/>
          <w:color w:val="auto"/>
          <w:sz w:val="24"/>
          <w:szCs w:val="24"/>
          <w:highlight w:val="none"/>
          <w:lang w:eastAsia="zh-CN"/>
        </w:rPr>
        <w:t>名称（公章）</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eastAsia="zh-CN"/>
        </w:rPr>
        <w:t>　　　　　　　　　　　　</w:t>
      </w:r>
    </w:p>
    <w:p>
      <w:pPr>
        <w:spacing w:line="480" w:lineRule="auto"/>
        <w:ind w:firstLine="480" w:firstLineChars="200"/>
        <w:rPr>
          <w:rFonts w:ascii="宋体" w:hAnsi="宋体" w:cs="宋体"/>
          <w:color w:val="auto"/>
          <w:sz w:val="24"/>
          <w:szCs w:val="24"/>
          <w:highlight w:val="none"/>
          <w:u w:val="single"/>
          <w:lang w:eastAsia="zh-CN"/>
        </w:rPr>
      </w:pPr>
      <w:r>
        <w:rPr>
          <w:rFonts w:hint="eastAsia" w:ascii="宋体" w:hAnsi="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t>法定代表人（签字或盖章）</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eastAsia="zh-CN"/>
        </w:rPr>
        <w:t>　　　　　　　　　　　　　　</w:t>
      </w:r>
    </w:p>
    <w:p>
      <w:pPr>
        <w:spacing w:line="48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lang w:eastAsia="zh-CN"/>
        </w:rPr>
        <w:t xml:space="preserve">                   </w:t>
      </w: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spacing w:line="220" w:lineRule="auto"/>
        <w:rPr>
          <w:color w:val="auto"/>
          <w:sz w:val="24"/>
          <w:szCs w:val="24"/>
          <w:highlight w:val="none"/>
        </w:rPr>
      </w:pPr>
    </w:p>
    <w:p>
      <w:pPr>
        <w:rPr>
          <w:color w:val="auto"/>
          <w:highlight w:val="none"/>
        </w:rPr>
      </w:pPr>
      <w:r>
        <w:rPr>
          <w:color w:val="auto"/>
          <w:highlight w:val="none"/>
        </w:rPr>
        <w:br w:type="page"/>
      </w:r>
    </w:p>
    <w:p>
      <w:pPr>
        <w:pStyle w:val="31"/>
        <w:ind w:firstLine="480"/>
        <w:rPr>
          <w:color w:val="auto"/>
          <w:highlight w:val="none"/>
        </w:rPr>
      </w:pPr>
    </w:p>
    <w:p>
      <w:pPr>
        <w:pStyle w:val="4"/>
        <w:outlineLvl w:val="0"/>
        <w:rPr>
          <w:color w:val="auto"/>
          <w:highlight w:val="none"/>
          <w:lang w:eastAsia="zh-CN"/>
        </w:rPr>
      </w:pPr>
      <w:bookmarkStart w:id="89" w:name="_Toc20132"/>
      <w:bookmarkStart w:id="90" w:name="_Toc14341"/>
      <w:r>
        <w:rPr>
          <w:color w:val="auto"/>
          <w:highlight w:val="none"/>
          <w:lang w:eastAsia="zh-CN"/>
        </w:rPr>
        <w:t>四、</w:t>
      </w:r>
      <w:r>
        <w:rPr>
          <w:rFonts w:hint="eastAsia"/>
          <w:color w:val="auto"/>
          <w:highlight w:val="none"/>
          <w:lang w:eastAsia="zh-CN"/>
        </w:rPr>
        <w:t>磋商</w:t>
      </w:r>
      <w:r>
        <w:rPr>
          <w:color w:val="auto"/>
          <w:highlight w:val="none"/>
          <w:lang w:eastAsia="zh-CN"/>
        </w:rPr>
        <w:t>保证金</w:t>
      </w:r>
      <w:bookmarkEnd w:id="89"/>
      <w:bookmarkEnd w:id="90"/>
    </w:p>
    <w:p>
      <w:pPr>
        <w:spacing w:line="340" w:lineRule="auto"/>
        <w:rPr>
          <w:color w:val="auto"/>
          <w:highlight w:val="none"/>
          <w:lang w:eastAsia="zh-CN"/>
        </w:rPr>
      </w:pPr>
    </w:p>
    <w:p>
      <w:pPr>
        <w:spacing w:line="341" w:lineRule="auto"/>
        <w:rPr>
          <w:color w:val="auto"/>
          <w:highlight w:val="none"/>
          <w:lang w:eastAsia="zh-CN"/>
        </w:rPr>
      </w:pPr>
    </w:p>
    <w:p>
      <w:pPr>
        <w:spacing w:before="240" w:beforeLines="100" w:after="120" w:afterLines="50" w:line="360" w:lineRule="auto"/>
        <w:jc w:val="center"/>
        <w:rPr>
          <w:rFonts w:ascii="宋体" w:hAnsi="宋体"/>
          <w:color w:val="auto"/>
          <w:sz w:val="24"/>
          <w:szCs w:val="24"/>
          <w:highlight w:val="none"/>
          <w:lang w:eastAsia="zh-CN"/>
        </w:rPr>
      </w:pPr>
      <w:r>
        <w:rPr>
          <w:rFonts w:hint="eastAsia" w:ascii="宋体" w:hAnsi="宋体"/>
          <w:bCs/>
          <w:color w:val="auto"/>
          <w:sz w:val="24"/>
          <w:szCs w:val="24"/>
          <w:highlight w:val="none"/>
          <w:lang w:eastAsia="zh-CN"/>
        </w:rPr>
        <w:t>注：磋商保证金，后附银行基本账户开户证明的复印件加盖公章。</w:t>
      </w:r>
    </w:p>
    <w:p>
      <w:pPr>
        <w:pStyle w:val="2"/>
        <w:tabs>
          <w:tab w:val="left" w:pos="6782"/>
        </w:tabs>
        <w:spacing w:before="65" w:line="228" w:lineRule="auto"/>
        <w:ind w:left="5733" w:firstLine="400"/>
        <w:rPr>
          <w:rFonts w:hint="eastAsia"/>
          <w:color w:val="auto"/>
          <w:sz w:val="20"/>
          <w:szCs w:val="20"/>
          <w:highlight w:val="none"/>
          <w:lang w:eastAsia="zh-CN"/>
        </w:rPr>
      </w:pPr>
    </w:p>
    <w:p>
      <w:pPr>
        <w:spacing w:line="228" w:lineRule="auto"/>
        <w:rPr>
          <w:rFonts w:eastAsiaTheme="minorEastAsia"/>
          <w:color w:val="auto"/>
          <w:sz w:val="20"/>
          <w:szCs w:val="20"/>
          <w:highlight w:val="none"/>
          <w:lang w:eastAsia="zh-CN"/>
        </w:rPr>
      </w:pPr>
    </w:p>
    <w:p>
      <w:pPr>
        <w:pStyle w:val="45"/>
        <w:spacing w:before="48" w:after="48"/>
        <w:ind w:firstLine="480"/>
        <w:rPr>
          <w:color w:val="auto"/>
          <w:highlight w:val="none"/>
          <w:lang w:eastAsia="zh-CN"/>
        </w:rPr>
      </w:pPr>
    </w:p>
    <w:p>
      <w:pPr>
        <w:pStyle w:val="2"/>
        <w:ind w:firstLine="480"/>
        <w:rPr>
          <w:rFonts w:hint="eastAsia"/>
          <w:color w:val="auto"/>
          <w:highlight w:val="none"/>
          <w:lang w:eastAsia="zh-CN"/>
        </w:rPr>
      </w:pPr>
    </w:p>
    <w:p>
      <w:pPr>
        <w:pStyle w:val="46"/>
        <w:rPr>
          <w:color w:val="auto"/>
          <w:highlight w:val="none"/>
        </w:rPr>
      </w:pPr>
    </w:p>
    <w:p>
      <w:pPr>
        <w:rPr>
          <w:rFonts w:eastAsiaTheme="minorEastAsia"/>
          <w:color w:val="auto"/>
          <w:highlight w:val="none"/>
          <w:lang w:eastAsia="zh-CN"/>
        </w:rPr>
      </w:pPr>
    </w:p>
    <w:p>
      <w:pPr>
        <w:pStyle w:val="45"/>
        <w:spacing w:before="48" w:after="48"/>
        <w:ind w:firstLine="480"/>
        <w:rPr>
          <w:color w:val="auto"/>
          <w:highlight w:val="none"/>
          <w:lang w:eastAsia="zh-CN"/>
        </w:rPr>
        <w:sectPr>
          <w:pgSz w:w="11906" w:h="16839"/>
          <w:pgMar w:top="1431" w:right="1357" w:bottom="957" w:left="1451" w:header="0" w:footer="795" w:gutter="0"/>
          <w:pgNumType w:fmt="decimal"/>
          <w:cols w:space="720" w:num="1"/>
        </w:sectPr>
      </w:pPr>
    </w:p>
    <w:p>
      <w:pPr>
        <w:pStyle w:val="4"/>
        <w:outlineLvl w:val="0"/>
        <w:rPr>
          <w:color w:val="auto"/>
          <w:highlight w:val="none"/>
          <w:lang w:eastAsia="zh-CN"/>
        </w:rPr>
      </w:pPr>
      <w:bookmarkStart w:id="91" w:name="_Toc17092"/>
      <w:bookmarkStart w:id="92" w:name="_Toc4234"/>
      <w:r>
        <w:rPr>
          <w:color w:val="auto"/>
          <w:highlight w:val="none"/>
          <w:lang w:eastAsia="zh-CN"/>
        </w:rPr>
        <w:t>五、</w:t>
      </w:r>
      <w:r>
        <w:rPr>
          <w:rFonts w:hint="eastAsia"/>
          <w:color w:val="auto"/>
          <w:highlight w:val="none"/>
          <w:lang w:eastAsia="zh-CN"/>
        </w:rPr>
        <w:t>供应商</w:t>
      </w:r>
      <w:r>
        <w:rPr>
          <w:color w:val="auto"/>
          <w:highlight w:val="none"/>
          <w:lang w:eastAsia="zh-CN"/>
        </w:rPr>
        <w:t>基本情况</w:t>
      </w:r>
      <w:bookmarkEnd w:id="91"/>
      <w:bookmarkEnd w:id="92"/>
    </w:p>
    <w:p>
      <w:pPr>
        <w:pStyle w:val="5"/>
        <w:outlineLvl w:val="1"/>
        <w:rPr>
          <w:color w:val="auto"/>
          <w:highlight w:val="none"/>
          <w:lang w:eastAsia="zh-CN"/>
        </w:rPr>
      </w:pPr>
      <w:bookmarkStart w:id="93" w:name="_Toc9296"/>
      <w:r>
        <w:rPr>
          <w:color w:val="auto"/>
          <w:highlight w:val="none"/>
          <w:lang w:eastAsia="zh-CN"/>
        </w:rPr>
        <w:t>（一）</w:t>
      </w:r>
      <w:r>
        <w:rPr>
          <w:rFonts w:hint="eastAsia"/>
          <w:color w:val="auto"/>
          <w:highlight w:val="none"/>
          <w:lang w:eastAsia="zh-CN"/>
        </w:rPr>
        <w:t>供应商</w:t>
      </w:r>
      <w:r>
        <w:rPr>
          <w:color w:val="auto"/>
          <w:highlight w:val="none"/>
          <w:lang w:eastAsia="zh-CN"/>
        </w:rPr>
        <w:t>基本情况表</w:t>
      </w:r>
      <w:bookmarkEnd w:id="93"/>
    </w:p>
    <w:tbl>
      <w:tblPr>
        <w:tblStyle w:val="32"/>
        <w:tblW w:w="905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952"/>
        <w:gridCol w:w="1204"/>
        <w:gridCol w:w="770"/>
        <w:gridCol w:w="336"/>
        <w:gridCol w:w="154"/>
        <w:gridCol w:w="1189"/>
        <w:gridCol w:w="266"/>
        <w:gridCol w:w="224"/>
        <w:gridCol w:w="448"/>
        <w:gridCol w:w="15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tcBorders>
              <w:top w:val="single" w:color="auto" w:sz="8" w:space="0"/>
            </w:tcBorders>
            <w:vAlign w:val="center"/>
          </w:tcPr>
          <w:p>
            <w:pPr>
              <w:jc w:val="center"/>
              <w:rPr>
                <w:rFonts w:ascii="宋体" w:hAnsi="宋体" w:cs="宋体"/>
                <w:color w:val="auto"/>
                <w:highlight w:val="none"/>
              </w:rPr>
            </w:pPr>
            <w:r>
              <w:rPr>
                <w:rFonts w:hint="eastAsia" w:ascii="宋体" w:hAnsi="宋体" w:cs="宋体"/>
                <w:color w:val="auto"/>
                <w:highlight w:val="none"/>
                <w:lang w:eastAsia="zh-CN"/>
              </w:rPr>
              <w:t>供应商</w:t>
            </w:r>
            <w:r>
              <w:rPr>
                <w:rFonts w:hint="eastAsia" w:ascii="宋体" w:hAnsi="宋体" w:cs="宋体"/>
                <w:color w:val="auto"/>
                <w:highlight w:val="none"/>
              </w:rPr>
              <w:t>名称</w:t>
            </w:r>
          </w:p>
        </w:tc>
        <w:tc>
          <w:tcPr>
            <w:tcW w:w="7086" w:type="dxa"/>
            <w:gridSpan w:val="10"/>
            <w:tcBorders>
              <w:top w:val="single" w:color="auto" w:sz="8" w:space="0"/>
            </w:tcBorders>
            <w:vAlign w:val="center"/>
          </w:tcPr>
          <w:p>
            <w:pPr>
              <w:jc w:val="center"/>
              <w:rPr>
                <w:rFonts w:ascii="宋体" w:hAnsi="宋体" w:cs="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pPr>
              <w:jc w:val="center"/>
              <w:rPr>
                <w:rFonts w:ascii="宋体" w:hAnsi="宋体" w:cs="宋体"/>
                <w:color w:val="auto"/>
                <w:highlight w:val="none"/>
              </w:rPr>
            </w:pPr>
            <w:r>
              <w:rPr>
                <w:rFonts w:hint="eastAsia" w:ascii="宋体" w:hAnsi="宋体" w:cs="宋体"/>
                <w:color w:val="auto"/>
                <w:highlight w:val="none"/>
              </w:rPr>
              <w:t>注册地址</w:t>
            </w:r>
          </w:p>
        </w:tc>
        <w:tc>
          <w:tcPr>
            <w:tcW w:w="3416" w:type="dxa"/>
            <w:gridSpan w:val="5"/>
            <w:vAlign w:val="center"/>
          </w:tcPr>
          <w:p>
            <w:pPr>
              <w:jc w:val="center"/>
              <w:rPr>
                <w:rFonts w:ascii="宋体" w:hAnsi="宋体" w:cs="宋体"/>
                <w:color w:val="auto"/>
                <w:highlight w:val="none"/>
              </w:rPr>
            </w:pPr>
          </w:p>
        </w:tc>
        <w:tc>
          <w:tcPr>
            <w:tcW w:w="1189" w:type="dxa"/>
            <w:vAlign w:val="center"/>
          </w:tcPr>
          <w:p>
            <w:pPr>
              <w:jc w:val="center"/>
              <w:rPr>
                <w:rFonts w:ascii="宋体" w:hAnsi="宋体" w:cs="宋体"/>
                <w:color w:val="auto"/>
                <w:highlight w:val="none"/>
              </w:rPr>
            </w:pPr>
            <w:r>
              <w:rPr>
                <w:rFonts w:hint="eastAsia" w:ascii="宋体" w:hAnsi="宋体" w:cs="宋体"/>
                <w:color w:val="auto"/>
                <w:highlight w:val="none"/>
              </w:rPr>
              <w:t>邮政编码</w:t>
            </w:r>
          </w:p>
        </w:tc>
        <w:tc>
          <w:tcPr>
            <w:tcW w:w="2481" w:type="dxa"/>
            <w:gridSpan w:val="4"/>
            <w:vAlign w:val="center"/>
          </w:tcPr>
          <w:p>
            <w:pPr>
              <w:jc w:val="center"/>
              <w:rPr>
                <w:rFonts w:ascii="宋体" w:hAnsi="宋体" w:cs="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Merge w:val="restart"/>
            <w:vAlign w:val="center"/>
          </w:tcPr>
          <w:p>
            <w:pPr>
              <w:jc w:val="center"/>
              <w:rPr>
                <w:rFonts w:ascii="宋体" w:hAnsi="宋体" w:cs="宋体"/>
                <w:color w:val="auto"/>
                <w:highlight w:val="none"/>
              </w:rPr>
            </w:pPr>
            <w:r>
              <w:rPr>
                <w:rFonts w:hint="eastAsia" w:ascii="宋体" w:hAnsi="宋体" w:cs="宋体"/>
                <w:color w:val="auto"/>
                <w:highlight w:val="none"/>
              </w:rPr>
              <w:t>联系方式</w:t>
            </w:r>
          </w:p>
        </w:tc>
        <w:tc>
          <w:tcPr>
            <w:tcW w:w="952" w:type="dxa"/>
            <w:vAlign w:val="center"/>
          </w:tcPr>
          <w:p>
            <w:pPr>
              <w:jc w:val="center"/>
              <w:rPr>
                <w:rFonts w:ascii="宋体" w:hAnsi="宋体" w:cs="宋体"/>
                <w:color w:val="auto"/>
                <w:highlight w:val="none"/>
              </w:rPr>
            </w:pPr>
            <w:r>
              <w:rPr>
                <w:rFonts w:hint="eastAsia" w:ascii="宋体" w:hAnsi="宋体" w:cs="宋体"/>
                <w:color w:val="auto"/>
                <w:highlight w:val="none"/>
              </w:rPr>
              <w:t>联系人</w:t>
            </w:r>
          </w:p>
        </w:tc>
        <w:tc>
          <w:tcPr>
            <w:tcW w:w="2464" w:type="dxa"/>
            <w:gridSpan w:val="4"/>
            <w:vAlign w:val="center"/>
          </w:tcPr>
          <w:p>
            <w:pPr>
              <w:jc w:val="center"/>
              <w:rPr>
                <w:rFonts w:ascii="宋体" w:hAnsi="宋体" w:cs="宋体"/>
                <w:color w:val="auto"/>
                <w:highlight w:val="none"/>
              </w:rPr>
            </w:pPr>
          </w:p>
        </w:tc>
        <w:tc>
          <w:tcPr>
            <w:tcW w:w="1189" w:type="dxa"/>
            <w:vAlign w:val="center"/>
          </w:tcPr>
          <w:p>
            <w:pPr>
              <w:jc w:val="center"/>
              <w:rPr>
                <w:rFonts w:ascii="宋体" w:hAnsi="宋体" w:cs="宋体"/>
                <w:color w:val="auto"/>
                <w:highlight w:val="none"/>
              </w:rPr>
            </w:pPr>
            <w:r>
              <w:rPr>
                <w:rFonts w:hint="eastAsia" w:ascii="宋体" w:hAnsi="宋体" w:cs="宋体"/>
                <w:color w:val="auto"/>
                <w:highlight w:val="none"/>
              </w:rPr>
              <w:t>电    话</w:t>
            </w:r>
          </w:p>
        </w:tc>
        <w:tc>
          <w:tcPr>
            <w:tcW w:w="2481" w:type="dxa"/>
            <w:gridSpan w:val="4"/>
            <w:vAlign w:val="center"/>
          </w:tcPr>
          <w:p>
            <w:pPr>
              <w:jc w:val="center"/>
              <w:rPr>
                <w:rFonts w:ascii="宋体" w:hAnsi="宋体" w:cs="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Merge w:val="continue"/>
            <w:vAlign w:val="center"/>
          </w:tcPr>
          <w:p>
            <w:pPr>
              <w:jc w:val="center"/>
              <w:rPr>
                <w:rFonts w:ascii="宋体" w:hAnsi="宋体" w:cs="宋体"/>
                <w:color w:val="auto"/>
                <w:highlight w:val="none"/>
              </w:rPr>
            </w:pPr>
          </w:p>
        </w:tc>
        <w:tc>
          <w:tcPr>
            <w:tcW w:w="952" w:type="dxa"/>
            <w:vAlign w:val="center"/>
          </w:tcPr>
          <w:p>
            <w:pPr>
              <w:jc w:val="center"/>
              <w:rPr>
                <w:rFonts w:ascii="宋体" w:hAnsi="宋体" w:cs="宋体"/>
                <w:color w:val="auto"/>
                <w:highlight w:val="none"/>
              </w:rPr>
            </w:pPr>
            <w:r>
              <w:rPr>
                <w:rFonts w:hint="eastAsia" w:ascii="宋体" w:hAnsi="宋体" w:cs="宋体"/>
                <w:color w:val="auto"/>
                <w:highlight w:val="none"/>
              </w:rPr>
              <w:t>传  真</w:t>
            </w:r>
          </w:p>
        </w:tc>
        <w:tc>
          <w:tcPr>
            <w:tcW w:w="2464" w:type="dxa"/>
            <w:gridSpan w:val="4"/>
            <w:vAlign w:val="center"/>
          </w:tcPr>
          <w:p>
            <w:pPr>
              <w:jc w:val="center"/>
              <w:rPr>
                <w:rFonts w:ascii="宋体" w:hAnsi="宋体" w:cs="宋体"/>
                <w:color w:val="auto"/>
                <w:highlight w:val="none"/>
              </w:rPr>
            </w:pPr>
          </w:p>
        </w:tc>
        <w:tc>
          <w:tcPr>
            <w:tcW w:w="1189" w:type="dxa"/>
            <w:vAlign w:val="center"/>
          </w:tcPr>
          <w:p>
            <w:pPr>
              <w:jc w:val="center"/>
              <w:rPr>
                <w:rFonts w:ascii="宋体" w:hAnsi="宋体" w:cs="宋体"/>
                <w:color w:val="auto"/>
                <w:highlight w:val="none"/>
              </w:rPr>
            </w:pPr>
            <w:r>
              <w:rPr>
                <w:rFonts w:hint="eastAsia" w:ascii="宋体" w:hAnsi="宋体" w:cs="宋体"/>
                <w:color w:val="auto"/>
                <w:highlight w:val="none"/>
              </w:rPr>
              <w:t>网    址</w:t>
            </w:r>
          </w:p>
        </w:tc>
        <w:tc>
          <w:tcPr>
            <w:tcW w:w="2481" w:type="dxa"/>
            <w:gridSpan w:val="4"/>
            <w:vAlign w:val="center"/>
          </w:tcPr>
          <w:p>
            <w:pPr>
              <w:jc w:val="center"/>
              <w:rPr>
                <w:rFonts w:ascii="宋体" w:hAnsi="宋体" w:cs="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pPr>
              <w:jc w:val="center"/>
              <w:rPr>
                <w:rFonts w:ascii="宋体" w:hAnsi="宋体" w:cs="宋体"/>
                <w:color w:val="auto"/>
                <w:highlight w:val="none"/>
              </w:rPr>
            </w:pPr>
            <w:r>
              <w:rPr>
                <w:rFonts w:hint="eastAsia" w:ascii="宋体" w:hAnsi="宋体" w:cs="宋体"/>
                <w:color w:val="auto"/>
                <w:highlight w:val="none"/>
              </w:rPr>
              <w:t>法定代表人</w:t>
            </w:r>
          </w:p>
        </w:tc>
        <w:tc>
          <w:tcPr>
            <w:tcW w:w="952" w:type="dxa"/>
            <w:vAlign w:val="center"/>
          </w:tcPr>
          <w:p>
            <w:pPr>
              <w:jc w:val="center"/>
              <w:rPr>
                <w:rFonts w:ascii="宋体" w:hAnsi="宋体" w:cs="宋体"/>
                <w:color w:val="auto"/>
                <w:highlight w:val="none"/>
              </w:rPr>
            </w:pPr>
            <w:r>
              <w:rPr>
                <w:rFonts w:hint="eastAsia" w:ascii="宋体" w:hAnsi="宋体" w:cs="宋体"/>
                <w:color w:val="auto"/>
                <w:highlight w:val="none"/>
              </w:rPr>
              <w:t>姓名</w:t>
            </w:r>
          </w:p>
        </w:tc>
        <w:tc>
          <w:tcPr>
            <w:tcW w:w="1204" w:type="dxa"/>
            <w:vAlign w:val="center"/>
          </w:tcPr>
          <w:p>
            <w:pPr>
              <w:jc w:val="center"/>
              <w:rPr>
                <w:rFonts w:ascii="宋体" w:hAnsi="宋体" w:cs="宋体"/>
                <w:color w:val="auto"/>
                <w:highlight w:val="none"/>
              </w:rPr>
            </w:pPr>
          </w:p>
        </w:tc>
        <w:tc>
          <w:tcPr>
            <w:tcW w:w="1106" w:type="dxa"/>
            <w:gridSpan w:val="2"/>
            <w:vAlign w:val="center"/>
          </w:tcPr>
          <w:p>
            <w:pPr>
              <w:jc w:val="center"/>
              <w:rPr>
                <w:rFonts w:ascii="宋体" w:hAnsi="宋体" w:cs="宋体"/>
                <w:color w:val="auto"/>
                <w:highlight w:val="none"/>
              </w:rPr>
            </w:pPr>
            <w:r>
              <w:rPr>
                <w:rFonts w:hint="eastAsia" w:ascii="宋体" w:hAnsi="宋体" w:cs="宋体"/>
                <w:color w:val="auto"/>
                <w:highlight w:val="none"/>
              </w:rPr>
              <w:t>技术职称</w:t>
            </w:r>
          </w:p>
        </w:tc>
        <w:tc>
          <w:tcPr>
            <w:tcW w:w="1609" w:type="dxa"/>
            <w:gridSpan w:val="3"/>
            <w:vAlign w:val="center"/>
          </w:tcPr>
          <w:p>
            <w:pPr>
              <w:jc w:val="center"/>
              <w:rPr>
                <w:rFonts w:ascii="宋体" w:hAnsi="宋体" w:cs="宋体"/>
                <w:color w:val="auto"/>
                <w:highlight w:val="none"/>
              </w:rPr>
            </w:pPr>
          </w:p>
        </w:tc>
        <w:tc>
          <w:tcPr>
            <w:tcW w:w="672" w:type="dxa"/>
            <w:gridSpan w:val="2"/>
            <w:vAlign w:val="center"/>
          </w:tcPr>
          <w:p>
            <w:pPr>
              <w:jc w:val="center"/>
              <w:rPr>
                <w:rFonts w:ascii="宋体" w:hAnsi="宋体" w:cs="宋体"/>
                <w:color w:val="auto"/>
                <w:highlight w:val="none"/>
              </w:rPr>
            </w:pPr>
            <w:r>
              <w:rPr>
                <w:rFonts w:hint="eastAsia" w:ascii="宋体" w:hAnsi="宋体" w:cs="宋体"/>
                <w:color w:val="auto"/>
                <w:highlight w:val="none"/>
              </w:rPr>
              <w:t>电话</w:t>
            </w:r>
          </w:p>
        </w:tc>
        <w:tc>
          <w:tcPr>
            <w:tcW w:w="1543" w:type="dxa"/>
            <w:vAlign w:val="center"/>
          </w:tcPr>
          <w:p>
            <w:pPr>
              <w:jc w:val="center"/>
              <w:rPr>
                <w:rFonts w:ascii="宋体" w:hAnsi="宋体" w:cs="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pPr>
              <w:jc w:val="center"/>
              <w:rPr>
                <w:rFonts w:ascii="宋体" w:hAnsi="宋体" w:cs="宋体"/>
                <w:color w:val="auto"/>
                <w:highlight w:val="none"/>
              </w:rPr>
            </w:pPr>
            <w:r>
              <w:rPr>
                <w:rFonts w:hint="eastAsia" w:ascii="宋体" w:hAnsi="宋体" w:cs="宋体"/>
                <w:color w:val="auto"/>
                <w:highlight w:val="none"/>
              </w:rPr>
              <w:t>技术负责人</w:t>
            </w:r>
          </w:p>
        </w:tc>
        <w:tc>
          <w:tcPr>
            <w:tcW w:w="952" w:type="dxa"/>
            <w:vAlign w:val="center"/>
          </w:tcPr>
          <w:p>
            <w:pPr>
              <w:jc w:val="center"/>
              <w:rPr>
                <w:rFonts w:ascii="宋体" w:hAnsi="宋体" w:cs="宋体"/>
                <w:color w:val="auto"/>
                <w:highlight w:val="none"/>
              </w:rPr>
            </w:pPr>
            <w:r>
              <w:rPr>
                <w:rFonts w:hint="eastAsia" w:ascii="宋体" w:hAnsi="宋体" w:cs="宋体"/>
                <w:color w:val="auto"/>
                <w:highlight w:val="none"/>
              </w:rPr>
              <w:t>姓名</w:t>
            </w:r>
          </w:p>
        </w:tc>
        <w:tc>
          <w:tcPr>
            <w:tcW w:w="1204" w:type="dxa"/>
            <w:vAlign w:val="center"/>
          </w:tcPr>
          <w:p>
            <w:pPr>
              <w:jc w:val="center"/>
              <w:rPr>
                <w:rFonts w:ascii="宋体" w:hAnsi="宋体" w:cs="宋体"/>
                <w:color w:val="auto"/>
                <w:highlight w:val="none"/>
              </w:rPr>
            </w:pPr>
          </w:p>
        </w:tc>
        <w:tc>
          <w:tcPr>
            <w:tcW w:w="1106" w:type="dxa"/>
            <w:gridSpan w:val="2"/>
            <w:vAlign w:val="center"/>
          </w:tcPr>
          <w:p>
            <w:pPr>
              <w:jc w:val="center"/>
              <w:rPr>
                <w:rFonts w:ascii="宋体" w:hAnsi="宋体" w:cs="宋体"/>
                <w:color w:val="auto"/>
                <w:highlight w:val="none"/>
              </w:rPr>
            </w:pPr>
            <w:r>
              <w:rPr>
                <w:rFonts w:hint="eastAsia" w:ascii="宋体" w:hAnsi="宋体" w:cs="宋体"/>
                <w:color w:val="auto"/>
                <w:highlight w:val="none"/>
              </w:rPr>
              <w:t>技术职称</w:t>
            </w:r>
          </w:p>
        </w:tc>
        <w:tc>
          <w:tcPr>
            <w:tcW w:w="1609" w:type="dxa"/>
            <w:gridSpan w:val="3"/>
            <w:vAlign w:val="center"/>
          </w:tcPr>
          <w:p>
            <w:pPr>
              <w:jc w:val="center"/>
              <w:rPr>
                <w:rFonts w:ascii="宋体" w:hAnsi="宋体" w:cs="宋体"/>
                <w:color w:val="auto"/>
                <w:highlight w:val="none"/>
              </w:rPr>
            </w:pPr>
          </w:p>
        </w:tc>
        <w:tc>
          <w:tcPr>
            <w:tcW w:w="672" w:type="dxa"/>
            <w:gridSpan w:val="2"/>
            <w:vAlign w:val="center"/>
          </w:tcPr>
          <w:p>
            <w:pPr>
              <w:jc w:val="center"/>
              <w:rPr>
                <w:rFonts w:ascii="宋体" w:hAnsi="宋体" w:cs="宋体"/>
                <w:color w:val="auto"/>
                <w:highlight w:val="none"/>
              </w:rPr>
            </w:pPr>
            <w:r>
              <w:rPr>
                <w:rFonts w:hint="eastAsia" w:ascii="宋体" w:hAnsi="宋体" w:cs="宋体"/>
                <w:color w:val="auto"/>
                <w:highlight w:val="none"/>
              </w:rPr>
              <w:t>电话</w:t>
            </w:r>
          </w:p>
        </w:tc>
        <w:tc>
          <w:tcPr>
            <w:tcW w:w="1543" w:type="dxa"/>
            <w:vAlign w:val="center"/>
          </w:tcPr>
          <w:p>
            <w:pPr>
              <w:jc w:val="center"/>
              <w:rPr>
                <w:rFonts w:ascii="宋体" w:hAnsi="宋体" w:cs="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pPr>
              <w:jc w:val="center"/>
              <w:rPr>
                <w:rFonts w:ascii="宋体" w:hAnsi="宋体" w:cs="宋体"/>
                <w:color w:val="auto"/>
                <w:highlight w:val="none"/>
              </w:rPr>
            </w:pPr>
            <w:r>
              <w:rPr>
                <w:rFonts w:hint="eastAsia" w:ascii="宋体" w:hAnsi="宋体" w:cs="宋体"/>
                <w:color w:val="auto"/>
                <w:highlight w:val="none"/>
              </w:rPr>
              <w:t>成立时间</w:t>
            </w:r>
          </w:p>
        </w:tc>
        <w:tc>
          <w:tcPr>
            <w:tcW w:w="2156" w:type="dxa"/>
            <w:gridSpan w:val="2"/>
            <w:vAlign w:val="center"/>
          </w:tcPr>
          <w:p>
            <w:pPr>
              <w:jc w:val="center"/>
              <w:rPr>
                <w:rFonts w:ascii="宋体" w:hAnsi="宋体" w:cs="宋体"/>
                <w:color w:val="auto"/>
                <w:highlight w:val="none"/>
              </w:rPr>
            </w:pPr>
          </w:p>
        </w:tc>
        <w:tc>
          <w:tcPr>
            <w:tcW w:w="4930" w:type="dxa"/>
            <w:gridSpan w:val="8"/>
            <w:vAlign w:val="center"/>
          </w:tcPr>
          <w:p>
            <w:pPr>
              <w:jc w:val="center"/>
              <w:rPr>
                <w:rFonts w:ascii="宋体" w:hAnsi="宋体" w:cs="宋体"/>
                <w:color w:val="auto"/>
                <w:highlight w:val="none"/>
              </w:rPr>
            </w:pPr>
            <w:r>
              <w:rPr>
                <w:rFonts w:hint="eastAsia" w:ascii="宋体" w:hAnsi="宋体" w:cs="宋体"/>
                <w:color w:val="auto"/>
                <w:highlight w:val="none"/>
              </w:rPr>
              <w:t>员工总人数：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pPr>
              <w:jc w:val="center"/>
              <w:rPr>
                <w:rFonts w:ascii="宋体" w:hAnsi="宋体" w:cs="宋体"/>
                <w:color w:val="auto"/>
                <w:highlight w:val="none"/>
              </w:rPr>
            </w:pPr>
            <w:r>
              <w:rPr>
                <w:rFonts w:hint="eastAsia" w:ascii="宋体" w:hAnsi="宋体" w:cs="宋体"/>
                <w:color w:val="auto"/>
                <w:highlight w:val="none"/>
              </w:rPr>
              <w:t>企业资质等级</w:t>
            </w:r>
          </w:p>
        </w:tc>
        <w:tc>
          <w:tcPr>
            <w:tcW w:w="2156" w:type="dxa"/>
            <w:gridSpan w:val="2"/>
            <w:vAlign w:val="center"/>
          </w:tcPr>
          <w:p>
            <w:pPr>
              <w:jc w:val="center"/>
              <w:rPr>
                <w:rFonts w:ascii="宋体" w:hAnsi="宋体" w:cs="宋体"/>
                <w:color w:val="auto"/>
                <w:highlight w:val="none"/>
              </w:rPr>
            </w:pPr>
          </w:p>
        </w:tc>
        <w:tc>
          <w:tcPr>
            <w:tcW w:w="770" w:type="dxa"/>
            <w:vMerge w:val="restart"/>
            <w:vAlign w:val="center"/>
          </w:tcPr>
          <w:p>
            <w:pPr>
              <w:jc w:val="center"/>
              <w:rPr>
                <w:rFonts w:ascii="宋体" w:hAnsi="宋体" w:cs="宋体"/>
                <w:color w:val="auto"/>
                <w:highlight w:val="none"/>
              </w:rPr>
            </w:pPr>
            <w:r>
              <w:rPr>
                <w:rFonts w:hint="eastAsia" w:ascii="宋体" w:hAnsi="宋体" w:cs="宋体"/>
                <w:color w:val="auto"/>
                <w:highlight w:val="none"/>
              </w:rPr>
              <w:t>其中</w:t>
            </w:r>
          </w:p>
        </w:tc>
        <w:tc>
          <w:tcPr>
            <w:tcW w:w="2169" w:type="dxa"/>
            <w:gridSpan w:val="5"/>
            <w:vAlign w:val="center"/>
          </w:tcPr>
          <w:p>
            <w:pPr>
              <w:jc w:val="center"/>
              <w:rPr>
                <w:rFonts w:ascii="宋体" w:hAnsi="宋体" w:cs="宋体"/>
                <w:color w:val="auto"/>
                <w:highlight w:val="none"/>
              </w:rPr>
            </w:pPr>
            <w:r>
              <w:rPr>
                <w:rFonts w:hint="eastAsia" w:ascii="宋体" w:hAnsi="宋体" w:cs="宋体"/>
                <w:color w:val="auto"/>
                <w:highlight w:val="none"/>
              </w:rPr>
              <w:t>项目总监理工程师</w:t>
            </w:r>
          </w:p>
        </w:tc>
        <w:tc>
          <w:tcPr>
            <w:tcW w:w="1991" w:type="dxa"/>
            <w:gridSpan w:val="2"/>
            <w:vAlign w:val="center"/>
          </w:tcPr>
          <w:p>
            <w:pPr>
              <w:jc w:val="center"/>
              <w:rPr>
                <w:rFonts w:ascii="宋体" w:hAnsi="宋体" w:cs="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pPr>
              <w:jc w:val="center"/>
              <w:rPr>
                <w:rFonts w:ascii="宋体" w:hAnsi="宋体" w:cs="宋体"/>
                <w:color w:val="auto"/>
                <w:highlight w:val="none"/>
              </w:rPr>
            </w:pPr>
            <w:r>
              <w:rPr>
                <w:rFonts w:hint="eastAsia" w:ascii="宋体" w:hAnsi="宋体" w:cs="宋体"/>
                <w:color w:val="auto"/>
                <w:highlight w:val="none"/>
              </w:rPr>
              <w:t>营业执照</w:t>
            </w:r>
          </w:p>
        </w:tc>
        <w:tc>
          <w:tcPr>
            <w:tcW w:w="2156" w:type="dxa"/>
            <w:gridSpan w:val="2"/>
            <w:vAlign w:val="center"/>
          </w:tcPr>
          <w:p>
            <w:pPr>
              <w:jc w:val="center"/>
              <w:rPr>
                <w:rFonts w:ascii="宋体" w:hAnsi="宋体" w:cs="宋体"/>
                <w:color w:val="auto"/>
                <w:highlight w:val="none"/>
              </w:rPr>
            </w:pPr>
          </w:p>
        </w:tc>
        <w:tc>
          <w:tcPr>
            <w:tcW w:w="770" w:type="dxa"/>
            <w:vMerge w:val="continue"/>
            <w:vAlign w:val="center"/>
          </w:tcPr>
          <w:p>
            <w:pPr>
              <w:jc w:val="center"/>
              <w:rPr>
                <w:rFonts w:ascii="宋体" w:hAnsi="宋体" w:cs="宋体"/>
                <w:color w:val="auto"/>
                <w:highlight w:val="none"/>
              </w:rPr>
            </w:pPr>
          </w:p>
        </w:tc>
        <w:tc>
          <w:tcPr>
            <w:tcW w:w="2169" w:type="dxa"/>
            <w:gridSpan w:val="5"/>
            <w:vAlign w:val="center"/>
          </w:tcPr>
          <w:p>
            <w:pPr>
              <w:jc w:val="center"/>
              <w:rPr>
                <w:rFonts w:ascii="宋体" w:hAnsi="宋体" w:cs="宋体"/>
                <w:color w:val="auto"/>
                <w:highlight w:val="none"/>
              </w:rPr>
            </w:pPr>
            <w:r>
              <w:rPr>
                <w:rFonts w:hint="eastAsia" w:ascii="宋体" w:hAnsi="宋体" w:cs="宋体"/>
                <w:color w:val="auto"/>
                <w:highlight w:val="none"/>
              </w:rPr>
              <w:t>高级职称人员</w:t>
            </w:r>
          </w:p>
        </w:tc>
        <w:tc>
          <w:tcPr>
            <w:tcW w:w="1991" w:type="dxa"/>
            <w:gridSpan w:val="2"/>
            <w:vAlign w:val="center"/>
          </w:tcPr>
          <w:p>
            <w:pPr>
              <w:jc w:val="center"/>
              <w:rPr>
                <w:rFonts w:ascii="宋体" w:hAnsi="宋体" w:cs="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pPr>
              <w:jc w:val="center"/>
              <w:rPr>
                <w:rFonts w:ascii="宋体" w:hAnsi="宋体" w:cs="宋体"/>
                <w:color w:val="auto"/>
                <w:highlight w:val="none"/>
              </w:rPr>
            </w:pPr>
            <w:r>
              <w:rPr>
                <w:rFonts w:hint="eastAsia" w:ascii="宋体" w:hAnsi="宋体" w:cs="宋体"/>
                <w:color w:val="auto"/>
                <w:highlight w:val="none"/>
              </w:rPr>
              <w:t>注册资本金</w:t>
            </w:r>
          </w:p>
        </w:tc>
        <w:tc>
          <w:tcPr>
            <w:tcW w:w="2156" w:type="dxa"/>
            <w:gridSpan w:val="2"/>
            <w:vAlign w:val="center"/>
          </w:tcPr>
          <w:p>
            <w:pPr>
              <w:jc w:val="center"/>
              <w:rPr>
                <w:rFonts w:ascii="宋体" w:hAnsi="宋体" w:cs="宋体"/>
                <w:color w:val="auto"/>
                <w:highlight w:val="none"/>
              </w:rPr>
            </w:pPr>
          </w:p>
        </w:tc>
        <w:tc>
          <w:tcPr>
            <w:tcW w:w="770" w:type="dxa"/>
            <w:vMerge w:val="continue"/>
            <w:vAlign w:val="center"/>
          </w:tcPr>
          <w:p>
            <w:pPr>
              <w:jc w:val="center"/>
              <w:rPr>
                <w:rFonts w:ascii="宋体" w:hAnsi="宋体" w:cs="宋体"/>
                <w:color w:val="auto"/>
                <w:highlight w:val="none"/>
              </w:rPr>
            </w:pPr>
          </w:p>
        </w:tc>
        <w:tc>
          <w:tcPr>
            <w:tcW w:w="2169" w:type="dxa"/>
            <w:gridSpan w:val="5"/>
            <w:vAlign w:val="center"/>
          </w:tcPr>
          <w:p>
            <w:pPr>
              <w:jc w:val="center"/>
              <w:rPr>
                <w:rFonts w:ascii="宋体" w:hAnsi="宋体" w:cs="宋体"/>
                <w:color w:val="auto"/>
                <w:highlight w:val="none"/>
              </w:rPr>
            </w:pPr>
            <w:r>
              <w:rPr>
                <w:rFonts w:hint="eastAsia" w:ascii="宋体" w:hAnsi="宋体" w:cs="宋体"/>
                <w:color w:val="auto"/>
                <w:highlight w:val="none"/>
              </w:rPr>
              <w:t>中级职称人员</w:t>
            </w:r>
          </w:p>
        </w:tc>
        <w:tc>
          <w:tcPr>
            <w:tcW w:w="1991" w:type="dxa"/>
            <w:gridSpan w:val="2"/>
            <w:vAlign w:val="center"/>
          </w:tcPr>
          <w:p>
            <w:pPr>
              <w:jc w:val="center"/>
              <w:rPr>
                <w:rFonts w:ascii="宋体" w:hAnsi="宋体" w:cs="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pPr>
              <w:jc w:val="center"/>
              <w:rPr>
                <w:rFonts w:ascii="宋体" w:hAnsi="宋体" w:cs="宋体"/>
                <w:color w:val="auto"/>
                <w:highlight w:val="none"/>
              </w:rPr>
            </w:pPr>
            <w:r>
              <w:rPr>
                <w:rFonts w:hint="eastAsia" w:ascii="宋体" w:hAnsi="宋体" w:cs="宋体"/>
                <w:color w:val="auto"/>
                <w:highlight w:val="none"/>
              </w:rPr>
              <w:t>开户银行</w:t>
            </w:r>
          </w:p>
        </w:tc>
        <w:tc>
          <w:tcPr>
            <w:tcW w:w="2156" w:type="dxa"/>
            <w:gridSpan w:val="2"/>
            <w:vAlign w:val="center"/>
          </w:tcPr>
          <w:p>
            <w:pPr>
              <w:jc w:val="center"/>
              <w:rPr>
                <w:rFonts w:ascii="宋体" w:hAnsi="宋体" w:cs="宋体"/>
                <w:color w:val="auto"/>
                <w:highlight w:val="none"/>
              </w:rPr>
            </w:pPr>
          </w:p>
        </w:tc>
        <w:tc>
          <w:tcPr>
            <w:tcW w:w="770" w:type="dxa"/>
            <w:vMerge w:val="continue"/>
            <w:vAlign w:val="center"/>
          </w:tcPr>
          <w:p>
            <w:pPr>
              <w:jc w:val="center"/>
              <w:rPr>
                <w:rFonts w:ascii="宋体" w:hAnsi="宋体" w:cs="宋体"/>
                <w:color w:val="auto"/>
                <w:highlight w:val="none"/>
              </w:rPr>
            </w:pPr>
          </w:p>
        </w:tc>
        <w:tc>
          <w:tcPr>
            <w:tcW w:w="2169" w:type="dxa"/>
            <w:gridSpan w:val="5"/>
            <w:vAlign w:val="center"/>
          </w:tcPr>
          <w:p>
            <w:pPr>
              <w:jc w:val="center"/>
              <w:rPr>
                <w:rFonts w:ascii="宋体" w:hAnsi="宋体" w:cs="宋体"/>
                <w:color w:val="auto"/>
                <w:highlight w:val="none"/>
              </w:rPr>
            </w:pPr>
            <w:r>
              <w:rPr>
                <w:rFonts w:hint="eastAsia" w:ascii="宋体" w:hAnsi="宋体" w:cs="宋体"/>
                <w:color w:val="auto"/>
                <w:highlight w:val="none"/>
              </w:rPr>
              <w:t>初级职称人员</w:t>
            </w:r>
          </w:p>
        </w:tc>
        <w:tc>
          <w:tcPr>
            <w:tcW w:w="1991" w:type="dxa"/>
            <w:gridSpan w:val="2"/>
            <w:vAlign w:val="center"/>
          </w:tcPr>
          <w:p>
            <w:pPr>
              <w:jc w:val="center"/>
              <w:rPr>
                <w:rFonts w:ascii="宋体" w:hAnsi="宋体" w:cs="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pPr>
              <w:jc w:val="center"/>
              <w:rPr>
                <w:rFonts w:ascii="宋体" w:hAnsi="宋体" w:cs="宋体"/>
                <w:color w:val="auto"/>
                <w:highlight w:val="none"/>
              </w:rPr>
            </w:pPr>
            <w:r>
              <w:rPr>
                <w:rFonts w:hint="eastAsia" w:ascii="宋体" w:hAnsi="宋体" w:cs="宋体"/>
                <w:color w:val="auto"/>
                <w:highlight w:val="none"/>
              </w:rPr>
              <w:t>账号</w:t>
            </w:r>
          </w:p>
        </w:tc>
        <w:tc>
          <w:tcPr>
            <w:tcW w:w="2156" w:type="dxa"/>
            <w:gridSpan w:val="2"/>
            <w:vAlign w:val="center"/>
          </w:tcPr>
          <w:p>
            <w:pPr>
              <w:jc w:val="center"/>
              <w:rPr>
                <w:rFonts w:ascii="宋体" w:hAnsi="宋体" w:cs="宋体"/>
                <w:color w:val="auto"/>
                <w:highlight w:val="none"/>
              </w:rPr>
            </w:pPr>
          </w:p>
        </w:tc>
        <w:tc>
          <w:tcPr>
            <w:tcW w:w="770" w:type="dxa"/>
            <w:vMerge w:val="continue"/>
            <w:vAlign w:val="center"/>
          </w:tcPr>
          <w:p>
            <w:pPr>
              <w:jc w:val="center"/>
              <w:rPr>
                <w:rFonts w:ascii="宋体" w:hAnsi="宋体" w:cs="宋体"/>
                <w:color w:val="auto"/>
                <w:highlight w:val="none"/>
              </w:rPr>
            </w:pPr>
          </w:p>
        </w:tc>
        <w:tc>
          <w:tcPr>
            <w:tcW w:w="2169" w:type="dxa"/>
            <w:gridSpan w:val="5"/>
            <w:vAlign w:val="center"/>
          </w:tcPr>
          <w:p>
            <w:pPr>
              <w:jc w:val="center"/>
              <w:rPr>
                <w:rFonts w:ascii="宋体" w:hAnsi="宋体" w:cs="宋体"/>
                <w:color w:val="auto"/>
                <w:highlight w:val="none"/>
              </w:rPr>
            </w:pPr>
          </w:p>
        </w:tc>
        <w:tc>
          <w:tcPr>
            <w:tcW w:w="1991" w:type="dxa"/>
            <w:gridSpan w:val="2"/>
            <w:vAlign w:val="center"/>
          </w:tcPr>
          <w:p>
            <w:pPr>
              <w:jc w:val="center"/>
              <w:rPr>
                <w:rFonts w:ascii="宋体" w:hAnsi="宋体" w:cs="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53" w:hRule="atLeast"/>
          <w:jc w:val="center"/>
        </w:trPr>
        <w:tc>
          <w:tcPr>
            <w:tcW w:w="1965" w:type="dxa"/>
            <w:vAlign w:val="center"/>
          </w:tcPr>
          <w:p>
            <w:pPr>
              <w:jc w:val="center"/>
              <w:rPr>
                <w:rFonts w:ascii="宋体" w:hAnsi="宋体" w:cs="宋体"/>
                <w:color w:val="auto"/>
                <w:highlight w:val="none"/>
              </w:rPr>
            </w:pPr>
            <w:r>
              <w:rPr>
                <w:rFonts w:hint="eastAsia" w:ascii="宋体" w:hAnsi="宋体" w:cs="宋体"/>
                <w:color w:val="auto"/>
                <w:highlight w:val="none"/>
              </w:rPr>
              <w:t>经营范围</w:t>
            </w:r>
          </w:p>
        </w:tc>
        <w:tc>
          <w:tcPr>
            <w:tcW w:w="7086" w:type="dxa"/>
            <w:gridSpan w:val="10"/>
            <w:vAlign w:val="center"/>
          </w:tcPr>
          <w:p>
            <w:pPr>
              <w:jc w:val="center"/>
              <w:rPr>
                <w:rFonts w:ascii="宋体" w:hAnsi="宋体" w:cs="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965" w:type="dxa"/>
            <w:vAlign w:val="center"/>
          </w:tcPr>
          <w:p>
            <w:pPr>
              <w:jc w:val="center"/>
              <w:rPr>
                <w:rFonts w:ascii="宋体" w:hAnsi="宋体" w:cs="宋体"/>
                <w:color w:val="auto"/>
                <w:highlight w:val="none"/>
              </w:rPr>
            </w:pPr>
            <w:r>
              <w:rPr>
                <w:rFonts w:hint="eastAsia" w:ascii="宋体" w:hAnsi="宋体" w:cs="宋体"/>
                <w:color w:val="auto"/>
                <w:highlight w:val="none"/>
              </w:rPr>
              <w:t>体系认证</w:t>
            </w:r>
          </w:p>
          <w:p>
            <w:pPr>
              <w:jc w:val="center"/>
              <w:rPr>
                <w:rFonts w:ascii="宋体" w:hAnsi="宋体" w:cs="宋体"/>
                <w:color w:val="auto"/>
                <w:highlight w:val="none"/>
              </w:rPr>
            </w:pPr>
            <w:r>
              <w:rPr>
                <w:rFonts w:hint="eastAsia" w:ascii="宋体" w:hAnsi="宋体" w:cs="宋体"/>
                <w:color w:val="auto"/>
                <w:highlight w:val="none"/>
              </w:rPr>
              <w:t>情    况</w:t>
            </w:r>
          </w:p>
        </w:tc>
        <w:tc>
          <w:tcPr>
            <w:tcW w:w="7086" w:type="dxa"/>
            <w:gridSpan w:val="10"/>
            <w:vAlign w:val="center"/>
          </w:tcPr>
          <w:p>
            <w:pPr>
              <w:rPr>
                <w:rFonts w:ascii="宋体" w:hAnsi="宋体" w:cs="宋体"/>
                <w:color w:val="auto"/>
                <w:highlight w:val="none"/>
                <w:lang w:eastAsia="zh-CN"/>
              </w:rPr>
            </w:pPr>
            <w:r>
              <w:rPr>
                <w:rFonts w:hint="eastAsia" w:ascii="宋体" w:hAnsi="宋体" w:cs="宋体"/>
                <w:color w:val="auto"/>
                <w:highlight w:val="none"/>
                <w:lang w:eastAsia="zh-CN"/>
              </w:rPr>
              <w:t>说明：通过的认证体系、系过时间及运行状况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65" w:type="dxa"/>
            <w:tcBorders>
              <w:bottom w:val="single" w:color="auto" w:sz="8" w:space="0"/>
            </w:tcBorders>
            <w:vAlign w:val="center"/>
          </w:tcPr>
          <w:p>
            <w:pPr>
              <w:jc w:val="center"/>
              <w:rPr>
                <w:rFonts w:ascii="宋体" w:hAnsi="宋体" w:cs="宋体"/>
                <w:color w:val="auto"/>
                <w:highlight w:val="none"/>
              </w:rPr>
            </w:pPr>
            <w:r>
              <w:rPr>
                <w:rFonts w:hint="eastAsia" w:ascii="宋体" w:hAnsi="宋体" w:cs="宋体"/>
                <w:color w:val="auto"/>
                <w:highlight w:val="none"/>
              </w:rPr>
              <w:t>备    注</w:t>
            </w:r>
          </w:p>
        </w:tc>
        <w:tc>
          <w:tcPr>
            <w:tcW w:w="7086" w:type="dxa"/>
            <w:gridSpan w:val="10"/>
            <w:tcBorders>
              <w:bottom w:val="single" w:color="auto" w:sz="8" w:space="0"/>
            </w:tcBorders>
            <w:vAlign w:val="center"/>
          </w:tcPr>
          <w:p>
            <w:pPr>
              <w:jc w:val="center"/>
              <w:rPr>
                <w:rFonts w:ascii="宋体" w:hAnsi="宋体" w:cs="宋体"/>
                <w:color w:val="auto"/>
                <w:highlight w:val="none"/>
              </w:rPr>
            </w:pPr>
          </w:p>
        </w:tc>
      </w:tr>
    </w:tbl>
    <w:p>
      <w:pPr>
        <w:pStyle w:val="2"/>
        <w:ind w:firstLine="480"/>
        <w:rPr>
          <w:rFonts w:hint="eastAsia"/>
          <w:b/>
          <w:bCs/>
          <w:color w:val="auto"/>
          <w:highlight w:val="none"/>
          <w:lang w:eastAsia="zh-CN"/>
        </w:rPr>
      </w:pPr>
      <w:r>
        <w:rPr>
          <w:color w:val="auto"/>
          <w:highlight w:val="none"/>
          <w:lang w:eastAsia="zh-CN"/>
        </w:rPr>
        <w:t>注：</w:t>
      </w:r>
      <w:r>
        <w:rPr>
          <w:rFonts w:hint="eastAsia"/>
          <w:color w:val="auto"/>
          <w:highlight w:val="none"/>
          <w:lang w:eastAsia="zh-CN"/>
        </w:rPr>
        <w:t>供应商</w:t>
      </w:r>
      <w:r>
        <w:rPr>
          <w:color w:val="auto"/>
          <w:highlight w:val="none"/>
          <w:lang w:eastAsia="zh-CN"/>
        </w:rPr>
        <w:t>应根据</w:t>
      </w:r>
      <w:r>
        <w:rPr>
          <w:rFonts w:hint="eastAsia"/>
          <w:color w:val="auto"/>
          <w:highlight w:val="none"/>
          <w:lang w:eastAsia="zh-CN"/>
        </w:rPr>
        <w:t>供应商</w:t>
      </w:r>
      <w:r>
        <w:rPr>
          <w:color w:val="auto"/>
          <w:highlight w:val="none"/>
          <w:lang w:eastAsia="zh-CN"/>
        </w:rPr>
        <w:t>须知第3.5.1项的要求在本表后附相关证明材料。</w:t>
      </w:r>
      <w:r>
        <w:rPr>
          <w:b/>
          <w:bCs/>
          <w:color w:val="auto"/>
          <w:highlight w:val="none"/>
          <w:lang w:eastAsia="zh-CN"/>
        </w:rPr>
        <w:t>本表后应附营业执照副本、企业资质证书副本、开户许可证或银行基本账户信息证明等扫描件。</w:t>
      </w:r>
    </w:p>
    <w:p>
      <w:pPr>
        <w:pStyle w:val="45"/>
        <w:spacing w:before="48" w:after="48"/>
        <w:ind w:firstLine="480"/>
        <w:rPr>
          <w:rFonts w:hint="eastAsia" w:ascii="宋体" w:hAnsi="宋体"/>
          <w:color w:val="auto"/>
          <w:highlight w:val="none"/>
          <w:lang w:eastAsia="zh-CN"/>
        </w:rPr>
      </w:pPr>
      <w:r>
        <w:rPr>
          <w:rFonts w:hint="eastAsia"/>
          <w:color w:val="auto"/>
          <w:highlight w:val="none"/>
          <w:lang w:eastAsia="zh-CN"/>
        </w:rPr>
        <w:br w:type="page"/>
      </w:r>
    </w:p>
    <w:p>
      <w:pPr>
        <w:pStyle w:val="2"/>
        <w:ind w:firstLine="482"/>
        <w:rPr>
          <w:rFonts w:hint="eastAsia"/>
          <w:b/>
          <w:bCs/>
          <w:color w:val="auto"/>
          <w:highlight w:val="none"/>
          <w:lang w:eastAsia="zh-CN"/>
        </w:rPr>
      </w:pPr>
    </w:p>
    <w:p>
      <w:pPr>
        <w:pStyle w:val="5"/>
        <w:outlineLvl w:val="1"/>
        <w:rPr>
          <w:color w:val="auto"/>
          <w:highlight w:val="none"/>
          <w:lang w:eastAsia="zh-CN"/>
        </w:rPr>
      </w:pPr>
      <w:bookmarkStart w:id="94" w:name="_Toc18836"/>
      <w:r>
        <w:rPr>
          <w:color w:val="auto"/>
          <w:highlight w:val="none"/>
          <w:lang w:eastAsia="zh-CN"/>
        </w:rPr>
        <w:t>（二）</w:t>
      </w:r>
      <w:bookmarkEnd w:id="94"/>
      <w:r>
        <w:rPr>
          <w:rFonts w:hint="eastAsia"/>
          <w:color w:val="auto"/>
          <w:highlight w:val="none"/>
        </w:rPr>
        <w:t>近年财务状况表</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305"/>
        <w:gridCol w:w="2404"/>
        <w:gridCol w:w="2354"/>
        <w:gridCol w:w="19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855" w:hRule="atLeast"/>
          <w:jc w:val="center"/>
        </w:trPr>
        <w:tc>
          <w:tcPr>
            <w:tcW w:w="2305" w:type="dxa"/>
            <w:vMerge w:val="restart"/>
            <w:vAlign w:val="center"/>
          </w:tcPr>
          <w:p>
            <w:pPr>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财务状况</w:t>
            </w:r>
          </w:p>
          <w:p>
            <w:pPr>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（单位：元）</w:t>
            </w:r>
          </w:p>
        </w:tc>
        <w:tc>
          <w:tcPr>
            <w:tcW w:w="6694" w:type="dxa"/>
            <w:gridSpan w:val="3"/>
            <w:vMerge w:val="restart"/>
            <w:vAlign w:val="center"/>
          </w:tcPr>
          <w:p>
            <w:pPr>
              <w:ind w:firstLine="27" w:firstLineChars="11"/>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近 三 年（应分别明确公元纪年）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6" w:hRule="atLeast"/>
          <w:jc w:val="center"/>
        </w:trPr>
        <w:tc>
          <w:tcPr>
            <w:tcW w:w="2305" w:type="dxa"/>
            <w:vMerge w:val="continue"/>
            <w:vAlign w:val="center"/>
          </w:tcPr>
          <w:p>
            <w:pPr>
              <w:ind w:firstLine="480" w:firstLineChars="200"/>
              <w:rPr>
                <w:rFonts w:hint="eastAsia" w:asciiTheme="minorEastAsia" w:hAnsiTheme="minorEastAsia" w:eastAsiaTheme="minorEastAsia" w:cstheme="minorEastAsia"/>
                <w:color w:val="auto"/>
                <w:sz w:val="24"/>
                <w:szCs w:val="24"/>
                <w:highlight w:val="none"/>
                <w:lang w:eastAsia="zh-CN"/>
              </w:rPr>
            </w:pPr>
          </w:p>
        </w:tc>
        <w:tc>
          <w:tcPr>
            <w:tcW w:w="6694" w:type="dxa"/>
            <w:gridSpan w:val="3"/>
            <w:vMerge w:val="continue"/>
            <w:vAlign w:val="center"/>
          </w:tcPr>
          <w:p>
            <w:pPr>
              <w:ind w:firstLine="480" w:firstLineChars="200"/>
              <w:rPr>
                <w:rFonts w:hint="eastAsia" w:asciiTheme="minorEastAsia" w:hAnsiTheme="minorEastAsia" w:eastAsiaTheme="minorEastAsia" w:cstheme="minorEastAsia"/>
                <w:color w:val="auto"/>
                <w:sz w:val="24"/>
                <w:szCs w:val="24"/>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4" w:hRule="atLeast"/>
          <w:jc w:val="center"/>
        </w:trPr>
        <w:tc>
          <w:tcPr>
            <w:tcW w:w="2305" w:type="dxa"/>
            <w:vMerge w:val="continue"/>
            <w:vAlign w:val="center"/>
          </w:tcPr>
          <w:p>
            <w:pPr>
              <w:ind w:firstLine="480" w:firstLineChars="200"/>
              <w:rPr>
                <w:rFonts w:hint="eastAsia" w:asciiTheme="minorEastAsia" w:hAnsiTheme="minorEastAsia" w:eastAsiaTheme="minorEastAsia" w:cstheme="minorEastAsia"/>
                <w:color w:val="auto"/>
                <w:sz w:val="24"/>
                <w:szCs w:val="24"/>
                <w:highlight w:val="none"/>
                <w:lang w:eastAsia="zh-CN"/>
              </w:rPr>
            </w:pPr>
          </w:p>
        </w:tc>
        <w:tc>
          <w:tcPr>
            <w:tcW w:w="2404"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第一年（2022）</w:t>
            </w:r>
          </w:p>
        </w:tc>
        <w:tc>
          <w:tcPr>
            <w:tcW w:w="2354"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第二年（2023）</w:t>
            </w:r>
          </w:p>
        </w:tc>
        <w:tc>
          <w:tcPr>
            <w:tcW w:w="1936"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第三年（2024）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4" w:hRule="atLeast"/>
          <w:jc w:val="center"/>
        </w:trPr>
        <w:tc>
          <w:tcPr>
            <w:tcW w:w="2305" w:type="dxa"/>
            <w:vAlign w:val="center"/>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1总资产</w:t>
            </w:r>
          </w:p>
        </w:tc>
        <w:tc>
          <w:tcPr>
            <w:tcW w:w="2404" w:type="dxa"/>
            <w:vAlign w:val="center"/>
          </w:tcPr>
          <w:p>
            <w:pPr>
              <w:rPr>
                <w:rFonts w:hint="eastAsia" w:asciiTheme="minorEastAsia" w:hAnsiTheme="minorEastAsia" w:eastAsiaTheme="minorEastAsia" w:cstheme="minorEastAsia"/>
                <w:color w:val="auto"/>
                <w:sz w:val="24"/>
                <w:szCs w:val="24"/>
                <w:highlight w:val="none"/>
              </w:rPr>
            </w:pPr>
          </w:p>
        </w:tc>
        <w:tc>
          <w:tcPr>
            <w:tcW w:w="2354" w:type="dxa"/>
            <w:vAlign w:val="center"/>
          </w:tcPr>
          <w:p>
            <w:pPr>
              <w:rPr>
                <w:rFonts w:hint="eastAsia" w:asciiTheme="minorEastAsia" w:hAnsiTheme="minorEastAsia" w:eastAsiaTheme="minorEastAsia" w:cstheme="minorEastAsia"/>
                <w:color w:val="auto"/>
                <w:sz w:val="24"/>
                <w:szCs w:val="24"/>
                <w:highlight w:val="none"/>
              </w:rPr>
            </w:pPr>
          </w:p>
        </w:tc>
        <w:tc>
          <w:tcPr>
            <w:tcW w:w="1936" w:type="dxa"/>
            <w:vAlign w:val="center"/>
          </w:tcPr>
          <w:p>
            <w:pPr>
              <w:rPr>
                <w:rFonts w:hint="eastAsia" w:asciiTheme="minorEastAsia" w:hAnsiTheme="minorEastAsia" w:eastAsiaTheme="minorEastAsia" w:cs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4" w:hRule="atLeast"/>
          <w:jc w:val="center"/>
        </w:trPr>
        <w:tc>
          <w:tcPr>
            <w:tcW w:w="2305" w:type="dxa"/>
            <w:vAlign w:val="center"/>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2.流动资产</w:t>
            </w:r>
          </w:p>
        </w:tc>
        <w:tc>
          <w:tcPr>
            <w:tcW w:w="2404" w:type="dxa"/>
            <w:vAlign w:val="center"/>
          </w:tcPr>
          <w:p>
            <w:pPr>
              <w:rPr>
                <w:rFonts w:hint="eastAsia" w:asciiTheme="minorEastAsia" w:hAnsiTheme="minorEastAsia" w:eastAsiaTheme="minorEastAsia" w:cstheme="minorEastAsia"/>
                <w:color w:val="auto"/>
                <w:sz w:val="24"/>
                <w:szCs w:val="24"/>
                <w:highlight w:val="none"/>
              </w:rPr>
            </w:pPr>
          </w:p>
        </w:tc>
        <w:tc>
          <w:tcPr>
            <w:tcW w:w="2354" w:type="dxa"/>
            <w:vAlign w:val="center"/>
          </w:tcPr>
          <w:p>
            <w:pPr>
              <w:rPr>
                <w:rFonts w:hint="eastAsia" w:asciiTheme="minorEastAsia" w:hAnsiTheme="minorEastAsia" w:eastAsiaTheme="minorEastAsia" w:cstheme="minorEastAsia"/>
                <w:color w:val="auto"/>
                <w:sz w:val="24"/>
                <w:szCs w:val="24"/>
                <w:highlight w:val="none"/>
              </w:rPr>
            </w:pPr>
          </w:p>
        </w:tc>
        <w:tc>
          <w:tcPr>
            <w:tcW w:w="1936" w:type="dxa"/>
            <w:vAlign w:val="center"/>
          </w:tcPr>
          <w:p>
            <w:pPr>
              <w:rPr>
                <w:rFonts w:hint="eastAsia" w:asciiTheme="minorEastAsia" w:hAnsiTheme="minorEastAsia" w:eastAsiaTheme="minorEastAsia" w:cs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4" w:hRule="atLeast"/>
          <w:jc w:val="center"/>
        </w:trPr>
        <w:tc>
          <w:tcPr>
            <w:tcW w:w="2305" w:type="dxa"/>
            <w:vAlign w:val="center"/>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3.总负债</w:t>
            </w:r>
          </w:p>
        </w:tc>
        <w:tc>
          <w:tcPr>
            <w:tcW w:w="2404" w:type="dxa"/>
            <w:vAlign w:val="center"/>
          </w:tcPr>
          <w:p>
            <w:pPr>
              <w:rPr>
                <w:rFonts w:hint="eastAsia" w:asciiTheme="minorEastAsia" w:hAnsiTheme="minorEastAsia" w:eastAsiaTheme="minorEastAsia" w:cstheme="minorEastAsia"/>
                <w:color w:val="auto"/>
                <w:sz w:val="24"/>
                <w:szCs w:val="24"/>
                <w:highlight w:val="none"/>
              </w:rPr>
            </w:pPr>
          </w:p>
        </w:tc>
        <w:tc>
          <w:tcPr>
            <w:tcW w:w="2354" w:type="dxa"/>
            <w:vAlign w:val="center"/>
          </w:tcPr>
          <w:p>
            <w:pPr>
              <w:rPr>
                <w:rFonts w:hint="eastAsia" w:asciiTheme="minorEastAsia" w:hAnsiTheme="minorEastAsia" w:eastAsiaTheme="minorEastAsia" w:cstheme="minorEastAsia"/>
                <w:color w:val="auto"/>
                <w:sz w:val="24"/>
                <w:szCs w:val="24"/>
                <w:highlight w:val="none"/>
              </w:rPr>
            </w:pPr>
          </w:p>
        </w:tc>
        <w:tc>
          <w:tcPr>
            <w:tcW w:w="1936" w:type="dxa"/>
            <w:vAlign w:val="center"/>
          </w:tcPr>
          <w:p>
            <w:pPr>
              <w:rPr>
                <w:rFonts w:hint="eastAsia" w:asciiTheme="minorEastAsia" w:hAnsiTheme="minorEastAsia" w:eastAsiaTheme="minorEastAsia" w:cs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4" w:hRule="atLeast"/>
          <w:jc w:val="center"/>
        </w:trPr>
        <w:tc>
          <w:tcPr>
            <w:tcW w:w="2305" w:type="dxa"/>
            <w:vAlign w:val="center"/>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4.流动负债</w:t>
            </w:r>
          </w:p>
        </w:tc>
        <w:tc>
          <w:tcPr>
            <w:tcW w:w="2404" w:type="dxa"/>
            <w:vAlign w:val="center"/>
          </w:tcPr>
          <w:p>
            <w:pPr>
              <w:rPr>
                <w:rFonts w:hint="eastAsia" w:asciiTheme="minorEastAsia" w:hAnsiTheme="minorEastAsia" w:eastAsiaTheme="minorEastAsia" w:cstheme="minorEastAsia"/>
                <w:color w:val="auto"/>
                <w:sz w:val="24"/>
                <w:szCs w:val="24"/>
                <w:highlight w:val="none"/>
              </w:rPr>
            </w:pPr>
          </w:p>
        </w:tc>
        <w:tc>
          <w:tcPr>
            <w:tcW w:w="2354" w:type="dxa"/>
            <w:vAlign w:val="center"/>
          </w:tcPr>
          <w:p>
            <w:pPr>
              <w:rPr>
                <w:rFonts w:hint="eastAsia" w:asciiTheme="minorEastAsia" w:hAnsiTheme="minorEastAsia" w:eastAsiaTheme="minorEastAsia" w:cstheme="minorEastAsia"/>
                <w:color w:val="auto"/>
                <w:sz w:val="24"/>
                <w:szCs w:val="24"/>
                <w:highlight w:val="none"/>
              </w:rPr>
            </w:pPr>
          </w:p>
        </w:tc>
        <w:tc>
          <w:tcPr>
            <w:tcW w:w="1936" w:type="dxa"/>
            <w:vAlign w:val="center"/>
          </w:tcPr>
          <w:p>
            <w:pPr>
              <w:rPr>
                <w:rFonts w:hint="eastAsia" w:asciiTheme="minorEastAsia" w:hAnsiTheme="minorEastAsia" w:eastAsiaTheme="minorEastAsia" w:cs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4" w:hRule="atLeast"/>
          <w:jc w:val="center"/>
        </w:trPr>
        <w:tc>
          <w:tcPr>
            <w:tcW w:w="2305" w:type="dxa"/>
            <w:vAlign w:val="center"/>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5.税前利润</w:t>
            </w:r>
          </w:p>
        </w:tc>
        <w:tc>
          <w:tcPr>
            <w:tcW w:w="2404" w:type="dxa"/>
            <w:vAlign w:val="center"/>
          </w:tcPr>
          <w:p>
            <w:pPr>
              <w:rPr>
                <w:rFonts w:hint="eastAsia" w:asciiTheme="minorEastAsia" w:hAnsiTheme="minorEastAsia" w:eastAsiaTheme="minorEastAsia" w:cstheme="minorEastAsia"/>
                <w:color w:val="auto"/>
                <w:sz w:val="24"/>
                <w:szCs w:val="24"/>
                <w:highlight w:val="none"/>
              </w:rPr>
            </w:pPr>
          </w:p>
        </w:tc>
        <w:tc>
          <w:tcPr>
            <w:tcW w:w="2354" w:type="dxa"/>
            <w:vAlign w:val="center"/>
          </w:tcPr>
          <w:p>
            <w:pPr>
              <w:rPr>
                <w:rFonts w:hint="eastAsia" w:asciiTheme="minorEastAsia" w:hAnsiTheme="minorEastAsia" w:eastAsiaTheme="minorEastAsia" w:cstheme="minorEastAsia"/>
                <w:color w:val="auto"/>
                <w:sz w:val="24"/>
                <w:szCs w:val="24"/>
                <w:highlight w:val="none"/>
              </w:rPr>
            </w:pPr>
          </w:p>
        </w:tc>
        <w:tc>
          <w:tcPr>
            <w:tcW w:w="1936" w:type="dxa"/>
            <w:vAlign w:val="center"/>
          </w:tcPr>
          <w:p>
            <w:pPr>
              <w:rPr>
                <w:rFonts w:hint="eastAsia" w:asciiTheme="minorEastAsia" w:hAnsiTheme="minorEastAsia" w:eastAsiaTheme="minorEastAsia" w:cs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3" w:hRule="atLeast"/>
          <w:jc w:val="center"/>
        </w:trPr>
        <w:tc>
          <w:tcPr>
            <w:tcW w:w="2305" w:type="dxa"/>
            <w:vAlign w:val="center"/>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6.税后利润</w:t>
            </w:r>
          </w:p>
        </w:tc>
        <w:tc>
          <w:tcPr>
            <w:tcW w:w="2404" w:type="dxa"/>
            <w:vAlign w:val="center"/>
          </w:tcPr>
          <w:p>
            <w:pPr>
              <w:rPr>
                <w:rFonts w:hint="eastAsia" w:asciiTheme="minorEastAsia" w:hAnsiTheme="minorEastAsia" w:eastAsiaTheme="minorEastAsia" w:cstheme="minorEastAsia"/>
                <w:color w:val="auto"/>
                <w:sz w:val="24"/>
                <w:szCs w:val="24"/>
                <w:highlight w:val="none"/>
              </w:rPr>
            </w:pPr>
          </w:p>
        </w:tc>
        <w:tc>
          <w:tcPr>
            <w:tcW w:w="2354" w:type="dxa"/>
            <w:vAlign w:val="center"/>
          </w:tcPr>
          <w:p>
            <w:pPr>
              <w:rPr>
                <w:rFonts w:hint="eastAsia" w:asciiTheme="minorEastAsia" w:hAnsiTheme="minorEastAsia" w:eastAsiaTheme="minorEastAsia" w:cstheme="minorEastAsia"/>
                <w:color w:val="auto"/>
                <w:sz w:val="24"/>
                <w:szCs w:val="24"/>
                <w:highlight w:val="none"/>
              </w:rPr>
            </w:pPr>
          </w:p>
        </w:tc>
        <w:tc>
          <w:tcPr>
            <w:tcW w:w="1936" w:type="dxa"/>
            <w:vAlign w:val="center"/>
          </w:tcPr>
          <w:p>
            <w:pPr>
              <w:rPr>
                <w:rFonts w:hint="eastAsia" w:asciiTheme="minorEastAsia" w:hAnsiTheme="minorEastAsia" w:eastAsiaTheme="minorEastAsia" w:cstheme="minorEastAsia"/>
                <w:color w:val="auto"/>
                <w:sz w:val="24"/>
                <w:szCs w:val="24"/>
                <w:highlight w:val="none"/>
              </w:rPr>
            </w:pPr>
          </w:p>
        </w:tc>
      </w:tr>
    </w:tbl>
    <w:p>
      <w:pPr>
        <w:spacing w:line="480" w:lineRule="auto"/>
        <w:ind w:firstLine="482" w:firstLineChars="200"/>
        <w:rPr>
          <w:rFonts w:hint="eastAsia" w:asciiTheme="minorEastAsia" w:hAnsiTheme="minorEastAsia" w:eastAsiaTheme="minorEastAsia" w:cstheme="minorEastAsia"/>
          <w:b/>
          <w:color w:val="auto"/>
          <w:sz w:val="24"/>
          <w:szCs w:val="24"/>
          <w:highlight w:val="none"/>
        </w:rPr>
      </w:pPr>
    </w:p>
    <w:p>
      <w:pPr>
        <w:spacing w:line="480" w:lineRule="auto"/>
        <w:ind w:firstLine="482" w:firstLineChars="200"/>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 xml:space="preserve">     </w:t>
      </w:r>
      <w:r>
        <w:rPr>
          <w:rFonts w:hint="eastAsia" w:asciiTheme="minorEastAsia" w:hAnsiTheme="minorEastAsia" w:eastAsiaTheme="minorEastAsia" w:cstheme="minorEastAsia"/>
          <w:b/>
          <w:bCs/>
          <w:color w:val="auto"/>
          <w:sz w:val="24"/>
          <w:szCs w:val="24"/>
          <w:highlight w:val="none"/>
          <w:lang w:eastAsia="zh-CN"/>
        </w:rPr>
        <w:t>注：附经会计师事务所出具的财务审计报告复印件，无财务审计报告的，需提供一份财务状况良好承诺书。所有复印件必须要清晰、字迹清楚，否则按废标处理。</w:t>
      </w:r>
    </w:p>
    <w:p>
      <w:pPr>
        <w:spacing w:line="480" w:lineRule="auto"/>
        <w:ind w:firstLine="420" w:firstLineChars="200"/>
        <w:rPr>
          <w:b/>
          <w:color w:val="auto"/>
          <w:highlight w:val="none"/>
          <w:lang w:eastAsia="zh-CN"/>
        </w:rPr>
      </w:pPr>
    </w:p>
    <w:p>
      <w:pPr>
        <w:spacing w:line="360" w:lineRule="auto"/>
        <w:rPr>
          <w:rFonts w:ascii="宋体" w:hAnsi="宋体"/>
          <w:color w:val="auto"/>
          <w:sz w:val="24"/>
          <w:szCs w:val="24"/>
          <w:highlight w:val="none"/>
          <w:lang w:val="zh-CN" w:eastAsia="zh-CN"/>
        </w:rPr>
      </w:pPr>
    </w:p>
    <w:p>
      <w:pPr>
        <w:rPr>
          <w:color w:val="auto"/>
          <w:spacing w:val="9"/>
          <w:highlight w:val="none"/>
          <w:lang w:eastAsia="zh-CN"/>
          <w14:textOutline w14:w="5791" w14:cap="sq" w14:cmpd="sng" w14:algn="ctr">
            <w14:solidFill>
              <w14:srgbClr w14:val="000000"/>
            </w14:solidFill>
            <w14:prstDash w14:val="solid"/>
            <w14:bevel/>
          </w14:textOutline>
        </w:rPr>
      </w:pPr>
      <w:r>
        <w:rPr>
          <w:color w:val="auto"/>
          <w:spacing w:val="9"/>
          <w:highlight w:val="none"/>
          <w:lang w:eastAsia="zh-CN"/>
          <w14:textOutline w14:w="5791" w14:cap="sq" w14:cmpd="sng" w14:algn="ctr">
            <w14:solidFill>
              <w14:srgbClr w14:val="000000"/>
            </w14:solidFill>
            <w14:prstDash w14:val="solid"/>
            <w14:bevel/>
          </w14:textOutline>
        </w:rPr>
        <w:br w:type="page"/>
      </w:r>
    </w:p>
    <w:p>
      <w:pPr>
        <w:pStyle w:val="5"/>
        <w:outlineLvl w:val="1"/>
        <w:rPr>
          <w:color w:val="auto"/>
          <w:highlight w:val="none"/>
          <w:lang w:eastAsia="zh-CN"/>
        </w:rPr>
      </w:pPr>
      <w:r>
        <w:rPr>
          <w:color w:val="auto"/>
          <w:highlight w:val="none"/>
          <w:lang w:eastAsia="zh-CN"/>
        </w:rPr>
        <w:t>（三）近年完成的类似项目情况表</w:t>
      </w:r>
    </w:p>
    <w:tbl>
      <w:tblPr>
        <w:tblStyle w:val="47"/>
        <w:tblW w:w="94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73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093" w:type="dxa"/>
            <w:vAlign w:val="center"/>
          </w:tcPr>
          <w:p>
            <w:pPr>
              <w:pStyle w:val="48"/>
              <w:spacing w:line="220" w:lineRule="auto"/>
              <w:jc w:val="center"/>
              <w:rPr>
                <w:rFonts w:hint="eastAsia"/>
                <w:color w:val="auto"/>
                <w:highlight w:val="none"/>
              </w:rPr>
            </w:pPr>
            <w:r>
              <w:rPr>
                <w:color w:val="auto"/>
                <w:spacing w:val="-4"/>
                <w:highlight w:val="none"/>
              </w:rPr>
              <w:t>项目名称</w:t>
            </w:r>
          </w:p>
        </w:tc>
        <w:tc>
          <w:tcPr>
            <w:tcW w:w="7379"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center"/>
          </w:tcPr>
          <w:p>
            <w:pPr>
              <w:pStyle w:val="48"/>
              <w:spacing w:line="220" w:lineRule="auto"/>
              <w:jc w:val="center"/>
              <w:rPr>
                <w:rFonts w:hint="eastAsia"/>
                <w:color w:val="auto"/>
                <w:highlight w:val="none"/>
              </w:rPr>
            </w:pPr>
            <w:r>
              <w:rPr>
                <w:color w:val="auto"/>
                <w:spacing w:val="-3"/>
                <w:highlight w:val="none"/>
              </w:rPr>
              <w:t>项目所在地</w:t>
            </w:r>
          </w:p>
        </w:tc>
        <w:tc>
          <w:tcPr>
            <w:tcW w:w="7379"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center"/>
          </w:tcPr>
          <w:p>
            <w:pPr>
              <w:pStyle w:val="48"/>
              <w:spacing w:line="220" w:lineRule="auto"/>
              <w:jc w:val="center"/>
              <w:rPr>
                <w:rFonts w:hint="eastAsia"/>
                <w:color w:val="auto"/>
                <w:highlight w:val="none"/>
              </w:rPr>
            </w:pPr>
            <w:r>
              <w:rPr>
                <w:color w:val="auto"/>
                <w:spacing w:val="-3"/>
                <w:highlight w:val="none"/>
              </w:rPr>
              <w:t>发包人名称</w:t>
            </w:r>
          </w:p>
        </w:tc>
        <w:tc>
          <w:tcPr>
            <w:tcW w:w="7379"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center"/>
          </w:tcPr>
          <w:p>
            <w:pPr>
              <w:pStyle w:val="48"/>
              <w:spacing w:line="220" w:lineRule="auto"/>
              <w:jc w:val="center"/>
              <w:rPr>
                <w:rFonts w:hint="eastAsia"/>
                <w:color w:val="auto"/>
                <w:highlight w:val="none"/>
              </w:rPr>
            </w:pPr>
            <w:r>
              <w:rPr>
                <w:color w:val="auto"/>
                <w:spacing w:val="-3"/>
                <w:highlight w:val="none"/>
              </w:rPr>
              <w:t>发包人地址</w:t>
            </w:r>
          </w:p>
        </w:tc>
        <w:tc>
          <w:tcPr>
            <w:tcW w:w="7379"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center"/>
          </w:tcPr>
          <w:p>
            <w:pPr>
              <w:pStyle w:val="48"/>
              <w:spacing w:line="220" w:lineRule="auto"/>
              <w:jc w:val="center"/>
              <w:rPr>
                <w:rFonts w:hint="eastAsia"/>
                <w:color w:val="auto"/>
                <w:highlight w:val="none"/>
              </w:rPr>
            </w:pPr>
            <w:r>
              <w:rPr>
                <w:color w:val="auto"/>
                <w:spacing w:val="-3"/>
                <w:highlight w:val="none"/>
              </w:rPr>
              <w:t>发包人电话</w:t>
            </w:r>
          </w:p>
        </w:tc>
        <w:tc>
          <w:tcPr>
            <w:tcW w:w="7379"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center"/>
          </w:tcPr>
          <w:p>
            <w:pPr>
              <w:pStyle w:val="48"/>
              <w:spacing w:line="218" w:lineRule="auto"/>
              <w:jc w:val="center"/>
              <w:rPr>
                <w:rFonts w:hint="eastAsia"/>
                <w:color w:val="auto"/>
                <w:highlight w:val="none"/>
              </w:rPr>
            </w:pPr>
            <w:r>
              <w:rPr>
                <w:color w:val="auto"/>
                <w:spacing w:val="-3"/>
                <w:highlight w:val="none"/>
              </w:rPr>
              <w:t>合同价格</w:t>
            </w:r>
          </w:p>
        </w:tc>
        <w:tc>
          <w:tcPr>
            <w:tcW w:w="7379"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093" w:type="dxa"/>
            <w:vAlign w:val="center"/>
          </w:tcPr>
          <w:p>
            <w:pPr>
              <w:pStyle w:val="48"/>
              <w:spacing w:line="219" w:lineRule="auto"/>
              <w:jc w:val="center"/>
              <w:rPr>
                <w:rFonts w:hint="eastAsia"/>
                <w:color w:val="auto"/>
                <w:highlight w:val="none"/>
              </w:rPr>
            </w:pPr>
            <w:r>
              <w:rPr>
                <w:rFonts w:hint="eastAsia"/>
                <w:color w:val="auto"/>
                <w:spacing w:val="-3"/>
                <w:highlight w:val="none"/>
                <w:lang w:eastAsia="zh-CN"/>
              </w:rPr>
              <w:t>监理</w:t>
            </w:r>
            <w:r>
              <w:rPr>
                <w:color w:val="auto"/>
                <w:spacing w:val="-3"/>
                <w:highlight w:val="none"/>
              </w:rPr>
              <w:t>服务期限</w:t>
            </w:r>
          </w:p>
        </w:tc>
        <w:tc>
          <w:tcPr>
            <w:tcW w:w="7379"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093" w:type="dxa"/>
            <w:vAlign w:val="center"/>
          </w:tcPr>
          <w:p>
            <w:pPr>
              <w:pStyle w:val="48"/>
              <w:spacing w:line="219" w:lineRule="auto"/>
              <w:jc w:val="center"/>
              <w:rPr>
                <w:rFonts w:hint="eastAsia"/>
                <w:color w:val="auto"/>
                <w:highlight w:val="none"/>
              </w:rPr>
            </w:pPr>
            <w:r>
              <w:rPr>
                <w:rFonts w:hint="eastAsia"/>
                <w:color w:val="auto"/>
                <w:spacing w:val="-3"/>
                <w:highlight w:val="none"/>
                <w:lang w:eastAsia="zh-CN"/>
              </w:rPr>
              <w:t>监理</w:t>
            </w:r>
            <w:r>
              <w:rPr>
                <w:color w:val="auto"/>
                <w:spacing w:val="-3"/>
                <w:highlight w:val="none"/>
              </w:rPr>
              <w:t>服务内容</w:t>
            </w:r>
          </w:p>
        </w:tc>
        <w:tc>
          <w:tcPr>
            <w:tcW w:w="7379"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center"/>
          </w:tcPr>
          <w:p>
            <w:pPr>
              <w:pStyle w:val="48"/>
              <w:spacing w:line="219" w:lineRule="auto"/>
              <w:jc w:val="center"/>
              <w:rPr>
                <w:rFonts w:hint="eastAsia"/>
                <w:color w:val="auto"/>
                <w:highlight w:val="none"/>
              </w:rPr>
            </w:pPr>
            <w:r>
              <w:rPr>
                <w:rFonts w:hint="eastAsia"/>
                <w:color w:val="auto"/>
                <w:spacing w:val="-3"/>
                <w:highlight w:val="none"/>
                <w:lang w:eastAsia="zh-CN"/>
              </w:rPr>
              <w:t>总监理工程师</w:t>
            </w:r>
          </w:p>
        </w:tc>
        <w:tc>
          <w:tcPr>
            <w:tcW w:w="7379"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5" w:hRule="atLeast"/>
        </w:trPr>
        <w:tc>
          <w:tcPr>
            <w:tcW w:w="2093" w:type="dxa"/>
            <w:vAlign w:val="center"/>
          </w:tcPr>
          <w:p>
            <w:pPr>
              <w:pStyle w:val="48"/>
              <w:spacing w:line="220" w:lineRule="auto"/>
              <w:jc w:val="center"/>
              <w:rPr>
                <w:rFonts w:hint="eastAsia"/>
                <w:color w:val="auto"/>
                <w:highlight w:val="none"/>
              </w:rPr>
            </w:pPr>
            <w:r>
              <w:rPr>
                <w:color w:val="auto"/>
                <w:spacing w:val="-4"/>
                <w:highlight w:val="none"/>
              </w:rPr>
              <w:t>项目描述</w:t>
            </w:r>
          </w:p>
        </w:tc>
        <w:tc>
          <w:tcPr>
            <w:tcW w:w="7379"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4" w:hRule="atLeast"/>
        </w:trPr>
        <w:tc>
          <w:tcPr>
            <w:tcW w:w="2093" w:type="dxa"/>
          </w:tcPr>
          <w:p>
            <w:pPr>
              <w:spacing w:line="304" w:lineRule="auto"/>
              <w:rPr>
                <w:color w:val="auto"/>
                <w:highlight w:val="none"/>
              </w:rPr>
            </w:pPr>
          </w:p>
          <w:p>
            <w:pPr>
              <w:spacing w:line="305" w:lineRule="auto"/>
              <w:rPr>
                <w:color w:val="auto"/>
                <w:highlight w:val="none"/>
              </w:rPr>
            </w:pPr>
          </w:p>
          <w:p>
            <w:pPr>
              <w:spacing w:line="305" w:lineRule="auto"/>
              <w:rPr>
                <w:color w:val="auto"/>
                <w:highlight w:val="none"/>
              </w:rPr>
            </w:pPr>
          </w:p>
          <w:p>
            <w:pPr>
              <w:pStyle w:val="48"/>
              <w:spacing w:before="78" w:line="221" w:lineRule="auto"/>
              <w:ind w:left="333"/>
              <w:jc w:val="center"/>
              <w:rPr>
                <w:rFonts w:hint="eastAsia"/>
                <w:color w:val="auto"/>
                <w:highlight w:val="none"/>
              </w:rPr>
            </w:pPr>
            <w:r>
              <w:rPr>
                <w:rFonts w:hint="eastAsia"/>
                <w:color w:val="auto"/>
                <w:spacing w:val="-3"/>
                <w:highlight w:val="none"/>
                <w:lang w:eastAsia="zh-CN"/>
              </w:rPr>
              <w:t>备注</w:t>
            </w:r>
          </w:p>
        </w:tc>
        <w:tc>
          <w:tcPr>
            <w:tcW w:w="7379" w:type="dxa"/>
          </w:tcPr>
          <w:p>
            <w:pPr>
              <w:rPr>
                <w:color w:val="auto"/>
                <w:highlight w:val="none"/>
              </w:rPr>
            </w:pPr>
          </w:p>
        </w:tc>
      </w:tr>
    </w:tbl>
    <w:p>
      <w:pPr>
        <w:rPr>
          <w:color w:val="auto"/>
          <w:highlight w:val="none"/>
        </w:rPr>
      </w:pPr>
    </w:p>
    <w:p>
      <w:pPr>
        <w:rPr>
          <w:rFonts w:eastAsiaTheme="minorEastAsia"/>
          <w:color w:val="auto"/>
          <w:highlight w:val="none"/>
          <w:lang w:eastAsia="zh-CN"/>
        </w:rPr>
      </w:pPr>
      <w:r>
        <w:rPr>
          <w:rFonts w:hint="eastAsia" w:eastAsiaTheme="minorEastAsia"/>
          <w:color w:val="auto"/>
          <w:highlight w:val="none"/>
          <w:lang w:eastAsia="zh-CN"/>
        </w:rPr>
        <w:t>注：本表后附业绩证明文件</w:t>
      </w:r>
    </w:p>
    <w:p>
      <w:pPr>
        <w:pStyle w:val="45"/>
        <w:spacing w:before="48" w:after="48"/>
        <w:ind w:firstLine="480"/>
        <w:rPr>
          <w:color w:val="auto"/>
          <w:highlight w:val="none"/>
          <w:lang w:eastAsia="zh-CN"/>
        </w:rPr>
      </w:pPr>
    </w:p>
    <w:p>
      <w:pPr>
        <w:pStyle w:val="2"/>
        <w:ind w:firstLine="480"/>
        <w:rPr>
          <w:rFonts w:hint="eastAsia"/>
          <w:color w:val="auto"/>
          <w:highlight w:val="none"/>
          <w:lang w:eastAsia="zh-CN"/>
        </w:rPr>
      </w:pPr>
    </w:p>
    <w:p>
      <w:pPr>
        <w:pStyle w:val="46"/>
        <w:rPr>
          <w:color w:val="auto"/>
          <w:highlight w:val="none"/>
        </w:rPr>
        <w:sectPr>
          <w:pgSz w:w="11906" w:h="16839"/>
          <w:pgMar w:top="1343" w:right="1177" w:bottom="957" w:left="1245" w:header="0" w:footer="795" w:gutter="0"/>
          <w:pgNumType w:fmt="decimal"/>
          <w:cols w:space="720" w:num="1"/>
        </w:sectPr>
      </w:pPr>
    </w:p>
    <w:p>
      <w:pPr>
        <w:pStyle w:val="5"/>
        <w:outlineLvl w:val="1"/>
        <w:rPr>
          <w:color w:val="auto"/>
          <w:highlight w:val="none"/>
          <w:lang w:eastAsia="zh-CN"/>
        </w:rPr>
      </w:pPr>
      <w:r>
        <w:rPr>
          <w:color w:val="auto"/>
          <w:highlight w:val="none"/>
          <w:lang w:eastAsia="zh-CN"/>
        </w:rPr>
        <w:t>（四）正在和新承接的项目情况表</w:t>
      </w:r>
    </w:p>
    <w:tbl>
      <w:tblPr>
        <w:tblStyle w:val="47"/>
        <w:tblW w:w="94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73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093" w:type="dxa"/>
            <w:vAlign w:val="center"/>
          </w:tcPr>
          <w:p>
            <w:pPr>
              <w:pStyle w:val="48"/>
              <w:spacing w:line="220" w:lineRule="auto"/>
              <w:jc w:val="center"/>
              <w:rPr>
                <w:rFonts w:hint="eastAsia"/>
                <w:color w:val="auto"/>
                <w:highlight w:val="none"/>
              </w:rPr>
            </w:pPr>
            <w:r>
              <w:rPr>
                <w:color w:val="auto"/>
                <w:spacing w:val="-4"/>
                <w:highlight w:val="none"/>
              </w:rPr>
              <w:t>项目名称</w:t>
            </w:r>
          </w:p>
        </w:tc>
        <w:tc>
          <w:tcPr>
            <w:tcW w:w="7379"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center"/>
          </w:tcPr>
          <w:p>
            <w:pPr>
              <w:pStyle w:val="48"/>
              <w:spacing w:line="220" w:lineRule="auto"/>
              <w:jc w:val="center"/>
              <w:rPr>
                <w:rFonts w:hint="eastAsia"/>
                <w:color w:val="auto"/>
                <w:highlight w:val="none"/>
              </w:rPr>
            </w:pPr>
            <w:r>
              <w:rPr>
                <w:color w:val="auto"/>
                <w:spacing w:val="-3"/>
                <w:highlight w:val="none"/>
              </w:rPr>
              <w:t>项目所在地</w:t>
            </w:r>
          </w:p>
        </w:tc>
        <w:tc>
          <w:tcPr>
            <w:tcW w:w="7379"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center"/>
          </w:tcPr>
          <w:p>
            <w:pPr>
              <w:pStyle w:val="48"/>
              <w:spacing w:line="220" w:lineRule="auto"/>
              <w:jc w:val="center"/>
              <w:rPr>
                <w:rFonts w:hint="eastAsia"/>
                <w:color w:val="auto"/>
                <w:highlight w:val="none"/>
              </w:rPr>
            </w:pPr>
            <w:r>
              <w:rPr>
                <w:color w:val="auto"/>
                <w:spacing w:val="-3"/>
                <w:highlight w:val="none"/>
              </w:rPr>
              <w:t>发包人名称</w:t>
            </w:r>
          </w:p>
        </w:tc>
        <w:tc>
          <w:tcPr>
            <w:tcW w:w="7379"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center"/>
          </w:tcPr>
          <w:p>
            <w:pPr>
              <w:pStyle w:val="48"/>
              <w:spacing w:line="220" w:lineRule="auto"/>
              <w:jc w:val="center"/>
              <w:rPr>
                <w:rFonts w:hint="eastAsia"/>
                <w:color w:val="auto"/>
                <w:highlight w:val="none"/>
              </w:rPr>
            </w:pPr>
            <w:r>
              <w:rPr>
                <w:color w:val="auto"/>
                <w:spacing w:val="-3"/>
                <w:highlight w:val="none"/>
              </w:rPr>
              <w:t>发包人地址</w:t>
            </w:r>
          </w:p>
        </w:tc>
        <w:tc>
          <w:tcPr>
            <w:tcW w:w="7379"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center"/>
          </w:tcPr>
          <w:p>
            <w:pPr>
              <w:pStyle w:val="48"/>
              <w:spacing w:line="220" w:lineRule="auto"/>
              <w:jc w:val="center"/>
              <w:rPr>
                <w:rFonts w:hint="eastAsia"/>
                <w:color w:val="auto"/>
                <w:highlight w:val="none"/>
              </w:rPr>
            </w:pPr>
            <w:r>
              <w:rPr>
                <w:color w:val="auto"/>
                <w:spacing w:val="-3"/>
                <w:highlight w:val="none"/>
              </w:rPr>
              <w:t>发包人电话</w:t>
            </w:r>
          </w:p>
        </w:tc>
        <w:tc>
          <w:tcPr>
            <w:tcW w:w="7379"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093" w:type="dxa"/>
            <w:vAlign w:val="center"/>
          </w:tcPr>
          <w:p>
            <w:pPr>
              <w:pStyle w:val="48"/>
              <w:spacing w:line="218" w:lineRule="auto"/>
              <w:jc w:val="center"/>
              <w:rPr>
                <w:rFonts w:hint="eastAsia"/>
                <w:color w:val="auto"/>
                <w:highlight w:val="none"/>
              </w:rPr>
            </w:pPr>
            <w:r>
              <w:rPr>
                <w:color w:val="auto"/>
                <w:spacing w:val="-3"/>
                <w:highlight w:val="none"/>
              </w:rPr>
              <w:t>合同价格</w:t>
            </w:r>
          </w:p>
        </w:tc>
        <w:tc>
          <w:tcPr>
            <w:tcW w:w="7379"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093" w:type="dxa"/>
            <w:vAlign w:val="center"/>
          </w:tcPr>
          <w:p>
            <w:pPr>
              <w:pStyle w:val="48"/>
              <w:spacing w:line="219" w:lineRule="auto"/>
              <w:jc w:val="center"/>
              <w:rPr>
                <w:rFonts w:hint="eastAsia"/>
                <w:color w:val="auto"/>
                <w:highlight w:val="none"/>
              </w:rPr>
            </w:pPr>
            <w:r>
              <w:rPr>
                <w:rFonts w:hint="eastAsia"/>
                <w:color w:val="auto"/>
                <w:spacing w:val="-3"/>
                <w:highlight w:val="none"/>
                <w:lang w:eastAsia="zh-CN"/>
              </w:rPr>
              <w:t>监理</w:t>
            </w:r>
            <w:r>
              <w:rPr>
                <w:color w:val="auto"/>
                <w:spacing w:val="-3"/>
                <w:highlight w:val="none"/>
              </w:rPr>
              <w:t>服务期限</w:t>
            </w:r>
          </w:p>
        </w:tc>
        <w:tc>
          <w:tcPr>
            <w:tcW w:w="7379"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093" w:type="dxa"/>
            <w:vAlign w:val="center"/>
          </w:tcPr>
          <w:p>
            <w:pPr>
              <w:pStyle w:val="48"/>
              <w:spacing w:line="219" w:lineRule="auto"/>
              <w:jc w:val="center"/>
              <w:rPr>
                <w:rFonts w:hint="eastAsia"/>
                <w:color w:val="auto"/>
                <w:highlight w:val="none"/>
              </w:rPr>
            </w:pPr>
            <w:r>
              <w:rPr>
                <w:rFonts w:hint="eastAsia"/>
                <w:color w:val="auto"/>
                <w:spacing w:val="-3"/>
                <w:highlight w:val="none"/>
                <w:lang w:eastAsia="zh-CN"/>
              </w:rPr>
              <w:t>监理</w:t>
            </w:r>
            <w:r>
              <w:rPr>
                <w:color w:val="auto"/>
                <w:spacing w:val="-3"/>
                <w:highlight w:val="none"/>
              </w:rPr>
              <w:t>服务内容</w:t>
            </w:r>
          </w:p>
        </w:tc>
        <w:tc>
          <w:tcPr>
            <w:tcW w:w="7379"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center"/>
          </w:tcPr>
          <w:p>
            <w:pPr>
              <w:pStyle w:val="48"/>
              <w:spacing w:line="219" w:lineRule="auto"/>
              <w:jc w:val="center"/>
              <w:rPr>
                <w:rFonts w:hint="eastAsia"/>
                <w:color w:val="auto"/>
                <w:highlight w:val="none"/>
              </w:rPr>
            </w:pPr>
            <w:r>
              <w:rPr>
                <w:rFonts w:hint="eastAsia"/>
                <w:color w:val="auto"/>
                <w:spacing w:val="-3"/>
                <w:highlight w:val="none"/>
                <w:lang w:eastAsia="zh-CN"/>
              </w:rPr>
              <w:t>总监理工程师</w:t>
            </w:r>
          </w:p>
        </w:tc>
        <w:tc>
          <w:tcPr>
            <w:tcW w:w="7379"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7" w:hRule="atLeast"/>
        </w:trPr>
        <w:tc>
          <w:tcPr>
            <w:tcW w:w="2093" w:type="dxa"/>
          </w:tcPr>
          <w:p>
            <w:pPr>
              <w:spacing w:line="275" w:lineRule="auto"/>
              <w:rPr>
                <w:color w:val="auto"/>
                <w:highlight w:val="none"/>
              </w:rPr>
            </w:pPr>
          </w:p>
          <w:p>
            <w:pPr>
              <w:spacing w:line="275" w:lineRule="auto"/>
              <w:rPr>
                <w:color w:val="auto"/>
                <w:highlight w:val="none"/>
              </w:rPr>
            </w:pPr>
          </w:p>
          <w:p>
            <w:pPr>
              <w:spacing w:line="276" w:lineRule="auto"/>
              <w:rPr>
                <w:color w:val="auto"/>
                <w:highlight w:val="none"/>
              </w:rPr>
            </w:pPr>
          </w:p>
          <w:p>
            <w:pPr>
              <w:spacing w:line="276" w:lineRule="auto"/>
              <w:rPr>
                <w:color w:val="auto"/>
                <w:highlight w:val="none"/>
              </w:rPr>
            </w:pPr>
          </w:p>
          <w:p>
            <w:pPr>
              <w:spacing w:line="276" w:lineRule="auto"/>
              <w:rPr>
                <w:color w:val="auto"/>
                <w:highlight w:val="none"/>
              </w:rPr>
            </w:pPr>
          </w:p>
          <w:p>
            <w:pPr>
              <w:pStyle w:val="48"/>
              <w:spacing w:before="78" w:line="220" w:lineRule="auto"/>
              <w:ind w:left="574"/>
              <w:rPr>
                <w:rFonts w:hint="eastAsia"/>
                <w:color w:val="auto"/>
                <w:highlight w:val="none"/>
              </w:rPr>
            </w:pPr>
            <w:r>
              <w:rPr>
                <w:color w:val="auto"/>
                <w:spacing w:val="-4"/>
                <w:highlight w:val="none"/>
              </w:rPr>
              <w:t>项目描述</w:t>
            </w:r>
          </w:p>
        </w:tc>
        <w:tc>
          <w:tcPr>
            <w:tcW w:w="7379"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5" w:hRule="atLeast"/>
        </w:trPr>
        <w:tc>
          <w:tcPr>
            <w:tcW w:w="2093" w:type="dxa"/>
          </w:tcPr>
          <w:p>
            <w:pPr>
              <w:spacing w:line="248" w:lineRule="auto"/>
              <w:rPr>
                <w:color w:val="auto"/>
                <w:highlight w:val="none"/>
              </w:rPr>
            </w:pPr>
          </w:p>
          <w:p>
            <w:pPr>
              <w:spacing w:line="248" w:lineRule="auto"/>
              <w:rPr>
                <w:color w:val="auto"/>
                <w:highlight w:val="none"/>
              </w:rPr>
            </w:pPr>
          </w:p>
          <w:p>
            <w:pPr>
              <w:spacing w:line="249" w:lineRule="auto"/>
              <w:rPr>
                <w:color w:val="auto"/>
                <w:highlight w:val="none"/>
              </w:rPr>
            </w:pPr>
          </w:p>
          <w:p>
            <w:pPr>
              <w:spacing w:line="249" w:lineRule="auto"/>
              <w:rPr>
                <w:color w:val="auto"/>
                <w:highlight w:val="none"/>
              </w:rPr>
            </w:pPr>
          </w:p>
          <w:p>
            <w:pPr>
              <w:spacing w:line="249" w:lineRule="auto"/>
              <w:rPr>
                <w:color w:val="auto"/>
                <w:highlight w:val="none"/>
              </w:rPr>
            </w:pPr>
          </w:p>
          <w:p>
            <w:pPr>
              <w:pStyle w:val="48"/>
              <w:spacing w:before="78" w:line="221" w:lineRule="auto"/>
              <w:ind w:left="813"/>
              <w:rPr>
                <w:rFonts w:hint="eastAsia"/>
                <w:color w:val="auto"/>
                <w:highlight w:val="none"/>
              </w:rPr>
            </w:pPr>
            <w:r>
              <w:rPr>
                <w:color w:val="auto"/>
                <w:spacing w:val="-7"/>
                <w:highlight w:val="none"/>
              </w:rPr>
              <w:t>备注</w:t>
            </w:r>
          </w:p>
        </w:tc>
        <w:tc>
          <w:tcPr>
            <w:tcW w:w="7379" w:type="dxa"/>
          </w:tcPr>
          <w:p>
            <w:pPr>
              <w:rPr>
                <w:color w:val="auto"/>
                <w:highlight w:val="none"/>
              </w:rPr>
            </w:pPr>
          </w:p>
        </w:tc>
      </w:tr>
    </w:tbl>
    <w:p>
      <w:pPr>
        <w:rPr>
          <w:color w:val="auto"/>
          <w:highlight w:val="none"/>
        </w:rPr>
      </w:pPr>
    </w:p>
    <w:p>
      <w:pPr>
        <w:pStyle w:val="46"/>
        <w:jc w:val="left"/>
        <w:rPr>
          <w:i w:val="0"/>
          <w:iCs/>
          <w:color w:val="auto"/>
          <w:highlight w:val="none"/>
        </w:rPr>
      </w:pPr>
      <w:r>
        <w:rPr>
          <w:i w:val="0"/>
          <w:iCs/>
          <w:color w:val="auto"/>
          <w:highlight w:val="none"/>
        </w:rPr>
        <w:t>注：本表后附业绩证明文件</w:t>
      </w:r>
    </w:p>
    <w:p>
      <w:pPr>
        <w:spacing w:line="248" w:lineRule="auto"/>
        <w:rPr>
          <w:color w:val="auto"/>
          <w:highlight w:val="none"/>
          <w:lang w:eastAsia="zh-CN"/>
        </w:rPr>
      </w:pPr>
    </w:p>
    <w:p>
      <w:pPr>
        <w:pStyle w:val="5"/>
        <w:pageBreakBefore/>
        <w:outlineLvl w:val="1"/>
        <w:rPr>
          <w:color w:val="auto"/>
          <w:highlight w:val="none"/>
          <w:lang w:eastAsia="zh-CN"/>
        </w:rPr>
      </w:pPr>
      <w:r>
        <w:rPr>
          <w:color w:val="auto"/>
          <w:highlight w:val="none"/>
          <w:lang w:eastAsia="zh-CN"/>
        </w:rPr>
        <w:t>（五）近年发生的诉讼及仲裁情况</w:t>
      </w:r>
    </w:p>
    <w:p>
      <w:pPr>
        <w:spacing w:line="411" w:lineRule="auto"/>
        <w:rPr>
          <w:color w:val="auto"/>
          <w:highlight w:val="none"/>
          <w:lang w:eastAsia="zh-CN"/>
        </w:rPr>
      </w:pPr>
    </w:p>
    <w:p>
      <w:pPr>
        <w:pStyle w:val="2"/>
        <w:spacing w:before="78" w:line="219" w:lineRule="auto"/>
        <w:ind w:firstLine="480"/>
        <w:rPr>
          <w:rFonts w:hint="eastAsia"/>
          <w:color w:val="auto"/>
          <w:spacing w:val="-1"/>
          <w:szCs w:val="24"/>
          <w:highlight w:val="none"/>
          <w:lang w:eastAsia="zh-CN"/>
        </w:rPr>
      </w:pPr>
      <w:r>
        <w:rPr>
          <w:color w:val="auto"/>
          <w:szCs w:val="24"/>
          <w:highlight w:val="none"/>
          <w:lang w:eastAsia="zh-CN"/>
        </w:rPr>
        <w:t>注：</w:t>
      </w:r>
      <w:r>
        <w:rPr>
          <w:rFonts w:hint="eastAsia"/>
          <w:color w:val="auto"/>
          <w:szCs w:val="24"/>
          <w:highlight w:val="none"/>
          <w:lang w:eastAsia="zh-CN"/>
        </w:rPr>
        <w:t>供应商</w:t>
      </w:r>
      <w:r>
        <w:rPr>
          <w:color w:val="auto"/>
          <w:szCs w:val="24"/>
          <w:highlight w:val="none"/>
          <w:lang w:eastAsia="zh-CN"/>
        </w:rPr>
        <w:t>应根据</w:t>
      </w:r>
      <w:r>
        <w:rPr>
          <w:rFonts w:hint="eastAsia"/>
          <w:color w:val="auto"/>
          <w:szCs w:val="24"/>
          <w:highlight w:val="none"/>
          <w:lang w:eastAsia="zh-CN"/>
        </w:rPr>
        <w:t>供应商</w:t>
      </w:r>
      <w:r>
        <w:rPr>
          <w:color w:val="auto"/>
          <w:szCs w:val="24"/>
          <w:highlight w:val="none"/>
          <w:lang w:eastAsia="zh-CN"/>
        </w:rPr>
        <w:t>须知第3.5.5项</w:t>
      </w:r>
      <w:r>
        <w:rPr>
          <w:color w:val="auto"/>
          <w:spacing w:val="-1"/>
          <w:szCs w:val="24"/>
          <w:highlight w:val="none"/>
          <w:lang w:eastAsia="zh-CN"/>
        </w:rPr>
        <w:t>的要求附相关证明材料。</w:t>
      </w:r>
    </w:p>
    <w:p>
      <w:pPr>
        <w:pStyle w:val="46"/>
        <w:rPr>
          <w:color w:val="auto"/>
          <w:highlight w:val="none"/>
        </w:rPr>
      </w:pPr>
    </w:p>
    <w:p>
      <w:pPr>
        <w:rPr>
          <w:rFonts w:eastAsiaTheme="minorEastAsia"/>
          <w:color w:val="auto"/>
          <w:highlight w:val="none"/>
          <w:lang w:eastAsia="zh-CN"/>
        </w:rPr>
      </w:pPr>
    </w:p>
    <w:p>
      <w:pPr>
        <w:pStyle w:val="45"/>
        <w:spacing w:before="48" w:after="48"/>
        <w:ind w:firstLine="480"/>
        <w:rPr>
          <w:color w:val="auto"/>
          <w:highlight w:val="none"/>
          <w:lang w:eastAsia="zh-CN"/>
        </w:rPr>
      </w:pPr>
    </w:p>
    <w:p>
      <w:pPr>
        <w:pStyle w:val="2"/>
        <w:ind w:firstLine="480"/>
        <w:rPr>
          <w:rFonts w:hint="eastAsia"/>
          <w:color w:val="auto"/>
          <w:highlight w:val="none"/>
          <w:lang w:eastAsia="zh-CN"/>
        </w:rPr>
      </w:pPr>
    </w:p>
    <w:p>
      <w:pPr>
        <w:pStyle w:val="5"/>
        <w:pageBreakBefore/>
        <w:outlineLvl w:val="1"/>
        <w:rPr>
          <w:color w:val="auto"/>
          <w:highlight w:val="none"/>
          <w:lang w:eastAsia="zh-CN"/>
        </w:rPr>
      </w:pPr>
      <w:bookmarkStart w:id="95" w:name="_Toc12542"/>
      <w:r>
        <w:rPr>
          <w:color w:val="auto"/>
          <w:highlight w:val="none"/>
          <w:lang w:eastAsia="zh-CN"/>
        </w:rPr>
        <w:t>（六）拟委任的主要人员汇总表</w:t>
      </w:r>
      <w:bookmarkEnd w:id="95"/>
    </w:p>
    <w:p>
      <w:pPr>
        <w:pStyle w:val="6"/>
        <w:rPr>
          <w:color w:val="auto"/>
          <w:highlight w:val="none"/>
          <w:lang w:eastAsia="zh-CN"/>
        </w:rPr>
      </w:pPr>
      <w:r>
        <w:rPr>
          <w:color w:val="auto"/>
          <w:highlight w:val="none"/>
          <w:lang w:eastAsia="zh-CN"/>
        </w:rPr>
        <w:t>1、拟委任的主要人员汇总表</w:t>
      </w:r>
    </w:p>
    <w:tbl>
      <w:tblPr>
        <w:tblStyle w:val="47"/>
        <w:tblW w:w="9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0"/>
        <w:gridCol w:w="1539"/>
        <w:gridCol w:w="851"/>
        <w:gridCol w:w="709"/>
        <w:gridCol w:w="992"/>
        <w:gridCol w:w="1336"/>
        <w:gridCol w:w="1336"/>
        <w:gridCol w:w="1336"/>
        <w:gridCol w:w="6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4" w:hRule="atLeast"/>
        </w:trPr>
        <w:tc>
          <w:tcPr>
            <w:tcW w:w="840" w:type="dxa"/>
            <w:vMerge w:val="restart"/>
            <w:tcBorders>
              <w:bottom w:val="nil"/>
            </w:tcBorders>
          </w:tcPr>
          <w:p>
            <w:pPr>
              <w:spacing w:line="394" w:lineRule="auto"/>
              <w:rPr>
                <w:color w:val="auto"/>
                <w:highlight w:val="none"/>
                <w:lang w:eastAsia="zh-CN"/>
              </w:rPr>
            </w:pPr>
          </w:p>
          <w:p>
            <w:pPr>
              <w:pStyle w:val="48"/>
              <w:spacing w:before="78" w:line="221" w:lineRule="auto"/>
              <w:ind w:left="185"/>
              <w:rPr>
                <w:rFonts w:hint="eastAsia"/>
                <w:color w:val="auto"/>
                <w:highlight w:val="none"/>
              </w:rPr>
            </w:pPr>
            <w:r>
              <w:rPr>
                <w:color w:val="auto"/>
                <w:spacing w:val="-5"/>
                <w:highlight w:val="none"/>
              </w:rPr>
              <w:t>序号</w:t>
            </w:r>
          </w:p>
        </w:tc>
        <w:tc>
          <w:tcPr>
            <w:tcW w:w="1539" w:type="dxa"/>
            <w:vMerge w:val="restart"/>
            <w:tcBorders>
              <w:bottom w:val="nil"/>
            </w:tcBorders>
          </w:tcPr>
          <w:p>
            <w:pPr>
              <w:spacing w:line="394" w:lineRule="auto"/>
              <w:rPr>
                <w:color w:val="auto"/>
                <w:highlight w:val="none"/>
              </w:rPr>
            </w:pPr>
          </w:p>
          <w:p>
            <w:pPr>
              <w:pStyle w:val="48"/>
              <w:spacing w:before="78" w:line="219" w:lineRule="auto"/>
              <w:ind w:left="175"/>
              <w:rPr>
                <w:rFonts w:hint="eastAsia"/>
                <w:color w:val="auto"/>
                <w:highlight w:val="none"/>
              </w:rPr>
            </w:pPr>
            <w:r>
              <w:rPr>
                <w:color w:val="auto"/>
                <w:spacing w:val="-3"/>
                <w:highlight w:val="none"/>
              </w:rPr>
              <w:t>本项目任职</w:t>
            </w:r>
          </w:p>
        </w:tc>
        <w:tc>
          <w:tcPr>
            <w:tcW w:w="851" w:type="dxa"/>
            <w:vMerge w:val="restart"/>
            <w:tcBorders>
              <w:bottom w:val="nil"/>
            </w:tcBorders>
          </w:tcPr>
          <w:p>
            <w:pPr>
              <w:spacing w:line="395" w:lineRule="auto"/>
              <w:rPr>
                <w:color w:val="auto"/>
                <w:highlight w:val="none"/>
              </w:rPr>
            </w:pPr>
          </w:p>
          <w:p>
            <w:pPr>
              <w:pStyle w:val="48"/>
              <w:spacing w:before="78" w:line="219" w:lineRule="auto"/>
              <w:ind w:left="190"/>
              <w:rPr>
                <w:rFonts w:hint="eastAsia"/>
                <w:color w:val="auto"/>
                <w:highlight w:val="none"/>
              </w:rPr>
            </w:pPr>
            <w:r>
              <w:rPr>
                <w:color w:val="auto"/>
                <w:spacing w:val="-5"/>
                <w:highlight w:val="none"/>
              </w:rPr>
              <w:t>姓名</w:t>
            </w:r>
          </w:p>
        </w:tc>
        <w:tc>
          <w:tcPr>
            <w:tcW w:w="709" w:type="dxa"/>
            <w:vMerge w:val="restart"/>
            <w:tcBorders>
              <w:bottom w:val="nil"/>
            </w:tcBorders>
            <w:textDirection w:val="tbRlV"/>
          </w:tcPr>
          <w:p>
            <w:pPr>
              <w:pStyle w:val="48"/>
              <w:spacing w:before="233" w:line="211" w:lineRule="auto"/>
              <w:ind w:left="319"/>
              <w:rPr>
                <w:rFonts w:hint="eastAsia"/>
                <w:color w:val="auto"/>
                <w:highlight w:val="none"/>
              </w:rPr>
            </w:pPr>
            <w:r>
              <w:rPr>
                <w:color w:val="auto"/>
                <w:spacing w:val="-1"/>
                <w:highlight w:val="none"/>
              </w:rPr>
              <w:t>职称</w:t>
            </w:r>
          </w:p>
        </w:tc>
        <w:tc>
          <w:tcPr>
            <w:tcW w:w="992" w:type="dxa"/>
            <w:vMerge w:val="restart"/>
            <w:tcBorders>
              <w:bottom w:val="nil"/>
            </w:tcBorders>
            <w:textDirection w:val="tbRlV"/>
          </w:tcPr>
          <w:p>
            <w:pPr>
              <w:spacing w:line="284" w:lineRule="auto"/>
              <w:rPr>
                <w:color w:val="auto"/>
                <w:highlight w:val="none"/>
              </w:rPr>
            </w:pPr>
          </w:p>
          <w:p>
            <w:pPr>
              <w:pStyle w:val="48"/>
              <w:spacing w:before="81" w:line="209" w:lineRule="auto"/>
              <w:ind w:left="319"/>
              <w:rPr>
                <w:rFonts w:hint="eastAsia"/>
                <w:color w:val="auto"/>
                <w:highlight w:val="none"/>
              </w:rPr>
            </w:pPr>
            <w:r>
              <w:rPr>
                <w:color w:val="auto"/>
                <w:spacing w:val="-1"/>
                <w:highlight w:val="none"/>
              </w:rPr>
              <w:t>专业</w:t>
            </w:r>
          </w:p>
        </w:tc>
        <w:tc>
          <w:tcPr>
            <w:tcW w:w="4008" w:type="dxa"/>
            <w:gridSpan w:val="3"/>
          </w:tcPr>
          <w:p>
            <w:pPr>
              <w:pStyle w:val="48"/>
              <w:spacing w:before="178" w:line="219" w:lineRule="auto"/>
              <w:ind w:left="931"/>
              <w:rPr>
                <w:rFonts w:hint="eastAsia"/>
                <w:color w:val="auto"/>
                <w:highlight w:val="none"/>
              </w:rPr>
            </w:pPr>
            <w:r>
              <w:rPr>
                <w:color w:val="auto"/>
                <w:spacing w:val="-2"/>
                <w:highlight w:val="none"/>
              </w:rPr>
              <w:t>执业或职业资格证明</w:t>
            </w:r>
          </w:p>
        </w:tc>
        <w:tc>
          <w:tcPr>
            <w:tcW w:w="641" w:type="dxa"/>
            <w:vMerge w:val="restart"/>
            <w:tcBorders>
              <w:bottom w:val="nil"/>
            </w:tcBorders>
            <w:textDirection w:val="tbRlV"/>
          </w:tcPr>
          <w:p>
            <w:pPr>
              <w:pStyle w:val="48"/>
              <w:spacing w:before="198" w:line="209" w:lineRule="auto"/>
              <w:ind w:left="319"/>
              <w:rPr>
                <w:rFonts w:hint="eastAsia"/>
                <w:color w:val="auto"/>
                <w:highlight w:val="none"/>
              </w:rPr>
            </w:pPr>
            <w:r>
              <w:rPr>
                <w:color w:val="auto"/>
                <w:spacing w:val="-1"/>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40" w:type="dxa"/>
            <w:vMerge w:val="continue"/>
            <w:tcBorders>
              <w:top w:val="nil"/>
            </w:tcBorders>
          </w:tcPr>
          <w:p>
            <w:pPr>
              <w:rPr>
                <w:color w:val="auto"/>
                <w:highlight w:val="none"/>
              </w:rPr>
            </w:pPr>
          </w:p>
        </w:tc>
        <w:tc>
          <w:tcPr>
            <w:tcW w:w="1539" w:type="dxa"/>
            <w:vMerge w:val="continue"/>
            <w:tcBorders>
              <w:top w:val="nil"/>
            </w:tcBorders>
          </w:tcPr>
          <w:p>
            <w:pPr>
              <w:rPr>
                <w:color w:val="auto"/>
                <w:highlight w:val="none"/>
              </w:rPr>
            </w:pPr>
          </w:p>
        </w:tc>
        <w:tc>
          <w:tcPr>
            <w:tcW w:w="851" w:type="dxa"/>
            <w:vMerge w:val="continue"/>
            <w:tcBorders>
              <w:top w:val="nil"/>
            </w:tcBorders>
          </w:tcPr>
          <w:p>
            <w:pPr>
              <w:rPr>
                <w:color w:val="auto"/>
                <w:highlight w:val="none"/>
              </w:rPr>
            </w:pPr>
          </w:p>
        </w:tc>
        <w:tc>
          <w:tcPr>
            <w:tcW w:w="709" w:type="dxa"/>
            <w:vMerge w:val="continue"/>
            <w:tcBorders>
              <w:top w:val="nil"/>
            </w:tcBorders>
            <w:textDirection w:val="tbRlV"/>
          </w:tcPr>
          <w:p>
            <w:pPr>
              <w:rPr>
                <w:color w:val="auto"/>
                <w:highlight w:val="none"/>
              </w:rPr>
            </w:pPr>
          </w:p>
        </w:tc>
        <w:tc>
          <w:tcPr>
            <w:tcW w:w="992" w:type="dxa"/>
            <w:vMerge w:val="continue"/>
            <w:tcBorders>
              <w:top w:val="nil"/>
            </w:tcBorders>
            <w:textDirection w:val="tbRlV"/>
          </w:tcPr>
          <w:p>
            <w:pPr>
              <w:rPr>
                <w:color w:val="auto"/>
                <w:highlight w:val="none"/>
              </w:rPr>
            </w:pPr>
          </w:p>
        </w:tc>
        <w:tc>
          <w:tcPr>
            <w:tcW w:w="1336" w:type="dxa"/>
          </w:tcPr>
          <w:p>
            <w:pPr>
              <w:pStyle w:val="48"/>
              <w:spacing w:before="173" w:line="219" w:lineRule="auto"/>
              <w:ind w:left="194"/>
              <w:rPr>
                <w:rFonts w:hint="eastAsia"/>
                <w:color w:val="auto"/>
                <w:highlight w:val="none"/>
              </w:rPr>
            </w:pPr>
            <w:r>
              <w:rPr>
                <w:color w:val="auto"/>
                <w:spacing w:val="-3"/>
                <w:highlight w:val="none"/>
              </w:rPr>
              <w:t>证书名称</w:t>
            </w:r>
          </w:p>
        </w:tc>
        <w:tc>
          <w:tcPr>
            <w:tcW w:w="1336" w:type="dxa"/>
          </w:tcPr>
          <w:p>
            <w:pPr>
              <w:pStyle w:val="48"/>
              <w:spacing w:before="173" w:line="220" w:lineRule="auto"/>
              <w:ind w:left="439"/>
              <w:rPr>
                <w:rFonts w:hint="eastAsia"/>
                <w:color w:val="auto"/>
                <w:highlight w:val="none"/>
              </w:rPr>
            </w:pPr>
            <w:r>
              <w:rPr>
                <w:color w:val="auto"/>
                <w:spacing w:val="-7"/>
                <w:highlight w:val="none"/>
              </w:rPr>
              <w:t>级别</w:t>
            </w:r>
          </w:p>
        </w:tc>
        <w:tc>
          <w:tcPr>
            <w:tcW w:w="1336" w:type="dxa"/>
          </w:tcPr>
          <w:p>
            <w:pPr>
              <w:pStyle w:val="48"/>
              <w:spacing w:before="173" w:line="221" w:lineRule="auto"/>
              <w:ind w:left="436"/>
              <w:rPr>
                <w:rFonts w:hint="eastAsia"/>
                <w:color w:val="auto"/>
                <w:highlight w:val="none"/>
              </w:rPr>
            </w:pPr>
            <w:r>
              <w:rPr>
                <w:color w:val="auto"/>
                <w:spacing w:val="-5"/>
                <w:highlight w:val="none"/>
              </w:rPr>
              <w:t>证号</w:t>
            </w:r>
          </w:p>
        </w:tc>
        <w:tc>
          <w:tcPr>
            <w:tcW w:w="641" w:type="dxa"/>
            <w:vMerge w:val="continue"/>
            <w:tcBorders>
              <w:top w:val="nil"/>
            </w:tcBorders>
            <w:textDirection w:val="tbRlV"/>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40" w:type="dxa"/>
          </w:tcPr>
          <w:p>
            <w:pPr>
              <w:rPr>
                <w:color w:val="auto"/>
                <w:highlight w:val="none"/>
              </w:rPr>
            </w:pPr>
          </w:p>
        </w:tc>
        <w:tc>
          <w:tcPr>
            <w:tcW w:w="1539" w:type="dxa"/>
          </w:tcPr>
          <w:p>
            <w:pPr>
              <w:rPr>
                <w:color w:val="auto"/>
                <w:highlight w:val="none"/>
              </w:rPr>
            </w:pPr>
          </w:p>
        </w:tc>
        <w:tc>
          <w:tcPr>
            <w:tcW w:w="851" w:type="dxa"/>
          </w:tcPr>
          <w:p>
            <w:pPr>
              <w:rPr>
                <w:color w:val="auto"/>
                <w:highlight w:val="none"/>
              </w:rPr>
            </w:pPr>
          </w:p>
        </w:tc>
        <w:tc>
          <w:tcPr>
            <w:tcW w:w="709" w:type="dxa"/>
          </w:tcPr>
          <w:p>
            <w:pPr>
              <w:rPr>
                <w:color w:val="auto"/>
                <w:highlight w:val="none"/>
              </w:rPr>
            </w:pPr>
          </w:p>
        </w:tc>
        <w:tc>
          <w:tcPr>
            <w:tcW w:w="992" w:type="dxa"/>
          </w:tcPr>
          <w:p>
            <w:pPr>
              <w:rPr>
                <w:color w:val="auto"/>
                <w:highlight w:val="none"/>
              </w:rPr>
            </w:pPr>
          </w:p>
        </w:tc>
        <w:tc>
          <w:tcPr>
            <w:tcW w:w="1336" w:type="dxa"/>
          </w:tcPr>
          <w:p>
            <w:pPr>
              <w:rPr>
                <w:color w:val="auto"/>
                <w:highlight w:val="none"/>
              </w:rPr>
            </w:pPr>
          </w:p>
        </w:tc>
        <w:tc>
          <w:tcPr>
            <w:tcW w:w="1336" w:type="dxa"/>
          </w:tcPr>
          <w:p>
            <w:pPr>
              <w:rPr>
                <w:color w:val="auto"/>
                <w:highlight w:val="none"/>
              </w:rPr>
            </w:pPr>
          </w:p>
        </w:tc>
        <w:tc>
          <w:tcPr>
            <w:tcW w:w="1336" w:type="dxa"/>
          </w:tcPr>
          <w:p>
            <w:pPr>
              <w:rPr>
                <w:color w:val="auto"/>
                <w:highlight w:val="none"/>
              </w:rPr>
            </w:pPr>
          </w:p>
        </w:tc>
        <w:tc>
          <w:tcPr>
            <w:tcW w:w="641"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tcPr>
          <w:p>
            <w:pPr>
              <w:rPr>
                <w:color w:val="auto"/>
                <w:highlight w:val="none"/>
              </w:rPr>
            </w:pPr>
          </w:p>
        </w:tc>
        <w:tc>
          <w:tcPr>
            <w:tcW w:w="1539" w:type="dxa"/>
          </w:tcPr>
          <w:p>
            <w:pPr>
              <w:rPr>
                <w:color w:val="auto"/>
                <w:highlight w:val="none"/>
              </w:rPr>
            </w:pPr>
          </w:p>
        </w:tc>
        <w:tc>
          <w:tcPr>
            <w:tcW w:w="851" w:type="dxa"/>
          </w:tcPr>
          <w:p>
            <w:pPr>
              <w:rPr>
                <w:color w:val="auto"/>
                <w:highlight w:val="none"/>
              </w:rPr>
            </w:pPr>
          </w:p>
        </w:tc>
        <w:tc>
          <w:tcPr>
            <w:tcW w:w="709" w:type="dxa"/>
          </w:tcPr>
          <w:p>
            <w:pPr>
              <w:rPr>
                <w:color w:val="auto"/>
                <w:highlight w:val="none"/>
              </w:rPr>
            </w:pPr>
          </w:p>
        </w:tc>
        <w:tc>
          <w:tcPr>
            <w:tcW w:w="992" w:type="dxa"/>
          </w:tcPr>
          <w:p>
            <w:pPr>
              <w:rPr>
                <w:color w:val="auto"/>
                <w:highlight w:val="none"/>
              </w:rPr>
            </w:pPr>
          </w:p>
        </w:tc>
        <w:tc>
          <w:tcPr>
            <w:tcW w:w="1336" w:type="dxa"/>
          </w:tcPr>
          <w:p>
            <w:pPr>
              <w:rPr>
                <w:color w:val="auto"/>
                <w:highlight w:val="none"/>
              </w:rPr>
            </w:pPr>
          </w:p>
        </w:tc>
        <w:tc>
          <w:tcPr>
            <w:tcW w:w="1336" w:type="dxa"/>
          </w:tcPr>
          <w:p>
            <w:pPr>
              <w:rPr>
                <w:color w:val="auto"/>
                <w:highlight w:val="none"/>
              </w:rPr>
            </w:pPr>
          </w:p>
        </w:tc>
        <w:tc>
          <w:tcPr>
            <w:tcW w:w="1336" w:type="dxa"/>
          </w:tcPr>
          <w:p>
            <w:pPr>
              <w:rPr>
                <w:color w:val="auto"/>
                <w:highlight w:val="none"/>
              </w:rPr>
            </w:pPr>
          </w:p>
        </w:tc>
        <w:tc>
          <w:tcPr>
            <w:tcW w:w="641"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0" w:hRule="atLeast"/>
        </w:trPr>
        <w:tc>
          <w:tcPr>
            <w:tcW w:w="840" w:type="dxa"/>
          </w:tcPr>
          <w:p>
            <w:pPr>
              <w:rPr>
                <w:color w:val="auto"/>
                <w:highlight w:val="none"/>
              </w:rPr>
            </w:pPr>
          </w:p>
        </w:tc>
        <w:tc>
          <w:tcPr>
            <w:tcW w:w="1539" w:type="dxa"/>
          </w:tcPr>
          <w:p>
            <w:pPr>
              <w:rPr>
                <w:color w:val="auto"/>
                <w:highlight w:val="none"/>
              </w:rPr>
            </w:pPr>
          </w:p>
        </w:tc>
        <w:tc>
          <w:tcPr>
            <w:tcW w:w="851" w:type="dxa"/>
          </w:tcPr>
          <w:p>
            <w:pPr>
              <w:rPr>
                <w:color w:val="auto"/>
                <w:highlight w:val="none"/>
              </w:rPr>
            </w:pPr>
          </w:p>
        </w:tc>
        <w:tc>
          <w:tcPr>
            <w:tcW w:w="709" w:type="dxa"/>
          </w:tcPr>
          <w:p>
            <w:pPr>
              <w:rPr>
                <w:color w:val="auto"/>
                <w:highlight w:val="none"/>
              </w:rPr>
            </w:pPr>
          </w:p>
        </w:tc>
        <w:tc>
          <w:tcPr>
            <w:tcW w:w="992" w:type="dxa"/>
          </w:tcPr>
          <w:p>
            <w:pPr>
              <w:rPr>
                <w:color w:val="auto"/>
                <w:highlight w:val="none"/>
              </w:rPr>
            </w:pPr>
          </w:p>
        </w:tc>
        <w:tc>
          <w:tcPr>
            <w:tcW w:w="1336" w:type="dxa"/>
          </w:tcPr>
          <w:p>
            <w:pPr>
              <w:rPr>
                <w:color w:val="auto"/>
                <w:highlight w:val="none"/>
              </w:rPr>
            </w:pPr>
          </w:p>
        </w:tc>
        <w:tc>
          <w:tcPr>
            <w:tcW w:w="1336" w:type="dxa"/>
          </w:tcPr>
          <w:p>
            <w:pPr>
              <w:rPr>
                <w:color w:val="auto"/>
                <w:highlight w:val="none"/>
              </w:rPr>
            </w:pPr>
          </w:p>
        </w:tc>
        <w:tc>
          <w:tcPr>
            <w:tcW w:w="1336" w:type="dxa"/>
          </w:tcPr>
          <w:p>
            <w:pPr>
              <w:rPr>
                <w:color w:val="auto"/>
                <w:highlight w:val="none"/>
              </w:rPr>
            </w:pPr>
          </w:p>
        </w:tc>
        <w:tc>
          <w:tcPr>
            <w:tcW w:w="641"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tcPr>
          <w:p>
            <w:pPr>
              <w:rPr>
                <w:color w:val="auto"/>
                <w:highlight w:val="none"/>
              </w:rPr>
            </w:pPr>
          </w:p>
        </w:tc>
        <w:tc>
          <w:tcPr>
            <w:tcW w:w="1539" w:type="dxa"/>
          </w:tcPr>
          <w:p>
            <w:pPr>
              <w:rPr>
                <w:color w:val="auto"/>
                <w:highlight w:val="none"/>
              </w:rPr>
            </w:pPr>
          </w:p>
        </w:tc>
        <w:tc>
          <w:tcPr>
            <w:tcW w:w="851" w:type="dxa"/>
          </w:tcPr>
          <w:p>
            <w:pPr>
              <w:rPr>
                <w:color w:val="auto"/>
                <w:highlight w:val="none"/>
              </w:rPr>
            </w:pPr>
          </w:p>
        </w:tc>
        <w:tc>
          <w:tcPr>
            <w:tcW w:w="709" w:type="dxa"/>
          </w:tcPr>
          <w:p>
            <w:pPr>
              <w:rPr>
                <w:color w:val="auto"/>
                <w:highlight w:val="none"/>
              </w:rPr>
            </w:pPr>
          </w:p>
        </w:tc>
        <w:tc>
          <w:tcPr>
            <w:tcW w:w="992" w:type="dxa"/>
          </w:tcPr>
          <w:p>
            <w:pPr>
              <w:rPr>
                <w:color w:val="auto"/>
                <w:highlight w:val="none"/>
              </w:rPr>
            </w:pPr>
          </w:p>
        </w:tc>
        <w:tc>
          <w:tcPr>
            <w:tcW w:w="1336" w:type="dxa"/>
          </w:tcPr>
          <w:p>
            <w:pPr>
              <w:rPr>
                <w:color w:val="auto"/>
                <w:highlight w:val="none"/>
              </w:rPr>
            </w:pPr>
          </w:p>
        </w:tc>
        <w:tc>
          <w:tcPr>
            <w:tcW w:w="1336" w:type="dxa"/>
          </w:tcPr>
          <w:p>
            <w:pPr>
              <w:rPr>
                <w:color w:val="auto"/>
                <w:highlight w:val="none"/>
              </w:rPr>
            </w:pPr>
          </w:p>
        </w:tc>
        <w:tc>
          <w:tcPr>
            <w:tcW w:w="1336" w:type="dxa"/>
          </w:tcPr>
          <w:p>
            <w:pPr>
              <w:rPr>
                <w:color w:val="auto"/>
                <w:highlight w:val="none"/>
              </w:rPr>
            </w:pPr>
          </w:p>
        </w:tc>
        <w:tc>
          <w:tcPr>
            <w:tcW w:w="641"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tcPr>
          <w:p>
            <w:pPr>
              <w:rPr>
                <w:color w:val="auto"/>
                <w:highlight w:val="none"/>
              </w:rPr>
            </w:pPr>
          </w:p>
        </w:tc>
        <w:tc>
          <w:tcPr>
            <w:tcW w:w="1539" w:type="dxa"/>
          </w:tcPr>
          <w:p>
            <w:pPr>
              <w:rPr>
                <w:color w:val="auto"/>
                <w:highlight w:val="none"/>
              </w:rPr>
            </w:pPr>
          </w:p>
        </w:tc>
        <w:tc>
          <w:tcPr>
            <w:tcW w:w="851" w:type="dxa"/>
          </w:tcPr>
          <w:p>
            <w:pPr>
              <w:rPr>
                <w:color w:val="auto"/>
                <w:highlight w:val="none"/>
              </w:rPr>
            </w:pPr>
          </w:p>
        </w:tc>
        <w:tc>
          <w:tcPr>
            <w:tcW w:w="709" w:type="dxa"/>
          </w:tcPr>
          <w:p>
            <w:pPr>
              <w:rPr>
                <w:color w:val="auto"/>
                <w:highlight w:val="none"/>
              </w:rPr>
            </w:pPr>
          </w:p>
        </w:tc>
        <w:tc>
          <w:tcPr>
            <w:tcW w:w="992" w:type="dxa"/>
          </w:tcPr>
          <w:p>
            <w:pPr>
              <w:rPr>
                <w:color w:val="auto"/>
                <w:highlight w:val="none"/>
              </w:rPr>
            </w:pPr>
          </w:p>
        </w:tc>
        <w:tc>
          <w:tcPr>
            <w:tcW w:w="1336" w:type="dxa"/>
          </w:tcPr>
          <w:p>
            <w:pPr>
              <w:rPr>
                <w:color w:val="auto"/>
                <w:highlight w:val="none"/>
              </w:rPr>
            </w:pPr>
          </w:p>
        </w:tc>
        <w:tc>
          <w:tcPr>
            <w:tcW w:w="1336" w:type="dxa"/>
          </w:tcPr>
          <w:p>
            <w:pPr>
              <w:rPr>
                <w:color w:val="auto"/>
                <w:highlight w:val="none"/>
              </w:rPr>
            </w:pPr>
          </w:p>
        </w:tc>
        <w:tc>
          <w:tcPr>
            <w:tcW w:w="1336" w:type="dxa"/>
          </w:tcPr>
          <w:p>
            <w:pPr>
              <w:rPr>
                <w:color w:val="auto"/>
                <w:highlight w:val="none"/>
              </w:rPr>
            </w:pPr>
          </w:p>
        </w:tc>
        <w:tc>
          <w:tcPr>
            <w:tcW w:w="641"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40" w:type="dxa"/>
          </w:tcPr>
          <w:p>
            <w:pPr>
              <w:rPr>
                <w:color w:val="auto"/>
                <w:highlight w:val="none"/>
              </w:rPr>
            </w:pPr>
          </w:p>
        </w:tc>
        <w:tc>
          <w:tcPr>
            <w:tcW w:w="1539" w:type="dxa"/>
          </w:tcPr>
          <w:p>
            <w:pPr>
              <w:rPr>
                <w:color w:val="auto"/>
                <w:highlight w:val="none"/>
              </w:rPr>
            </w:pPr>
          </w:p>
        </w:tc>
        <w:tc>
          <w:tcPr>
            <w:tcW w:w="851" w:type="dxa"/>
          </w:tcPr>
          <w:p>
            <w:pPr>
              <w:rPr>
                <w:color w:val="auto"/>
                <w:highlight w:val="none"/>
              </w:rPr>
            </w:pPr>
          </w:p>
        </w:tc>
        <w:tc>
          <w:tcPr>
            <w:tcW w:w="709" w:type="dxa"/>
          </w:tcPr>
          <w:p>
            <w:pPr>
              <w:rPr>
                <w:color w:val="auto"/>
                <w:highlight w:val="none"/>
              </w:rPr>
            </w:pPr>
          </w:p>
        </w:tc>
        <w:tc>
          <w:tcPr>
            <w:tcW w:w="992" w:type="dxa"/>
          </w:tcPr>
          <w:p>
            <w:pPr>
              <w:rPr>
                <w:color w:val="auto"/>
                <w:highlight w:val="none"/>
              </w:rPr>
            </w:pPr>
          </w:p>
        </w:tc>
        <w:tc>
          <w:tcPr>
            <w:tcW w:w="1336" w:type="dxa"/>
          </w:tcPr>
          <w:p>
            <w:pPr>
              <w:rPr>
                <w:color w:val="auto"/>
                <w:highlight w:val="none"/>
              </w:rPr>
            </w:pPr>
          </w:p>
        </w:tc>
        <w:tc>
          <w:tcPr>
            <w:tcW w:w="1336" w:type="dxa"/>
          </w:tcPr>
          <w:p>
            <w:pPr>
              <w:rPr>
                <w:color w:val="auto"/>
                <w:highlight w:val="none"/>
              </w:rPr>
            </w:pPr>
          </w:p>
        </w:tc>
        <w:tc>
          <w:tcPr>
            <w:tcW w:w="1336" w:type="dxa"/>
          </w:tcPr>
          <w:p>
            <w:pPr>
              <w:rPr>
                <w:color w:val="auto"/>
                <w:highlight w:val="none"/>
              </w:rPr>
            </w:pPr>
          </w:p>
        </w:tc>
        <w:tc>
          <w:tcPr>
            <w:tcW w:w="641"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0" w:hRule="atLeast"/>
        </w:trPr>
        <w:tc>
          <w:tcPr>
            <w:tcW w:w="840" w:type="dxa"/>
          </w:tcPr>
          <w:p>
            <w:pPr>
              <w:rPr>
                <w:color w:val="auto"/>
                <w:highlight w:val="none"/>
              </w:rPr>
            </w:pPr>
          </w:p>
        </w:tc>
        <w:tc>
          <w:tcPr>
            <w:tcW w:w="1539" w:type="dxa"/>
          </w:tcPr>
          <w:p>
            <w:pPr>
              <w:rPr>
                <w:color w:val="auto"/>
                <w:highlight w:val="none"/>
              </w:rPr>
            </w:pPr>
          </w:p>
        </w:tc>
        <w:tc>
          <w:tcPr>
            <w:tcW w:w="851" w:type="dxa"/>
          </w:tcPr>
          <w:p>
            <w:pPr>
              <w:rPr>
                <w:color w:val="auto"/>
                <w:highlight w:val="none"/>
              </w:rPr>
            </w:pPr>
          </w:p>
        </w:tc>
        <w:tc>
          <w:tcPr>
            <w:tcW w:w="709" w:type="dxa"/>
          </w:tcPr>
          <w:p>
            <w:pPr>
              <w:rPr>
                <w:color w:val="auto"/>
                <w:highlight w:val="none"/>
              </w:rPr>
            </w:pPr>
          </w:p>
        </w:tc>
        <w:tc>
          <w:tcPr>
            <w:tcW w:w="992" w:type="dxa"/>
          </w:tcPr>
          <w:p>
            <w:pPr>
              <w:rPr>
                <w:color w:val="auto"/>
                <w:highlight w:val="none"/>
              </w:rPr>
            </w:pPr>
          </w:p>
        </w:tc>
        <w:tc>
          <w:tcPr>
            <w:tcW w:w="1336" w:type="dxa"/>
          </w:tcPr>
          <w:p>
            <w:pPr>
              <w:rPr>
                <w:color w:val="auto"/>
                <w:highlight w:val="none"/>
              </w:rPr>
            </w:pPr>
          </w:p>
        </w:tc>
        <w:tc>
          <w:tcPr>
            <w:tcW w:w="1336" w:type="dxa"/>
          </w:tcPr>
          <w:p>
            <w:pPr>
              <w:rPr>
                <w:color w:val="auto"/>
                <w:highlight w:val="none"/>
              </w:rPr>
            </w:pPr>
          </w:p>
        </w:tc>
        <w:tc>
          <w:tcPr>
            <w:tcW w:w="1336" w:type="dxa"/>
          </w:tcPr>
          <w:p>
            <w:pPr>
              <w:rPr>
                <w:color w:val="auto"/>
                <w:highlight w:val="none"/>
              </w:rPr>
            </w:pPr>
          </w:p>
        </w:tc>
        <w:tc>
          <w:tcPr>
            <w:tcW w:w="641"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tcPr>
          <w:p>
            <w:pPr>
              <w:rPr>
                <w:color w:val="auto"/>
                <w:highlight w:val="none"/>
              </w:rPr>
            </w:pPr>
          </w:p>
        </w:tc>
        <w:tc>
          <w:tcPr>
            <w:tcW w:w="1539" w:type="dxa"/>
          </w:tcPr>
          <w:p>
            <w:pPr>
              <w:rPr>
                <w:color w:val="auto"/>
                <w:highlight w:val="none"/>
              </w:rPr>
            </w:pPr>
          </w:p>
        </w:tc>
        <w:tc>
          <w:tcPr>
            <w:tcW w:w="851" w:type="dxa"/>
          </w:tcPr>
          <w:p>
            <w:pPr>
              <w:rPr>
                <w:color w:val="auto"/>
                <w:highlight w:val="none"/>
              </w:rPr>
            </w:pPr>
          </w:p>
        </w:tc>
        <w:tc>
          <w:tcPr>
            <w:tcW w:w="709" w:type="dxa"/>
          </w:tcPr>
          <w:p>
            <w:pPr>
              <w:rPr>
                <w:color w:val="auto"/>
                <w:highlight w:val="none"/>
              </w:rPr>
            </w:pPr>
          </w:p>
        </w:tc>
        <w:tc>
          <w:tcPr>
            <w:tcW w:w="992" w:type="dxa"/>
          </w:tcPr>
          <w:p>
            <w:pPr>
              <w:rPr>
                <w:color w:val="auto"/>
                <w:highlight w:val="none"/>
              </w:rPr>
            </w:pPr>
          </w:p>
        </w:tc>
        <w:tc>
          <w:tcPr>
            <w:tcW w:w="1336" w:type="dxa"/>
          </w:tcPr>
          <w:p>
            <w:pPr>
              <w:rPr>
                <w:color w:val="auto"/>
                <w:highlight w:val="none"/>
              </w:rPr>
            </w:pPr>
          </w:p>
        </w:tc>
        <w:tc>
          <w:tcPr>
            <w:tcW w:w="1336" w:type="dxa"/>
          </w:tcPr>
          <w:p>
            <w:pPr>
              <w:rPr>
                <w:color w:val="auto"/>
                <w:highlight w:val="none"/>
              </w:rPr>
            </w:pPr>
          </w:p>
        </w:tc>
        <w:tc>
          <w:tcPr>
            <w:tcW w:w="1336" w:type="dxa"/>
          </w:tcPr>
          <w:p>
            <w:pPr>
              <w:rPr>
                <w:color w:val="auto"/>
                <w:highlight w:val="none"/>
              </w:rPr>
            </w:pPr>
          </w:p>
        </w:tc>
        <w:tc>
          <w:tcPr>
            <w:tcW w:w="641"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tcPr>
          <w:p>
            <w:pPr>
              <w:rPr>
                <w:color w:val="auto"/>
                <w:highlight w:val="none"/>
              </w:rPr>
            </w:pPr>
          </w:p>
        </w:tc>
        <w:tc>
          <w:tcPr>
            <w:tcW w:w="1539" w:type="dxa"/>
          </w:tcPr>
          <w:p>
            <w:pPr>
              <w:rPr>
                <w:color w:val="auto"/>
                <w:highlight w:val="none"/>
              </w:rPr>
            </w:pPr>
          </w:p>
        </w:tc>
        <w:tc>
          <w:tcPr>
            <w:tcW w:w="851" w:type="dxa"/>
          </w:tcPr>
          <w:p>
            <w:pPr>
              <w:rPr>
                <w:color w:val="auto"/>
                <w:highlight w:val="none"/>
              </w:rPr>
            </w:pPr>
          </w:p>
        </w:tc>
        <w:tc>
          <w:tcPr>
            <w:tcW w:w="709" w:type="dxa"/>
          </w:tcPr>
          <w:p>
            <w:pPr>
              <w:rPr>
                <w:color w:val="auto"/>
                <w:highlight w:val="none"/>
              </w:rPr>
            </w:pPr>
          </w:p>
        </w:tc>
        <w:tc>
          <w:tcPr>
            <w:tcW w:w="992" w:type="dxa"/>
          </w:tcPr>
          <w:p>
            <w:pPr>
              <w:rPr>
                <w:color w:val="auto"/>
                <w:highlight w:val="none"/>
              </w:rPr>
            </w:pPr>
          </w:p>
        </w:tc>
        <w:tc>
          <w:tcPr>
            <w:tcW w:w="1336" w:type="dxa"/>
          </w:tcPr>
          <w:p>
            <w:pPr>
              <w:rPr>
                <w:color w:val="auto"/>
                <w:highlight w:val="none"/>
              </w:rPr>
            </w:pPr>
          </w:p>
        </w:tc>
        <w:tc>
          <w:tcPr>
            <w:tcW w:w="1336" w:type="dxa"/>
          </w:tcPr>
          <w:p>
            <w:pPr>
              <w:rPr>
                <w:color w:val="auto"/>
                <w:highlight w:val="none"/>
              </w:rPr>
            </w:pPr>
          </w:p>
        </w:tc>
        <w:tc>
          <w:tcPr>
            <w:tcW w:w="1336" w:type="dxa"/>
          </w:tcPr>
          <w:p>
            <w:pPr>
              <w:rPr>
                <w:color w:val="auto"/>
                <w:highlight w:val="none"/>
              </w:rPr>
            </w:pPr>
          </w:p>
        </w:tc>
        <w:tc>
          <w:tcPr>
            <w:tcW w:w="641"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tcPr>
          <w:p>
            <w:pPr>
              <w:rPr>
                <w:color w:val="auto"/>
                <w:highlight w:val="none"/>
              </w:rPr>
            </w:pPr>
          </w:p>
        </w:tc>
        <w:tc>
          <w:tcPr>
            <w:tcW w:w="1539" w:type="dxa"/>
          </w:tcPr>
          <w:p>
            <w:pPr>
              <w:rPr>
                <w:color w:val="auto"/>
                <w:highlight w:val="none"/>
              </w:rPr>
            </w:pPr>
          </w:p>
        </w:tc>
        <w:tc>
          <w:tcPr>
            <w:tcW w:w="851" w:type="dxa"/>
          </w:tcPr>
          <w:p>
            <w:pPr>
              <w:rPr>
                <w:color w:val="auto"/>
                <w:highlight w:val="none"/>
              </w:rPr>
            </w:pPr>
          </w:p>
        </w:tc>
        <w:tc>
          <w:tcPr>
            <w:tcW w:w="709" w:type="dxa"/>
          </w:tcPr>
          <w:p>
            <w:pPr>
              <w:rPr>
                <w:color w:val="auto"/>
                <w:highlight w:val="none"/>
              </w:rPr>
            </w:pPr>
          </w:p>
        </w:tc>
        <w:tc>
          <w:tcPr>
            <w:tcW w:w="992" w:type="dxa"/>
          </w:tcPr>
          <w:p>
            <w:pPr>
              <w:rPr>
                <w:color w:val="auto"/>
                <w:highlight w:val="none"/>
              </w:rPr>
            </w:pPr>
          </w:p>
        </w:tc>
        <w:tc>
          <w:tcPr>
            <w:tcW w:w="1336" w:type="dxa"/>
          </w:tcPr>
          <w:p>
            <w:pPr>
              <w:rPr>
                <w:color w:val="auto"/>
                <w:highlight w:val="none"/>
              </w:rPr>
            </w:pPr>
          </w:p>
        </w:tc>
        <w:tc>
          <w:tcPr>
            <w:tcW w:w="1336" w:type="dxa"/>
          </w:tcPr>
          <w:p>
            <w:pPr>
              <w:rPr>
                <w:color w:val="auto"/>
                <w:highlight w:val="none"/>
              </w:rPr>
            </w:pPr>
          </w:p>
        </w:tc>
        <w:tc>
          <w:tcPr>
            <w:tcW w:w="1336" w:type="dxa"/>
          </w:tcPr>
          <w:p>
            <w:pPr>
              <w:rPr>
                <w:color w:val="auto"/>
                <w:highlight w:val="none"/>
              </w:rPr>
            </w:pPr>
          </w:p>
        </w:tc>
        <w:tc>
          <w:tcPr>
            <w:tcW w:w="641"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tcPr>
          <w:p>
            <w:pPr>
              <w:rPr>
                <w:color w:val="auto"/>
                <w:highlight w:val="none"/>
              </w:rPr>
            </w:pPr>
          </w:p>
        </w:tc>
        <w:tc>
          <w:tcPr>
            <w:tcW w:w="1539" w:type="dxa"/>
          </w:tcPr>
          <w:p>
            <w:pPr>
              <w:rPr>
                <w:color w:val="auto"/>
                <w:highlight w:val="none"/>
              </w:rPr>
            </w:pPr>
          </w:p>
        </w:tc>
        <w:tc>
          <w:tcPr>
            <w:tcW w:w="851" w:type="dxa"/>
          </w:tcPr>
          <w:p>
            <w:pPr>
              <w:rPr>
                <w:color w:val="auto"/>
                <w:highlight w:val="none"/>
              </w:rPr>
            </w:pPr>
          </w:p>
        </w:tc>
        <w:tc>
          <w:tcPr>
            <w:tcW w:w="709" w:type="dxa"/>
          </w:tcPr>
          <w:p>
            <w:pPr>
              <w:rPr>
                <w:color w:val="auto"/>
                <w:highlight w:val="none"/>
              </w:rPr>
            </w:pPr>
          </w:p>
        </w:tc>
        <w:tc>
          <w:tcPr>
            <w:tcW w:w="992" w:type="dxa"/>
          </w:tcPr>
          <w:p>
            <w:pPr>
              <w:rPr>
                <w:color w:val="auto"/>
                <w:highlight w:val="none"/>
              </w:rPr>
            </w:pPr>
          </w:p>
        </w:tc>
        <w:tc>
          <w:tcPr>
            <w:tcW w:w="1336" w:type="dxa"/>
          </w:tcPr>
          <w:p>
            <w:pPr>
              <w:rPr>
                <w:color w:val="auto"/>
                <w:highlight w:val="none"/>
              </w:rPr>
            </w:pPr>
          </w:p>
        </w:tc>
        <w:tc>
          <w:tcPr>
            <w:tcW w:w="1336" w:type="dxa"/>
          </w:tcPr>
          <w:p>
            <w:pPr>
              <w:rPr>
                <w:color w:val="auto"/>
                <w:highlight w:val="none"/>
              </w:rPr>
            </w:pPr>
          </w:p>
        </w:tc>
        <w:tc>
          <w:tcPr>
            <w:tcW w:w="1336" w:type="dxa"/>
          </w:tcPr>
          <w:p>
            <w:pPr>
              <w:rPr>
                <w:color w:val="auto"/>
                <w:highlight w:val="none"/>
              </w:rPr>
            </w:pPr>
          </w:p>
        </w:tc>
        <w:tc>
          <w:tcPr>
            <w:tcW w:w="641"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tcPr>
          <w:p>
            <w:pPr>
              <w:rPr>
                <w:color w:val="auto"/>
                <w:highlight w:val="none"/>
              </w:rPr>
            </w:pPr>
          </w:p>
        </w:tc>
        <w:tc>
          <w:tcPr>
            <w:tcW w:w="1539" w:type="dxa"/>
          </w:tcPr>
          <w:p>
            <w:pPr>
              <w:rPr>
                <w:color w:val="auto"/>
                <w:highlight w:val="none"/>
              </w:rPr>
            </w:pPr>
          </w:p>
        </w:tc>
        <w:tc>
          <w:tcPr>
            <w:tcW w:w="851" w:type="dxa"/>
          </w:tcPr>
          <w:p>
            <w:pPr>
              <w:rPr>
                <w:color w:val="auto"/>
                <w:highlight w:val="none"/>
              </w:rPr>
            </w:pPr>
          </w:p>
        </w:tc>
        <w:tc>
          <w:tcPr>
            <w:tcW w:w="709" w:type="dxa"/>
          </w:tcPr>
          <w:p>
            <w:pPr>
              <w:rPr>
                <w:color w:val="auto"/>
                <w:highlight w:val="none"/>
              </w:rPr>
            </w:pPr>
          </w:p>
        </w:tc>
        <w:tc>
          <w:tcPr>
            <w:tcW w:w="992" w:type="dxa"/>
          </w:tcPr>
          <w:p>
            <w:pPr>
              <w:rPr>
                <w:color w:val="auto"/>
                <w:highlight w:val="none"/>
              </w:rPr>
            </w:pPr>
          </w:p>
        </w:tc>
        <w:tc>
          <w:tcPr>
            <w:tcW w:w="1336" w:type="dxa"/>
          </w:tcPr>
          <w:p>
            <w:pPr>
              <w:rPr>
                <w:color w:val="auto"/>
                <w:highlight w:val="none"/>
              </w:rPr>
            </w:pPr>
          </w:p>
        </w:tc>
        <w:tc>
          <w:tcPr>
            <w:tcW w:w="1336" w:type="dxa"/>
          </w:tcPr>
          <w:p>
            <w:pPr>
              <w:rPr>
                <w:color w:val="auto"/>
                <w:highlight w:val="none"/>
              </w:rPr>
            </w:pPr>
          </w:p>
        </w:tc>
        <w:tc>
          <w:tcPr>
            <w:tcW w:w="1336" w:type="dxa"/>
          </w:tcPr>
          <w:p>
            <w:pPr>
              <w:rPr>
                <w:color w:val="auto"/>
                <w:highlight w:val="none"/>
              </w:rPr>
            </w:pPr>
          </w:p>
        </w:tc>
        <w:tc>
          <w:tcPr>
            <w:tcW w:w="641"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40" w:type="dxa"/>
          </w:tcPr>
          <w:p>
            <w:pPr>
              <w:rPr>
                <w:color w:val="auto"/>
                <w:highlight w:val="none"/>
              </w:rPr>
            </w:pPr>
          </w:p>
        </w:tc>
        <w:tc>
          <w:tcPr>
            <w:tcW w:w="1539" w:type="dxa"/>
          </w:tcPr>
          <w:p>
            <w:pPr>
              <w:rPr>
                <w:color w:val="auto"/>
                <w:highlight w:val="none"/>
              </w:rPr>
            </w:pPr>
          </w:p>
        </w:tc>
        <w:tc>
          <w:tcPr>
            <w:tcW w:w="851" w:type="dxa"/>
          </w:tcPr>
          <w:p>
            <w:pPr>
              <w:rPr>
                <w:color w:val="auto"/>
                <w:highlight w:val="none"/>
              </w:rPr>
            </w:pPr>
          </w:p>
        </w:tc>
        <w:tc>
          <w:tcPr>
            <w:tcW w:w="709" w:type="dxa"/>
          </w:tcPr>
          <w:p>
            <w:pPr>
              <w:rPr>
                <w:color w:val="auto"/>
                <w:highlight w:val="none"/>
              </w:rPr>
            </w:pPr>
          </w:p>
        </w:tc>
        <w:tc>
          <w:tcPr>
            <w:tcW w:w="992" w:type="dxa"/>
          </w:tcPr>
          <w:p>
            <w:pPr>
              <w:rPr>
                <w:color w:val="auto"/>
                <w:highlight w:val="none"/>
              </w:rPr>
            </w:pPr>
          </w:p>
        </w:tc>
        <w:tc>
          <w:tcPr>
            <w:tcW w:w="1336" w:type="dxa"/>
          </w:tcPr>
          <w:p>
            <w:pPr>
              <w:rPr>
                <w:color w:val="auto"/>
                <w:highlight w:val="none"/>
              </w:rPr>
            </w:pPr>
          </w:p>
        </w:tc>
        <w:tc>
          <w:tcPr>
            <w:tcW w:w="1336" w:type="dxa"/>
          </w:tcPr>
          <w:p>
            <w:pPr>
              <w:rPr>
                <w:color w:val="auto"/>
                <w:highlight w:val="none"/>
              </w:rPr>
            </w:pPr>
          </w:p>
        </w:tc>
        <w:tc>
          <w:tcPr>
            <w:tcW w:w="1336" w:type="dxa"/>
          </w:tcPr>
          <w:p>
            <w:pPr>
              <w:rPr>
                <w:color w:val="auto"/>
                <w:highlight w:val="none"/>
              </w:rPr>
            </w:pPr>
          </w:p>
        </w:tc>
        <w:tc>
          <w:tcPr>
            <w:tcW w:w="641"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tcPr>
          <w:p>
            <w:pPr>
              <w:rPr>
                <w:color w:val="auto"/>
                <w:highlight w:val="none"/>
              </w:rPr>
            </w:pPr>
          </w:p>
        </w:tc>
        <w:tc>
          <w:tcPr>
            <w:tcW w:w="1539" w:type="dxa"/>
          </w:tcPr>
          <w:p>
            <w:pPr>
              <w:rPr>
                <w:color w:val="auto"/>
                <w:highlight w:val="none"/>
              </w:rPr>
            </w:pPr>
          </w:p>
        </w:tc>
        <w:tc>
          <w:tcPr>
            <w:tcW w:w="851" w:type="dxa"/>
          </w:tcPr>
          <w:p>
            <w:pPr>
              <w:rPr>
                <w:color w:val="auto"/>
                <w:highlight w:val="none"/>
              </w:rPr>
            </w:pPr>
          </w:p>
        </w:tc>
        <w:tc>
          <w:tcPr>
            <w:tcW w:w="709" w:type="dxa"/>
          </w:tcPr>
          <w:p>
            <w:pPr>
              <w:rPr>
                <w:color w:val="auto"/>
                <w:highlight w:val="none"/>
              </w:rPr>
            </w:pPr>
          </w:p>
        </w:tc>
        <w:tc>
          <w:tcPr>
            <w:tcW w:w="992" w:type="dxa"/>
          </w:tcPr>
          <w:p>
            <w:pPr>
              <w:rPr>
                <w:color w:val="auto"/>
                <w:highlight w:val="none"/>
              </w:rPr>
            </w:pPr>
          </w:p>
        </w:tc>
        <w:tc>
          <w:tcPr>
            <w:tcW w:w="1336" w:type="dxa"/>
          </w:tcPr>
          <w:p>
            <w:pPr>
              <w:rPr>
                <w:color w:val="auto"/>
                <w:highlight w:val="none"/>
              </w:rPr>
            </w:pPr>
          </w:p>
        </w:tc>
        <w:tc>
          <w:tcPr>
            <w:tcW w:w="1336" w:type="dxa"/>
          </w:tcPr>
          <w:p>
            <w:pPr>
              <w:rPr>
                <w:color w:val="auto"/>
                <w:highlight w:val="none"/>
              </w:rPr>
            </w:pPr>
          </w:p>
        </w:tc>
        <w:tc>
          <w:tcPr>
            <w:tcW w:w="1336" w:type="dxa"/>
          </w:tcPr>
          <w:p>
            <w:pPr>
              <w:rPr>
                <w:color w:val="auto"/>
                <w:highlight w:val="none"/>
              </w:rPr>
            </w:pPr>
          </w:p>
        </w:tc>
        <w:tc>
          <w:tcPr>
            <w:tcW w:w="641"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840" w:type="dxa"/>
          </w:tcPr>
          <w:p>
            <w:pPr>
              <w:rPr>
                <w:color w:val="auto"/>
                <w:highlight w:val="none"/>
              </w:rPr>
            </w:pPr>
          </w:p>
        </w:tc>
        <w:tc>
          <w:tcPr>
            <w:tcW w:w="1539" w:type="dxa"/>
          </w:tcPr>
          <w:p>
            <w:pPr>
              <w:rPr>
                <w:color w:val="auto"/>
                <w:highlight w:val="none"/>
              </w:rPr>
            </w:pPr>
          </w:p>
        </w:tc>
        <w:tc>
          <w:tcPr>
            <w:tcW w:w="851" w:type="dxa"/>
          </w:tcPr>
          <w:p>
            <w:pPr>
              <w:rPr>
                <w:color w:val="auto"/>
                <w:highlight w:val="none"/>
              </w:rPr>
            </w:pPr>
          </w:p>
        </w:tc>
        <w:tc>
          <w:tcPr>
            <w:tcW w:w="709" w:type="dxa"/>
          </w:tcPr>
          <w:p>
            <w:pPr>
              <w:rPr>
                <w:color w:val="auto"/>
                <w:highlight w:val="none"/>
              </w:rPr>
            </w:pPr>
          </w:p>
        </w:tc>
        <w:tc>
          <w:tcPr>
            <w:tcW w:w="992" w:type="dxa"/>
          </w:tcPr>
          <w:p>
            <w:pPr>
              <w:rPr>
                <w:color w:val="auto"/>
                <w:highlight w:val="none"/>
              </w:rPr>
            </w:pPr>
          </w:p>
        </w:tc>
        <w:tc>
          <w:tcPr>
            <w:tcW w:w="1336" w:type="dxa"/>
          </w:tcPr>
          <w:p>
            <w:pPr>
              <w:rPr>
                <w:color w:val="auto"/>
                <w:highlight w:val="none"/>
              </w:rPr>
            </w:pPr>
          </w:p>
        </w:tc>
        <w:tc>
          <w:tcPr>
            <w:tcW w:w="1336" w:type="dxa"/>
          </w:tcPr>
          <w:p>
            <w:pPr>
              <w:rPr>
                <w:color w:val="auto"/>
                <w:highlight w:val="none"/>
              </w:rPr>
            </w:pPr>
          </w:p>
        </w:tc>
        <w:tc>
          <w:tcPr>
            <w:tcW w:w="1336" w:type="dxa"/>
          </w:tcPr>
          <w:p>
            <w:pPr>
              <w:rPr>
                <w:color w:val="auto"/>
                <w:highlight w:val="none"/>
              </w:rPr>
            </w:pPr>
          </w:p>
        </w:tc>
        <w:tc>
          <w:tcPr>
            <w:tcW w:w="641" w:type="dxa"/>
          </w:tcPr>
          <w:p>
            <w:pPr>
              <w:rPr>
                <w:color w:val="auto"/>
                <w:highlight w:val="none"/>
              </w:rPr>
            </w:pPr>
          </w:p>
        </w:tc>
      </w:tr>
    </w:tbl>
    <w:p>
      <w:pPr>
        <w:pStyle w:val="5"/>
        <w:pageBreakBefore/>
        <w:outlineLvl w:val="1"/>
        <w:rPr>
          <w:color w:val="auto"/>
          <w:highlight w:val="none"/>
          <w:lang w:eastAsia="zh-CN"/>
        </w:rPr>
      </w:pPr>
      <w:r>
        <w:rPr>
          <w:color w:val="auto"/>
          <w:highlight w:val="none"/>
          <w:lang w:eastAsia="zh-CN"/>
        </w:rPr>
        <w:t>（七）主要人员简历表</w:t>
      </w:r>
    </w:p>
    <w:p>
      <w:pPr>
        <w:pStyle w:val="6"/>
        <w:rPr>
          <w:color w:val="auto"/>
          <w:highlight w:val="none"/>
        </w:rPr>
      </w:pPr>
      <w:r>
        <w:rPr>
          <w:color w:val="auto"/>
          <w:highlight w:val="none"/>
        </w:rPr>
        <w:t>主要人员简历表</w:t>
      </w:r>
    </w:p>
    <w:tbl>
      <w:tblPr>
        <w:tblStyle w:val="47"/>
        <w:tblW w:w="93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347"/>
        <w:gridCol w:w="1588"/>
        <w:gridCol w:w="1055"/>
        <w:gridCol w:w="157"/>
        <w:gridCol w:w="1250"/>
        <w:gridCol w:w="828"/>
        <w:gridCol w:w="1276"/>
        <w:gridCol w:w="108"/>
        <w:gridCol w:w="14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583" w:type="dxa"/>
            <w:gridSpan w:val="2"/>
          </w:tcPr>
          <w:p>
            <w:pPr>
              <w:pStyle w:val="48"/>
              <w:spacing w:before="197" w:line="219" w:lineRule="auto"/>
              <w:ind w:left="455"/>
              <w:rPr>
                <w:rFonts w:hint="eastAsia"/>
                <w:color w:val="auto"/>
                <w:highlight w:val="none"/>
              </w:rPr>
            </w:pPr>
            <w:r>
              <w:rPr>
                <w:color w:val="auto"/>
                <w:spacing w:val="-5"/>
                <w:highlight w:val="none"/>
              </w:rPr>
              <w:t>姓名</w:t>
            </w:r>
          </w:p>
        </w:tc>
        <w:tc>
          <w:tcPr>
            <w:tcW w:w="1588" w:type="dxa"/>
          </w:tcPr>
          <w:p>
            <w:pPr>
              <w:rPr>
                <w:color w:val="auto"/>
                <w:highlight w:val="none"/>
              </w:rPr>
            </w:pPr>
          </w:p>
        </w:tc>
        <w:tc>
          <w:tcPr>
            <w:tcW w:w="1055" w:type="dxa"/>
          </w:tcPr>
          <w:p>
            <w:pPr>
              <w:pStyle w:val="48"/>
              <w:spacing w:before="197" w:line="219" w:lineRule="auto"/>
              <w:ind w:left="247"/>
              <w:rPr>
                <w:rFonts w:hint="eastAsia"/>
                <w:color w:val="auto"/>
                <w:highlight w:val="none"/>
              </w:rPr>
            </w:pPr>
            <w:r>
              <w:rPr>
                <w:color w:val="auto"/>
                <w:spacing w:val="-6"/>
                <w:highlight w:val="none"/>
              </w:rPr>
              <w:t>年龄</w:t>
            </w:r>
          </w:p>
        </w:tc>
        <w:tc>
          <w:tcPr>
            <w:tcW w:w="1407" w:type="dxa"/>
            <w:gridSpan w:val="2"/>
          </w:tcPr>
          <w:p>
            <w:pPr>
              <w:rPr>
                <w:color w:val="auto"/>
                <w:highlight w:val="none"/>
              </w:rPr>
            </w:pPr>
          </w:p>
        </w:tc>
        <w:tc>
          <w:tcPr>
            <w:tcW w:w="2104" w:type="dxa"/>
            <w:gridSpan w:val="2"/>
          </w:tcPr>
          <w:p>
            <w:pPr>
              <w:pStyle w:val="48"/>
              <w:spacing w:before="40" w:line="224" w:lineRule="auto"/>
              <w:ind w:left="124" w:right="113" w:hanging="1"/>
              <w:rPr>
                <w:rFonts w:hint="eastAsia"/>
                <w:color w:val="auto"/>
                <w:highlight w:val="none"/>
                <w:lang w:eastAsia="zh-CN"/>
              </w:rPr>
            </w:pPr>
            <w:r>
              <w:rPr>
                <w:color w:val="auto"/>
                <w:spacing w:val="-2"/>
                <w:highlight w:val="none"/>
                <w:lang w:eastAsia="zh-CN"/>
              </w:rPr>
              <w:t>执业资格证书（或上岗证书）名称）</w:t>
            </w:r>
          </w:p>
        </w:tc>
        <w:tc>
          <w:tcPr>
            <w:tcW w:w="1584" w:type="dxa"/>
            <w:gridSpan w:val="2"/>
          </w:tcPr>
          <w:p>
            <w:pPr>
              <w:rPr>
                <w:color w:val="auto"/>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583" w:type="dxa"/>
            <w:gridSpan w:val="2"/>
          </w:tcPr>
          <w:p>
            <w:pPr>
              <w:pStyle w:val="48"/>
              <w:spacing w:before="152" w:line="221" w:lineRule="auto"/>
              <w:ind w:left="456"/>
              <w:rPr>
                <w:rFonts w:hint="eastAsia"/>
                <w:color w:val="auto"/>
                <w:highlight w:val="none"/>
              </w:rPr>
            </w:pPr>
            <w:r>
              <w:rPr>
                <w:color w:val="auto"/>
                <w:spacing w:val="-6"/>
                <w:highlight w:val="none"/>
              </w:rPr>
              <w:t>职称</w:t>
            </w:r>
          </w:p>
        </w:tc>
        <w:tc>
          <w:tcPr>
            <w:tcW w:w="1588" w:type="dxa"/>
          </w:tcPr>
          <w:p>
            <w:pPr>
              <w:rPr>
                <w:color w:val="auto"/>
                <w:highlight w:val="none"/>
              </w:rPr>
            </w:pPr>
          </w:p>
        </w:tc>
        <w:tc>
          <w:tcPr>
            <w:tcW w:w="1055" w:type="dxa"/>
          </w:tcPr>
          <w:p>
            <w:pPr>
              <w:pStyle w:val="48"/>
              <w:spacing w:before="151" w:line="221" w:lineRule="auto"/>
              <w:ind w:left="310"/>
              <w:rPr>
                <w:rFonts w:hint="eastAsia"/>
                <w:color w:val="auto"/>
                <w:highlight w:val="none"/>
              </w:rPr>
            </w:pPr>
            <w:r>
              <w:rPr>
                <w:color w:val="auto"/>
                <w:spacing w:val="-8"/>
                <w:highlight w:val="none"/>
              </w:rPr>
              <w:t>学历</w:t>
            </w:r>
          </w:p>
        </w:tc>
        <w:tc>
          <w:tcPr>
            <w:tcW w:w="1407" w:type="dxa"/>
            <w:gridSpan w:val="2"/>
          </w:tcPr>
          <w:p>
            <w:pPr>
              <w:rPr>
                <w:color w:val="auto"/>
                <w:highlight w:val="none"/>
              </w:rPr>
            </w:pPr>
          </w:p>
        </w:tc>
        <w:tc>
          <w:tcPr>
            <w:tcW w:w="2104" w:type="dxa"/>
            <w:gridSpan w:val="2"/>
          </w:tcPr>
          <w:p>
            <w:pPr>
              <w:pStyle w:val="48"/>
              <w:spacing w:before="151" w:line="219" w:lineRule="auto"/>
              <w:ind w:left="243"/>
              <w:rPr>
                <w:rFonts w:hint="eastAsia"/>
                <w:color w:val="auto"/>
                <w:highlight w:val="none"/>
              </w:rPr>
            </w:pPr>
            <w:r>
              <w:rPr>
                <w:color w:val="auto"/>
                <w:spacing w:val="-2"/>
                <w:highlight w:val="none"/>
              </w:rPr>
              <w:t>拟在本项目任职</w:t>
            </w:r>
          </w:p>
        </w:tc>
        <w:tc>
          <w:tcPr>
            <w:tcW w:w="1584" w:type="dxa"/>
            <w:gridSpan w:val="2"/>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583" w:type="dxa"/>
            <w:gridSpan w:val="2"/>
          </w:tcPr>
          <w:p>
            <w:pPr>
              <w:pStyle w:val="48"/>
              <w:spacing w:before="152" w:line="219" w:lineRule="auto"/>
              <w:ind w:left="338"/>
              <w:rPr>
                <w:rFonts w:hint="eastAsia"/>
                <w:color w:val="auto"/>
                <w:highlight w:val="none"/>
              </w:rPr>
            </w:pPr>
            <w:r>
              <w:rPr>
                <w:color w:val="auto"/>
                <w:spacing w:val="-4"/>
                <w:highlight w:val="none"/>
              </w:rPr>
              <w:t>工作年限</w:t>
            </w:r>
          </w:p>
        </w:tc>
        <w:tc>
          <w:tcPr>
            <w:tcW w:w="4050" w:type="dxa"/>
            <w:gridSpan w:val="4"/>
          </w:tcPr>
          <w:p>
            <w:pPr>
              <w:rPr>
                <w:color w:val="auto"/>
                <w:highlight w:val="none"/>
              </w:rPr>
            </w:pPr>
          </w:p>
        </w:tc>
        <w:tc>
          <w:tcPr>
            <w:tcW w:w="2104" w:type="dxa"/>
            <w:gridSpan w:val="2"/>
          </w:tcPr>
          <w:p>
            <w:pPr>
              <w:pStyle w:val="48"/>
              <w:spacing w:before="152" w:line="219" w:lineRule="auto"/>
              <w:ind w:left="366"/>
              <w:rPr>
                <w:rFonts w:hint="eastAsia"/>
                <w:color w:val="auto"/>
                <w:highlight w:val="none"/>
              </w:rPr>
            </w:pPr>
            <w:r>
              <w:rPr>
                <w:color w:val="auto"/>
                <w:spacing w:val="-3"/>
                <w:highlight w:val="none"/>
              </w:rPr>
              <w:t>从事工作年限</w:t>
            </w:r>
          </w:p>
        </w:tc>
        <w:tc>
          <w:tcPr>
            <w:tcW w:w="1584" w:type="dxa"/>
            <w:gridSpan w:val="2"/>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583" w:type="dxa"/>
            <w:gridSpan w:val="2"/>
          </w:tcPr>
          <w:p>
            <w:pPr>
              <w:pStyle w:val="48"/>
              <w:spacing w:before="153" w:line="219" w:lineRule="auto"/>
              <w:ind w:left="340"/>
              <w:rPr>
                <w:rFonts w:hint="eastAsia"/>
                <w:color w:val="auto"/>
                <w:highlight w:val="none"/>
              </w:rPr>
            </w:pPr>
            <w:r>
              <w:rPr>
                <w:color w:val="auto"/>
                <w:spacing w:val="-4"/>
                <w:highlight w:val="none"/>
              </w:rPr>
              <w:t>毕业学校</w:t>
            </w:r>
          </w:p>
        </w:tc>
        <w:tc>
          <w:tcPr>
            <w:tcW w:w="7739" w:type="dxa"/>
            <w:gridSpan w:val="8"/>
          </w:tcPr>
          <w:p>
            <w:pPr>
              <w:pStyle w:val="48"/>
              <w:spacing w:before="153" w:line="219" w:lineRule="auto"/>
              <w:ind w:left="1443"/>
              <w:rPr>
                <w:rFonts w:hint="eastAsia"/>
                <w:color w:val="auto"/>
                <w:highlight w:val="none"/>
              </w:rPr>
            </w:pPr>
            <w:r>
              <w:rPr>
                <w:color w:val="auto"/>
                <w:spacing w:val="-5"/>
                <w:highlight w:val="none"/>
              </w:rPr>
              <w:t>年毕业于学校专业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9323" w:type="dxa"/>
            <w:gridSpan w:val="10"/>
          </w:tcPr>
          <w:p>
            <w:pPr>
              <w:pStyle w:val="48"/>
              <w:spacing w:before="155" w:line="220" w:lineRule="auto"/>
              <w:ind w:left="4055"/>
              <w:rPr>
                <w:rFonts w:hint="eastAsia"/>
                <w:color w:val="auto"/>
                <w:highlight w:val="none"/>
              </w:rPr>
            </w:pPr>
            <w:r>
              <w:rPr>
                <w:color w:val="auto"/>
                <w:spacing w:val="-2"/>
                <w:highlight w:val="none"/>
              </w:rPr>
              <w:t>主要工作经历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236" w:type="dxa"/>
          </w:tcPr>
          <w:p>
            <w:pPr>
              <w:pStyle w:val="48"/>
              <w:spacing w:before="196" w:line="221" w:lineRule="auto"/>
              <w:ind w:left="409"/>
              <w:rPr>
                <w:rFonts w:hint="eastAsia"/>
                <w:color w:val="auto"/>
                <w:highlight w:val="none"/>
              </w:rPr>
            </w:pPr>
            <w:r>
              <w:rPr>
                <w:color w:val="auto"/>
                <w:spacing w:val="-11"/>
                <w:highlight w:val="none"/>
              </w:rPr>
              <w:t>时间</w:t>
            </w:r>
          </w:p>
        </w:tc>
        <w:tc>
          <w:tcPr>
            <w:tcW w:w="3147" w:type="dxa"/>
            <w:gridSpan w:val="4"/>
          </w:tcPr>
          <w:p>
            <w:pPr>
              <w:pStyle w:val="48"/>
              <w:spacing w:before="196" w:line="219" w:lineRule="auto"/>
              <w:ind w:left="657"/>
              <w:rPr>
                <w:rFonts w:hint="eastAsia"/>
                <w:color w:val="auto"/>
                <w:highlight w:val="none"/>
              </w:rPr>
            </w:pPr>
            <w:r>
              <w:rPr>
                <w:color w:val="auto"/>
                <w:spacing w:val="-2"/>
                <w:highlight w:val="none"/>
              </w:rPr>
              <w:t>参加过的类似项目</w:t>
            </w:r>
          </w:p>
        </w:tc>
        <w:tc>
          <w:tcPr>
            <w:tcW w:w="2078" w:type="dxa"/>
            <w:gridSpan w:val="2"/>
          </w:tcPr>
          <w:p>
            <w:pPr>
              <w:pStyle w:val="48"/>
              <w:spacing w:before="196" w:line="219" w:lineRule="auto"/>
              <w:ind w:left="592"/>
              <w:rPr>
                <w:rFonts w:hint="eastAsia"/>
                <w:color w:val="auto"/>
                <w:highlight w:val="none"/>
              </w:rPr>
            </w:pPr>
            <w:r>
              <w:rPr>
                <w:color w:val="auto"/>
                <w:spacing w:val="-3"/>
                <w:highlight w:val="none"/>
              </w:rPr>
              <w:t>担任职务</w:t>
            </w:r>
          </w:p>
        </w:tc>
        <w:tc>
          <w:tcPr>
            <w:tcW w:w="1384" w:type="dxa"/>
            <w:gridSpan w:val="2"/>
          </w:tcPr>
          <w:p>
            <w:pPr>
              <w:pStyle w:val="48"/>
              <w:spacing w:before="40" w:line="222" w:lineRule="auto"/>
              <w:ind w:left="358" w:right="105" w:hanging="240"/>
              <w:rPr>
                <w:rFonts w:hint="eastAsia"/>
                <w:color w:val="auto"/>
                <w:highlight w:val="none"/>
              </w:rPr>
            </w:pPr>
            <w:r>
              <w:rPr>
                <w:color w:val="auto"/>
                <w:spacing w:val="-3"/>
                <w:highlight w:val="none"/>
              </w:rPr>
              <w:t>发包人及联</w:t>
            </w:r>
            <w:r>
              <w:rPr>
                <w:color w:val="auto"/>
                <w:spacing w:val="-5"/>
                <w:highlight w:val="none"/>
              </w:rPr>
              <w:t>系电话</w:t>
            </w:r>
          </w:p>
        </w:tc>
        <w:tc>
          <w:tcPr>
            <w:tcW w:w="1476" w:type="dxa"/>
          </w:tcPr>
          <w:p>
            <w:pPr>
              <w:pStyle w:val="48"/>
              <w:spacing w:before="40" w:line="222" w:lineRule="auto"/>
              <w:ind w:left="402" w:right="151" w:hanging="240"/>
              <w:rPr>
                <w:rFonts w:hint="eastAsia"/>
                <w:color w:val="auto"/>
                <w:highlight w:val="none"/>
              </w:rPr>
            </w:pPr>
            <w:r>
              <w:rPr>
                <w:color w:val="auto"/>
                <w:spacing w:val="-2"/>
                <w:highlight w:val="none"/>
              </w:rPr>
              <w:t>类似业绩查</w:t>
            </w:r>
            <w:r>
              <w:rPr>
                <w:color w:val="auto"/>
                <w:spacing w:val="-4"/>
                <w:highlight w:val="none"/>
              </w:rPr>
              <w:t>询网址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236" w:type="dxa"/>
          </w:tcPr>
          <w:p>
            <w:pPr>
              <w:rPr>
                <w:color w:val="auto"/>
                <w:highlight w:val="none"/>
              </w:rPr>
            </w:pPr>
          </w:p>
        </w:tc>
        <w:tc>
          <w:tcPr>
            <w:tcW w:w="3147" w:type="dxa"/>
            <w:gridSpan w:val="4"/>
          </w:tcPr>
          <w:p>
            <w:pPr>
              <w:rPr>
                <w:color w:val="auto"/>
                <w:highlight w:val="none"/>
              </w:rPr>
            </w:pPr>
          </w:p>
        </w:tc>
        <w:tc>
          <w:tcPr>
            <w:tcW w:w="2078" w:type="dxa"/>
            <w:gridSpan w:val="2"/>
          </w:tcPr>
          <w:p>
            <w:pPr>
              <w:rPr>
                <w:color w:val="auto"/>
                <w:highlight w:val="none"/>
              </w:rPr>
            </w:pPr>
          </w:p>
        </w:tc>
        <w:tc>
          <w:tcPr>
            <w:tcW w:w="1384" w:type="dxa"/>
            <w:gridSpan w:val="2"/>
          </w:tcPr>
          <w:p>
            <w:pPr>
              <w:rPr>
                <w:color w:val="auto"/>
                <w:highlight w:val="none"/>
              </w:rPr>
            </w:pPr>
          </w:p>
        </w:tc>
        <w:tc>
          <w:tcPr>
            <w:tcW w:w="1476"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236" w:type="dxa"/>
          </w:tcPr>
          <w:p>
            <w:pPr>
              <w:rPr>
                <w:color w:val="auto"/>
                <w:highlight w:val="none"/>
              </w:rPr>
            </w:pPr>
          </w:p>
        </w:tc>
        <w:tc>
          <w:tcPr>
            <w:tcW w:w="3147" w:type="dxa"/>
            <w:gridSpan w:val="4"/>
          </w:tcPr>
          <w:p>
            <w:pPr>
              <w:rPr>
                <w:color w:val="auto"/>
                <w:highlight w:val="none"/>
              </w:rPr>
            </w:pPr>
          </w:p>
        </w:tc>
        <w:tc>
          <w:tcPr>
            <w:tcW w:w="2078" w:type="dxa"/>
            <w:gridSpan w:val="2"/>
          </w:tcPr>
          <w:p>
            <w:pPr>
              <w:rPr>
                <w:color w:val="auto"/>
                <w:highlight w:val="none"/>
              </w:rPr>
            </w:pPr>
          </w:p>
        </w:tc>
        <w:tc>
          <w:tcPr>
            <w:tcW w:w="1384" w:type="dxa"/>
            <w:gridSpan w:val="2"/>
          </w:tcPr>
          <w:p>
            <w:pPr>
              <w:rPr>
                <w:color w:val="auto"/>
                <w:highlight w:val="none"/>
              </w:rPr>
            </w:pPr>
          </w:p>
        </w:tc>
        <w:tc>
          <w:tcPr>
            <w:tcW w:w="1476"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236" w:type="dxa"/>
          </w:tcPr>
          <w:p>
            <w:pPr>
              <w:rPr>
                <w:color w:val="auto"/>
                <w:highlight w:val="none"/>
              </w:rPr>
            </w:pPr>
          </w:p>
        </w:tc>
        <w:tc>
          <w:tcPr>
            <w:tcW w:w="3147" w:type="dxa"/>
            <w:gridSpan w:val="4"/>
          </w:tcPr>
          <w:p>
            <w:pPr>
              <w:rPr>
                <w:color w:val="auto"/>
                <w:highlight w:val="none"/>
              </w:rPr>
            </w:pPr>
          </w:p>
        </w:tc>
        <w:tc>
          <w:tcPr>
            <w:tcW w:w="2078" w:type="dxa"/>
            <w:gridSpan w:val="2"/>
          </w:tcPr>
          <w:p>
            <w:pPr>
              <w:rPr>
                <w:color w:val="auto"/>
                <w:highlight w:val="none"/>
              </w:rPr>
            </w:pPr>
          </w:p>
        </w:tc>
        <w:tc>
          <w:tcPr>
            <w:tcW w:w="1384" w:type="dxa"/>
            <w:gridSpan w:val="2"/>
          </w:tcPr>
          <w:p>
            <w:pPr>
              <w:rPr>
                <w:color w:val="auto"/>
                <w:highlight w:val="none"/>
              </w:rPr>
            </w:pPr>
          </w:p>
        </w:tc>
        <w:tc>
          <w:tcPr>
            <w:tcW w:w="1476"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236" w:type="dxa"/>
          </w:tcPr>
          <w:p>
            <w:pPr>
              <w:rPr>
                <w:color w:val="auto"/>
                <w:highlight w:val="none"/>
              </w:rPr>
            </w:pPr>
          </w:p>
        </w:tc>
        <w:tc>
          <w:tcPr>
            <w:tcW w:w="3147" w:type="dxa"/>
            <w:gridSpan w:val="4"/>
          </w:tcPr>
          <w:p>
            <w:pPr>
              <w:rPr>
                <w:color w:val="auto"/>
                <w:highlight w:val="none"/>
              </w:rPr>
            </w:pPr>
          </w:p>
        </w:tc>
        <w:tc>
          <w:tcPr>
            <w:tcW w:w="2078" w:type="dxa"/>
            <w:gridSpan w:val="2"/>
          </w:tcPr>
          <w:p>
            <w:pPr>
              <w:rPr>
                <w:color w:val="auto"/>
                <w:highlight w:val="none"/>
              </w:rPr>
            </w:pPr>
          </w:p>
        </w:tc>
        <w:tc>
          <w:tcPr>
            <w:tcW w:w="1384" w:type="dxa"/>
            <w:gridSpan w:val="2"/>
          </w:tcPr>
          <w:p>
            <w:pPr>
              <w:rPr>
                <w:color w:val="auto"/>
                <w:highlight w:val="none"/>
              </w:rPr>
            </w:pPr>
          </w:p>
        </w:tc>
        <w:tc>
          <w:tcPr>
            <w:tcW w:w="1476"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236" w:type="dxa"/>
          </w:tcPr>
          <w:p>
            <w:pPr>
              <w:rPr>
                <w:color w:val="auto"/>
                <w:highlight w:val="none"/>
              </w:rPr>
            </w:pPr>
          </w:p>
        </w:tc>
        <w:tc>
          <w:tcPr>
            <w:tcW w:w="3147" w:type="dxa"/>
            <w:gridSpan w:val="4"/>
          </w:tcPr>
          <w:p>
            <w:pPr>
              <w:rPr>
                <w:color w:val="auto"/>
                <w:highlight w:val="none"/>
              </w:rPr>
            </w:pPr>
          </w:p>
        </w:tc>
        <w:tc>
          <w:tcPr>
            <w:tcW w:w="2078" w:type="dxa"/>
            <w:gridSpan w:val="2"/>
          </w:tcPr>
          <w:p>
            <w:pPr>
              <w:rPr>
                <w:color w:val="auto"/>
                <w:highlight w:val="none"/>
              </w:rPr>
            </w:pPr>
          </w:p>
        </w:tc>
        <w:tc>
          <w:tcPr>
            <w:tcW w:w="1384" w:type="dxa"/>
            <w:gridSpan w:val="2"/>
          </w:tcPr>
          <w:p>
            <w:pPr>
              <w:rPr>
                <w:color w:val="auto"/>
                <w:highlight w:val="none"/>
              </w:rPr>
            </w:pPr>
          </w:p>
        </w:tc>
        <w:tc>
          <w:tcPr>
            <w:tcW w:w="1476"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236" w:type="dxa"/>
          </w:tcPr>
          <w:p>
            <w:pPr>
              <w:rPr>
                <w:color w:val="auto"/>
                <w:highlight w:val="none"/>
              </w:rPr>
            </w:pPr>
          </w:p>
        </w:tc>
        <w:tc>
          <w:tcPr>
            <w:tcW w:w="3147" w:type="dxa"/>
            <w:gridSpan w:val="4"/>
          </w:tcPr>
          <w:p>
            <w:pPr>
              <w:rPr>
                <w:color w:val="auto"/>
                <w:highlight w:val="none"/>
              </w:rPr>
            </w:pPr>
          </w:p>
        </w:tc>
        <w:tc>
          <w:tcPr>
            <w:tcW w:w="2078" w:type="dxa"/>
            <w:gridSpan w:val="2"/>
          </w:tcPr>
          <w:p>
            <w:pPr>
              <w:rPr>
                <w:color w:val="auto"/>
                <w:highlight w:val="none"/>
              </w:rPr>
            </w:pPr>
          </w:p>
        </w:tc>
        <w:tc>
          <w:tcPr>
            <w:tcW w:w="1384" w:type="dxa"/>
            <w:gridSpan w:val="2"/>
          </w:tcPr>
          <w:p>
            <w:pPr>
              <w:rPr>
                <w:color w:val="auto"/>
                <w:highlight w:val="none"/>
              </w:rPr>
            </w:pPr>
          </w:p>
        </w:tc>
        <w:tc>
          <w:tcPr>
            <w:tcW w:w="1476"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236" w:type="dxa"/>
          </w:tcPr>
          <w:p>
            <w:pPr>
              <w:rPr>
                <w:color w:val="auto"/>
                <w:highlight w:val="none"/>
              </w:rPr>
            </w:pPr>
          </w:p>
        </w:tc>
        <w:tc>
          <w:tcPr>
            <w:tcW w:w="3147" w:type="dxa"/>
            <w:gridSpan w:val="4"/>
          </w:tcPr>
          <w:p>
            <w:pPr>
              <w:rPr>
                <w:color w:val="auto"/>
                <w:highlight w:val="none"/>
              </w:rPr>
            </w:pPr>
          </w:p>
        </w:tc>
        <w:tc>
          <w:tcPr>
            <w:tcW w:w="2078" w:type="dxa"/>
            <w:gridSpan w:val="2"/>
          </w:tcPr>
          <w:p>
            <w:pPr>
              <w:rPr>
                <w:color w:val="auto"/>
                <w:highlight w:val="none"/>
              </w:rPr>
            </w:pPr>
          </w:p>
        </w:tc>
        <w:tc>
          <w:tcPr>
            <w:tcW w:w="1384" w:type="dxa"/>
            <w:gridSpan w:val="2"/>
          </w:tcPr>
          <w:p>
            <w:pPr>
              <w:rPr>
                <w:color w:val="auto"/>
                <w:highlight w:val="none"/>
              </w:rPr>
            </w:pPr>
          </w:p>
        </w:tc>
        <w:tc>
          <w:tcPr>
            <w:tcW w:w="1476"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236" w:type="dxa"/>
          </w:tcPr>
          <w:p>
            <w:pPr>
              <w:rPr>
                <w:color w:val="auto"/>
                <w:highlight w:val="none"/>
              </w:rPr>
            </w:pPr>
          </w:p>
        </w:tc>
        <w:tc>
          <w:tcPr>
            <w:tcW w:w="3147" w:type="dxa"/>
            <w:gridSpan w:val="4"/>
          </w:tcPr>
          <w:p>
            <w:pPr>
              <w:rPr>
                <w:color w:val="auto"/>
                <w:highlight w:val="none"/>
              </w:rPr>
            </w:pPr>
          </w:p>
        </w:tc>
        <w:tc>
          <w:tcPr>
            <w:tcW w:w="2078" w:type="dxa"/>
            <w:gridSpan w:val="2"/>
          </w:tcPr>
          <w:p>
            <w:pPr>
              <w:rPr>
                <w:color w:val="auto"/>
                <w:highlight w:val="none"/>
              </w:rPr>
            </w:pPr>
          </w:p>
        </w:tc>
        <w:tc>
          <w:tcPr>
            <w:tcW w:w="1384" w:type="dxa"/>
            <w:gridSpan w:val="2"/>
          </w:tcPr>
          <w:p>
            <w:pPr>
              <w:rPr>
                <w:color w:val="auto"/>
                <w:highlight w:val="none"/>
              </w:rPr>
            </w:pPr>
          </w:p>
        </w:tc>
        <w:tc>
          <w:tcPr>
            <w:tcW w:w="1476"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236" w:type="dxa"/>
          </w:tcPr>
          <w:p>
            <w:pPr>
              <w:rPr>
                <w:color w:val="auto"/>
                <w:highlight w:val="none"/>
              </w:rPr>
            </w:pPr>
          </w:p>
        </w:tc>
        <w:tc>
          <w:tcPr>
            <w:tcW w:w="3147" w:type="dxa"/>
            <w:gridSpan w:val="4"/>
          </w:tcPr>
          <w:p>
            <w:pPr>
              <w:rPr>
                <w:color w:val="auto"/>
                <w:highlight w:val="none"/>
              </w:rPr>
            </w:pPr>
          </w:p>
        </w:tc>
        <w:tc>
          <w:tcPr>
            <w:tcW w:w="2078" w:type="dxa"/>
            <w:gridSpan w:val="2"/>
          </w:tcPr>
          <w:p>
            <w:pPr>
              <w:rPr>
                <w:color w:val="auto"/>
                <w:highlight w:val="none"/>
              </w:rPr>
            </w:pPr>
          </w:p>
        </w:tc>
        <w:tc>
          <w:tcPr>
            <w:tcW w:w="1384" w:type="dxa"/>
            <w:gridSpan w:val="2"/>
          </w:tcPr>
          <w:p>
            <w:pPr>
              <w:rPr>
                <w:color w:val="auto"/>
                <w:highlight w:val="none"/>
              </w:rPr>
            </w:pPr>
          </w:p>
        </w:tc>
        <w:tc>
          <w:tcPr>
            <w:tcW w:w="1476"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236" w:type="dxa"/>
          </w:tcPr>
          <w:p>
            <w:pPr>
              <w:rPr>
                <w:color w:val="auto"/>
                <w:highlight w:val="none"/>
              </w:rPr>
            </w:pPr>
          </w:p>
        </w:tc>
        <w:tc>
          <w:tcPr>
            <w:tcW w:w="3147" w:type="dxa"/>
            <w:gridSpan w:val="4"/>
          </w:tcPr>
          <w:p>
            <w:pPr>
              <w:pStyle w:val="45"/>
              <w:spacing w:before="48" w:after="48"/>
              <w:ind w:firstLine="480"/>
              <w:rPr>
                <w:color w:val="auto"/>
                <w:highlight w:val="none"/>
                <w:lang w:eastAsia="zh-CN"/>
              </w:rPr>
            </w:pPr>
          </w:p>
        </w:tc>
        <w:tc>
          <w:tcPr>
            <w:tcW w:w="2078" w:type="dxa"/>
            <w:gridSpan w:val="2"/>
          </w:tcPr>
          <w:p>
            <w:pPr>
              <w:rPr>
                <w:color w:val="auto"/>
                <w:highlight w:val="none"/>
              </w:rPr>
            </w:pPr>
          </w:p>
        </w:tc>
        <w:tc>
          <w:tcPr>
            <w:tcW w:w="1384" w:type="dxa"/>
            <w:gridSpan w:val="2"/>
          </w:tcPr>
          <w:p>
            <w:pPr>
              <w:rPr>
                <w:color w:val="auto"/>
                <w:highlight w:val="none"/>
              </w:rPr>
            </w:pPr>
          </w:p>
        </w:tc>
        <w:tc>
          <w:tcPr>
            <w:tcW w:w="1476"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236" w:type="dxa"/>
          </w:tcPr>
          <w:p>
            <w:pPr>
              <w:pStyle w:val="46"/>
              <w:ind w:left="0"/>
              <w:jc w:val="left"/>
              <w:rPr>
                <w:color w:val="auto"/>
                <w:highlight w:val="none"/>
              </w:rPr>
            </w:pPr>
          </w:p>
        </w:tc>
        <w:tc>
          <w:tcPr>
            <w:tcW w:w="3147" w:type="dxa"/>
            <w:gridSpan w:val="4"/>
          </w:tcPr>
          <w:p>
            <w:pPr>
              <w:pStyle w:val="45"/>
              <w:spacing w:before="48" w:after="48"/>
              <w:ind w:firstLine="480"/>
              <w:rPr>
                <w:color w:val="auto"/>
                <w:highlight w:val="none"/>
                <w:lang w:eastAsia="zh-CN"/>
              </w:rPr>
            </w:pPr>
          </w:p>
        </w:tc>
        <w:tc>
          <w:tcPr>
            <w:tcW w:w="2078" w:type="dxa"/>
            <w:gridSpan w:val="2"/>
          </w:tcPr>
          <w:p>
            <w:pPr>
              <w:rPr>
                <w:color w:val="auto"/>
                <w:highlight w:val="none"/>
              </w:rPr>
            </w:pPr>
          </w:p>
        </w:tc>
        <w:tc>
          <w:tcPr>
            <w:tcW w:w="1384" w:type="dxa"/>
            <w:gridSpan w:val="2"/>
          </w:tcPr>
          <w:p>
            <w:pPr>
              <w:rPr>
                <w:color w:val="auto"/>
                <w:highlight w:val="none"/>
              </w:rPr>
            </w:pPr>
          </w:p>
        </w:tc>
        <w:tc>
          <w:tcPr>
            <w:tcW w:w="1476" w:type="dxa"/>
          </w:tcPr>
          <w:p>
            <w:pPr>
              <w:rPr>
                <w:color w:val="auto"/>
                <w:highlight w:val="none"/>
              </w:rPr>
            </w:pPr>
          </w:p>
        </w:tc>
      </w:tr>
    </w:tbl>
    <w:p>
      <w:pPr>
        <w:rPr>
          <w:color w:val="auto"/>
          <w:highlight w:val="none"/>
        </w:rPr>
      </w:pPr>
    </w:p>
    <w:p>
      <w:pPr>
        <w:rPr>
          <w:color w:val="auto"/>
          <w:highlight w:val="none"/>
          <w:lang w:eastAsia="zh-CN"/>
        </w:rPr>
        <w:sectPr>
          <w:pgSz w:w="11906" w:h="16839"/>
          <w:pgMar w:top="1343" w:right="1184" w:bottom="957" w:left="1183" w:header="0" w:footer="795" w:gutter="0"/>
          <w:pgNumType w:fmt="decimal"/>
          <w:cols w:space="720" w:num="1"/>
        </w:sectPr>
      </w:pPr>
      <w:r>
        <w:rPr>
          <w:rFonts w:hint="eastAsia" w:ascii="宋体" w:hAnsi="宋体" w:eastAsia="宋体"/>
          <w:color w:val="auto"/>
          <w:szCs w:val="24"/>
          <w:highlight w:val="none"/>
          <w:lang w:eastAsia="zh-CN"/>
        </w:rPr>
        <w:t>注：供应商应根据供应商须知及评审办法的要求在本表后附相关证明材料。</w:t>
      </w:r>
    </w:p>
    <w:p>
      <w:pPr>
        <w:spacing w:line="274" w:lineRule="auto"/>
        <w:rPr>
          <w:color w:val="auto"/>
          <w:highlight w:val="none"/>
          <w:lang w:eastAsia="zh-CN"/>
        </w:rPr>
      </w:pPr>
    </w:p>
    <w:p>
      <w:pPr>
        <w:pStyle w:val="5"/>
        <w:outlineLvl w:val="1"/>
        <w:rPr>
          <w:color w:val="auto"/>
          <w:highlight w:val="none"/>
          <w:lang w:eastAsia="zh-CN"/>
        </w:rPr>
      </w:pPr>
      <w:bookmarkStart w:id="96" w:name="_Toc5710"/>
      <w:r>
        <w:rPr>
          <w:color w:val="auto"/>
          <w:highlight w:val="none"/>
          <w:lang w:eastAsia="zh-CN"/>
        </w:rPr>
        <w:t>（八）拟投入本项目的主要设备表</w:t>
      </w:r>
      <w:bookmarkEnd w:id="96"/>
    </w:p>
    <w:tbl>
      <w:tblPr>
        <w:tblStyle w:val="47"/>
        <w:tblW w:w="87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1"/>
        <w:gridCol w:w="1397"/>
        <w:gridCol w:w="1274"/>
        <w:gridCol w:w="851"/>
        <w:gridCol w:w="1275"/>
        <w:gridCol w:w="1416"/>
        <w:gridCol w:w="992"/>
        <w:gridCol w:w="7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841" w:type="dxa"/>
          </w:tcPr>
          <w:p>
            <w:pPr>
              <w:spacing w:line="322" w:lineRule="auto"/>
              <w:rPr>
                <w:color w:val="auto"/>
                <w:highlight w:val="none"/>
                <w:lang w:eastAsia="zh-CN"/>
              </w:rPr>
            </w:pPr>
          </w:p>
          <w:p>
            <w:pPr>
              <w:pStyle w:val="48"/>
              <w:spacing w:before="78" w:line="221" w:lineRule="auto"/>
              <w:ind w:left="185"/>
              <w:rPr>
                <w:rFonts w:hint="eastAsia"/>
                <w:color w:val="auto"/>
                <w:highlight w:val="none"/>
              </w:rPr>
            </w:pPr>
            <w:r>
              <w:rPr>
                <w:color w:val="auto"/>
                <w:spacing w:val="-5"/>
                <w:highlight w:val="none"/>
              </w:rPr>
              <w:t>序号</w:t>
            </w:r>
          </w:p>
        </w:tc>
        <w:tc>
          <w:tcPr>
            <w:tcW w:w="1397" w:type="dxa"/>
          </w:tcPr>
          <w:p>
            <w:pPr>
              <w:spacing w:line="322" w:lineRule="auto"/>
              <w:rPr>
                <w:color w:val="auto"/>
                <w:highlight w:val="none"/>
              </w:rPr>
            </w:pPr>
          </w:p>
          <w:p>
            <w:pPr>
              <w:pStyle w:val="48"/>
              <w:spacing w:before="78" w:line="221" w:lineRule="auto"/>
              <w:ind w:left="227"/>
              <w:rPr>
                <w:rFonts w:hint="eastAsia"/>
                <w:color w:val="auto"/>
                <w:highlight w:val="none"/>
              </w:rPr>
            </w:pPr>
            <w:r>
              <w:rPr>
                <w:color w:val="auto"/>
                <w:spacing w:val="-4"/>
                <w:highlight w:val="none"/>
              </w:rPr>
              <w:t>设备名称</w:t>
            </w:r>
          </w:p>
        </w:tc>
        <w:tc>
          <w:tcPr>
            <w:tcW w:w="1274" w:type="dxa"/>
          </w:tcPr>
          <w:p>
            <w:pPr>
              <w:spacing w:line="323" w:lineRule="auto"/>
              <w:rPr>
                <w:color w:val="auto"/>
                <w:highlight w:val="none"/>
              </w:rPr>
            </w:pPr>
          </w:p>
          <w:p>
            <w:pPr>
              <w:pStyle w:val="48"/>
              <w:spacing w:before="78" w:line="219" w:lineRule="auto"/>
              <w:ind w:left="171"/>
              <w:rPr>
                <w:rFonts w:hint="eastAsia"/>
                <w:color w:val="auto"/>
                <w:highlight w:val="none"/>
              </w:rPr>
            </w:pPr>
            <w:r>
              <w:rPr>
                <w:color w:val="auto"/>
                <w:spacing w:val="-5"/>
                <w:highlight w:val="none"/>
              </w:rPr>
              <w:t>型号规格</w:t>
            </w:r>
          </w:p>
        </w:tc>
        <w:tc>
          <w:tcPr>
            <w:tcW w:w="851" w:type="dxa"/>
          </w:tcPr>
          <w:p>
            <w:pPr>
              <w:spacing w:line="323" w:lineRule="auto"/>
              <w:rPr>
                <w:color w:val="auto"/>
                <w:highlight w:val="none"/>
              </w:rPr>
            </w:pPr>
          </w:p>
          <w:p>
            <w:pPr>
              <w:pStyle w:val="48"/>
              <w:spacing w:before="78" w:line="220" w:lineRule="auto"/>
              <w:ind w:left="194"/>
              <w:rPr>
                <w:rFonts w:hint="eastAsia"/>
                <w:color w:val="auto"/>
                <w:highlight w:val="none"/>
              </w:rPr>
            </w:pPr>
            <w:r>
              <w:rPr>
                <w:color w:val="auto"/>
                <w:spacing w:val="-6"/>
                <w:highlight w:val="none"/>
              </w:rPr>
              <w:t>单位</w:t>
            </w:r>
          </w:p>
        </w:tc>
        <w:tc>
          <w:tcPr>
            <w:tcW w:w="1275" w:type="dxa"/>
          </w:tcPr>
          <w:p>
            <w:pPr>
              <w:spacing w:line="323" w:lineRule="auto"/>
              <w:rPr>
                <w:color w:val="auto"/>
                <w:highlight w:val="none"/>
              </w:rPr>
            </w:pPr>
          </w:p>
          <w:p>
            <w:pPr>
              <w:pStyle w:val="48"/>
              <w:spacing w:before="78" w:line="219" w:lineRule="auto"/>
              <w:ind w:left="407"/>
              <w:rPr>
                <w:rFonts w:hint="eastAsia"/>
                <w:color w:val="auto"/>
                <w:highlight w:val="none"/>
              </w:rPr>
            </w:pPr>
            <w:r>
              <w:rPr>
                <w:color w:val="auto"/>
                <w:spacing w:val="-6"/>
                <w:highlight w:val="none"/>
              </w:rPr>
              <w:t>数量</w:t>
            </w:r>
          </w:p>
        </w:tc>
        <w:tc>
          <w:tcPr>
            <w:tcW w:w="1416" w:type="dxa"/>
          </w:tcPr>
          <w:p>
            <w:pPr>
              <w:spacing w:line="323" w:lineRule="auto"/>
              <w:rPr>
                <w:color w:val="auto"/>
                <w:highlight w:val="none"/>
              </w:rPr>
            </w:pPr>
          </w:p>
          <w:p>
            <w:pPr>
              <w:pStyle w:val="48"/>
              <w:spacing w:before="78" w:line="219" w:lineRule="auto"/>
              <w:ind w:left="237"/>
              <w:rPr>
                <w:rFonts w:hint="eastAsia"/>
                <w:color w:val="auto"/>
                <w:highlight w:val="none"/>
              </w:rPr>
            </w:pPr>
            <w:r>
              <w:rPr>
                <w:color w:val="auto"/>
                <w:spacing w:val="-3"/>
                <w:highlight w:val="none"/>
              </w:rPr>
              <w:t>制造年份</w:t>
            </w:r>
          </w:p>
        </w:tc>
        <w:tc>
          <w:tcPr>
            <w:tcW w:w="992" w:type="dxa"/>
          </w:tcPr>
          <w:p>
            <w:pPr>
              <w:spacing w:line="323" w:lineRule="auto"/>
              <w:rPr>
                <w:color w:val="auto"/>
                <w:highlight w:val="none"/>
              </w:rPr>
            </w:pPr>
          </w:p>
          <w:p>
            <w:pPr>
              <w:pStyle w:val="48"/>
              <w:spacing w:before="78" w:line="378" w:lineRule="exact"/>
              <w:ind w:left="280"/>
              <w:rPr>
                <w:rFonts w:hint="eastAsia"/>
                <w:color w:val="auto"/>
                <w:highlight w:val="none"/>
              </w:rPr>
            </w:pPr>
            <w:r>
              <w:rPr>
                <w:color w:val="auto"/>
                <w:spacing w:val="-13"/>
                <w:position w:val="3"/>
                <w:highlight w:val="none"/>
              </w:rPr>
              <w:t>……</w:t>
            </w:r>
          </w:p>
        </w:tc>
        <w:tc>
          <w:tcPr>
            <w:tcW w:w="729" w:type="dxa"/>
          </w:tcPr>
          <w:p>
            <w:pPr>
              <w:spacing w:line="322" w:lineRule="auto"/>
              <w:rPr>
                <w:color w:val="auto"/>
                <w:highlight w:val="none"/>
              </w:rPr>
            </w:pPr>
          </w:p>
          <w:p>
            <w:pPr>
              <w:pStyle w:val="48"/>
              <w:spacing w:before="78" w:line="221" w:lineRule="auto"/>
              <w:rPr>
                <w:rFonts w:hint="eastAsia"/>
                <w:color w:val="auto"/>
                <w:highlight w:val="none"/>
              </w:rPr>
            </w:pPr>
            <w:r>
              <w:rPr>
                <w:color w:val="auto"/>
                <w:spacing w:val="-7"/>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41" w:type="dxa"/>
          </w:tcPr>
          <w:p>
            <w:pPr>
              <w:rPr>
                <w:color w:val="auto"/>
                <w:highlight w:val="none"/>
              </w:rPr>
            </w:pPr>
          </w:p>
        </w:tc>
        <w:tc>
          <w:tcPr>
            <w:tcW w:w="1397" w:type="dxa"/>
          </w:tcPr>
          <w:p>
            <w:pPr>
              <w:rPr>
                <w:color w:val="auto"/>
                <w:highlight w:val="none"/>
              </w:rPr>
            </w:pPr>
          </w:p>
        </w:tc>
        <w:tc>
          <w:tcPr>
            <w:tcW w:w="1274" w:type="dxa"/>
          </w:tcPr>
          <w:p>
            <w:pPr>
              <w:rPr>
                <w:color w:val="auto"/>
                <w:highlight w:val="none"/>
              </w:rPr>
            </w:pPr>
          </w:p>
        </w:tc>
        <w:tc>
          <w:tcPr>
            <w:tcW w:w="851" w:type="dxa"/>
          </w:tcPr>
          <w:p>
            <w:pPr>
              <w:rPr>
                <w:color w:val="auto"/>
                <w:highlight w:val="none"/>
              </w:rPr>
            </w:pPr>
          </w:p>
        </w:tc>
        <w:tc>
          <w:tcPr>
            <w:tcW w:w="1275" w:type="dxa"/>
          </w:tcPr>
          <w:p>
            <w:pPr>
              <w:rPr>
                <w:color w:val="auto"/>
                <w:highlight w:val="none"/>
              </w:rPr>
            </w:pPr>
          </w:p>
        </w:tc>
        <w:tc>
          <w:tcPr>
            <w:tcW w:w="1416" w:type="dxa"/>
          </w:tcPr>
          <w:p>
            <w:pPr>
              <w:rPr>
                <w:color w:val="auto"/>
                <w:highlight w:val="none"/>
              </w:rPr>
            </w:pPr>
          </w:p>
        </w:tc>
        <w:tc>
          <w:tcPr>
            <w:tcW w:w="992" w:type="dxa"/>
          </w:tcPr>
          <w:p>
            <w:pPr>
              <w:rPr>
                <w:color w:val="auto"/>
                <w:highlight w:val="none"/>
              </w:rPr>
            </w:pPr>
          </w:p>
        </w:tc>
        <w:tc>
          <w:tcPr>
            <w:tcW w:w="729"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41" w:type="dxa"/>
          </w:tcPr>
          <w:p>
            <w:pPr>
              <w:rPr>
                <w:color w:val="auto"/>
                <w:highlight w:val="none"/>
              </w:rPr>
            </w:pPr>
          </w:p>
        </w:tc>
        <w:tc>
          <w:tcPr>
            <w:tcW w:w="1397" w:type="dxa"/>
          </w:tcPr>
          <w:p>
            <w:pPr>
              <w:rPr>
                <w:color w:val="auto"/>
                <w:highlight w:val="none"/>
              </w:rPr>
            </w:pPr>
          </w:p>
        </w:tc>
        <w:tc>
          <w:tcPr>
            <w:tcW w:w="1274" w:type="dxa"/>
          </w:tcPr>
          <w:p>
            <w:pPr>
              <w:rPr>
                <w:color w:val="auto"/>
                <w:highlight w:val="none"/>
              </w:rPr>
            </w:pPr>
          </w:p>
        </w:tc>
        <w:tc>
          <w:tcPr>
            <w:tcW w:w="851" w:type="dxa"/>
          </w:tcPr>
          <w:p>
            <w:pPr>
              <w:rPr>
                <w:color w:val="auto"/>
                <w:highlight w:val="none"/>
              </w:rPr>
            </w:pPr>
          </w:p>
        </w:tc>
        <w:tc>
          <w:tcPr>
            <w:tcW w:w="1275" w:type="dxa"/>
          </w:tcPr>
          <w:p>
            <w:pPr>
              <w:rPr>
                <w:color w:val="auto"/>
                <w:highlight w:val="none"/>
              </w:rPr>
            </w:pPr>
          </w:p>
        </w:tc>
        <w:tc>
          <w:tcPr>
            <w:tcW w:w="1416" w:type="dxa"/>
          </w:tcPr>
          <w:p>
            <w:pPr>
              <w:rPr>
                <w:color w:val="auto"/>
                <w:highlight w:val="none"/>
              </w:rPr>
            </w:pPr>
          </w:p>
        </w:tc>
        <w:tc>
          <w:tcPr>
            <w:tcW w:w="992" w:type="dxa"/>
          </w:tcPr>
          <w:p>
            <w:pPr>
              <w:rPr>
                <w:color w:val="auto"/>
                <w:highlight w:val="none"/>
              </w:rPr>
            </w:pPr>
          </w:p>
        </w:tc>
        <w:tc>
          <w:tcPr>
            <w:tcW w:w="729"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41" w:type="dxa"/>
          </w:tcPr>
          <w:p>
            <w:pPr>
              <w:rPr>
                <w:color w:val="auto"/>
                <w:highlight w:val="none"/>
              </w:rPr>
            </w:pPr>
          </w:p>
        </w:tc>
        <w:tc>
          <w:tcPr>
            <w:tcW w:w="1397" w:type="dxa"/>
          </w:tcPr>
          <w:p>
            <w:pPr>
              <w:rPr>
                <w:color w:val="auto"/>
                <w:highlight w:val="none"/>
              </w:rPr>
            </w:pPr>
          </w:p>
        </w:tc>
        <w:tc>
          <w:tcPr>
            <w:tcW w:w="1274" w:type="dxa"/>
          </w:tcPr>
          <w:p>
            <w:pPr>
              <w:rPr>
                <w:color w:val="auto"/>
                <w:highlight w:val="none"/>
              </w:rPr>
            </w:pPr>
          </w:p>
        </w:tc>
        <w:tc>
          <w:tcPr>
            <w:tcW w:w="851" w:type="dxa"/>
          </w:tcPr>
          <w:p>
            <w:pPr>
              <w:rPr>
                <w:color w:val="auto"/>
                <w:highlight w:val="none"/>
              </w:rPr>
            </w:pPr>
          </w:p>
        </w:tc>
        <w:tc>
          <w:tcPr>
            <w:tcW w:w="1275" w:type="dxa"/>
          </w:tcPr>
          <w:p>
            <w:pPr>
              <w:rPr>
                <w:color w:val="auto"/>
                <w:highlight w:val="none"/>
              </w:rPr>
            </w:pPr>
          </w:p>
        </w:tc>
        <w:tc>
          <w:tcPr>
            <w:tcW w:w="1416" w:type="dxa"/>
          </w:tcPr>
          <w:p>
            <w:pPr>
              <w:rPr>
                <w:color w:val="auto"/>
                <w:highlight w:val="none"/>
              </w:rPr>
            </w:pPr>
          </w:p>
        </w:tc>
        <w:tc>
          <w:tcPr>
            <w:tcW w:w="992" w:type="dxa"/>
          </w:tcPr>
          <w:p>
            <w:pPr>
              <w:rPr>
                <w:color w:val="auto"/>
                <w:highlight w:val="none"/>
              </w:rPr>
            </w:pPr>
          </w:p>
        </w:tc>
        <w:tc>
          <w:tcPr>
            <w:tcW w:w="729"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1" w:type="dxa"/>
          </w:tcPr>
          <w:p>
            <w:pPr>
              <w:rPr>
                <w:color w:val="auto"/>
                <w:highlight w:val="none"/>
              </w:rPr>
            </w:pPr>
          </w:p>
        </w:tc>
        <w:tc>
          <w:tcPr>
            <w:tcW w:w="1397" w:type="dxa"/>
          </w:tcPr>
          <w:p>
            <w:pPr>
              <w:rPr>
                <w:color w:val="auto"/>
                <w:highlight w:val="none"/>
              </w:rPr>
            </w:pPr>
          </w:p>
        </w:tc>
        <w:tc>
          <w:tcPr>
            <w:tcW w:w="1274" w:type="dxa"/>
          </w:tcPr>
          <w:p>
            <w:pPr>
              <w:rPr>
                <w:color w:val="auto"/>
                <w:highlight w:val="none"/>
              </w:rPr>
            </w:pPr>
          </w:p>
        </w:tc>
        <w:tc>
          <w:tcPr>
            <w:tcW w:w="851" w:type="dxa"/>
          </w:tcPr>
          <w:p>
            <w:pPr>
              <w:rPr>
                <w:color w:val="auto"/>
                <w:highlight w:val="none"/>
              </w:rPr>
            </w:pPr>
          </w:p>
        </w:tc>
        <w:tc>
          <w:tcPr>
            <w:tcW w:w="1275" w:type="dxa"/>
          </w:tcPr>
          <w:p>
            <w:pPr>
              <w:rPr>
                <w:color w:val="auto"/>
                <w:highlight w:val="none"/>
              </w:rPr>
            </w:pPr>
          </w:p>
        </w:tc>
        <w:tc>
          <w:tcPr>
            <w:tcW w:w="1416" w:type="dxa"/>
          </w:tcPr>
          <w:p>
            <w:pPr>
              <w:rPr>
                <w:color w:val="auto"/>
                <w:highlight w:val="none"/>
              </w:rPr>
            </w:pPr>
          </w:p>
        </w:tc>
        <w:tc>
          <w:tcPr>
            <w:tcW w:w="992" w:type="dxa"/>
          </w:tcPr>
          <w:p>
            <w:pPr>
              <w:rPr>
                <w:color w:val="auto"/>
                <w:highlight w:val="none"/>
              </w:rPr>
            </w:pPr>
          </w:p>
        </w:tc>
        <w:tc>
          <w:tcPr>
            <w:tcW w:w="729"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1" w:type="dxa"/>
          </w:tcPr>
          <w:p>
            <w:pPr>
              <w:rPr>
                <w:color w:val="auto"/>
                <w:highlight w:val="none"/>
              </w:rPr>
            </w:pPr>
          </w:p>
        </w:tc>
        <w:tc>
          <w:tcPr>
            <w:tcW w:w="1397" w:type="dxa"/>
          </w:tcPr>
          <w:p>
            <w:pPr>
              <w:rPr>
                <w:color w:val="auto"/>
                <w:highlight w:val="none"/>
              </w:rPr>
            </w:pPr>
          </w:p>
        </w:tc>
        <w:tc>
          <w:tcPr>
            <w:tcW w:w="1274" w:type="dxa"/>
          </w:tcPr>
          <w:p>
            <w:pPr>
              <w:rPr>
                <w:color w:val="auto"/>
                <w:highlight w:val="none"/>
              </w:rPr>
            </w:pPr>
          </w:p>
        </w:tc>
        <w:tc>
          <w:tcPr>
            <w:tcW w:w="851" w:type="dxa"/>
          </w:tcPr>
          <w:p>
            <w:pPr>
              <w:rPr>
                <w:color w:val="auto"/>
                <w:highlight w:val="none"/>
              </w:rPr>
            </w:pPr>
          </w:p>
        </w:tc>
        <w:tc>
          <w:tcPr>
            <w:tcW w:w="1275" w:type="dxa"/>
          </w:tcPr>
          <w:p>
            <w:pPr>
              <w:rPr>
                <w:color w:val="auto"/>
                <w:highlight w:val="none"/>
              </w:rPr>
            </w:pPr>
          </w:p>
        </w:tc>
        <w:tc>
          <w:tcPr>
            <w:tcW w:w="1416" w:type="dxa"/>
          </w:tcPr>
          <w:p>
            <w:pPr>
              <w:rPr>
                <w:color w:val="auto"/>
                <w:highlight w:val="none"/>
              </w:rPr>
            </w:pPr>
          </w:p>
        </w:tc>
        <w:tc>
          <w:tcPr>
            <w:tcW w:w="992" w:type="dxa"/>
          </w:tcPr>
          <w:p>
            <w:pPr>
              <w:rPr>
                <w:color w:val="auto"/>
                <w:highlight w:val="none"/>
              </w:rPr>
            </w:pPr>
          </w:p>
        </w:tc>
        <w:tc>
          <w:tcPr>
            <w:tcW w:w="729"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1" w:type="dxa"/>
          </w:tcPr>
          <w:p>
            <w:pPr>
              <w:rPr>
                <w:color w:val="auto"/>
                <w:highlight w:val="none"/>
              </w:rPr>
            </w:pPr>
          </w:p>
        </w:tc>
        <w:tc>
          <w:tcPr>
            <w:tcW w:w="1397" w:type="dxa"/>
          </w:tcPr>
          <w:p>
            <w:pPr>
              <w:rPr>
                <w:color w:val="auto"/>
                <w:highlight w:val="none"/>
              </w:rPr>
            </w:pPr>
          </w:p>
        </w:tc>
        <w:tc>
          <w:tcPr>
            <w:tcW w:w="1274" w:type="dxa"/>
          </w:tcPr>
          <w:p>
            <w:pPr>
              <w:rPr>
                <w:color w:val="auto"/>
                <w:highlight w:val="none"/>
              </w:rPr>
            </w:pPr>
          </w:p>
        </w:tc>
        <w:tc>
          <w:tcPr>
            <w:tcW w:w="851" w:type="dxa"/>
          </w:tcPr>
          <w:p>
            <w:pPr>
              <w:rPr>
                <w:color w:val="auto"/>
                <w:highlight w:val="none"/>
              </w:rPr>
            </w:pPr>
          </w:p>
        </w:tc>
        <w:tc>
          <w:tcPr>
            <w:tcW w:w="1275" w:type="dxa"/>
          </w:tcPr>
          <w:p>
            <w:pPr>
              <w:rPr>
                <w:color w:val="auto"/>
                <w:highlight w:val="none"/>
              </w:rPr>
            </w:pPr>
          </w:p>
        </w:tc>
        <w:tc>
          <w:tcPr>
            <w:tcW w:w="1416" w:type="dxa"/>
          </w:tcPr>
          <w:p>
            <w:pPr>
              <w:rPr>
                <w:color w:val="auto"/>
                <w:highlight w:val="none"/>
              </w:rPr>
            </w:pPr>
          </w:p>
        </w:tc>
        <w:tc>
          <w:tcPr>
            <w:tcW w:w="992" w:type="dxa"/>
          </w:tcPr>
          <w:p>
            <w:pPr>
              <w:rPr>
                <w:color w:val="auto"/>
                <w:highlight w:val="none"/>
              </w:rPr>
            </w:pPr>
          </w:p>
        </w:tc>
        <w:tc>
          <w:tcPr>
            <w:tcW w:w="729"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1" w:type="dxa"/>
          </w:tcPr>
          <w:p>
            <w:pPr>
              <w:rPr>
                <w:color w:val="auto"/>
                <w:highlight w:val="none"/>
              </w:rPr>
            </w:pPr>
          </w:p>
        </w:tc>
        <w:tc>
          <w:tcPr>
            <w:tcW w:w="1397" w:type="dxa"/>
          </w:tcPr>
          <w:p>
            <w:pPr>
              <w:rPr>
                <w:color w:val="auto"/>
                <w:highlight w:val="none"/>
              </w:rPr>
            </w:pPr>
          </w:p>
        </w:tc>
        <w:tc>
          <w:tcPr>
            <w:tcW w:w="1274" w:type="dxa"/>
          </w:tcPr>
          <w:p>
            <w:pPr>
              <w:rPr>
                <w:color w:val="auto"/>
                <w:highlight w:val="none"/>
              </w:rPr>
            </w:pPr>
          </w:p>
        </w:tc>
        <w:tc>
          <w:tcPr>
            <w:tcW w:w="851" w:type="dxa"/>
          </w:tcPr>
          <w:p>
            <w:pPr>
              <w:rPr>
                <w:color w:val="auto"/>
                <w:highlight w:val="none"/>
              </w:rPr>
            </w:pPr>
          </w:p>
        </w:tc>
        <w:tc>
          <w:tcPr>
            <w:tcW w:w="1275" w:type="dxa"/>
          </w:tcPr>
          <w:p>
            <w:pPr>
              <w:rPr>
                <w:color w:val="auto"/>
                <w:highlight w:val="none"/>
              </w:rPr>
            </w:pPr>
          </w:p>
        </w:tc>
        <w:tc>
          <w:tcPr>
            <w:tcW w:w="1416" w:type="dxa"/>
          </w:tcPr>
          <w:p>
            <w:pPr>
              <w:rPr>
                <w:color w:val="auto"/>
                <w:highlight w:val="none"/>
              </w:rPr>
            </w:pPr>
          </w:p>
        </w:tc>
        <w:tc>
          <w:tcPr>
            <w:tcW w:w="992" w:type="dxa"/>
          </w:tcPr>
          <w:p>
            <w:pPr>
              <w:rPr>
                <w:color w:val="auto"/>
                <w:highlight w:val="none"/>
              </w:rPr>
            </w:pPr>
          </w:p>
        </w:tc>
        <w:tc>
          <w:tcPr>
            <w:tcW w:w="729"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1" w:type="dxa"/>
          </w:tcPr>
          <w:p>
            <w:pPr>
              <w:rPr>
                <w:color w:val="auto"/>
                <w:highlight w:val="none"/>
              </w:rPr>
            </w:pPr>
          </w:p>
        </w:tc>
        <w:tc>
          <w:tcPr>
            <w:tcW w:w="1397" w:type="dxa"/>
          </w:tcPr>
          <w:p>
            <w:pPr>
              <w:rPr>
                <w:color w:val="auto"/>
                <w:highlight w:val="none"/>
              </w:rPr>
            </w:pPr>
          </w:p>
        </w:tc>
        <w:tc>
          <w:tcPr>
            <w:tcW w:w="1274" w:type="dxa"/>
          </w:tcPr>
          <w:p>
            <w:pPr>
              <w:rPr>
                <w:color w:val="auto"/>
                <w:highlight w:val="none"/>
              </w:rPr>
            </w:pPr>
          </w:p>
        </w:tc>
        <w:tc>
          <w:tcPr>
            <w:tcW w:w="851" w:type="dxa"/>
          </w:tcPr>
          <w:p>
            <w:pPr>
              <w:rPr>
                <w:color w:val="auto"/>
                <w:highlight w:val="none"/>
              </w:rPr>
            </w:pPr>
          </w:p>
        </w:tc>
        <w:tc>
          <w:tcPr>
            <w:tcW w:w="1275" w:type="dxa"/>
          </w:tcPr>
          <w:p>
            <w:pPr>
              <w:rPr>
                <w:color w:val="auto"/>
                <w:highlight w:val="none"/>
              </w:rPr>
            </w:pPr>
          </w:p>
        </w:tc>
        <w:tc>
          <w:tcPr>
            <w:tcW w:w="1416" w:type="dxa"/>
          </w:tcPr>
          <w:p>
            <w:pPr>
              <w:rPr>
                <w:color w:val="auto"/>
                <w:highlight w:val="none"/>
              </w:rPr>
            </w:pPr>
          </w:p>
        </w:tc>
        <w:tc>
          <w:tcPr>
            <w:tcW w:w="992" w:type="dxa"/>
          </w:tcPr>
          <w:p>
            <w:pPr>
              <w:rPr>
                <w:color w:val="auto"/>
                <w:highlight w:val="none"/>
              </w:rPr>
            </w:pPr>
          </w:p>
        </w:tc>
        <w:tc>
          <w:tcPr>
            <w:tcW w:w="729"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1" w:type="dxa"/>
          </w:tcPr>
          <w:p>
            <w:pPr>
              <w:rPr>
                <w:color w:val="auto"/>
                <w:highlight w:val="none"/>
              </w:rPr>
            </w:pPr>
          </w:p>
        </w:tc>
        <w:tc>
          <w:tcPr>
            <w:tcW w:w="1397" w:type="dxa"/>
          </w:tcPr>
          <w:p>
            <w:pPr>
              <w:rPr>
                <w:color w:val="auto"/>
                <w:highlight w:val="none"/>
              </w:rPr>
            </w:pPr>
          </w:p>
        </w:tc>
        <w:tc>
          <w:tcPr>
            <w:tcW w:w="1274" w:type="dxa"/>
          </w:tcPr>
          <w:p>
            <w:pPr>
              <w:rPr>
                <w:color w:val="auto"/>
                <w:highlight w:val="none"/>
              </w:rPr>
            </w:pPr>
          </w:p>
        </w:tc>
        <w:tc>
          <w:tcPr>
            <w:tcW w:w="851" w:type="dxa"/>
          </w:tcPr>
          <w:p>
            <w:pPr>
              <w:rPr>
                <w:color w:val="auto"/>
                <w:highlight w:val="none"/>
              </w:rPr>
            </w:pPr>
          </w:p>
        </w:tc>
        <w:tc>
          <w:tcPr>
            <w:tcW w:w="1275" w:type="dxa"/>
          </w:tcPr>
          <w:p>
            <w:pPr>
              <w:rPr>
                <w:color w:val="auto"/>
                <w:highlight w:val="none"/>
              </w:rPr>
            </w:pPr>
          </w:p>
        </w:tc>
        <w:tc>
          <w:tcPr>
            <w:tcW w:w="1416" w:type="dxa"/>
          </w:tcPr>
          <w:p>
            <w:pPr>
              <w:rPr>
                <w:color w:val="auto"/>
                <w:highlight w:val="none"/>
              </w:rPr>
            </w:pPr>
          </w:p>
        </w:tc>
        <w:tc>
          <w:tcPr>
            <w:tcW w:w="992" w:type="dxa"/>
          </w:tcPr>
          <w:p>
            <w:pPr>
              <w:rPr>
                <w:color w:val="auto"/>
                <w:highlight w:val="none"/>
              </w:rPr>
            </w:pPr>
          </w:p>
        </w:tc>
        <w:tc>
          <w:tcPr>
            <w:tcW w:w="729"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1" w:type="dxa"/>
          </w:tcPr>
          <w:p>
            <w:pPr>
              <w:rPr>
                <w:color w:val="auto"/>
                <w:highlight w:val="none"/>
              </w:rPr>
            </w:pPr>
          </w:p>
        </w:tc>
        <w:tc>
          <w:tcPr>
            <w:tcW w:w="1397" w:type="dxa"/>
          </w:tcPr>
          <w:p>
            <w:pPr>
              <w:rPr>
                <w:color w:val="auto"/>
                <w:highlight w:val="none"/>
              </w:rPr>
            </w:pPr>
          </w:p>
        </w:tc>
        <w:tc>
          <w:tcPr>
            <w:tcW w:w="1274" w:type="dxa"/>
          </w:tcPr>
          <w:p>
            <w:pPr>
              <w:rPr>
                <w:color w:val="auto"/>
                <w:highlight w:val="none"/>
              </w:rPr>
            </w:pPr>
          </w:p>
        </w:tc>
        <w:tc>
          <w:tcPr>
            <w:tcW w:w="851" w:type="dxa"/>
          </w:tcPr>
          <w:p>
            <w:pPr>
              <w:rPr>
                <w:color w:val="auto"/>
                <w:highlight w:val="none"/>
              </w:rPr>
            </w:pPr>
          </w:p>
        </w:tc>
        <w:tc>
          <w:tcPr>
            <w:tcW w:w="1275" w:type="dxa"/>
          </w:tcPr>
          <w:p>
            <w:pPr>
              <w:rPr>
                <w:color w:val="auto"/>
                <w:highlight w:val="none"/>
              </w:rPr>
            </w:pPr>
          </w:p>
        </w:tc>
        <w:tc>
          <w:tcPr>
            <w:tcW w:w="1416" w:type="dxa"/>
          </w:tcPr>
          <w:p>
            <w:pPr>
              <w:rPr>
                <w:color w:val="auto"/>
                <w:highlight w:val="none"/>
              </w:rPr>
            </w:pPr>
          </w:p>
        </w:tc>
        <w:tc>
          <w:tcPr>
            <w:tcW w:w="992" w:type="dxa"/>
          </w:tcPr>
          <w:p>
            <w:pPr>
              <w:rPr>
                <w:color w:val="auto"/>
                <w:highlight w:val="none"/>
              </w:rPr>
            </w:pPr>
          </w:p>
        </w:tc>
        <w:tc>
          <w:tcPr>
            <w:tcW w:w="729"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1" w:type="dxa"/>
          </w:tcPr>
          <w:p>
            <w:pPr>
              <w:rPr>
                <w:color w:val="auto"/>
                <w:highlight w:val="none"/>
              </w:rPr>
            </w:pPr>
          </w:p>
        </w:tc>
        <w:tc>
          <w:tcPr>
            <w:tcW w:w="1397" w:type="dxa"/>
          </w:tcPr>
          <w:p>
            <w:pPr>
              <w:rPr>
                <w:color w:val="auto"/>
                <w:highlight w:val="none"/>
              </w:rPr>
            </w:pPr>
          </w:p>
        </w:tc>
        <w:tc>
          <w:tcPr>
            <w:tcW w:w="1274" w:type="dxa"/>
          </w:tcPr>
          <w:p>
            <w:pPr>
              <w:rPr>
                <w:color w:val="auto"/>
                <w:highlight w:val="none"/>
              </w:rPr>
            </w:pPr>
          </w:p>
        </w:tc>
        <w:tc>
          <w:tcPr>
            <w:tcW w:w="851" w:type="dxa"/>
          </w:tcPr>
          <w:p>
            <w:pPr>
              <w:rPr>
                <w:color w:val="auto"/>
                <w:highlight w:val="none"/>
              </w:rPr>
            </w:pPr>
          </w:p>
        </w:tc>
        <w:tc>
          <w:tcPr>
            <w:tcW w:w="1275" w:type="dxa"/>
          </w:tcPr>
          <w:p>
            <w:pPr>
              <w:rPr>
                <w:color w:val="auto"/>
                <w:highlight w:val="none"/>
              </w:rPr>
            </w:pPr>
          </w:p>
        </w:tc>
        <w:tc>
          <w:tcPr>
            <w:tcW w:w="1416" w:type="dxa"/>
          </w:tcPr>
          <w:p>
            <w:pPr>
              <w:rPr>
                <w:color w:val="auto"/>
                <w:highlight w:val="none"/>
              </w:rPr>
            </w:pPr>
          </w:p>
        </w:tc>
        <w:tc>
          <w:tcPr>
            <w:tcW w:w="992" w:type="dxa"/>
          </w:tcPr>
          <w:p>
            <w:pPr>
              <w:rPr>
                <w:color w:val="auto"/>
                <w:highlight w:val="none"/>
              </w:rPr>
            </w:pPr>
          </w:p>
        </w:tc>
        <w:tc>
          <w:tcPr>
            <w:tcW w:w="729"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1" w:type="dxa"/>
          </w:tcPr>
          <w:p>
            <w:pPr>
              <w:rPr>
                <w:color w:val="auto"/>
                <w:highlight w:val="none"/>
              </w:rPr>
            </w:pPr>
          </w:p>
        </w:tc>
        <w:tc>
          <w:tcPr>
            <w:tcW w:w="1397" w:type="dxa"/>
          </w:tcPr>
          <w:p>
            <w:pPr>
              <w:rPr>
                <w:color w:val="auto"/>
                <w:highlight w:val="none"/>
              </w:rPr>
            </w:pPr>
          </w:p>
        </w:tc>
        <w:tc>
          <w:tcPr>
            <w:tcW w:w="1274" w:type="dxa"/>
          </w:tcPr>
          <w:p>
            <w:pPr>
              <w:rPr>
                <w:color w:val="auto"/>
                <w:highlight w:val="none"/>
              </w:rPr>
            </w:pPr>
          </w:p>
        </w:tc>
        <w:tc>
          <w:tcPr>
            <w:tcW w:w="851" w:type="dxa"/>
          </w:tcPr>
          <w:p>
            <w:pPr>
              <w:rPr>
                <w:color w:val="auto"/>
                <w:highlight w:val="none"/>
              </w:rPr>
            </w:pPr>
          </w:p>
        </w:tc>
        <w:tc>
          <w:tcPr>
            <w:tcW w:w="1275" w:type="dxa"/>
          </w:tcPr>
          <w:p>
            <w:pPr>
              <w:rPr>
                <w:color w:val="auto"/>
                <w:highlight w:val="none"/>
              </w:rPr>
            </w:pPr>
          </w:p>
        </w:tc>
        <w:tc>
          <w:tcPr>
            <w:tcW w:w="1416" w:type="dxa"/>
          </w:tcPr>
          <w:p>
            <w:pPr>
              <w:rPr>
                <w:color w:val="auto"/>
                <w:highlight w:val="none"/>
              </w:rPr>
            </w:pPr>
          </w:p>
        </w:tc>
        <w:tc>
          <w:tcPr>
            <w:tcW w:w="992" w:type="dxa"/>
          </w:tcPr>
          <w:p>
            <w:pPr>
              <w:rPr>
                <w:color w:val="auto"/>
                <w:highlight w:val="none"/>
              </w:rPr>
            </w:pPr>
          </w:p>
        </w:tc>
        <w:tc>
          <w:tcPr>
            <w:tcW w:w="729"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41" w:type="dxa"/>
          </w:tcPr>
          <w:p>
            <w:pPr>
              <w:rPr>
                <w:color w:val="auto"/>
                <w:highlight w:val="none"/>
              </w:rPr>
            </w:pPr>
          </w:p>
        </w:tc>
        <w:tc>
          <w:tcPr>
            <w:tcW w:w="1397" w:type="dxa"/>
          </w:tcPr>
          <w:p>
            <w:pPr>
              <w:rPr>
                <w:color w:val="auto"/>
                <w:highlight w:val="none"/>
              </w:rPr>
            </w:pPr>
          </w:p>
        </w:tc>
        <w:tc>
          <w:tcPr>
            <w:tcW w:w="1274" w:type="dxa"/>
          </w:tcPr>
          <w:p>
            <w:pPr>
              <w:rPr>
                <w:color w:val="auto"/>
                <w:highlight w:val="none"/>
              </w:rPr>
            </w:pPr>
          </w:p>
        </w:tc>
        <w:tc>
          <w:tcPr>
            <w:tcW w:w="851" w:type="dxa"/>
          </w:tcPr>
          <w:p>
            <w:pPr>
              <w:rPr>
                <w:color w:val="auto"/>
                <w:highlight w:val="none"/>
              </w:rPr>
            </w:pPr>
          </w:p>
        </w:tc>
        <w:tc>
          <w:tcPr>
            <w:tcW w:w="1275" w:type="dxa"/>
          </w:tcPr>
          <w:p>
            <w:pPr>
              <w:rPr>
                <w:color w:val="auto"/>
                <w:highlight w:val="none"/>
              </w:rPr>
            </w:pPr>
          </w:p>
        </w:tc>
        <w:tc>
          <w:tcPr>
            <w:tcW w:w="1416" w:type="dxa"/>
          </w:tcPr>
          <w:p>
            <w:pPr>
              <w:rPr>
                <w:color w:val="auto"/>
                <w:highlight w:val="none"/>
              </w:rPr>
            </w:pPr>
          </w:p>
        </w:tc>
        <w:tc>
          <w:tcPr>
            <w:tcW w:w="992" w:type="dxa"/>
          </w:tcPr>
          <w:p>
            <w:pPr>
              <w:rPr>
                <w:color w:val="auto"/>
                <w:highlight w:val="none"/>
              </w:rPr>
            </w:pPr>
          </w:p>
        </w:tc>
        <w:tc>
          <w:tcPr>
            <w:tcW w:w="729"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1" w:type="dxa"/>
          </w:tcPr>
          <w:p>
            <w:pPr>
              <w:rPr>
                <w:color w:val="auto"/>
                <w:highlight w:val="none"/>
              </w:rPr>
            </w:pPr>
          </w:p>
        </w:tc>
        <w:tc>
          <w:tcPr>
            <w:tcW w:w="1397" w:type="dxa"/>
          </w:tcPr>
          <w:p>
            <w:pPr>
              <w:rPr>
                <w:color w:val="auto"/>
                <w:highlight w:val="none"/>
              </w:rPr>
            </w:pPr>
          </w:p>
        </w:tc>
        <w:tc>
          <w:tcPr>
            <w:tcW w:w="1274" w:type="dxa"/>
          </w:tcPr>
          <w:p>
            <w:pPr>
              <w:rPr>
                <w:color w:val="auto"/>
                <w:highlight w:val="none"/>
              </w:rPr>
            </w:pPr>
          </w:p>
        </w:tc>
        <w:tc>
          <w:tcPr>
            <w:tcW w:w="851" w:type="dxa"/>
          </w:tcPr>
          <w:p>
            <w:pPr>
              <w:rPr>
                <w:color w:val="auto"/>
                <w:highlight w:val="none"/>
              </w:rPr>
            </w:pPr>
          </w:p>
        </w:tc>
        <w:tc>
          <w:tcPr>
            <w:tcW w:w="1275" w:type="dxa"/>
          </w:tcPr>
          <w:p>
            <w:pPr>
              <w:rPr>
                <w:color w:val="auto"/>
                <w:highlight w:val="none"/>
              </w:rPr>
            </w:pPr>
          </w:p>
        </w:tc>
        <w:tc>
          <w:tcPr>
            <w:tcW w:w="1416" w:type="dxa"/>
          </w:tcPr>
          <w:p>
            <w:pPr>
              <w:rPr>
                <w:color w:val="auto"/>
                <w:highlight w:val="none"/>
              </w:rPr>
            </w:pPr>
          </w:p>
        </w:tc>
        <w:tc>
          <w:tcPr>
            <w:tcW w:w="992" w:type="dxa"/>
          </w:tcPr>
          <w:p>
            <w:pPr>
              <w:rPr>
                <w:color w:val="auto"/>
                <w:highlight w:val="none"/>
              </w:rPr>
            </w:pPr>
          </w:p>
        </w:tc>
        <w:tc>
          <w:tcPr>
            <w:tcW w:w="729"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841" w:type="dxa"/>
          </w:tcPr>
          <w:p>
            <w:pPr>
              <w:rPr>
                <w:color w:val="auto"/>
                <w:highlight w:val="none"/>
              </w:rPr>
            </w:pPr>
          </w:p>
        </w:tc>
        <w:tc>
          <w:tcPr>
            <w:tcW w:w="1397" w:type="dxa"/>
          </w:tcPr>
          <w:p>
            <w:pPr>
              <w:rPr>
                <w:color w:val="auto"/>
                <w:highlight w:val="none"/>
              </w:rPr>
            </w:pPr>
          </w:p>
        </w:tc>
        <w:tc>
          <w:tcPr>
            <w:tcW w:w="1274" w:type="dxa"/>
          </w:tcPr>
          <w:p>
            <w:pPr>
              <w:rPr>
                <w:color w:val="auto"/>
                <w:highlight w:val="none"/>
              </w:rPr>
            </w:pPr>
          </w:p>
        </w:tc>
        <w:tc>
          <w:tcPr>
            <w:tcW w:w="851" w:type="dxa"/>
          </w:tcPr>
          <w:p>
            <w:pPr>
              <w:rPr>
                <w:color w:val="auto"/>
                <w:highlight w:val="none"/>
              </w:rPr>
            </w:pPr>
          </w:p>
        </w:tc>
        <w:tc>
          <w:tcPr>
            <w:tcW w:w="1275" w:type="dxa"/>
          </w:tcPr>
          <w:p>
            <w:pPr>
              <w:rPr>
                <w:color w:val="auto"/>
                <w:highlight w:val="none"/>
              </w:rPr>
            </w:pPr>
          </w:p>
        </w:tc>
        <w:tc>
          <w:tcPr>
            <w:tcW w:w="1416" w:type="dxa"/>
          </w:tcPr>
          <w:p>
            <w:pPr>
              <w:rPr>
                <w:color w:val="auto"/>
                <w:highlight w:val="none"/>
              </w:rPr>
            </w:pPr>
          </w:p>
        </w:tc>
        <w:tc>
          <w:tcPr>
            <w:tcW w:w="992" w:type="dxa"/>
          </w:tcPr>
          <w:p>
            <w:pPr>
              <w:rPr>
                <w:color w:val="auto"/>
                <w:highlight w:val="none"/>
              </w:rPr>
            </w:pPr>
          </w:p>
        </w:tc>
        <w:tc>
          <w:tcPr>
            <w:tcW w:w="729" w:type="dxa"/>
          </w:tcPr>
          <w:p>
            <w:pPr>
              <w:rPr>
                <w:color w:val="auto"/>
                <w:highlight w:val="none"/>
              </w:rPr>
            </w:pPr>
          </w:p>
        </w:tc>
      </w:tr>
    </w:tbl>
    <w:p>
      <w:pPr>
        <w:pStyle w:val="5"/>
        <w:pageBreakBefore/>
        <w:outlineLvl w:val="1"/>
        <w:rPr>
          <w:color w:val="auto"/>
          <w:highlight w:val="none"/>
          <w:lang w:eastAsia="zh-CN"/>
        </w:rPr>
      </w:pPr>
      <w:r>
        <w:rPr>
          <w:rFonts w:hint="eastAsia"/>
          <w:color w:val="auto"/>
          <w:highlight w:val="none"/>
          <w:lang w:eastAsia="zh-CN"/>
        </w:rPr>
        <w:t>（九）中小企业声明函（工程、服务）</w:t>
      </w: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 </w:t>
      </w:r>
    </w:p>
    <w:p>
      <w:pPr>
        <w:kinsoku/>
        <w:autoSpaceDE/>
        <w:autoSpaceDN/>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bidi="ar"/>
        </w:rPr>
        <w:t>本公司</w:t>
      </w:r>
      <w:r>
        <w:rPr>
          <w:rFonts w:hint="eastAsia" w:asciiTheme="minorEastAsia" w:hAnsiTheme="minorEastAsia" w:eastAsiaTheme="minorEastAsia" w:cstheme="minorEastAsia"/>
          <w:color w:val="auto"/>
          <w:sz w:val="24"/>
          <w:szCs w:val="24"/>
          <w:highlight w:val="none"/>
          <w:u w:val="single"/>
          <w:lang w:eastAsia="zh-CN" w:bidi="ar"/>
        </w:rPr>
        <w:t xml:space="preserve">                 </w:t>
      </w:r>
      <w:r>
        <w:rPr>
          <w:rFonts w:hint="eastAsia" w:asciiTheme="minorEastAsia" w:hAnsiTheme="minorEastAsia" w:eastAsiaTheme="minorEastAsia" w:cstheme="minorEastAsia"/>
          <w:color w:val="auto"/>
          <w:sz w:val="24"/>
          <w:szCs w:val="24"/>
          <w:highlight w:val="none"/>
          <w:lang w:eastAsia="zh-CN" w:bidi="ar"/>
        </w:rPr>
        <w:t>郑重声明，根据《政府采购促进中小企业发展管理办法》(财库(2020)46号)的规定，本公司</w:t>
      </w:r>
      <w:r>
        <w:rPr>
          <w:rFonts w:hint="eastAsia" w:asciiTheme="minorEastAsia" w:hAnsiTheme="minorEastAsia" w:eastAsiaTheme="minorEastAsia" w:cstheme="minorEastAsia"/>
          <w:color w:val="auto"/>
          <w:sz w:val="24"/>
          <w:szCs w:val="24"/>
          <w:highlight w:val="none"/>
          <w:u w:val="single"/>
          <w:lang w:eastAsia="zh-CN" w:bidi="ar"/>
        </w:rPr>
        <w:t xml:space="preserve">             </w:t>
      </w:r>
      <w:r>
        <w:rPr>
          <w:rFonts w:hint="eastAsia" w:asciiTheme="minorEastAsia" w:hAnsiTheme="minorEastAsia" w:eastAsiaTheme="minorEastAsia" w:cstheme="minorEastAsia"/>
          <w:color w:val="auto"/>
          <w:sz w:val="24"/>
          <w:szCs w:val="24"/>
          <w:highlight w:val="none"/>
          <w:lang w:eastAsia="zh-CN" w:bidi="ar"/>
        </w:rPr>
        <w:t>参加</w:t>
      </w:r>
      <w:r>
        <w:rPr>
          <w:rFonts w:hint="eastAsia" w:asciiTheme="minorEastAsia" w:hAnsiTheme="minorEastAsia" w:eastAsiaTheme="minorEastAsia" w:cstheme="minorEastAsia"/>
          <w:color w:val="auto"/>
          <w:sz w:val="24"/>
          <w:szCs w:val="24"/>
          <w:highlight w:val="none"/>
          <w:u w:val="single"/>
          <w:lang w:eastAsia="zh-CN" w:bidi="ar"/>
        </w:rPr>
        <w:t xml:space="preserve">        </w:t>
      </w:r>
      <w:r>
        <w:rPr>
          <w:rFonts w:hint="eastAsia" w:asciiTheme="minorEastAsia" w:hAnsiTheme="minorEastAsia" w:eastAsiaTheme="minorEastAsia" w:cstheme="minorEastAsia"/>
          <w:color w:val="auto"/>
          <w:sz w:val="24"/>
          <w:szCs w:val="24"/>
          <w:highlight w:val="none"/>
          <w:lang w:eastAsia="zh-CN" w:bidi="ar"/>
        </w:rPr>
        <w:t>(单位名称) 的</w:t>
      </w:r>
      <w:r>
        <w:rPr>
          <w:rFonts w:hint="eastAsia" w:asciiTheme="minorEastAsia" w:hAnsiTheme="minorEastAsia" w:eastAsiaTheme="minorEastAsia" w:cstheme="minorEastAsia"/>
          <w:color w:val="auto"/>
          <w:sz w:val="24"/>
          <w:szCs w:val="24"/>
          <w:highlight w:val="none"/>
          <w:u w:val="single"/>
          <w:lang w:eastAsia="zh-CN" w:bidi="ar"/>
        </w:rPr>
        <w:t xml:space="preserve">           </w:t>
      </w:r>
      <w:r>
        <w:rPr>
          <w:rFonts w:hint="eastAsia" w:asciiTheme="minorEastAsia" w:hAnsiTheme="minorEastAsia" w:eastAsiaTheme="minorEastAsia" w:cstheme="minorEastAsia"/>
          <w:color w:val="auto"/>
          <w:sz w:val="24"/>
          <w:szCs w:val="24"/>
          <w:highlight w:val="none"/>
          <w:lang w:eastAsia="zh-CN" w:bidi="ar"/>
        </w:rPr>
        <w:t xml:space="preserve">(项目名称)采购活动，工程的施工单位全部为符合政策要求的中小企业(或者:服务全部由符合政策要求的中小企业承接)。相关企业的具体情况如下: </w:t>
      </w:r>
    </w:p>
    <w:p>
      <w:pPr>
        <w:kinsoku/>
        <w:autoSpaceDE/>
        <w:autoSpaceDN/>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z w:val="24"/>
          <w:szCs w:val="24"/>
          <w:highlight w:val="none"/>
          <w:lang w:eastAsia="zh-CN" w:bidi="ar"/>
        </w:rPr>
        <w:t xml:space="preserve">1. </w:t>
      </w:r>
      <w:r>
        <w:rPr>
          <w:rFonts w:hint="eastAsia" w:asciiTheme="minorEastAsia" w:hAnsiTheme="minorEastAsia" w:eastAsiaTheme="minorEastAsia" w:cstheme="minorEastAsia"/>
          <w:color w:val="auto"/>
          <w:sz w:val="24"/>
          <w:szCs w:val="24"/>
          <w:highlight w:val="none"/>
          <w:u w:val="single"/>
          <w:lang w:eastAsia="zh-CN" w:bidi="ar"/>
        </w:rPr>
        <w:t xml:space="preserve">         </w:t>
      </w:r>
      <w:r>
        <w:rPr>
          <w:rFonts w:hint="eastAsia" w:asciiTheme="minorEastAsia" w:hAnsiTheme="minorEastAsia" w:eastAsiaTheme="minorEastAsia" w:cstheme="minorEastAsia"/>
          <w:color w:val="auto"/>
          <w:sz w:val="24"/>
          <w:szCs w:val="24"/>
          <w:highlight w:val="none"/>
          <w:lang w:eastAsia="zh-CN" w:bidi="ar"/>
        </w:rPr>
        <w:t>(标的名称)，属于</w:t>
      </w:r>
      <w:r>
        <w:rPr>
          <w:rFonts w:hint="eastAsia" w:asciiTheme="minorEastAsia" w:hAnsiTheme="minorEastAsia" w:eastAsiaTheme="minorEastAsia" w:cstheme="minorEastAsia"/>
          <w:b/>
          <w:bCs/>
          <w:color w:val="auto"/>
          <w:sz w:val="24"/>
          <w:szCs w:val="24"/>
          <w:highlight w:val="none"/>
          <w:u w:val="single"/>
          <w:lang w:eastAsia="zh-CN" w:bidi="ar"/>
        </w:rPr>
        <w:t>建筑业</w:t>
      </w:r>
      <w:r>
        <w:rPr>
          <w:rFonts w:hint="eastAsia" w:asciiTheme="minorEastAsia" w:hAnsiTheme="minorEastAsia" w:eastAsiaTheme="minorEastAsia" w:cstheme="minorEastAsia"/>
          <w:color w:val="auto"/>
          <w:sz w:val="24"/>
          <w:szCs w:val="24"/>
          <w:highlight w:val="none"/>
          <w:lang w:eastAsia="zh-CN" w:bidi="ar"/>
        </w:rPr>
        <w:t>(采购文件中明确的所属行业);承建(承接)企业为</w:t>
      </w:r>
      <w:r>
        <w:rPr>
          <w:rFonts w:hint="eastAsia" w:asciiTheme="minorEastAsia" w:hAnsiTheme="minorEastAsia" w:eastAsiaTheme="minorEastAsia" w:cstheme="minorEastAsia"/>
          <w:color w:val="auto"/>
          <w:sz w:val="24"/>
          <w:szCs w:val="24"/>
          <w:highlight w:val="none"/>
          <w:u w:val="single"/>
          <w:lang w:eastAsia="zh-CN" w:bidi="ar"/>
        </w:rPr>
        <w:t xml:space="preserve">          </w:t>
      </w:r>
      <w:r>
        <w:rPr>
          <w:rFonts w:hint="eastAsia" w:asciiTheme="minorEastAsia" w:hAnsiTheme="minorEastAsia" w:eastAsiaTheme="minorEastAsia" w:cstheme="minorEastAsia"/>
          <w:color w:val="auto"/>
          <w:sz w:val="24"/>
          <w:szCs w:val="24"/>
          <w:highlight w:val="none"/>
          <w:lang w:eastAsia="zh-CN" w:bidi="ar"/>
        </w:rPr>
        <w:t>(企业名称)，从业人员</w:t>
      </w:r>
      <w:r>
        <w:rPr>
          <w:rFonts w:hint="eastAsia" w:asciiTheme="minorEastAsia" w:hAnsiTheme="minorEastAsia" w:eastAsiaTheme="minorEastAsia" w:cstheme="minorEastAsia"/>
          <w:color w:val="auto"/>
          <w:sz w:val="24"/>
          <w:szCs w:val="24"/>
          <w:highlight w:val="none"/>
          <w:u w:val="single"/>
          <w:lang w:eastAsia="zh-CN" w:bidi="ar"/>
        </w:rPr>
        <w:t xml:space="preserve">     </w:t>
      </w:r>
      <w:r>
        <w:rPr>
          <w:rFonts w:hint="eastAsia" w:asciiTheme="minorEastAsia" w:hAnsiTheme="minorEastAsia" w:eastAsiaTheme="minorEastAsia" w:cstheme="minorEastAsia"/>
          <w:color w:val="auto"/>
          <w:sz w:val="24"/>
          <w:szCs w:val="24"/>
          <w:highlight w:val="none"/>
          <w:lang w:eastAsia="zh-CN" w:bidi="ar"/>
        </w:rPr>
        <w:t>人，营业收入为</w:t>
      </w:r>
      <w:r>
        <w:rPr>
          <w:rFonts w:hint="eastAsia" w:asciiTheme="minorEastAsia" w:hAnsiTheme="minorEastAsia" w:eastAsiaTheme="minorEastAsia" w:cstheme="minorEastAsia"/>
          <w:color w:val="auto"/>
          <w:sz w:val="24"/>
          <w:szCs w:val="24"/>
          <w:highlight w:val="none"/>
          <w:u w:val="single"/>
          <w:lang w:eastAsia="zh-CN" w:bidi="ar"/>
        </w:rPr>
        <w:t xml:space="preserve">     </w:t>
      </w:r>
      <w:r>
        <w:rPr>
          <w:rFonts w:hint="eastAsia" w:asciiTheme="minorEastAsia" w:hAnsiTheme="minorEastAsia" w:eastAsiaTheme="minorEastAsia" w:cstheme="minorEastAsia"/>
          <w:color w:val="auto"/>
          <w:sz w:val="24"/>
          <w:szCs w:val="24"/>
          <w:highlight w:val="none"/>
          <w:lang w:eastAsia="zh-CN" w:bidi="ar"/>
        </w:rPr>
        <w:t>万元，资产总额为</w:t>
      </w:r>
      <w:r>
        <w:rPr>
          <w:rFonts w:hint="eastAsia" w:asciiTheme="minorEastAsia" w:hAnsiTheme="minorEastAsia" w:eastAsiaTheme="minorEastAsia" w:cstheme="minorEastAsia"/>
          <w:color w:val="auto"/>
          <w:sz w:val="24"/>
          <w:szCs w:val="24"/>
          <w:highlight w:val="none"/>
          <w:u w:val="single"/>
          <w:lang w:eastAsia="zh-CN" w:bidi="ar"/>
        </w:rPr>
        <w:t xml:space="preserve">     </w:t>
      </w:r>
      <w:r>
        <w:rPr>
          <w:rFonts w:hint="eastAsia" w:asciiTheme="minorEastAsia" w:hAnsiTheme="minorEastAsia" w:eastAsiaTheme="minorEastAsia" w:cstheme="minorEastAsia"/>
          <w:color w:val="auto"/>
          <w:sz w:val="24"/>
          <w:szCs w:val="24"/>
          <w:highlight w:val="none"/>
          <w:lang w:eastAsia="zh-CN" w:bidi="ar"/>
        </w:rPr>
        <w:t xml:space="preserve"> 万元，属于</w:t>
      </w:r>
      <w:r>
        <w:rPr>
          <w:rFonts w:hint="eastAsia" w:asciiTheme="minorEastAsia" w:hAnsiTheme="minorEastAsia" w:eastAsiaTheme="minorEastAsia" w:cstheme="minorEastAsia"/>
          <w:color w:val="auto"/>
          <w:sz w:val="24"/>
          <w:szCs w:val="24"/>
          <w:highlight w:val="none"/>
          <w:u w:val="single"/>
          <w:lang w:eastAsia="zh-CN" w:bidi="ar"/>
        </w:rPr>
        <w:t xml:space="preserve">    (中型企业、小型企业、微型企业); </w:t>
      </w:r>
    </w:p>
    <w:p>
      <w:pPr>
        <w:kinsoku/>
        <w:autoSpaceDE/>
        <w:autoSpaceDN/>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bidi="ar"/>
        </w:rPr>
        <w:t xml:space="preserve">2.  </w:t>
      </w:r>
      <w:r>
        <w:rPr>
          <w:rFonts w:hint="eastAsia" w:asciiTheme="minorEastAsia" w:hAnsiTheme="minorEastAsia" w:eastAsiaTheme="minorEastAsia" w:cstheme="minorEastAsia"/>
          <w:color w:val="auto"/>
          <w:sz w:val="24"/>
          <w:szCs w:val="24"/>
          <w:highlight w:val="none"/>
          <w:u w:val="single"/>
          <w:lang w:eastAsia="zh-CN" w:bidi="ar"/>
        </w:rPr>
        <w:t xml:space="preserve">        </w:t>
      </w:r>
      <w:r>
        <w:rPr>
          <w:rFonts w:hint="eastAsia" w:asciiTheme="minorEastAsia" w:hAnsiTheme="minorEastAsia" w:eastAsiaTheme="minorEastAsia" w:cstheme="minorEastAsia"/>
          <w:color w:val="auto"/>
          <w:sz w:val="24"/>
          <w:szCs w:val="24"/>
          <w:highlight w:val="none"/>
          <w:lang w:eastAsia="zh-CN" w:bidi="ar"/>
        </w:rPr>
        <w:t>(标的名称)，属于</w:t>
      </w:r>
      <w:r>
        <w:rPr>
          <w:rFonts w:hint="eastAsia" w:asciiTheme="minorEastAsia" w:hAnsiTheme="minorEastAsia" w:eastAsiaTheme="minorEastAsia" w:cstheme="minorEastAsia"/>
          <w:color w:val="auto"/>
          <w:sz w:val="24"/>
          <w:szCs w:val="24"/>
          <w:highlight w:val="none"/>
          <w:u w:val="single"/>
          <w:lang w:eastAsia="zh-CN" w:bidi="ar"/>
        </w:rPr>
        <w:t xml:space="preserve">            </w:t>
      </w:r>
      <w:r>
        <w:rPr>
          <w:rFonts w:hint="eastAsia" w:asciiTheme="minorEastAsia" w:hAnsiTheme="minorEastAsia" w:eastAsiaTheme="minorEastAsia" w:cstheme="minorEastAsia"/>
          <w:color w:val="auto"/>
          <w:sz w:val="24"/>
          <w:szCs w:val="24"/>
          <w:highlight w:val="none"/>
          <w:lang w:eastAsia="zh-CN" w:bidi="ar"/>
        </w:rPr>
        <w:t xml:space="preserve"> (采购文件中明确的所属行业)；承建(承接)企业为</w:t>
      </w:r>
      <w:r>
        <w:rPr>
          <w:rFonts w:hint="eastAsia" w:asciiTheme="minorEastAsia" w:hAnsiTheme="minorEastAsia" w:eastAsiaTheme="minorEastAsia" w:cstheme="minorEastAsia"/>
          <w:color w:val="auto"/>
          <w:sz w:val="24"/>
          <w:szCs w:val="24"/>
          <w:highlight w:val="none"/>
          <w:u w:val="single"/>
          <w:lang w:eastAsia="zh-CN" w:bidi="ar"/>
        </w:rPr>
        <w:t xml:space="preserve">          </w:t>
      </w:r>
      <w:r>
        <w:rPr>
          <w:rFonts w:hint="eastAsia" w:asciiTheme="minorEastAsia" w:hAnsiTheme="minorEastAsia" w:eastAsiaTheme="minorEastAsia" w:cstheme="minorEastAsia"/>
          <w:color w:val="auto"/>
          <w:sz w:val="24"/>
          <w:szCs w:val="24"/>
          <w:highlight w:val="none"/>
          <w:lang w:eastAsia="zh-CN" w:bidi="ar"/>
        </w:rPr>
        <w:t>(企业名称)，从业人员</w:t>
      </w:r>
      <w:r>
        <w:rPr>
          <w:rFonts w:hint="eastAsia" w:asciiTheme="minorEastAsia" w:hAnsiTheme="minorEastAsia" w:eastAsiaTheme="minorEastAsia" w:cstheme="minorEastAsia"/>
          <w:color w:val="auto"/>
          <w:sz w:val="24"/>
          <w:szCs w:val="24"/>
          <w:highlight w:val="none"/>
          <w:u w:val="single"/>
          <w:lang w:eastAsia="zh-CN" w:bidi="ar"/>
        </w:rPr>
        <w:t xml:space="preserve">     </w:t>
      </w:r>
      <w:r>
        <w:rPr>
          <w:rFonts w:hint="eastAsia" w:asciiTheme="minorEastAsia" w:hAnsiTheme="minorEastAsia" w:eastAsiaTheme="minorEastAsia" w:cstheme="minorEastAsia"/>
          <w:color w:val="auto"/>
          <w:sz w:val="24"/>
          <w:szCs w:val="24"/>
          <w:highlight w:val="none"/>
          <w:lang w:eastAsia="zh-CN" w:bidi="ar"/>
        </w:rPr>
        <w:t>人，营业收入为</w:t>
      </w:r>
      <w:r>
        <w:rPr>
          <w:rFonts w:hint="eastAsia" w:asciiTheme="minorEastAsia" w:hAnsiTheme="minorEastAsia" w:eastAsiaTheme="minorEastAsia" w:cstheme="minorEastAsia"/>
          <w:color w:val="auto"/>
          <w:sz w:val="24"/>
          <w:szCs w:val="24"/>
          <w:highlight w:val="none"/>
          <w:u w:val="single"/>
          <w:lang w:eastAsia="zh-CN" w:bidi="ar"/>
        </w:rPr>
        <w:t xml:space="preserve">    </w:t>
      </w:r>
      <w:r>
        <w:rPr>
          <w:rFonts w:hint="eastAsia" w:asciiTheme="minorEastAsia" w:hAnsiTheme="minorEastAsia" w:eastAsiaTheme="minorEastAsia" w:cstheme="minorEastAsia"/>
          <w:color w:val="auto"/>
          <w:sz w:val="24"/>
          <w:szCs w:val="24"/>
          <w:highlight w:val="none"/>
          <w:lang w:eastAsia="zh-CN" w:bidi="ar"/>
        </w:rPr>
        <w:t>万元，资产总额为</w:t>
      </w:r>
      <w:r>
        <w:rPr>
          <w:rFonts w:hint="eastAsia" w:asciiTheme="minorEastAsia" w:hAnsiTheme="minorEastAsia" w:eastAsiaTheme="minorEastAsia" w:cstheme="minorEastAsia"/>
          <w:color w:val="auto"/>
          <w:sz w:val="24"/>
          <w:szCs w:val="24"/>
          <w:highlight w:val="none"/>
          <w:u w:val="single"/>
          <w:lang w:eastAsia="zh-CN" w:bidi="ar"/>
        </w:rPr>
        <w:t xml:space="preserve">     </w:t>
      </w:r>
      <w:r>
        <w:rPr>
          <w:rFonts w:hint="eastAsia" w:asciiTheme="minorEastAsia" w:hAnsiTheme="minorEastAsia" w:eastAsiaTheme="minorEastAsia" w:cstheme="minorEastAsia"/>
          <w:color w:val="auto"/>
          <w:sz w:val="24"/>
          <w:szCs w:val="24"/>
          <w:highlight w:val="none"/>
          <w:lang w:eastAsia="zh-CN" w:bidi="ar"/>
        </w:rPr>
        <w:t>万元，属于</w:t>
      </w:r>
      <w:r>
        <w:rPr>
          <w:rFonts w:hint="eastAsia" w:asciiTheme="minorEastAsia" w:hAnsiTheme="minorEastAsia" w:eastAsiaTheme="minorEastAsia" w:cstheme="minorEastAsia"/>
          <w:color w:val="auto"/>
          <w:sz w:val="24"/>
          <w:szCs w:val="24"/>
          <w:highlight w:val="none"/>
          <w:u w:val="single"/>
          <w:lang w:eastAsia="zh-CN" w:bidi="ar"/>
        </w:rPr>
        <w:t xml:space="preserve">   (中型企业、小型企业、微型企业)；</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bidi="ar"/>
        </w:rPr>
        <w:t>……</w:t>
      </w:r>
    </w:p>
    <w:p>
      <w:pPr>
        <w:kinsoku/>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bidi="ar"/>
        </w:rPr>
        <w:t xml:space="preserve">以上企业，不属于大企业的分支机构，不存在控股股东为大企业的情形，也不存在与大企业的负责人为同一人的情形。本企业对上述声明内容的真实性负责。如有虚假，将依法承担相应责任。 </w:t>
      </w:r>
    </w:p>
    <w:p>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p>
    <w:p>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bidi="ar"/>
        </w:rPr>
        <w:t xml:space="preserve">企业名称（盖章）： </w:t>
      </w:r>
    </w:p>
    <w:p>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bidi="ar"/>
        </w:rPr>
      </w:pPr>
      <w:r>
        <w:rPr>
          <w:rFonts w:hint="eastAsia" w:asciiTheme="minorEastAsia" w:hAnsiTheme="minorEastAsia" w:eastAsiaTheme="minorEastAsia" w:cstheme="minorEastAsia"/>
          <w:color w:val="auto"/>
          <w:sz w:val="24"/>
          <w:szCs w:val="24"/>
          <w:highlight w:val="none"/>
          <w:lang w:eastAsia="zh-CN" w:bidi="ar"/>
        </w:rPr>
        <w:t>日 期：</w:t>
      </w:r>
    </w:p>
    <w:p>
      <w:pPr>
        <w:pStyle w:val="45"/>
        <w:spacing w:before="48" w:after="48"/>
        <w:ind w:firstLine="480"/>
        <w:rPr>
          <w:color w:val="auto"/>
          <w:highlight w:val="none"/>
          <w:lang w:eastAsia="zh-CN" w:bidi="ar"/>
        </w:rPr>
      </w:pPr>
    </w:p>
    <w:p>
      <w:pPr>
        <w:spacing w:before="120" w:beforeLines="50" w:after="120" w:afterLines="50" w:line="360" w:lineRule="auto"/>
        <w:rPr>
          <w:rFonts w:hint="eastAsia" w:asciiTheme="minorEastAsia" w:hAnsiTheme="minorEastAsia" w:eastAsiaTheme="minorEastAsia" w:cstheme="minorEastAsia"/>
          <w:color w:val="auto"/>
          <w:spacing w:val="-1"/>
          <w:highlight w:val="none"/>
          <w:lang w:eastAsia="zh-CN"/>
        </w:rPr>
      </w:pPr>
      <w:r>
        <w:rPr>
          <w:rFonts w:hint="eastAsia" w:asciiTheme="minorEastAsia" w:hAnsiTheme="minorEastAsia" w:eastAsiaTheme="minorEastAsia" w:cstheme="minorEastAsia"/>
          <w:color w:val="auto"/>
          <w:spacing w:val="-1"/>
          <w:highlight w:val="none"/>
          <w:lang w:eastAsia="zh-CN"/>
        </w:rPr>
        <w:t>注：1、从业人员、营业收入、资产总额填报上一年度数据，无上一年度数据的新成立企业可不填报。</w:t>
      </w:r>
    </w:p>
    <w:p>
      <w:pPr>
        <w:spacing w:before="120" w:beforeLines="50" w:after="120" w:afterLines="50" w:line="360" w:lineRule="auto"/>
        <w:rPr>
          <w:rFonts w:ascii="宋体" w:hAnsi="宋体" w:cs="仿宋"/>
          <w:color w:val="auto"/>
          <w:spacing w:val="-1"/>
          <w:sz w:val="22"/>
          <w:szCs w:val="22"/>
          <w:highlight w:val="none"/>
          <w:lang w:eastAsia="zh-CN"/>
        </w:rPr>
      </w:pPr>
      <w:r>
        <w:rPr>
          <w:rFonts w:hint="eastAsia" w:asciiTheme="minorEastAsia" w:hAnsiTheme="minorEastAsia" w:eastAsiaTheme="minorEastAsia" w:cstheme="minorEastAsia"/>
          <w:color w:val="auto"/>
          <w:spacing w:val="-1"/>
          <w:highlight w:val="none"/>
          <w:lang w:eastAsia="zh-CN"/>
        </w:rPr>
        <w:t xml:space="preserve">    2、本项目为服务采购，只依据服务的承接商判定供应商是否为中小企业，不对其中涉及的货物的制造商作出要求。</w:t>
      </w:r>
    </w:p>
    <w:p>
      <w:pPr>
        <w:kinsoku/>
        <w:autoSpaceDE/>
        <w:autoSpaceDN/>
        <w:adjustRightInd/>
        <w:snapToGrid/>
        <w:textAlignment w:val="auto"/>
        <w:rPr>
          <w:rFonts w:hint="eastAsia" w:ascii="宋体" w:hAnsi="宋体" w:eastAsia="宋体" w:cs="宋体"/>
          <w:color w:val="auto"/>
          <w:sz w:val="24"/>
          <w:szCs w:val="31"/>
          <w:highlight w:val="none"/>
          <w:lang w:eastAsia="zh-CN" w:bidi="ar"/>
        </w:rPr>
      </w:pPr>
      <w:r>
        <w:rPr>
          <w:rFonts w:hint="eastAsia"/>
          <w:color w:val="auto"/>
          <w:highlight w:val="none"/>
          <w:lang w:eastAsia="zh-CN" w:bidi="ar"/>
        </w:rPr>
        <w:br w:type="page"/>
      </w:r>
    </w:p>
    <w:p>
      <w:pPr>
        <w:pStyle w:val="46"/>
        <w:rPr>
          <w:color w:val="auto"/>
          <w:highlight w:val="none"/>
          <w:lang w:bidi="ar"/>
        </w:rPr>
      </w:pPr>
    </w:p>
    <w:p>
      <w:pPr>
        <w:pStyle w:val="5"/>
        <w:outlineLvl w:val="1"/>
        <w:rPr>
          <w:color w:val="auto"/>
          <w:highlight w:val="none"/>
          <w:lang w:eastAsia="zh-CN"/>
        </w:rPr>
      </w:pPr>
      <w:r>
        <w:rPr>
          <w:rFonts w:hint="eastAsia"/>
          <w:color w:val="auto"/>
          <w:highlight w:val="none"/>
          <w:lang w:eastAsia="zh-CN"/>
        </w:rPr>
        <w:t>（十）残疾人福利性单位声明函</w:t>
      </w:r>
    </w:p>
    <w:p>
      <w:pPr>
        <w:spacing w:line="276" w:lineRule="auto"/>
        <w:jc w:val="center"/>
        <w:rPr>
          <w:rFonts w:hint="eastAsia" w:cs="宋体" w:asciiTheme="minorEastAsia" w:hAnsiTheme="minorEastAsia" w:eastAsiaTheme="minorEastAsia"/>
          <w:color w:val="auto"/>
          <w:sz w:val="24"/>
          <w:szCs w:val="24"/>
          <w:highlight w:val="none"/>
          <w:u w:val="single"/>
          <w:lang w:eastAsia="zh-CN"/>
        </w:rPr>
      </w:pPr>
      <w:r>
        <w:rPr>
          <w:rFonts w:cs="宋体" w:asciiTheme="minorEastAsia" w:hAnsiTheme="minorEastAsia" w:eastAsiaTheme="minorEastAsia"/>
          <w:color w:val="auto"/>
          <w:sz w:val="24"/>
          <w:szCs w:val="24"/>
          <w:highlight w:val="none"/>
          <w:u w:val="single"/>
          <w:lang w:eastAsia="zh-CN"/>
        </w:rPr>
        <w:t>【不属于残疾人福利性单位的无需填写】</w:t>
      </w:r>
    </w:p>
    <w:p>
      <w:pPr>
        <w:spacing w:line="276" w:lineRule="auto"/>
        <w:jc w:val="center"/>
        <w:rPr>
          <w:rFonts w:hint="eastAsia" w:cs="宋体" w:asciiTheme="minorEastAsia" w:hAnsiTheme="minorEastAsia" w:eastAsiaTheme="minorEastAsia"/>
          <w:b/>
          <w:color w:val="auto"/>
          <w:spacing w:val="6"/>
          <w:sz w:val="24"/>
          <w:szCs w:val="24"/>
          <w:highlight w:val="none"/>
          <w:lang w:eastAsia="zh-CN"/>
        </w:rPr>
      </w:pPr>
    </w:p>
    <w:p>
      <w:pPr>
        <w:spacing w:line="480" w:lineRule="auto"/>
        <w:ind w:firstLine="504" w:firstLineChars="200"/>
        <w:rPr>
          <w:rFonts w:hint="eastAsia" w:cs="宋体" w:asciiTheme="minorEastAsia" w:hAnsiTheme="minorEastAsia" w:eastAsiaTheme="minorEastAsia"/>
          <w:color w:val="auto"/>
          <w:spacing w:val="6"/>
          <w:sz w:val="24"/>
          <w:szCs w:val="24"/>
          <w:highlight w:val="none"/>
          <w:lang w:eastAsia="zh-CN"/>
        </w:rPr>
      </w:pPr>
      <w:r>
        <w:rPr>
          <w:rFonts w:cs="宋体" w:asciiTheme="minorEastAsia" w:hAnsiTheme="minorEastAsia" w:eastAsiaTheme="minorEastAsia"/>
          <w:color w:val="auto"/>
          <w:spacing w:val="6"/>
          <w:sz w:val="24"/>
          <w:szCs w:val="24"/>
          <w:highlight w:val="none"/>
          <w:lang w:eastAsia="zh-CN"/>
        </w:rPr>
        <w:t>本单位郑重声明，根据《财政部 民政部 中国残疾人联合会关于促进残疾人就业政府采购政策的通知》（财库</w:t>
      </w:r>
      <w:r>
        <w:rPr>
          <w:rFonts w:cs="宋体" w:asciiTheme="minorEastAsia" w:hAnsiTheme="minorEastAsia" w:eastAsiaTheme="minorEastAsia"/>
          <w:color w:val="auto"/>
          <w:sz w:val="24"/>
          <w:szCs w:val="24"/>
          <w:highlight w:val="none"/>
          <w:lang w:eastAsia="zh-CN"/>
        </w:rPr>
        <w:t>〔2017〕141</w:t>
      </w:r>
      <w:r>
        <w:rPr>
          <w:rFonts w:cs="宋体" w:asciiTheme="minorEastAsia" w:hAnsiTheme="minorEastAsia" w:eastAsiaTheme="minorEastAsia"/>
          <w:color w:val="auto"/>
          <w:spacing w:val="6"/>
          <w:sz w:val="24"/>
          <w:szCs w:val="24"/>
          <w:highlight w:val="none"/>
          <w:lang w:eastAsia="zh-CN"/>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auto"/>
        <w:ind w:firstLine="504" w:firstLineChars="200"/>
        <w:rPr>
          <w:rFonts w:hint="eastAsia" w:cs="宋体" w:asciiTheme="minorEastAsia" w:hAnsiTheme="minorEastAsia" w:eastAsiaTheme="minorEastAsia"/>
          <w:color w:val="auto"/>
          <w:spacing w:val="6"/>
          <w:sz w:val="24"/>
          <w:szCs w:val="24"/>
          <w:highlight w:val="none"/>
          <w:lang w:eastAsia="zh-CN"/>
        </w:rPr>
      </w:pPr>
      <w:r>
        <w:rPr>
          <w:rFonts w:cs="宋体" w:asciiTheme="minorEastAsia" w:hAnsiTheme="minorEastAsia" w:eastAsiaTheme="minorEastAsia"/>
          <w:color w:val="auto"/>
          <w:spacing w:val="6"/>
          <w:sz w:val="24"/>
          <w:szCs w:val="24"/>
          <w:highlight w:val="none"/>
          <w:lang w:eastAsia="zh-CN"/>
        </w:rPr>
        <w:t>本单位对上述声明的真实性负责。如有虚假，将依法承担相应责任。</w:t>
      </w:r>
    </w:p>
    <w:p>
      <w:pPr>
        <w:spacing w:line="480" w:lineRule="auto"/>
        <w:ind w:firstLine="504" w:firstLineChars="200"/>
        <w:rPr>
          <w:rFonts w:hint="eastAsia" w:cs="宋体" w:asciiTheme="minorEastAsia" w:hAnsiTheme="minorEastAsia" w:eastAsiaTheme="minorEastAsia"/>
          <w:color w:val="auto"/>
          <w:spacing w:val="6"/>
          <w:sz w:val="24"/>
          <w:szCs w:val="24"/>
          <w:highlight w:val="none"/>
          <w:lang w:eastAsia="zh-CN"/>
        </w:rPr>
      </w:pPr>
    </w:p>
    <w:p>
      <w:pPr>
        <w:pStyle w:val="45"/>
        <w:spacing w:before="48" w:after="48"/>
        <w:ind w:firstLine="480"/>
        <w:rPr>
          <w:color w:val="auto"/>
          <w:highlight w:val="none"/>
          <w:lang w:eastAsia="zh-CN"/>
        </w:rPr>
      </w:pPr>
    </w:p>
    <w:p>
      <w:pPr>
        <w:spacing w:line="360" w:lineRule="auto"/>
        <w:ind w:firstLine="2126" w:firstLineChars="886"/>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bidi="ar"/>
        </w:rPr>
        <w:t xml:space="preserve">企业名称（盖章）： </w:t>
      </w:r>
    </w:p>
    <w:p>
      <w:pPr>
        <w:spacing w:line="360" w:lineRule="auto"/>
        <w:ind w:firstLine="2126" w:firstLineChars="886"/>
        <w:rPr>
          <w:rFonts w:hint="eastAsia" w:ascii="宋体" w:hAnsi="宋体" w:cs="宋体" w:eastAsiaTheme="minorEastAsia"/>
          <w:color w:val="auto"/>
          <w:sz w:val="24"/>
          <w:szCs w:val="24"/>
          <w:highlight w:val="none"/>
          <w:lang w:eastAsia="zh-CN" w:bidi="ar"/>
        </w:rPr>
      </w:pPr>
      <w:r>
        <w:rPr>
          <w:rFonts w:hint="eastAsia" w:ascii="宋体" w:hAnsi="宋体" w:cs="宋体"/>
          <w:color w:val="auto"/>
          <w:sz w:val="24"/>
          <w:szCs w:val="24"/>
          <w:highlight w:val="none"/>
          <w:lang w:eastAsia="zh-CN" w:bidi="ar"/>
        </w:rPr>
        <w:t>日 期：</w:t>
      </w:r>
    </w:p>
    <w:p>
      <w:pPr>
        <w:tabs>
          <w:tab w:val="left" w:pos="4860"/>
        </w:tabs>
        <w:spacing w:line="480" w:lineRule="auto"/>
        <w:ind w:right="1560" w:firstLine="420" w:firstLineChars="200"/>
        <w:jc w:val="center"/>
        <w:rPr>
          <w:rFonts w:ascii="宋体" w:hAnsi="宋体"/>
          <w:color w:val="auto"/>
          <w:highlight w:val="none"/>
          <w:lang w:eastAsia="zh-CN"/>
        </w:rPr>
      </w:pPr>
    </w:p>
    <w:p>
      <w:pPr>
        <w:spacing w:line="360" w:lineRule="auto"/>
        <w:ind w:firstLine="420" w:firstLineChars="200"/>
        <w:rPr>
          <w:rFonts w:ascii="宋体" w:hAnsi="宋体"/>
          <w:color w:val="auto"/>
          <w:highlight w:val="none"/>
          <w:lang w:eastAsia="zh-CN"/>
        </w:rPr>
      </w:pPr>
    </w:p>
    <w:p>
      <w:pPr>
        <w:spacing w:line="360" w:lineRule="auto"/>
        <w:ind w:firstLine="420" w:firstLineChars="200"/>
        <w:rPr>
          <w:rFonts w:ascii="宋体" w:hAnsi="宋体"/>
          <w:color w:val="auto"/>
          <w:highlight w:val="none"/>
          <w:lang w:eastAsia="zh-CN"/>
        </w:rPr>
      </w:pPr>
      <w:r>
        <w:rPr>
          <w:rFonts w:hint="eastAsia" w:ascii="宋体" w:hAnsi="宋体"/>
          <w:color w:val="auto"/>
          <w:highlight w:val="none"/>
          <w:lang w:eastAsia="zh-CN"/>
        </w:rPr>
        <w:t xml:space="preserve">                                         </w:t>
      </w:r>
    </w:p>
    <w:p>
      <w:pPr>
        <w:spacing w:line="360" w:lineRule="auto"/>
        <w:ind w:firstLine="420" w:firstLineChars="200"/>
        <w:rPr>
          <w:rFonts w:ascii="宋体" w:hAnsi="宋体" w:cs="宋体"/>
          <w:color w:val="auto"/>
          <w:highlight w:val="none"/>
          <w:lang w:eastAsia="zh-CN"/>
        </w:rPr>
      </w:pPr>
      <w:r>
        <w:rPr>
          <w:rFonts w:hint="eastAsia" w:ascii="宋体" w:hAnsi="宋体" w:cs="宋体"/>
          <w:color w:val="auto"/>
          <w:highlight w:val="none"/>
          <w:lang w:eastAsia="zh-CN"/>
        </w:rPr>
        <w:t xml:space="preserve">                                </w:t>
      </w:r>
    </w:p>
    <w:p>
      <w:pPr>
        <w:rPr>
          <w:color w:val="auto"/>
          <w:highlight w:val="none"/>
          <w:lang w:eastAsia="zh-CN"/>
        </w:rPr>
      </w:pPr>
    </w:p>
    <w:p>
      <w:pPr>
        <w:rPr>
          <w:color w:val="auto"/>
          <w:highlight w:val="none"/>
          <w:lang w:eastAsia="zh-CN"/>
        </w:rPr>
      </w:pPr>
    </w:p>
    <w:p>
      <w:pPr>
        <w:rPr>
          <w:b/>
          <w:bCs/>
          <w:color w:val="auto"/>
          <w:sz w:val="30"/>
          <w:szCs w:val="30"/>
          <w:highlight w:val="none"/>
          <w:lang w:eastAsia="zh-CN"/>
        </w:rPr>
      </w:pPr>
    </w:p>
    <w:p>
      <w:pPr>
        <w:rPr>
          <w:b/>
          <w:bCs/>
          <w:color w:val="auto"/>
          <w:sz w:val="30"/>
          <w:szCs w:val="30"/>
          <w:highlight w:val="none"/>
          <w:lang w:eastAsia="zh-CN"/>
        </w:rPr>
      </w:pPr>
    </w:p>
    <w:p>
      <w:pPr>
        <w:rPr>
          <w:rFonts w:hint="eastAsia" w:ascii="黑体" w:hAnsi="黑体" w:eastAsia="黑体"/>
          <w:color w:val="auto"/>
          <w:sz w:val="30"/>
          <w:szCs w:val="30"/>
          <w:highlight w:val="none"/>
          <w:lang w:eastAsia="zh-CN"/>
        </w:rPr>
      </w:pPr>
      <w:r>
        <w:rPr>
          <w:rFonts w:hint="eastAsia" w:ascii="黑体" w:hAnsi="黑体" w:eastAsia="黑体"/>
          <w:color w:val="auto"/>
          <w:sz w:val="30"/>
          <w:szCs w:val="30"/>
          <w:highlight w:val="none"/>
          <w:lang w:eastAsia="zh-CN"/>
        </w:rPr>
        <w:br w:type="page"/>
      </w:r>
    </w:p>
    <w:p>
      <w:pPr>
        <w:pStyle w:val="5"/>
        <w:outlineLvl w:val="1"/>
        <w:rPr>
          <w:color w:val="auto"/>
          <w:highlight w:val="none"/>
          <w:lang w:eastAsia="zh-CN"/>
        </w:rPr>
      </w:pPr>
      <w:r>
        <w:rPr>
          <w:rFonts w:hint="eastAsia" w:ascii="宋体" w:hAnsi="宋体"/>
          <w:color w:val="auto"/>
          <w:highlight w:val="none"/>
          <w:lang w:eastAsia="zh-CN"/>
        </w:rPr>
        <w:t>（十一）</w:t>
      </w:r>
      <w:r>
        <w:rPr>
          <w:color w:val="auto"/>
          <w:highlight w:val="none"/>
          <w:lang w:eastAsia="zh-CN"/>
        </w:rPr>
        <w:t>监狱企业证明文件</w:t>
      </w:r>
    </w:p>
    <w:p>
      <w:pPr>
        <w:spacing w:line="360" w:lineRule="auto"/>
        <w:jc w:val="center"/>
        <w:rPr>
          <w:rFonts w:cs="宋体"/>
          <w:b/>
          <w:color w:val="auto"/>
          <w:sz w:val="28"/>
          <w:szCs w:val="28"/>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120" w:beforeLines="50" w:after="120" w:afterLines="50"/>
        <w:jc w:val="left"/>
        <w:textAlignment w:val="baseline"/>
        <w:rPr>
          <w:rStyle w:val="35"/>
          <w:b w:val="0"/>
          <w:bCs/>
          <w:color w:val="auto"/>
          <w:highlight w:val="none"/>
          <w:lang w:eastAsia="zh-CN"/>
        </w:rPr>
      </w:pPr>
      <w:r>
        <w:rPr>
          <w:rFonts w:cs="宋体"/>
          <w:b/>
          <w:color w:val="auto"/>
          <w:sz w:val="24"/>
          <w:highlight w:val="none"/>
          <w:lang w:eastAsia="zh-CN"/>
        </w:rPr>
        <w:t>说明：若是监狱企业则需提供上述省级以上监狱管理局、戒毒管理局（含新疆生产建设兵团）出具的属于监狱企业的证明文件，若不属于监狱企业则不提供。</w:t>
      </w:r>
    </w:p>
    <w:p>
      <w:pPr>
        <w:rPr>
          <w:rFonts w:eastAsiaTheme="minorEastAsia"/>
          <w:color w:val="auto"/>
          <w:highlight w:val="none"/>
          <w:lang w:eastAsia="zh-CN" w:bidi="ar"/>
        </w:rPr>
      </w:pPr>
    </w:p>
    <w:p>
      <w:pPr>
        <w:pStyle w:val="2"/>
        <w:ind w:firstLine="480"/>
        <w:rPr>
          <w:rFonts w:hint="eastAsia"/>
          <w:color w:val="auto"/>
          <w:highlight w:val="none"/>
          <w:lang w:eastAsia="zh-CN" w:bidi="ar"/>
        </w:rPr>
      </w:pPr>
    </w:p>
    <w:p>
      <w:pPr>
        <w:numPr>
          <w:ilvl w:val="0"/>
          <w:numId w:val="1"/>
        </w:numPr>
        <w:jc w:val="center"/>
        <w:rPr>
          <w:color w:val="auto"/>
          <w:spacing w:val="8"/>
          <w:highlight w:val="none"/>
          <w:lang w:eastAsia="zh-CN"/>
          <w14:textOutline w14:w="5791" w14:cap="sq" w14:cmpd="sng" w14:algn="ctr">
            <w14:solidFill>
              <w14:srgbClr w14:val="000000"/>
            </w14:solidFill>
            <w14:prstDash w14:val="solid"/>
            <w14:bevel/>
          </w14:textOutline>
        </w:rPr>
      </w:pPr>
      <w:r>
        <w:rPr>
          <w:color w:val="auto"/>
          <w:spacing w:val="8"/>
          <w:highlight w:val="none"/>
          <w:lang w:eastAsia="zh-CN"/>
          <w14:textOutline w14:w="5791" w14:cap="sq" w14:cmpd="sng" w14:algn="ctr">
            <w14:solidFill>
              <w14:srgbClr w14:val="000000"/>
            </w14:solidFill>
            <w14:prstDash w14:val="solid"/>
            <w14:bevel/>
          </w14:textOutline>
        </w:rPr>
        <w:br w:type="page"/>
      </w:r>
    </w:p>
    <w:p>
      <w:pPr>
        <w:bidi w:val="0"/>
        <w:rPr>
          <w:color w:val="auto"/>
          <w:highlight w:val="none"/>
          <w:lang w:eastAsia="zh-CN"/>
        </w:rPr>
      </w:pPr>
      <w:bookmarkStart w:id="97" w:name="_Toc28712"/>
    </w:p>
    <w:p>
      <w:pPr>
        <w:pStyle w:val="4"/>
        <w:outlineLvl w:val="0"/>
        <w:rPr>
          <w:color w:val="auto"/>
          <w:highlight w:val="none"/>
          <w:lang w:eastAsia="zh-CN"/>
        </w:rPr>
      </w:pPr>
      <w:bookmarkStart w:id="98" w:name="_Toc29788"/>
      <w:r>
        <w:rPr>
          <w:color w:val="auto"/>
          <w:highlight w:val="none"/>
          <w:lang w:eastAsia="zh-CN"/>
        </w:rPr>
        <w:t>六、监理大纲</w:t>
      </w:r>
      <w:bookmarkEnd w:id="97"/>
      <w:bookmarkEnd w:id="98"/>
    </w:p>
    <w:p>
      <w:pPr>
        <w:rPr>
          <w:color w:val="auto"/>
          <w:highlight w:val="none"/>
          <w:lang w:eastAsia="zh-CN"/>
        </w:rPr>
      </w:pPr>
      <w:r>
        <w:rPr>
          <w:color w:val="auto"/>
          <w:highlight w:val="none"/>
          <w:lang w:eastAsia="zh-CN"/>
        </w:rPr>
        <w:br w:type="page"/>
      </w:r>
    </w:p>
    <w:p>
      <w:pPr>
        <w:pStyle w:val="2"/>
        <w:rPr>
          <w:color w:val="auto"/>
          <w:highlight w:val="none"/>
          <w:lang w:eastAsia="zh-CN"/>
        </w:rPr>
      </w:pPr>
    </w:p>
    <w:p>
      <w:pPr>
        <w:pStyle w:val="4"/>
        <w:rPr>
          <w:color w:val="auto"/>
          <w:highlight w:val="none"/>
          <w:lang w:eastAsia="zh-CN"/>
        </w:rPr>
      </w:pPr>
      <w:bookmarkStart w:id="99" w:name="_Toc28649"/>
      <w:r>
        <w:rPr>
          <w:rFonts w:hint="eastAsia"/>
          <w:color w:val="auto"/>
          <w:highlight w:val="none"/>
          <w:lang w:eastAsia="zh-CN"/>
        </w:rPr>
        <w:t>七</w:t>
      </w:r>
      <w:r>
        <w:rPr>
          <w:color w:val="auto"/>
          <w:highlight w:val="none"/>
          <w:lang w:eastAsia="zh-CN"/>
        </w:rPr>
        <w:t>、其他资料</w:t>
      </w:r>
      <w:bookmarkEnd w:id="99"/>
    </w:p>
    <w:p>
      <w:pPr>
        <w:spacing w:line="245" w:lineRule="auto"/>
        <w:rPr>
          <w:color w:val="auto"/>
          <w:highlight w:val="none"/>
          <w:lang w:eastAsia="zh-CN"/>
        </w:rPr>
      </w:pPr>
    </w:p>
    <w:p>
      <w:pPr>
        <w:pStyle w:val="2"/>
        <w:spacing w:before="78" w:line="219" w:lineRule="auto"/>
        <w:ind w:left="98" w:hanging="97" w:hangingChars="41"/>
        <w:jc w:val="center"/>
        <w:rPr>
          <w:rFonts w:hint="eastAsia"/>
          <w:color w:val="auto"/>
          <w:szCs w:val="24"/>
          <w:highlight w:val="none"/>
          <w:lang w:eastAsia="zh-CN"/>
        </w:rPr>
      </w:pPr>
      <w:r>
        <w:rPr>
          <w:rFonts w:hint="eastAsia"/>
          <w:color w:val="auto"/>
          <w:spacing w:val="-1"/>
          <w:szCs w:val="24"/>
          <w:highlight w:val="none"/>
          <w:lang w:eastAsia="zh-CN"/>
        </w:rPr>
        <w:t>供应商</w:t>
      </w:r>
      <w:r>
        <w:rPr>
          <w:color w:val="auto"/>
          <w:spacing w:val="-1"/>
          <w:szCs w:val="24"/>
          <w:highlight w:val="none"/>
          <w:lang w:eastAsia="zh-CN"/>
        </w:rPr>
        <w:t>认为需要提供的资料。</w:t>
      </w:r>
    </w:p>
    <w:p>
      <w:pPr>
        <w:spacing w:line="219" w:lineRule="auto"/>
        <w:rPr>
          <w:color w:val="auto"/>
          <w:sz w:val="24"/>
          <w:szCs w:val="24"/>
          <w:highlight w:val="none"/>
          <w:lang w:eastAsia="zh-CN"/>
        </w:rPr>
      </w:pPr>
    </w:p>
    <w:p>
      <w:pPr>
        <w:pStyle w:val="4"/>
        <w:rPr>
          <w:color w:val="auto"/>
          <w:highlight w:val="none"/>
          <w:lang w:eastAsia="zh-CN"/>
        </w:rPr>
        <w:sectPr>
          <w:pgSz w:w="11906" w:h="16839"/>
          <w:pgMar w:top="1343" w:right="1785" w:bottom="954" w:left="1785" w:header="0" w:footer="795" w:gutter="0"/>
          <w:pgNumType w:fmt="decimal"/>
          <w:cols w:space="720" w:num="1"/>
        </w:sectPr>
      </w:pPr>
    </w:p>
    <w:p>
      <w:pPr>
        <w:pStyle w:val="2"/>
        <w:ind w:firstLine="480"/>
        <w:outlineLvl w:val="0"/>
        <w:rPr>
          <w:rFonts w:hint="eastAsia"/>
          <w:color w:val="auto"/>
          <w:highlight w:val="none"/>
          <w:lang w:eastAsia="zh-CN"/>
        </w:rPr>
      </w:pPr>
      <w:bookmarkStart w:id="100" w:name="_Toc2217"/>
      <w:bookmarkStart w:id="101" w:name="_Toc10231"/>
      <w:r>
        <w:rPr>
          <w:color w:val="auto"/>
          <w:highlight w:val="none"/>
          <w:lang w:eastAsia="zh-CN"/>
        </w:rPr>
        <w:t>附件1</w:t>
      </w:r>
      <w:bookmarkEnd w:id="100"/>
      <w:bookmarkEnd w:id="101"/>
    </w:p>
    <w:p>
      <w:pPr>
        <w:spacing w:line="272" w:lineRule="auto"/>
        <w:rPr>
          <w:color w:val="auto"/>
          <w:highlight w:val="none"/>
          <w:lang w:eastAsia="zh-CN"/>
        </w:rPr>
      </w:pPr>
    </w:p>
    <w:p>
      <w:pPr>
        <w:jc w:val="center"/>
        <w:outlineLvl w:val="0"/>
        <w:rPr>
          <w:b/>
          <w:bCs/>
          <w:color w:val="auto"/>
          <w:sz w:val="32"/>
          <w:szCs w:val="32"/>
          <w:highlight w:val="none"/>
          <w:lang w:eastAsia="zh-CN"/>
        </w:rPr>
      </w:pPr>
      <w:bookmarkStart w:id="102" w:name="_Toc30353"/>
      <w:bookmarkStart w:id="103" w:name="_Toc14949"/>
      <w:r>
        <w:rPr>
          <w:rFonts w:hint="eastAsia" w:ascii="宋体" w:hAnsi="宋体" w:eastAsia="宋体" w:cs="宋体"/>
          <w:b/>
          <w:bCs/>
          <w:color w:val="auto"/>
          <w:sz w:val="32"/>
          <w:szCs w:val="32"/>
          <w:highlight w:val="none"/>
          <w:lang w:eastAsia="zh-CN"/>
        </w:rPr>
        <w:t>第二次报价表</w:t>
      </w:r>
      <w:bookmarkEnd w:id="102"/>
      <w:bookmarkEnd w:id="103"/>
    </w:p>
    <w:p>
      <w:pPr>
        <w:spacing w:line="396" w:lineRule="auto"/>
        <w:rPr>
          <w:color w:val="auto"/>
          <w:highlight w:val="none"/>
          <w:lang w:eastAsia="zh-CN"/>
        </w:rPr>
      </w:pPr>
    </w:p>
    <w:p>
      <w:pPr>
        <w:pStyle w:val="2"/>
        <w:spacing w:before="78" w:line="229" w:lineRule="auto"/>
        <w:ind w:firstLine="480"/>
        <w:rPr>
          <w:rFonts w:hint="eastAsia"/>
          <w:color w:val="auto"/>
          <w:spacing w:val="-1"/>
          <w:szCs w:val="24"/>
          <w:highlight w:val="none"/>
          <w:lang w:eastAsia="zh-CN"/>
        </w:rPr>
      </w:pPr>
      <w:r>
        <w:rPr>
          <w:color w:val="auto"/>
          <w:szCs w:val="24"/>
          <w:highlight w:val="none"/>
          <w:lang w:eastAsia="zh-CN"/>
        </w:rPr>
        <w:t>具体以政采云平台中给出的格式进行填写，按系统</w:t>
      </w:r>
      <w:r>
        <w:rPr>
          <w:color w:val="auto"/>
          <w:spacing w:val="-1"/>
          <w:szCs w:val="24"/>
          <w:highlight w:val="none"/>
          <w:lang w:eastAsia="zh-CN"/>
        </w:rPr>
        <w:t>规定的时间内提交二次报价，由于供</w:t>
      </w:r>
      <w:r>
        <w:rPr>
          <w:color w:val="auto"/>
          <w:szCs w:val="24"/>
          <w:highlight w:val="none"/>
          <w:lang w:eastAsia="zh-CN"/>
        </w:rPr>
        <w:t>应商自身原因在递交二次报价文件截止时间前</w:t>
      </w:r>
      <w:r>
        <w:rPr>
          <w:color w:val="auto"/>
          <w:spacing w:val="-1"/>
          <w:szCs w:val="24"/>
          <w:highlight w:val="none"/>
          <w:lang w:eastAsia="zh-CN"/>
        </w:rPr>
        <w:t>无法完成的，后果自负。</w:t>
      </w:r>
    </w:p>
    <w:p>
      <w:pPr>
        <w:pStyle w:val="45"/>
        <w:spacing w:before="48" w:after="48"/>
        <w:ind w:firstLine="480"/>
        <w:rPr>
          <w:rFonts w:hint="eastAsia" w:ascii="宋体" w:hAnsi="宋体"/>
          <w:color w:val="auto"/>
          <w:highlight w:val="none"/>
          <w:lang w:eastAsia="zh-CN"/>
        </w:rPr>
      </w:pPr>
      <w:r>
        <w:rPr>
          <w:rFonts w:hint="eastAsia"/>
          <w:color w:val="auto"/>
          <w:highlight w:val="none"/>
          <w:lang w:eastAsia="zh-CN"/>
        </w:rPr>
        <w:br w:type="page"/>
      </w:r>
    </w:p>
    <w:p>
      <w:pPr>
        <w:autoSpaceDE/>
        <w:autoSpaceDN/>
        <w:adjustRightInd/>
        <w:jc w:val="center"/>
        <w:outlineLvl w:val="0"/>
        <w:rPr>
          <w:rFonts w:cs="宋体"/>
          <w:color w:val="auto"/>
          <w:sz w:val="20"/>
          <w:highlight w:val="none"/>
          <w:lang w:eastAsia="zh-CN"/>
        </w:rPr>
      </w:pPr>
      <w:bookmarkStart w:id="104" w:name="_Toc23563"/>
      <w:r>
        <w:rPr>
          <w:rFonts w:cs="宋体"/>
          <w:color w:val="auto"/>
          <w:sz w:val="43"/>
          <w:szCs w:val="43"/>
          <w:highlight w:val="none"/>
          <w:lang w:eastAsia="zh-CN" w:bidi="ar"/>
        </w:rPr>
        <w:t>政府采购促进中小企业发展管理办法</w:t>
      </w:r>
      <w:bookmarkEnd w:id="104"/>
    </w:p>
    <w:p>
      <w:pPr>
        <w:autoSpaceDE/>
        <w:autoSpaceDN/>
        <w:adjustRightInd/>
        <w:spacing w:beforeAutospacing="1" w:afterAutospacing="1" w:line="288" w:lineRule="auto"/>
        <w:rPr>
          <w:rFonts w:cs="宋体"/>
          <w:color w:val="auto"/>
          <w:sz w:val="24"/>
          <w:szCs w:val="24"/>
          <w:highlight w:val="none"/>
          <w:lang w:eastAsia="zh-CN"/>
        </w:rPr>
      </w:pPr>
      <w:r>
        <w:rPr>
          <w:rFonts w:cs="宋体"/>
          <w:color w:val="auto"/>
          <w:sz w:val="24"/>
          <w:szCs w:val="24"/>
          <w:highlight w:val="none"/>
          <w:lang w:eastAsia="zh-CN" w:bidi="ar"/>
        </w:rPr>
        <w:t xml:space="preserve">    </w:t>
      </w:r>
      <w:r>
        <w:rPr>
          <w:rFonts w:cs="宋体"/>
          <w:b/>
          <w:color w:val="auto"/>
          <w:sz w:val="24"/>
          <w:szCs w:val="24"/>
          <w:highlight w:val="none"/>
          <w:lang w:eastAsia="zh-CN" w:bidi="ar"/>
        </w:rPr>
        <w:t>第一条</w:t>
      </w:r>
      <w:r>
        <w:rPr>
          <w:rFonts w:cs="宋体"/>
          <w:color w:val="auto"/>
          <w:sz w:val="24"/>
          <w:szCs w:val="24"/>
          <w:highlight w:val="none"/>
          <w:lang w:eastAsia="zh-CN" w:bidi="ar"/>
        </w:rPr>
        <w:t xml:space="preserve">  为了发挥政府采购的政策功能，促进中小企业健康发展，根据《中华人民共和国政府采购法》、《中华人民共和国中小企业促进法》等有关法律法规，制定本办法。</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b/>
          <w:color w:val="auto"/>
          <w:sz w:val="24"/>
          <w:szCs w:val="24"/>
          <w:highlight w:val="none"/>
          <w:lang w:eastAsia="zh-CN" w:bidi="ar"/>
        </w:rPr>
        <w:t>第二条</w:t>
      </w:r>
      <w:r>
        <w:rPr>
          <w:rFonts w:cs="宋体"/>
          <w:color w:val="auto"/>
          <w:sz w:val="24"/>
          <w:szCs w:val="24"/>
          <w:highlight w:val="none"/>
          <w:lang w:eastAsia="zh-CN" w:bidi="ar"/>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color w:val="auto"/>
          <w:sz w:val="24"/>
          <w:szCs w:val="24"/>
          <w:highlight w:val="none"/>
          <w:lang w:eastAsia="zh-CN" w:bidi="ar"/>
        </w:rPr>
        <w:t>符合中小企业划分标准的个体工商户，在政府采购活动中视同中小企业。</w:t>
      </w:r>
    </w:p>
    <w:p>
      <w:pPr>
        <w:autoSpaceDE/>
        <w:autoSpaceDN/>
        <w:adjustRightInd/>
        <w:spacing w:beforeAutospacing="1" w:afterAutospacing="1" w:line="288" w:lineRule="auto"/>
        <w:rPr>
          <w:rFonts w:cs="宋体"/>
          <w:color w:val="auto"/>
          <w:sz w:val="24"/>
          <w:szCs w:val="24"/>
          <w:highlight w:val="none"/>
          <w:lang w:eastAsia="zh-CN"/>
        </w:rPr>
      </w:pPr>
      <w:r>
        <w:rPr>
          <w:rFonts w:cs="宋体"/>
          <w:color w:val="auto"/>
          <w:sz w:val="24"/>
          <w:szCs w:val="24"/>
          <w:highlight w:val="none"/>
          <w:lang w:eastAsia="zh-CN" w:bidi="ar"/>
        </w:rPr>
        <w:t xml:space="preserve">   </w:t>
      </w:r>
      <w:r>
        <w:rPr>
          <w:rFonts w:cs="宋体"/>
          <w:b/>
          <w:color w:val="auto"/>
          <w:sz w:val="24"/>
          <w:szCs w:val="24"/>
          <w:highlight w:val="none"/>
          <w:lang w:eastAsia="zh-CN" w:bidi="ar"/>
        </w:rPr>
        <w:t xml:space="preserve"> 第三条</w:t>
      </w:r>
      <w:r>
        <w:rPr>
          <w:rFonts w:cs="宋体"/>
          <w:color w:val="auto"/>
          <w:sz w:val="24"/>
          <w:szCs w:val="24"/>
          <w:highlight w:val="none"/>
          <w:lang w:eastAsia="zh-CN" w:bidi="ar"/>
        </w:rPr>
        <w:t xml:space="preserve">  采购人在政府采购活动中应当通过加强采购需求管理，落实预留采购份额、价格评审优惠、优先采购等措施，提高中小企业在政府采购中的份额，支持中小企业发展。</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b/>
          <w:color w:val="auto"/>
          <w:sz w:val="24"/>
          <w:szCs w:val="24"/>
          <w:highlight w:val="none"/>
          <w:lang w:eastAsia="zh-CN" w:bidi="ar"/>
        </w:rPr>
        <w:t>第四条</w:t>
      </w:r>
      <w:r>
        <w:rPr>
          <w:rFonts w:cs="宋体"/>
          <w:color w:val="auto"/>
          <w:sz w:val="24"/>
          <w:szCs w:val="24"/>
          <w:highlight w:val="none"/>
          <w:lang w:eastAsia="zh-CN" w:bidi="ar"/>
        </w:rPr>
        <w:t xml:space="preserve">  在政府采购活动中，投标人提供的货物、工程或者服务符合下列情形的，享受本办法规定的中小企业扶持政策：</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color w:val="auto"/>
          <w:sz w:val="24"/>
          <w:szCs w:val="24"/>
          <w:highlight w:val="none"/>
          <w:lang w:eastAsia="zh-CN" w:bidi="ar"/>
        </w:rPr>
        <w:t>（一）在货物采购项目中，货物由中小企业制造，即货物由中小企业生产且使用该中小企业商号或者注册商标；</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color w:val="auto"/>
          <w:sz w:val="24"/>
          <w:szCs w:val="24"/>
          <w:highlight w:val="none"/>
          <w:lang w:eastAsia="zh-CN" w:bidi="ar"/>
        </w:rPr>
        <w:t>（二）在工程采购项目中，工程由中小企业承建，即工程施工单位为中小企业；</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color w:val="auto"/>
          <w:sz w:val="24"/>
          <w:szCs w:val="24"/>
          <w:highlight w:val="none"/>
          <w:lang w:eastAsia="zh-CN" w:bidi="ar"/>
        </w:rPr>
        <w:t>（三）在服务采购项目中，服务由中小企业承接，即提供服务的人员为中小企业依照《中华人民共和国劳动合同法》订立劳动合同的从业人员。</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color w:val="auto"/>
          <w:sz w:val="24"/>
          <w:szCs w:val="24"/>
          <w:highlight w:val="none"/>
          <w:lang w:eastAsia="zh-CN" w:bidi="ar"/>
        </w:rPr>
        <w:t>在货物采购项目中，投标人提供的货物既有中小企业制造货物，也有大型企业制造货物的，不享受本办法规定的中小企业扶持政策。</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color w:val="auto"/>
          <w:sz w:val="24"/>
          <w:szCs w:val="24"/>
          <w:highlight w:val="none"/>
          <w:lang w:eastAsia="zh-CN" w:bidi="ar"/>
        </w:rPr>
        <w:t>以联合体形式参加政府采购活动，联合体各方均为中小企业的，联合体视同中小企业。其中，联合体各方均为小微企业的，联合体视同小微企业。</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b/>
          <w:color w:val="auto"/>
          <w:sz w:val="24"/>
          <w:szCs w:val="24"/>
          <w:highlight w:val="none"/>
          <w:lang w:eastAsia="zh-CN" w:bidi="ar"/>
        </w:rPr>
        <w:t>第五条</w:t>
      </w:r>
      <w:r>
        <w:rPr>
          <w:rFonts w:cs="宋体"/>
          <w:color w:val="auto"/>
          <w:sz w:val="24"/>
          <w:szCs w:val="24"/>
          <w:highlight w:val="none"/>
          <w:lang w:eastAsia="zh-CN" w:bidi="ar"/>
        </w:rPr>
        <w:t xml:space="preserve">  采购人在政府采购活动中应当合理确定采购项目的采购需求，不得以企业注册资本、资产总额、营业收入、从业人员、利润、纳税额等规模条件和财务指标作为投标人的资格要求或者评审因素，不得在企业股权结构、经营年限等方面对中小企业实行差别待遇或者歧视待遇。</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b/>
          <w:color w:val="auto"/>
          <w:sz w:val="24"/>
          <w:szCs w:val="24"/>
          <w:highlight w:val="none"/>
          <w:lang w:eastAsia="zh-CN" w:bidi="ar"/>
        </w:rPr>
        <w:t>第六条</w:t>
      </w:r>
      <w:r>
        <w:rPr>
          <w:rFonts w:cs="宋体"/>
          <w:color w:val="auto"/>
          <w:sz w:val="24"/>
          <w:szCs w:val="24"/>
          <w:highlight w:val="none"/>
          <w:lang w:eastAsia="zh-CN" w:bidi="ar"/>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color w:val="auto"/>
          <w:sz w:val="24"/>
          <w:szCs w:val="24"/>
          <w:highlight w:val="none"/>
          <w:lang w:eastAsia="zh-CN" w:bidi="ar"/>
        </w:rPr>
        <w:t>符合下列情形之一的，可不专门面向中小企业预留采购份额：</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color w:val="auto"/>
          <w:sz w:val="24"/>
          <w:szCs w:val="24"/>
          <w:highlight w:val="none"/>
          <w:lang w:eastAsia="zh-CN" w:bidi="ar"/>
        </w:rPr>
        <w:t>（一）法律法规和国家有关政策明确规定优先或者应当面向事业单位、社会组织等非企业主体采购的；</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color w:val="auto"/>
          <w:sz w:val="24"/>
          <w:szCs w:val="24"/>
          <w:highlight w:val="none"/>
          <w:lang w:eastAsia="zh-CN" w:bidi="ar"/>
        </w:rPr>
        <w:t>（二）因确需使用不可替代的专利、专有技术，基础设施限制，或者提供特定公共服务等原因，只能从中小企业之外的投标人处采购的；</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color w:val="auto"/>
          <w:sz w:val="24"/>
          <w:szCs w:val="24"/>
          <w:highlight w:val="none"/>
          <w:lang w:eastAsia="zh-CN" w:bidi="ar"/>
        </w:rPr>
        <w:t>（三）按照本办法规定预留采购份额无法确保充分供应、充分竞争，或者存在可能影响政府采购目标实现的情形；</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color w:val="auto"/>
          <w:sz w:val="24"/>
          <w:szCs w:val="24"/>
          <w:highlight w:val="none"/>
          <w:lang w:eastAsia="zh-CN" w:bidi="ar"/>
        </w:rPr>
        <w:t>（四）框架协议采购项目；</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color w:val="auto"/>
          <w:sz w:val="24"/>
          <w:szCs w:val="24"/>
          <w:highlight w:val="none"/>
          <w:lang w:eastAsia="zh-CN" w:bidi="ar"/>
        </w:rPr>
        <w:t>（五）省级以上人民政府财政部门规定的其他情形。</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color w:val="auto"/>
          <w:sz w:val="24"/>
          <w:szCs w:val="24"/>
          <w:highlight w:val="none"/>
          <w:lang w:eastAsia="zh-CN" w:bidi="ar"/>
        </w:rPr>
        <w:t>除上述情形外，其他均为适宜由中小企业提供的情形。</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b/>
          <w:color w:val="auto"/>
          <w:sz w:val="24"/>
          <w:szCs w:val="24"/>
          <w:highlight w:val="none"/>
          <w:lang w:eastAsia="zh-CN" w:bidi="ar"/>
        </w:rPr>
        <w:t>第七条</w:t>
      </w:r>
      <w:r>
        <w:rPr>
          <w:rFonts w:cs="宋体"/>
          <w:color w:val="auto"/>
          <w:sz w:val="24"/>
          <w:szCs w:val="24"/>
          <w:highlight w:val="none"/>
          <w:lang w:eastAsia="zh-CN" w:bidi="ar"/>
        </w:rPr>
        <w:t xml:space="preserve">  采购限额标准以上，200 万元以下的货物和服务采购项目、400 万元以下的工程采购项目，适宜由中小企业提供的，采购人应当专门面向中小企业采购。</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b/>
          <w:color w:val="auto"/>
          <w:sz w:val="24"/>
          <w:szCs w:val="24"/>
          <w:highlight w:val="none"/>
          <w:lang w:eastAsia="zh-CN" w:bidi="ar"/>
        </w:rPr>
        <w:t>第八条</w:t>
      </w:r>
      <w:r>
        <w:rPr>
          <w:rFonts w:cs="宋体"/>
          <w:color w:val="auto"/>
          <w:sz w:val="24"/>
          <w:szCs w:val="24"/>
          <w:highlight w:val="none"/>
          <w:lang w:eastAsia="zh-CN" w:bidi="ar"/>
        </w:rPr>
        <w:t xml:space="preserve">  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color w:val="auto"/>
          <w:sz w:val="24"/>
          <w:szCs w:val="24"/>
          <w:highlight w:val="none"/>
          <w:lang w:eastAsia="zh-CN" w:bidi="ar"/>
        </w:rPr>
        <w:t>（一）将采购项目整体或者设置采购包专门面向中小企业采购；</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color w:val="auto"/>
          <w:sz w:val="24"/>
          <w:szCs w:val="24"/>
          <w:highlight w:val="none"/>
          <w:lang w:eastAsia="zh-CN" w:bidi="ar"/>
        </w:rPr>
        <w:t>（二）要求投标人以联合体形式参加采购活动，且联合体中中小企业承担的部分达到一定比例；</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color w:val="auto"/>
          <w:sz w:val="24"/>
          <w:szCs w:val="24"/>
          <w:highlight w:val="none"/>
          <w:lang w:eastAsia="zh-CN" w:bidi="ar"/>
        </w:rPr>
        <w:t>（三）要求获得采购合同的投标人将采购项目中的一定比例分包给一家或者多家中小企业。</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color w:val="auto"/>
          <w:sz w:val="24"/>
          <w:szCs w:val="24"/>
          <w:highlight w:val="none"/>
          <w:lang w:eastAsia="zh-CN" w:bidi="ar"/>
        </w:rPr>
        <w:t>组成联合体或者接受分包合同的中小企业与联合体内其他企业、分包企业之间不得存在直接控股、管理关系。</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b/>
          <w:color w:val="auto"/>
          <w:sz w:val="24"/>
          <w:szCs w:val="24"/>
          <w:highlight w:val="none"/>
          <w:lang w:eastAsia="zh-CN" w:bidi="ar"/>
        </w:rPr>
        <w:t>第九条</w:t>
      </w:r>
      <w:r>
        <w:rPr>
          <w:rFonts w:cs="宋体"/>
          <w:color w:val="auto"/>
          <w:sz w:val="24"/>
          <w:szCs w:val="24"/>
          <w:highlight w:val="none"/>
          <w:lang w:eastAsia="zh-CN" w:bidi="ar"/>
        </w:rPr>
        <w:t xml:space="preserve">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color w:val="auto"/>
          <w:sz w:val="24"/>
          <w:szCs w:val="24"/>
          <w:highlight w:val="none"/>
          <w:lang w:eastAsia="zh-CN" w:bidi="ar"/>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color w:val="auto"/>
          <w:sz w:val="24"/>
          <w:szCs w:val="24"/>
          <w:highlight w:val="none"/>
          <w:lang w:eastAsia="zh-CN" w:bidi="ar"/>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b/>
          <w:color w:val="auto"/>
          <w:sz w:val="24"/>
          <w:szCs w:val="24"/>
          <w:highlight w:val="none"/>
          <w:lang w:eastAsia="zh-CN" w:bidi="ar"/>
        </w:rPr>
        <w:t>第十条</w:t>
      </w:r>
      <w:r>
        <w:rPr>
          <w:rFonts w:cs="宋体"/>
          <w:color w:val="auto"/>
          <w:sz w:val="24"/>
          <w:szCs w:val="24"/>
          <w:highlight w:val="none"/>
          <w:lang w:eastAsia="zh-CN" w:bidi="ar"/>
        </w:rPr>
        <w:t xml:space="preserve">  采购人应当严格按照本办法规定和主管预算单位制定的预留采购份额具体方案开展采购活动。预留份额的采购项目或者采购包，通过发布公告方式邀请投标人后，符合资格条件的中小企业数量不足 3 家的，应当中止采购活动，视同未预留份额的采购项目或者采购包，按照本办法第九条有关规定重新组织采购活动。</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b/>
          <w:color w:val="auto"/>
          <w:sz w:val="24"/>
          <w:szCs w:val="24"/>
          <w:highlight w:val="none"/>
          <w:lang w:eastAsia="zh-CN" w:bidi="ar"/>
        </w:rPr>
        <w:t>第十一条</w:t>
      </w:r>
      <w:r>
        <w:rPr>
          <w:rFonts w:cs="宋体"/>
          <w:color w:val="auto"/>
          <w:sz w:val="24"/>
          <w:szCs w:val="24"/>
          <w:highlight w:val="none"/>
          <w:lang w:eastAsia="zh-CN" w:bidi="ar"/>
        </w:rPr>
        <w:t xml:space="preserve">  中小企业参加政府采购活动，应当出具本办法规定的《中小企业声明函》（附 1），否则不得享受相关中小企业扶持政策。任何单位和个人不得要求投标人提供《中小企业声明函》之外的中小企业身份证明文件。</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b/>
          <w:color w:val="auto"/>
          <w:sz w:val="24"/>
          <w:szCs w:val="24"/>
          <w:highlight w:val="none"/>
          <w:lang w:eastAsia="zh-CN" w:bidi="ar"/>
        </w:rPr>
        <w:t>第十二条</w:t>
      </w:r>
      <w:r>
        <w:rPr>
          <w:rFonts w:cs="宋体"/>
          <w:color w:val="auto"/>
          <w:sz w:val="24"/>
          <w:szCs w:val="24"/>
          <w:highlight w:val="none"/>
          <w:lang w:eastAsia="zh-CN" w:bidi="ar"/>
        </w:rPr>
        <w:t xml:space="preserve">  采购项目涉及中小企业采购的，采购文件应当明确以下内容：</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color w:val="auto"/>
          <w:sz w:val="24"/>
          <w:szCs w:val="24"/>
          <w:highlight w:val="none"/>
          <w:lang w:eastAsia="zh-CN" w:bidi="ar"/>
        </w:rPr>
        <w:t>（一）预留份额的采购项目或者采购包，明确该项目或相关采购包专门面向中小企业采购，以及相关标的及预算金额；</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color w:val="auto"/>
          <w:sz w:val="24"/>
          <w:szCs w:val="24"/>
          <w:highlight w:val="none"/>
          <w:lang w:eastAsia="zh-CN" w:bidi="ar"/>
        </w:rPr>
        <w:t>（二）要求以联合体形式参加或者合同分包的，明确联合协议或者分包意向协议中中小企业合同金额应当达到的比例，并作为投标人资格条件；</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color w:val="auto"/>
          <w:sz w:val="24"/>
          <w:szCs w:val="24"/>
          <w:highlight w:val="none"/>
          <w:lang w:eastAsia="zh-CN" w:bidi="ar"/>
        </w:rPr>
        <w:t>（三）非预留份额的采购项目或者采购包，明确有关价格扣除比例或者价格分加分比例；</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color w:val="auto"/>
          <w:sz w:val="24"/>
          <w:szCs w:val="24"/>
          <w:highlight w:val="none"/>
          <w:lang w:eastAsia="zh-CN" w:bidi="ar"/>
        </w:rPr>
        <w:t>（四）规定依据本办法规定享受扶持政策获得政府采购合同的，小微企业不得将合同分包给大中型企业，中型企业不得将合同分包给大型企业；</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color w:val="auto"/>
          <w:sz w:val="24"/>
          <w:szCs w:val="24"/>
          <w:highlight w:val="none"/>
          <w:lang w:eastAsia="zh-CN" w:bidi="ar"/>
        </w:rPr>
        <w:t>（五）采购人认为具备相关条件的，明确对中小企业在资金支付期限、预付款比例等方面的优惠措施；</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color w:val="auto"/>
          <w:sz w:val="24"/>
          <w:szCs w:val="24"/>
          <w:highlight w:val="none"/>
          <w:lang w:eastAsia="zh-CN" w:bidi="ar"/>
        </w:rPr>
        <w:t>（六）明确采购标的对应的中小企业划分标准所属行业；</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color w:val="auto"/>
          <w:sz w:val="24"/>
          <w:szCs w:val="24"/>
          <w:highlight w:val="none"/>
          <w:lang w:eastAsia="zh-CN" w:bidi="ar"/>
        </w:rPr>
        <w:t>（七）法律法规和省级以上人民政府财政部门规定的其他事项。</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b/>
          <w:color w:val="auto"/>
          <w:sz w:val="24"/>
          <w:szCs w:val="24"/>
          <w:highlight w:val="none"/>
          <w:lang w:eastAsia="zh-CN" w:bidi="ar"/>
        </w:rPr>
        <w:t>第十三条</w:t>
      </w:r>
      <w:r>
        <w:rPr>
          <w:rFonts w:cs="宋体"/>
          <w:color w:val="auto"/>
          <w:sz w:val="24"/>
          <w:szCs w:val="24"/>
          <w:highlight w:val="none"/>
          <w:lang w:eastAsia="zh-CN" w:bidi="ar"/>
        </w:rPr>
        <w:t xml:space="preserve">  中标、成交投标人享受本办法规定的中小企业扶持政策的，采购人、采购代理机构应当随中标、成交结果公开中标、成交投标人的《中小企业声明函》。</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color w:val="auto"/>
          <w:sz w:val="24"/>
          <w:szCs w:val="24"/>
          <w:highlight w:val="none"/>
          <w:lang w:eastAsia="zh-CN" w:bidi="ar"/>
        </w:rPr>
        <w:t>适用招标投标法的政府采购工程建设项目，应当在公示中标候选人时公开中标候选人的《中小企业声明函》。</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b/>
          <w:color w:val="auto"/>
          <w:sz w:val="24"/>
          <w:szCs w:val="24"/>
          <w:highlight w:val="none"/>
          <w:lang w:eastAsia="zh-CN" w:bidi="ar"/>
        </w:rPr>
        <w:t>第十四条</w:t>
      </w:r>
      <w:r>
        <w:rPr>
          <w:rFonts w:cs="宋体"/>
          <w:color w:val="auto"/>
          <w:sz w:val="24"/>
          <w:szCs w:val="24"/>
          <w:highlight w:val="none"/>
          <w:lang w:eastAsia="zh-CN" w:bidi="ar"/>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b/>
          <w:color w:val="auto"/>
          <w:sz w:val="24"/>
          <w:szCs w:val="24"/>
          <w:highlight w:val="none"/>
          <w:lang w:eastAsia="zh-CN" w:bidi="ar"/>
        </w:rPr>
        <w:t>第十五条</w:t>
      </w:r>
      <w:r>
        <w:rPr>
          <w:rFonts w:cs="宋体"/>
          <w:color w:val="auto"/>
          <w:sz w:val="24"/>
          <w:szCs w:val="24"/>
          <w:highlight w:val="none"/>
          <w:lang w:eastAsia="zh-CN" w:bidi="ar"/>
        </w:rPr>
        <w:t xml:space="preserve">  鼓励各地区、各部门在采购活动中允许中小企业引入信用担保手段，为中小企业在投标（响应）保证、履约保证等方面提供专业化服务。鼓励中小企业依法合规通过政府采购合同融资。</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b/>
          <w:color w:val="auto"/>
          <w:sz w:val="24"/>
          <w:szCs w:val="24"/>
          <w:highlight w:val="none"/>
          <w:lang w:eastAsia="zh-CN" w:bidi="ar"/>
        </w:rPr>
        <w:t>第十六条</w:t>
      </w:r>
      <w:r>
        <w:rPr>
          <w:rFonts w:cs="宋体"/>
          <w:color w:val="auto"/>
          <w:sz w:val="24"/>
          <w:szCs w:val="24"/>
          <w:highlight w:val="none"/>
          <w:lang w:eastAsia="zh-CN" w:bidi="ar"/>
        </w:rPr>
        <w:t xml:space="preserve">  政府采购监督检查、投诉处理及政府采购行政处罚中对中小企业的认定，由货物制造商或者工程、服务投标人注册登记所在地的县级以上人民政府中小企业主管部门负责。</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color w:val="auto"/>
          <w:sz w:val="24"/>
          <w:szCs w:val="24"/>
          <w:highlight w:val="none"/>
          <w:lang w:eastAsia="zh-CN" w:bidi="ar"/>
        </w:rPr>
        <w:t>中小企业主管部门应当在收到财政部门或者有关招标投标行政监督部门关于协助开展中小企业认定函后 10 个工作日内做出书面答复。</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b/>
          <w:color w:val="auto"/>
          <w:sz w:val="24"/>
          <w:szCs w:val="24"/>
          <w:highlight w:val="none"/>
          <w:lang w:eastAsia="zh-CN" w:bidi="ar"/>
        </w:rPr>
        <w:t>第十七条</w:t>
      </w:r>
      <w:r>
        <w:rPr>
          <w:rFonts w:cs="宋体"/>
          <w:color w:val="auto"/>
          <w:sz w:val="24"/>
          <w:szCs w:val="24"/>
          <w:highlight w:val="none"/>
          <w:lang w:eastAsia="zh-CN" w:bidi="ar"/>
        </w:rPr>
        <w:t xml:space="preserve">  各地区、各部门应当对涉及中小企业采购的预算项目实施全过程绩效管理，合理设置绩效目标和指标，落实扶持中小企业有关政策要求，定期开展绩效监控和评价，强化绩效评价结果应用。</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b/>
          <w:color w:val="auto"/>
          <w:sz w:val="24"/>
          <w:szCs w:val="24"/>
          <w:highlight w:val="none"/>
          <w:lang w:eastAsia="zh-CN" w:bidi="ar"/>
        </w:rPr>
        <w:t>第十八条</w:t>
      </w:r>
      <w:r>
        <w:rPr>
          <w:rFonts w:cs="宋体"/>
          <w:color w:val="auto"/>
          <w:sz w:val="24"/>
          <w:szCs w:val="24"/>
          <w:highlight w:val="none"/>
          <w:lang w:eastAsia="zh-CN" w:bidi="ar"/>
        </w:rPr>
        <w:t xml:space="preserve">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b/>
          <w:color w:val="auto"/>
          <w:sz w:val="24"/>
          <w:szCs w:val="24"/>
          <w:highlight w:val="none"/>
          <w:lang w:eastAsia="zh-CN" w:bidi="ar"/>
        </w:rPr>
        <w:t>第十九条</w:t>
      </w:r>
      <w:r>
        <w:rPr>
          <w:rFonts w:cs="宋体"/>
          <w:color w:val="auto"/>
          <w:sz w:val="24"/>
          <w:szCs w:val="24"/>
          <w:highlight w:val="none"/>
          <w:lang w:eastAsia="zh-CN" w:bidi="ar"/>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b/>
          <w:color w:val="auto"/>
          <w:sz w:val="24"/>
          <w:szCs w:val="24"/>
          <w:highlight w:val="none"/>
          <w:lang w:eastAsia="zh-CN" w:bidi="ar"/>
        </w:rPr>
        <w:t>第二十条</w:t>
      </w:r>
      <w:r>
        <w:rPr>
          <w:rFonts w:cs="宋体"/>
          <w:color w:val="auto"/>
          <w:sz w:val="24"/>
          <w:szCs w:val="24"/>
          <w:highlight w:val="none"/>
          <w:lang w:eastAsia="zh-CN" w:bidi="ar"/>
        </w:rPr>
        <w:t xml:space="preserve">  投标人按照本办法规定提供声明函内容不实的，属于提供虚假材料谋取中标、成交，依照《中华人民共和国政府采购法》等国家有关规定追究相应责任。</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color w:val="auto"/>
          <w:sz w:val="24"/>
          <w:szCs w:val="24"/>
          <w:highlight w:val="none"/>
          <w:lang w:eastAsia="zh-CN" w:bidi="ar"/>
        </w:rPr>
        <w:t>适用招标投标法的政府采购工程建设项目，投标人按照本办法规定提供声明函内容不实的，属于弄虚作假骗取中标，依照《中华人民共和国招标投标法》等国家有关规定追究相应责任。</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b/>
          <w:color w:val="auto"/>
          <w:sz w:val="24"/>
          <w:szCs w:val="24"/>
          <w:highlight w:val="none"/>
          <w:lang w:eastAsia="zh-CN" w:bidi="ar"/>
        </w:rPr>
        <w:t>第二十一条</w:t>
      </w:r>
      <w:r>
        <w:rPr>
          <w:rFonts w:cs="宋体"/>
          <w:color w:val="auto"/>
          <w:sz w:val="24"/>
          <w:szCs w:val="24"/>
          <w:highlight w:val="none"/>
          <w:lang w:eastAsia="zh-CN" w:bidi="ar"/>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b/>
          <w:color w:val="auto"/>
          <w:sz w:val="24"/>
          <w:szCs w:val="24"/>
          <w:highlight w:val="none"/>
          <w:lang w:eastAsia="zh-CN" w:bidi="ar"/>
        </w:rPr>
        <w:t>第二十二条</w:t>
      </w:r>
      <w:r>
        <w:rPr>
          <w:rFonts w:cs="宋体"/>
          <w:color w:val="auto"/>
          <w:sz w:val="24"/>
          <w:szCs w:val="24"/>
          <w:highlight w:val="none"/>
          <w:lang w:eastAsia="zh-CN" w:bidi="ar"/>
        </w:rPr>
        <w:t xml:space="preserve">  对外援助项目、国家相关资格或者资质管理制度另有规定的项目，不适用本办法。</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b/>
          <w:color w:val="auto"/>
          <w:sz w:val="24"/>
          <w:szCs w:val="24"/>
          <w:highlight w:val="none"/>
          <w:lang w:eastAsia="zh-CN" w:bidi="ar"/>
        </w:rPr>
        <w:t>第二十三条</w:t>
      </w:r>
      <w:r>
        <w:rPr>
          <w:rFonts w:cs="宋体"/>
          <w:color w:val="auto"/>
          <w:sz w:val="24"/>
          <w:szCs w:val="24"/>
          <w:highlight w:val="none"/>
          <w:lang w:eastAsia="zh-CN" w:bidi="ar"/>
        </w:rPr>
        <w:t xml:space="preserve">  关于视同中小企业的其他主体的政府采购扶持政策，由财政部会同有关部门另行规定。</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b/>
          <w:color w:val="auto"/>
          <w:sz w:val="24"/>
          <w:szCs w:val="24"/>
          <w:highlight w:val="none"/>
          <w:lang w:eastAsia="zh-CN" w:bidi="ar"/>
        </w:rPr>
        <w:t>第二十四条</w:t>
      </w:r>
      <w:r>
        <w:rPr>
          <w:rFonts w:cs="宋体"/>
          <w:color w:val="auto"/>
          <w:sz w:val="24"/>
          <w:szCs w:val="24"/>
          <w:highlight w:val="none"/>
          <w:lang w:eastAsia="zh-CN" w:bidi="ar"/>
        </w:rPr>
        <w:t xml:space="preserve">  省级财政部门可以会同中小企业主管部门根据本办法的规定制定具体实施办法。</w:t>
      </w:r>
    </w:p>
    <w:p>
      <w:pPr>
        <w:autoSpaceDE/>
        <w:autoSpaceDN/>
        <w:adjustRightInd/>
        <w:spacing w:beforeAutospacing="1" w:afterAutospacing="1" w:line="288" w:lineRule="auto"/>
        <w:ind w:firstLine="480" w:firstLineChars="200"/>
        <w:rPr>
          <w:rFonts w:cs="宋体"/>
          <w:color w:val="auto"/>
          <w:sz w:val="24"/>
          <w:szCs w:val="24"/>
          <w:highlight w:val="none"/>
          <w:lang w:eastAsia="zh-CN"/>
        </w:rPr>
      </w:pPr>
      <w:r>
        <w:rPr>
          <w:rFonts w:cs="宋体"/>
          <w:b/>
          <w:color w:val="auto"/>
          <w:sz w:val="24"/>
          <w:szCs w:val="24"/>
          <w:highlight w:val="none"/>
          <w:lang w:eastAsia="zh-CN" w:bidi="ar"/>
        </w:rPr>
        <w:t>第二十五条</w:t>
      </w:r>
      <w:r>
        <w:rPr>
          <w:rFonts w:cs="宋体"/>
          <w:color w:val="auto"/>
          <w:sz w:val="24"/>
          <w:szCs w:val="24"/>
          <w:highlight w:val="none"/>
          <w:lang w:eastAsia="zh-CN" w:bidi="ar"/>
        </w:rPr>
        <w:t xml:space="preserve">  本办法自 2021 年 1 月 1 日起施行。 财政部 工业和信息化部关于印发〈政府采购促进中小企业发展暂行办法〉的通知》（财库﹝2011﹞181 号）同时废止。</w:t>
      </w:r>
    </w:p>
    <w:p>
      <w:pPr>
        <w:autoSpaceDE/>
        <w:autoSpaceDN/>
        <w:adjustRightInd/>
        <w:spacing w:beforeAutospacing="1" w:afterAutospacing="1" w:line="288" w:lineRule="auto"/>
        <w:rPr>
          <w:rFonts w:cs="宋体"/>
          <w:color w:val="auto"/>
          <w:sz w:val="24"/>
          <w:szCs w:val="24"/>
          <w:highlight w:val="none"/>
          <w:lang w:eastAsia="zh-CN"/>
        </w:rPr>
      </w:pPr>
      <w:r>
        <w:rPr>
          <w:rFonts w:cs="宋体"/>
          <w:color w:val="auto"/>
          <w:sz w:val="24"/>
          <w:szCs w:val="24"/>
          <w:highlight w:val="none"/>
          <w:lang w:eastAsia="zh-CN" w:bidi="ar"/>
        </w:rPr>
        <w:t> </w:t>
      </w:r>
    </w:p>
    <w:p>
      <w:pPr>
        <w:shd w:val="clear" w:color="auto" w:fill="FFFFFF"/>
        <w:autoSpaceDE/>
        <w:autoSpaceDN/>
        <w:adjustRightInd/>
        <w:spacing w:before="120" w:beforeLines="50" w:after="120" w:afterLines="50" w:line="400" w:lineRule="exact"/>
        <w:jc w:val="center"/>
        <w:outlineLvl w:val="0"/>
        <w:rPr>
          <w:rFonts w:cs="宋体"/>
          <w:b/>
          <w:bCs/>
          <w:color w:val="auto"/>
          <w:sz w:val="30"/>
          <w:szCs w:val="30"/>
          <w:highlight w:val="none"/>
          <w:lang w:eastAsia="zh-CN"/>
        </w:rPr>
      </w:pPr>
      <w:r>
        <w:rPr>
          <w:rFonts w:cs="宋体"/>
          <w:b/>
          <w:bCs/>
          <w:color w:val="auto"/>
          <w:highlight w:val="none"/>
          <w:lang w:eastAsia="zh-CN"/>
        </w:rPr>
        <w:br w:type="page"/>
      </w:r>
      <w:bookmarkStart w:id="105" w:name="_Toc2621"/>
      <w:r>
        <w:rPr>
          <w:rFonts w:cs="宋体"/>
          <w:b/>
          <w:bCs/>
          <w:color w:val="auto"/>
          <w:sz w:val="30"/>
          <w:szCs w:val="30"/>
          <w:highlight w:val="none"/>
          <w:shd w:val="clear" w:color="auto" w:fill="FFFFFF"/>
          <w:lang w:eastAsia="zh-CN" w:bidi="ar"/>
        </w:rPr>
        <w:t>财政部关于进一步加大政府采购支持中小企业力度的通知</w:t>
      </w:r>
      <w:bookmarkEnd w:id="105"/>
    </w:p>
    <w:p>
      <w:pPr>
        <w:shd w:val="clear" w:color="auto" w:fill="FFFFFF"/>
        <w:autoSpaceDE/>
        <w:autoSpaceDN/>
        <w:adjustRightInd/>
        <w:spacing w:line="400" w:lineRule="exact"/>
        <w:jc w:val="center"/>
        <w:rPr>
          <w:rFonts w:cs="宋体"/>
          <w:color w:val="auto"/>
          <w:sz w:val="24"/>
          <w:szCs w:val="24"/>
          <w:highlight w:val="none"/>
          <w:lang w:eastAsia="zh-CN"/>
        </w:rPr>
      </w:pPr>
      <w:r>
        <w:rPr>
          <w:rFonts w:cs="宋体"/>
          <w:color w:val="auto"/>
          <w:sz w:val="24"/>
          <w:szCs w:val="24"/>
          <w:highlight w:val="none"/>
          <w:shd w:val="clear" w:color="auto" w:fill="FFFFFF"/>
          <w:lang w:eastAsia="zh-CN" w:bidi="ar"/>
        </w:rPr>
        <w:t>（财库〔2022〕19号）</w:t>
      </w:r>
    </w:p>
    <w:p>
      <w:pPr>
        <w:spacing w:line="340" w:lineRule="exact"/>
        <w:ind w:firstLine="480" w:firstLineChars="200"/>
        <w:rPr>
          <w:rFonts w:cs="宋体"/>
          <w:bCs/>
          <w:color w:val="auto"/>
          <w:highlight w:val="none"/>
          <w:lang w:eastAsia="zh-CN"/>
        </w:rPr>
      </w:pPr>
      <w:r>
        <w:rPr>
          <w:rFonts w:cs="宋体"/>
          <w:color w:val="auto"/>
          <w:sz w:val="24"/>
          <w:szCs w:val="24"/>
          <w:highlight w:val="none"/>
          <w:shd w:val="clear" w:color="auto" w:fill="FFFFFF"/>
          <w:lang w:eastAsia="zh-CN" w:bidi="ar"/>
        </w:rPr>
        <w:t> </w:t>
      </w:r>
      <w:r>
        <w:rPr>
          <w:rFonts w:cs="宋体"/>
          <w:bCs/>
          <w:color w:val="auto"/>
          <w:highlight w:val="none"/>
          <w:lang w:eastAsia="zh-CN"/>
        </w:rPr>
        <w:t>各中央预算单位，各省、自治区、直辖市、计划单列市财政厅（局），新疆生产建设兵团财政局：</w:t>
      </w:r>
    </w:p>
    <w:p>
      <w:pPr>
        <w:spacing w:line="340" w:lineRule="exact"/>
        <w:ind w:firstLine="420" w:firstLineChars="200"/>
        <w:rPr>
          <w:rFonts w:cs="宋体"/>
          <w:bCs/>
          <w:color w:val="auto"/>
          <w:highlight w:val="none"/>
          <w:lang w:eastAsia="zh-CN"/>
        </w:rPr>
      </w:pPr>
      <w:r>
        <w:rPr>
          <w:rFonts w:cs="宋体"/>
          <w:bCs/>
          <w:color w:val="auto"/>
          <w:highlight w:val="none"/>
          <w:lang w:eastAsia="zh-CN"/>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pPr>
        <w:spacing w:line="340" w:lineRule="exact"/>
        <w:ind w:firstLine="420" w:firstLineChars="200"/>
        <w:rPr>
          <w:rFonts w:cs="宋体"/>
          <w:bCs/>
          <w:color w:val="auto"/>
          <w:highlight w:val="none"/>
          <w:lang w:eastAsia="zh-CN"/>
        </w:rPr>
      </w:pPr>
      <w:r>
        <w:rPr>
          <w:rFonts w:cs="宋体"/>
          <w:bCs/>
          <w:color w:val="auto"/>
          <w:highlight w:val="none"/>
          <w:lang w:eastAsia="zh-CN"/>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pPr>
        <w:spacing w:line="340" w:lineRule="exact"/>
        <w:ind w:firstLine="420" w:firstLineChars="200"/>
        <w:rPr>
          <w:rFonts w:cs="宋体"/>
          <w:bCs/>
          <w:color w:val="auto"/>
          <w:highlight w:val="none"/>
          <w:lang w:eastAsia="zh-CN"/>
        </w:rPr>
      </w:pPr>
      <w:r>
        <w:rPr>
          <w:rFonts w:cs="宋体"/>
          <w:bCs/>
          <w:color w:val="auto"/>
          <w:highlight w:val="none"/>
          <w:lang w:eastAsia="zh-CN"/>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pPr>
        <w:spacing w:line="340" w:lineRule="exact"/>
        <w:ind w:firstLine="420" w:firstLineChars="200"/>
        <w:rPr>
          <w:rFonts w:cs="宋体"/>
          <w:bCs/>
          <w:color w:val="auto"/>
          <w:highlight w:val="none"/>
          <w:lang w:eastAsia="zh-CN"/>
        </w:rPr>
      </w:pPr>
      <w:r>
        <w:rPr>
          <w:rFonts w:cs="宋体"/>
          <w:bCs/>
          <w:color w:val="auto"/>
          <w:highlight w:val="none"/>
          <w:lang w:eastAsia="zh-CN"/>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pPr>
        <w:spacing w:line="340" w:lineRule="exact"/>
        <w:ind w:firstLine="420" w:firstLineChars="200"/>
        <w:rPr>
          <w:rFonts w:cs="宋体"/>
          <w:bCs/>
          <w:color w:val="auto"/>
          <w:highlight w:val="none"/>
          <w:lang w:eastAsia="zh-CN"/>
        </w:rPr>
      </w:pPr>
      <w:r>
        <w:rPr>
          <w:rFonts w:cs="宋体"/>
          <w:bCs/>
          <w:color w:val="auto"/>
          <w:highlight w:val="none"/>
          <w:lang w:eastAsia="zh-CN"/>
        </w:rPr>
        <w:t>四、认真做好组织实施。各地区、各部门应当加强组织领导，明确工作责任，细化执行要求，强化监督检查，确保国务院部署落实到位，对通知执行中出现的问题要及时向财政部报告。</w:t>
      </w:r>
    </w:p>
    <w:p>
      <w:pPr>
        <w:spacing w:line="340" w:lineRule="exact"/>
        <w:ind w:firstLine="420" w:firstLineChars="200"/>
        <w:rPr>
          <w:rFonts w:cs="宋体"/>
          <w:bCs/>
          <w:color w:val="auto"/>
          <w:highlight w:val="none"/>
          <w:lang w:eastAsia="zh-CN"/>
        </w:rPr>
      </w:pPr>
      <w:r>
        <w:rPr>
          <w:rFonts w:cs="宋体"/>
          <w:bCs/>
          <w:color w:val="auto"/>
          <w:highlight w:val="none"/>
          <w:lang w:eastAsia="zh-CN"/>
        </w:rPr>
        <w:t>本通知自2022年7月1日起执行。</w:t>
      </w:r>
    </w:p>
    <w:p>
      <w:pPr>
        <w:spacing w:line="340" w:lineRule="exact"/>
        <w:ind w:firstLine="420" w:firstLineChars="200"/>
        <w:rPr>
          <w:rFonts w:cs="宋体"/>
          <w:bCs/>
          <w:color w:val="auto"/>
          <w:highlight w:val="none"/>
          <w:lang w:eastAsia="zh-CN"/>
        </w:rPr>
      </w:pPr>
      <w:r>
        <w:rPr>
          <w:rFonts w:cs="宋体"/>
          <w:bCs/>
          <w:color w:val="auto"/>
          <w:highlight w:val="none"/>
          <w:lang w:eastAsia="zh-CN"/>
        </w:rPr>
        <w:t xml:space="preserve">                                                                        财政部</w:t>
      </w:r>
    </w:p>
    <w:p>
      <w:pPr>
        <w:autoSpaceDE/>
        <w:autoSpaceDN/>
        <w:adjustRightInd/>
        <w:spacing w:line="400" w:lineRule="exact"/>
        <w:jc w:val="right"/>
        <w:rPr>
          <w:rFonts w:cs="宋体"/>
          <w:bCs/>
          <w:color w:val="auto"/>
          <w:sz w:val="28"/>
          <w:szCs w:val="28"/>
          <w:highlight w:val="none"/>
          <w:shd w:val="clear" w:color="auto" w:fill="FFFFFF"/>
          <w:lang w:eastAsia="zh-CN"/>
        </w:rPr>
      </w:pPr>
      <w:r>
        <w:rPr>
          <w:rFonts w:cs="宋体"/>
          <w:bCs/>
          <w:color w:val="auto"/>
          <w:highlight w:val="none"/>
          <w:lang w:eastAsia="zh-CN"/>
        </w:rPr>
        <w:t>2022年5月30日</w:t>
      </w:r>
      <w:r>
        <w:rPr>
          <w:rFonts w:cs="宋体"/>
          <w:b/>
          <w:bCs/>
          <w:color w:val="auto"/>
          <w:highlight w:val="none"/>
          <w:lang w:eastAsia="zh-CN"/>
        </w:rPr>
        <w:br w:type="page"/>
      </w:r>
      <w:r>
        <w:rPr>
          <w:rFonts w:cs="宋体"/>
          <w:b/>
          <w:bCs/>
          <w:color w:val="auto"/>
          <w:sz w:val="28"/>
          <w:szCs w:val="28"/>
          <w:highlight w:val="none"/>
          <w:shd w:val="clear" w:color="auto" w:fill="FFFFFF"/>
          <w:lang w:eastAsia="zh-CN" w:bidi="ar"/>
        </w:rPr>
        <w:t>关于印发《吉林省强化政府采购政策支持中小企业发展落实举措》的通知</w:t>
      </w:r>
    </w:p>
    <w:p>
      <w:pPr>
        <w:spacing w:before="120" w:beforeLines="50" w:after="120" w:afterLines="50" w:line="400" w:lineRule="exact"/>
        <w:jc w:val="center"/>
        <w:rPr>
          <w:rFonts w:cs="宋体"/>
          <w:color w:val="auto"/>
          <w:sz w:val="24"/>
          <w:szCs w:val="24"/>
          <w:highlight w:val="none"/>
          <w:lang w:eastAsia="zh-CN"/>
        </w:rPr>
      </w:pPr>
      <w:r>
        <w:rPr>
          <w:rFonts w:cs="宋体"/>
          <w:color w:val="auto"/>
          <w:sz w:val="24"/>
          <w:szCs w:val="24"/>
          <w:highlight w:val="none"/>
          <w:lang w:eastAsia="zh-CN"/>
        </w:rPr>
        <w:t xml:space="preserve">吉财采购〔2022〕478号 </w:t>
      </w:r>
    </w:p>
    <w:p>
      <w:pPr>
        <w:spacing w:line="400" w:lineRule="exact"/>
        <w:rPr>
          <w:rFonts w:cs="宋体"/>
          <w:color w:val="auto"/>
          <w:sz w:val="24"/>
          <w:szCs w:val="24"/>
          <w:highlight w:val="none"/>
          <w:lang w:eastAsia="zh-CN"/>
        </w:rPr>
      </w:pPr>
      <w:r>
        <w:rPr>
          <w:rFonts w:cs="宋体"/>
          <w:color w:val="auto"/>
          <w:sz w:val="24"/>
          <w:szCs w:val="24"/>
          <w:highlight w:val="none"/>
          <w:lang w:eastAsia="zh-CN"/>
        </w:rPr>
        <w:t xml:space="preserve">各省级主管预算单位，各市（州）、县（市、区）财政局，长白山管委会、长春新区、中韩（长春）国际合作示范区管委会财政局，各政府采购代理机构： </w:t>
      </w:r>
    </w:p>
    <w:p>
      <w:pPr>
        <w:spacing w:line="400" w:lineRule="exact"/>
        <w:ind w:firstLine="480" w:firstLineChars="200"/>
        <w:rPr>
          <w:rFonts w:cs="宋体"/>
          <w:color w:val="auto"/>
          <w:sz w:val="24"/>
          <w:szCs w:val="24"/>
          <w:highlight w:val="none"/>
          <w:lang w:eastAsia="zh-CN"/>
        </w:rPr>
      </w:pPr>
      <w:r>
        <w:rPr>
          <w:rFonts w:cs="宋体"/>
          <w:color w:val="auto"/>
          <w:sz w:val="24"/>
          <w:szCs w:val="24"/>
          <w:highlight w:val="none"/>
          <w:lang w:eastAsia="zh-CN"/>
        </w:rPr>
        <w:t xml:space="preserve">现将《吉林省强化政府采购政策支持中小企业发展落实举措》印发给你们，请遵照执行。 </w:t>
      </w:r>
    </w:p>
    <w:p>
      <w:pPr>
        <w:spacing w:line="400" w:lineRule="exact"/>
        <w:ind w:firstLine="480" w:firstLineChars="200"/>
        <w:rPr>
          <w:rFonts w:cs="宋体"/>
          <w:color w:val="auto"/>
          <w:sz w:val="24"/>
          <w:szCs w:val="24"/>
          <w:highlight w:val="none"/>
          <w:lang w:eastAsia="zh-CN"/>
        </w:rPr>
      </w:pPr>
      <w:r>
        <w:rPr>
          <w:rFonts w:cs="宋体"/>
          <w:color w:val="auto"/>
          <w:sz w:val="24"/>
          <w:szCs w:val="24"/>
          <w:highlight w:val="none"/>
          <w:lang w:eastAsia="zh-CN"/>
        </w:rPr>
        <w:t xml:space="preserve">附件：吉林省强化政府采购政策支持中小企业发展落实举措 </w:t>
      </w:r>
    </w:p>
    <w:p>
      <w:pPr>
        <w:spacing w:line="400" w:lineRule="exact"/>
        <w:ind w:firstLine="645"/>
        <w:jc w:val="right"/>
        <w:rPr>
          <w:rFonts w:cs="宋体"/>
          <w:color w:val="auto"/>
          <w:sz w:val="24"/>
          <w:szCs w:val="24"/>
          <w:highlight w:val="none"/>
          <w:lang w:eastAsia="zh-CN"/>
        </w:rPr>
      </w:pPr>
      <w:r>
        <w:rPr>
          <w:rFonts w:cs="宋体"/>
          <w:color w:val="auto"/>
          <w:sz w:val="24"/>
          <w:szCs w:val="24"/>
          <w:highlight w:val="none"/>
          <w:lang w:eastAsia="zh-CN"/>
        </w:rPr>
        <w:t xml:space="preserve">吉林省财政厅 </w:t>
      </w:r>
    </w:p>
    <w:p>
      <w:pPr>
        <w:spacing w:line="400" w:lineRule="exact"/>
        <w:ind w:firstLine="645"/>
        <w:jc w:val="right"/>
        <w:rPr>
          <w:rFonts w:cs="宋体"/>
          <w:color w:val="auto"/>
          <w:sz w:val="24"/>
          <w:szCs w:val="24"/>
          <w:highlight w:val="none"/>
          <w:lang w:eastAsia="zh-CN"/>
        </w:rPr>
      </w:pPr>
      <w:r>
        <w:rPr>
          <w:rFonts w:cs="宋体"/>
          <w:color w:val="auto"/>
          <w:sz w:val="24"/>
          <w:szCs w:val="24"/>
          <w:highlight w:val="none"/>
          <w:lang w:eastAsia="zh-CN"/>
        </w:rPr>
        <w:t xml:space="preserve">2022年6月6日 </w:t>
      </w:r>
    </w:p>
    <w:p>
      <w:pPr>
        <w:spacing w:line="400" w:lineRule="exact"/>
        <w:rPr>
          <w:rFonts w:cs="宋体"/>
          <w:color w:val="auto"/>
          <w:sz w:val="24"/>
          <w:szCs w:val="24"/>
          <w:highlight w:val="none"/>
          <w:lang w:eastAsia="zh-CN"/>
        </w:rPr>
      </w:pPr>
      <w:r>
        <w:rPr>
          <w:rFonts w:cs="宋体"/>
          <w:color w:val="auto"/>
          <w:sz w:val="24"/>
          <w:szCs w:val="24"/>
          <w:highlight w:val="none"/>
          <w:lang w:eastAsia="zh-CN"/>
        </w:rPr>
        <w:t xml:space="preserve">附件： </w:t>
      </w:r>
    </w:p>
    <w:p>
      <w:pPr>
        <w:spacing w:line="400" w:lineRule="exact"/>
        <w:ind w:firstLine="645"/>
        <w:rPr>
          <w:rFonts w:cs="宋体"/>
          <w:color w:val="auto"/>
          <w:sz w:val="24"/>
          <w:szCs w:val="24"/>
          <w:highlight w:val="none"/>
          <w:lang w:eastAsia="zh-CN"/>
        </w:rPr>
      </w:pPr>
      <w:r>
        <w:rPr>
          <w:rFonts w:cs="宋体"/>
          <w:color w:val="auto"/>
          <w:sz w:val="24"/>
          <w:szCs w:val="24"/>
          <w:highlight w:val="none"/>
          <w:lang w:eastAsia="zh-CN"/>
        </w:rPr>
        <w:t xml:space="preserve">  </w:t>
      </w:r>
    </w:p>
    <w:p>
      <w:pPr>
        <w:spacing w:line="400" w:lineRule="exact"/>
        <w:jc w:val="center"/>
        <w:outlineLvl w:val="0"/>
        <w:rPr>
          <w:rFonts w:cs="宋体"/>
          <w:color w:val="auto"/>
          <w:sz w:val="28"/>
          <w:szCs w:val="28"/>
          <w:highlight w:val="none"/>
          <w:lang w:eastAsia="zh-CN"/>
        </w:rPr>
      </w:pPr>
      <w:bookmarkStart w:id="106" w:name="_Toc11372"/>
      <w:r>
        <w:rPr>
          <w:rFonts w:cs="宋体"/>
          <w:color w:val="auto"/>
          <w:sz w:val="28"/>
          <w:szCs w:val="28"/>
          <w:highlight w:val="none"/>
          <w:lang w:eastAsia="zh-CN"/>
        </w:rPr>
        <w:t>吉林省强化政府采购政策支持中小企业发展落实举措</w:t>
      </w:r>
      <w:bookmarkEnd w:id="106"/>
      <w:r>
        <w:rPr>
          <w:rFonts w:cs="宋体"/>
          <w:color w:val="auto"/>
          <w:sz w:val="28"/>
          <w:szCs w:val="28"/>
          <w:highlight w:val="none"/>
          <w:lang w:eastAsia="zh-CN"/>
        </w:rPr>
        <w:t xml:space="preserve"> </w:t>
      </w:r>
    </w:p>
    <w:p>
      <w:pPr>
        <w:spacing w:line="400" w:lineRule="exact"/>
        <w:ind w:firstLine="645"/>
        <w:rPr>
          <w:rFonts w:cs="宋体"/>
          <w:color w:val="auto"/>
          <w:sz w:val="24"/>
          <w:szCs w:val="24"/>
          <w:highlight w:val="none"/>
          <w:lang w:eastAsia="zh-CN"/>
        </w:rPr>
      </w:pPr>
      <w:r>
        <w:rPr>
          <w:rFonts w:cs="宋体"/>
          <w:color w:val="auto"/>
          <w:sz w:val="24"/>
          <w:szCs w:val="24"/>
          <w:highlight w:val="none"/>
          <w:lang w:eastAsia="zh-CN"/>
        </w:rPr>
        <w:t xml:space="preserve">  </w:t>
      </w:r>
    </w:p>
    <w:p>
      <w:pPr>
        <w:spacing w:line="400" w:lineRule="exact"/>
        <w:ind w:firstLine="645"/>
        <w:rPr>
          <w:rFonts w:cs="宋体"/>
          <w:color w:val="auto"/>
          <w:highlight w:val="none"/>
          <w:lang w:eastAsia="zh-CN"/>
        </w:rPr>
      </w:pPr>
      <w:r>
        <w:rPr>
          <w:rFonts w:cs="宋体"/>
          <w:color w:val="auto"/>
          <w:highlight w:val="none"/>
          <w:lang w:eastAsia="zh-CN"/>
        </w:rPr>
        <w:t xml:space="preserve">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 </w:t>
      </w:r>
    </w:p>
    <w:p>
      <w:pPr>
        <w:spacing w:line="400" w:lineRule="exact"/>
        <w:ind w:firstLine="645"/>
        <w:outlineLvl w:val="0"/>
        <w:rPr>
          <w:rFonts w:cs="宋体"/>
          <w:b/>
          <w:bCs/>
          <w:color w:val="auto"/>
          <w:highlight w:val="none"/>
          <w:lang w:eastAsia="zh-CN"/>
        </w:rPr>
      </w:pPr>
      <w:bookmarkStart w:id="107" w:name="_Toc19712"/>
      <w:r>
        <w:rPr>
          <w:rFonts w:cs="宋体"/>
          <w:b/>
          <w:bCs/>
          <w:color w:val="auto"/>
          <w:highlight w:val="none"/>
          <w:lang w:eastAsia="zh-CN"/>
        </w:rPr>
        <w:t>一、强化政策落实支持中小企业发展</w:t>
      </w:r>
      <w:bookmarkEnd w:id="107"/>
      <w:r>
        <w:rPr>
          <w:rFonts w:cs="宋体"/>
          <w:b/>
          <w:bCs/>
          <w:color w:val="auto"/>
          <w:highlight w:val="none"/>
          <w:lang w:eastAsia="zh-CN"/>
        </w:rPr>
        <w:t xml:space="preserve"> </w:t>
      </w:r>
    </w:p>
    <w:p>
      <w:pPr>
        <w:spacing w:line="400" w:lineRule="exact"/>
        <w:ind w:firstLine="645"/>
        <w:rPr>
          <w:rFonts w:cs="宋体"/>
          <w:color w:val="auto"/>
          <w:highlight w:val="none"/>
          <w:lang w:eastAsia="zh-CN"/>
        </w:rPr>
      </w:pPr>
      <w:r>
        <w:rPr>
          <w:rFonts w:cs="宋体"/>
          <w:color w:val="auto"/>
          <w:highlight w:val="none"/>
          <w:lang w:eastAsia="zh-CN"/>
        </w:rPr>
        <w:t xml:space="preserve">各级预算单位要认真落实《政府采购促进中小企业发展管理办法》（财库〔2020〕46号，以下简称《办法》）的规定，加强采购需求管理，规范资格条件设置，降低中小企业参加政府采购活动门槛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 </w:t>
      </w:r>
    </w:p>
    <w:p>
      <w:pPr>
        <w:spacing w:line="400" w:lineRule="exact"/>
        <w:ind w:firstLine="645"/>
        <w:outlineLvl w:val="0"/>
        <w:rPr>
          <w:rFonts w:cs="宋体"/>
          <w:b/>
          <w:bCs/>
          <w:color w:val="auto"/>
          <w:highlight w:val="none"/>
          <w:lang w:eastAsia="zh-CN"/>
        </w:rPr>
      </w:pPr>
      <w:bookmarkStart w:id="108" w:name="_Toc28044"/>
      <w:r>
        <w:rPr>
          <w:rFonts w:cs="宋体"/>
          <w:b/>
          <w:bCs/>
          <w:color w:val="auto"/>
          <w:highlight w:val="none"/>
          <w:lang w:eastAsia="zh-CN"/>
        </w:rPr>
        <w:t>二、提高政府采购项目价格评审优惠幅度</w:t>
      </w:r>
      <w:bookmarkEnd w:id="108"/>
      <w:r>
        <w:rPr>
          <w:rFonts w:cs="宋体"/>
          <w:b/>
          <w:bCs/>
          <w:color w:val="auto"/>
          <w:highlight w:val="none"/>
          <w:lang w:eastAsia="zh-CN"/>
        </w:rPr>
        <w:t xml:space="preserve"> </w:t>
      </w:r>
    </w:p>
    <w:p>
      <w:pPr>
        <w:spacing w:line="400" w:lineRule="exact"/>
        <w:ind w:firstLine="645"/>
        <w:rPr>
          <w:rFonts w:cs="宋体"/>
          <w:color w:val="auto"/>
          <w:highlight w:val="none"/>
          <w:lang w:eastAsia="zh-CN"/>
        </w:rPr>
      </w:pPr>
      <w:r>
        <w:rPr>
          <w:rFonts w:cs="宋体"/>
          <w:color w:val="auto"/>
          <w:highlight w:val="none"/>
          <w:lang w:eastAsia="zh-CN"/>
        </w:rPr>
        <w:t xml:space="preserve">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 </w:t>
      </w:r>
    </w:p>
    <w:p>
      <w:pPr>
        <w:spacing w:line="400" w:lineRule="exact"/>
        <w:ind w:firstLine="645"/>
        <w:outlineLvl w:val="0"/>
        <w:rPr>
          <w:rFonts w:cs="宋体"/>
          <w:b/>
          <w:bCs/>
          <w:color w:val="auto"/>
          <w:highlight w:val="none"/>
          <w:lang w:eastAsia="zh-CN"/>
        </w:rPr>
      </w:pPr>
      <w:bookmarkStart w:id="109" w:name="_Toc32253"/>
      <w:r>
        <w:rPr>
          <w:rFonts w:cs="宋体"/>
          <w:b/>
          <w:bCs/>
          <w:color w:val="auto"/>
          <w:highlight w:val="none"/>
          <w:lang w:eastAsia="zh-CN"/>
        </w:rPr>
        <w:t>三、提高政府采购工程项目预留份额比例</w:t>
      </w:r>
      <w:bookmarkEnd w:id="109"/>
      <w:r>
        <w:rPr>
          <w:rFonts w:cs="宋体"/>
          <w:b/>
          <w:bCs/>
          <w:color w:val="auto"/>
          <w:highlight w:val="none"/>
          <w:lang w:eastAsia="zh-CN"/>
        </w:rPr>
        <w:t xml:space="preserve"> </w:t>
      </w:r>
    </w:p>
    <w:p>
      <w:pPr>
        <w:spacing w:line="400" w:lineRule="exact"/>
        <w:ind w:firstLine="645"/>
        <w:rPr>
          <w:rFonts w:cs="宋体"/>
          <w:color w:val="auto"/>
          <w:highlight w:val="none"/>
          <w:lang w:eastAsia="zh-CN"/>
        </w:rPr>
      </w:pPr>
      <w:r>
        <w:rPr>
          <w:rFonts w:cs="宋体"/>
          <w:color w:val="auto"/>
          <w:highlight w:val="none"/>
          <w:lang w:eastAsia="zh-CN"/>
        </w:rPr>
        <w:t xml:space="preserve">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 </w:t>
      </w:r>
    </w:p>
    <w:p>
      <w:pPr>
        <w:spacing w:line="400" w:lineRule="exact"/>
        <w:ind w:firstLine="645"/>
        <w:outlineLvl w:val="0"/>
        <w:rPr>
          <w:rFonts w:cs="宋体"/>
          <w:b/>
          <w:bCs/>
          <w:color w:val="auto"/>
          <w:highlight w:val="none"/>
          <w:lang w:eastAsia="zh-CN"/>
        </w:rPr>
      </w:pPr>
      <w:bookmarkStart w:id="110" w:name="_Toc19359"/>
      <w:r>
        <w:rPr>
          <w:rFonts w:cs="宋体"/>
          <w:b/>
          <w:bCs/>
          <w:color w:val="auto"/>
          <w:highlight w:val="none"/>
          <w:lang w:eastAsia="zh-CN"/>
        </w:rPr>
        <w:t>四、降低经营成本提高履约能力</w:t>
      </w:r>
      <w:bookmarkEnd w:id="110"/>
      <w:r>
        <w:rPr>
          <w:rFonts w:cs="宋体"/>
          <w:b/>
          <w:bCs/>
          <w:color w:val="auto"/>
          <w:highlight w:val="none"/>
          <w:lang w:eastAsia="zh-CN"/>
        </w:rPr>
        <w:t xml:space="preserve"> </w:t>
      </w:r>
    </w:p>
    <w:p>
      <w:pPr>
        <w:spacing w:line="400" w:lineRule="exact"/>
        <w:ind w:firstLine="645"/>
        <w:rPr>
          <w:rFonts w:cs="宋体"/>
          <w:color w:val="auto"/>
          <w:highlight w:val="none"/>
          <w:lang w:eastAsia="zh-CN"/>
        </w:rPr>
      </w:pPr>
      <w:r>
        <w:rPr>
          <w:rFonts w:cs="宋体"/>
          <w:color w:val="auto"/>
          <w:highlight w:val="none"/>
          <w:lang w:eastAsia="zh-CN"/>
        </w:rPr>
        <w:t xml:space="preserve">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 </w:t>
      </w:r>
    </w:p>
    <w:p>
      <w:pPr>
        <w:spacing w:line="400" w:lineRule="exact"/>
        <w:ind w:firstLine="645"/>
        <w:outlineLvl w:val="0"/>
        <w:rPr>
          <w:rFonts w:cs="宋体"/>
          <w:b/>
          <w:bCs/>
          <w:color w:val="auto"/>
          <w:highlight w:val="none"/>
          <w:lang w:eastAsia="zh-CN"/>
        </w:rPr>
      </w:pPr>
      <w:bookmarkStart w:id="111" w:name="_Toc9801"/>
      <w:r>
        <w:rPr>
          <w:rFonts w:cs="宋体"/>
          <w:b/>
          <w:bCs/>
          <w:color w:val="auto"/>
          <w:highlight w:val="none"/>
          <w:lang w:eastAsia="zh-CN"/>
        </w:rPr>
        <w:t>五、优化政府采购程序推进全流程电子化</w:t>
      </w:r>
      <w:bookmarkEnd w:id="111"/>
      <w:r>
        <w:rPr>
          <w:rFonts w:cs="宋体"/>
          <w:b/>
          <w:bCs/>
          <w:color w:val="auto"/>
          <w:highlight w:val="none"/>
          <w:lang w:eastAsia="zh-CN"/>
        </w:rPr>
        <w:t xml:space="preserve"> </w:t>
      </w:r>
    </w:p>
    <w:p>
      <w:pPr>
        <w:spacing w:line="400" w:lineRule="exact"/>
        <w:ind w:firstLine="645"/>
        <w:rPr>
          <w:rFonts w:cs="宋体"/>
          <w:color w:val="auto"/>
          <w:highlight w:val="none"/>
          <w:lang w:eastAsia="zh-CN"/>
        </w:rPr>
      </w:pPr>
      <w:r>
        <w:rPr>
          <w:rFonts w:cs="宋体"/>
          <w:color w:val="auto"/>
          <w:highlight w:val="none"/>
          <w:lang w:eastAsia="zh-CN"/>
        </w:rPr>
        <w:t xml:space="preserve">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 </w:t>
      </w:r>
    </w:p>
    <w:p>
      <w:pPr>
        <w:spacing w:line="400" w:lineRule="exact"/>
        <w:ind w:firstLine="645"/>
        <w:outlineLvl w:val="0"/>
        <w:rPr>
          <w:rFonts w:cs="宋体"/>
          <w:b/>
          <w:bCs/>
          <w:color w:val="auto"/>
          <w:highlight w:val="none"/>
          <w:lang w:eastAsia="zh-CN"/>
        </w:rPr>
      </w:pPr>
      <w:bookmarkStart w:id="112" w:name="_Toc19019"/>
      <w:r>
        <w:rPr>
          <w:rFonts w:cs="宋体"/>
          <w:b/>
          <w:bCs/>
          <w:color w:val="auto"/>
          <w:highlight w:val="none"/>
          <w:lang w:eastAsia="zh-CN"/>
        </w:rPr>
        <w:t>六、加强项目执行管理提升政府采购透明度</w:t>
      </w:r>
      <w:bookmarkEnd w:id="112"/>
      <w:r>
        <w:rPr>
          <w:rFonts w:cs="宋体"/>
          <w:b/>
          <w:bCs/>
          <w:color w:val="auto"/>
          <w:highlight w:val="none"/>
          <w:lang w:eastAsia="zh-CN"/>
        </w:rPr>
        <w:t xml:space="preserve"> </w:t>
      </w:r>
    </w:p>
    <w:p>
      <w:pPr>
        <w:spacing w:line="400" w:lineRule="exact"/>
        <w:ind w:firstLine="645"/>
        <w:rPr>
          <w:rFonts w:cs="宋体"/>
          <w:color w:val="auto"/>
          <w:highlight w:val="none"/>
          <w:lang w:eastAsia="zh-CN"/>
        </w:rPr>
      </w:pPr>
      <w:r>
        <w:rPr>
          <w:rFonts w:cs="宋体"/>
          <w:color w:val="auto"/>
          <w:highlight w:val="none"/>
          <w:lang w:eastAsia="zh-CN"/>
        </w:rPr>
        <w:t xml:space="preserve">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 </w:t>
      </w:r>
    </w:p>
    <w:p>
      <w:pPr>
        <w:spacing w:line="400" w:lineRule="exact"/>
        <w:ind w:firstLine="645"/>
        <w:rPr>
          <w:rFonts w:cs="宋体"/>
          <w:color w:val="auto"/>
          <w:highlight w:val="none"/>
          <w:lang w:eastAsia="zh-CN"/>
        </w:rPr>
      </w:pPr>
      <w:r>
        <w:rPr>
          <w:rFonts w:cs="宋体"/>
          <w:color w:val="auto"/>
          <w:highlight w:val="none"/>
          <w:lang w:eastAsia="zh-CN"/>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pPr>
        <w:autoSpaceDE/>
        <w:autoSpaceDN/>
        <w:adjustRightInd/>
        <w:rPr>
          <w:rFonts w:cs="宋体"/>
          <w:b/>
          <w:bCs/>
          <w:color w:val="auto"/>
          <w:highlight w:val="none"/>
          <w:lang w:eastAsia="zh-CN"/>
        </w:rPr>
      </w:pPr>
      <w:r>
        <w:rPr>
          <w:rFonts w:cs="宋体"/>
          <w:b/>
          <w:bCs/>
          <w:color w:val="auto"/>
          <w:highlight w:val="none"/>
          <w:lang w:eastAsia="zh-CN"/>
        </w:rPr>
        <w:br w:type="page"/>
      </w:r>
    </w:p>
    <w:p>
      <w:pPr>
        <w:autoSpaceDE/>
        <w:autoSpaceDN/>
        <w:adjustRightInd/>
        <w:spacing w:before="120" w:beforeLines="50" w:after="120" w:afterLines="50"/>
        <w:jc w:val="center"/>
        <w:outlineLvl w:val="0"/>
        <w:rPr>
          <w:rFonts w:cs="宋体"/>
          <w:b/>
          <w:color w:val="auto"/>
          <w:sz w:val="32"/>
          <w:szCs w:val="32"/>
          <w:highlight w:val="none"/>
          <w:lang w:eastAsia="zh-CN"/>
        </w:rPr>
      </w:pPr>
      <w:bookmarkStart w:id="113" w:name="_Toc1589"/>
      <w:r>
        <w:rPr>
          <w:rFonts w:cs="宋体"/>
          <w:b/>
          <w:color w:val="auto"/>
          <w:sz w:val="32"/>
          <w:szCs w:val="32"/>
          <w:highlight w:val="none"/>
          <w:lang w:eastAsia="zh-CN"/>
        </w:rPr>
        <w:t>财政部 司法部关于政府采购支持监狱企业发展有关问题的通知</w:t>
      </w:r>
      <w:bookmarkEnd w:id="113"/>
    </w:p>
    <w:p>
      <w:pPr>
        <w:spacing w:before="120" w:beforeLines="50" w:after="120" w:afterLines="50"/>
        <w:jc w:val="center"/>
        <w:outlineLvl w:val="1"/>
        <w:rPr>
          <w:rFonts w:cs="宋体"/>
          <w:bCs/>
          <w:color w:val="auto"/>
          <w:sz w:val="24"/>
          <w:szCs w:val="24"/>
          <w:highlight w:val="none"/>
          <w:lang w:eastAsia="zh-CN"/>
        </w:rPr>
      </w:pPr>
      <w:bookmarkStart w:id="114" w:name="_Toc21391"/>
      <w:r>
        <w:rPr>
          <w:rFonts w:cs="宋体"/>
          <w:bCs/>
          <w:color w:val="auto"/>
          <w:sz w:val="24"/>
          <w:szCs w:val="24"/>
          <w:highlight w:val="none"/>
          <w:shd w:val="clear" w:color="auto" w:fill="FFFFFF"/>
          <w:lang w:eastAsia="zh-CN"/>
        </w:rPr>
        <w:t>财库〔2014〕68号</w:t>
      </w:r>
      <w:bookmarkEnd w:id="114"/>
    </w:p>
    <w:p>
      <w:pPr>
        <w:spacing w:line="288" w:lineRule="auto"/>
        <w:rPr>
          <w:rFonts w:cs="宋体"/>
          <w:color w:val="auto"/>
          <w:sz w:val="24"/>
          <w:szCs w:val="24"/>
          <w:highlight w:val="none"/>
          <w:shd w:val="clear" w:color="auto" w:fill="FFFFFF"/>
          <w:lang w:eastAsia="zh-CN"/>
        </w:rPr>
      </w:pPr>
      <w:r>
        <w:rPr>
          <w:rFonts w:cs="宋体"/>
          <w:color w:val="auto"/>
          <w:sz w:val="24"/>
          <w:szCs w:val="24"/>
          <w:highlight w:val="none"/>
          <w:shd w:val="clear" w:color="auto" w:fill="FFFFFF"/>
          <w:lang w:eastAsia="zh-CN"/>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pPr>
        <w:spacing w:line="288" w:lineRule="auto"/>
        <w:rPr>
          <w:rFonts w:cs="宋体"/>
          <w:color w:val="auto"/>
          <w:sz w:val="24"/>
          <w:szCs w:val="24"/>
          <w:highlight w:val="none"/>
          <w:shd w:val="clear" w:color="auto" w:fill="FFFFFF"/>
          <w:lang w:eastAsia="zh-CN"/>
        </w:rPr>
      </w:pPr>
      <w:r>
        <w:rPr>
          <w:rFonts w:cs="宋体"/>
          <w:color w:val="auto"/>
          <w:sz w:val="24"/>
          <w:szCs w:val="24"/>
          <w:highlight w:val="none"/>
          <w:shd w:val="clear" w:color="auto" w:fill="FFFFFF"/>
          <w:lang w:eastAsia="zh-CN"/>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pPr>
        <w:spacing w:line="288" w:lineRule="auto"/>
        <w:rPr>
          <w:rFonts w:cs="宋体"/>
          <w:color w:val="auto"/>
          <w:sz w:val="24"/>
          <w:szCs w:val="24"/>
          <w:highlight w:val="none"/>
          <w:shd w:val="clear" w:color="auto" w:fill="FFFFFF"/>
          <w:lang w:eastAsia="zh-CN"/>
        </w:rPr>
      </w:pPr>
      <w:r>
        <w:rPr>
          <w:rFonts w:cs="宋体"/>
          <w:color w:val="auto"/>
          <w:sz w:val="24"/>
          <w:szCs w:val="24"/>
          <w:highlight w:val="none"/>
          <w:shd w:val="clear" w:color="auto" w:fill="FFFFFF"/>
          <w:lang w:eastAsia="zh-CN"/>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spacing w:line="288" w:lineRule="auto"/>
        <w:rPr>
          <w:rFonts w:cs="宋体"/>
          <w:color w:val="auto"/>
          <w:sz w:val="24"/>
          <w:szCs w:val="24"/>
          <w:highlight w:val="none"/>
          <w:shd w:val="clear" w:color="auto" w:fill="FFFFFF"/>
          <w:lang w:eastAsia="zh-CN"/>
        </w:rPr>
      </w:pPr>
      <w:r>
        <w:rPr>
          <w:rFonts w:cs="宋体"/>
          <w:color w:val="auto"/>
          <w:sz w:val="24"/>
          <w:szCs w:val="24"/>
          <w:highlight w:val="none"/>
          <w:shd w:val="clear" w:color="auto" w:fill="FFFFFF"/>
          <w:lang w:eastAsia="zh-CN"/>
        </w:rPr>
        <w:t>　　二、在政府采购活动中，监狱企业视同小型、微型企业，享受预留份额、评审中价格扣除等政府采购促进中小企业发展的政府采购政策。向监狱企业采购的金额，计入面向中小企业采购的统计数据。</w:t>
      </w:r>
    </w:p>
    <w:p>
      <w:pPr>
        <w:spacing w:line="288" w:lineRule="auto"/>
        <w:rPr>
          <w:rFonts w:cs="宋体"/>
          <w:color w:val="auto"/>
          <w:sz w:val="24"/>
          <w:szCs w:val="24"/>
          <w:highlight w:val="none"/>
          <w:shd w:val="clear" w:color="auto" w:fill="FFFFFF"/>
          <w:lang w:eastAsia="zh-CN"/>
        </w:rPr>
      </w:pPr>
      <w:r>
        <w:rPr>
          <w:rFonts w:cs="宋体"/>
          <w:color w:val="auto"/>
          <w:sz w:val="24"/>
          <w:szCs w:val="24"/>
          <w:highlight w:val="none"/>
          <w:shd w:val="clear" w:color="auto" w:fill="FFFFFF"/>
          <w:lang w:eastAsia="zh-CN"/>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pPr>
        <w:spacing w:line="288" w:lineRule="auto"/>
        <w:rPr>
          <w:rFonts w:cs="宋体"/>
          <w:color w:val="auto"/>
          <w:sz w:val="24"/>
          <w:szCs w:val="24"/>
          <w:highlight w:val="none"/>
          <w:shd w:val="clear" w:color="auto" w:fill="FFFFFF"/>
          <w:lang w:eastAsia="zh-CN"/>
        </w:rPr>
      </w:pPr>
      <w:r>
        <w:rPr>
          <w:rFonts w:cs="宋体"/>
          <w:color w:val="auto"/>
          <w:sz w:val="24"/>
          <w:szCs w:val="24"/>
          <w:highlight w:val="none"/>
          <w:shd w:val="clear" w:color="auto" w:fill="FFFFFF"/>
          <w:lang w:eastAsia="zh-CN"/>
        </w:rPr>
        <w:t>　　四、各地区可以结合本地区实际，对监狱企业生产的办公用品、家具用具、车辆维修和提供的保养服务、消防设备等，提出预留份额等政府采购支持措施，加大对监狱企业产品的采购力度。</w:t>
      </w:r>
    </w:p>
    <w:p>
      <w:pPr>
        <w:spacing w:line="288" w:lineRule="auto"/>
        <w:rPr>
          <w:rFonts w:cs="宋体"/>
          <w:color w:val="auto"/>
          <w:sz w:val="24"/>
          <w:szCs w:val="24"/>
          <w:highlight w:val="none"/>
          <w:lang w:eastAsia="zh-CN"/>
        </w:rPr>
      </w:pPr>
      <w:r>
        <w:rPr>
          <w:rFonts w:cs="宋体"/>
          <w:color w:val="auto"/>
          <w:sz w:val="24"/>
          <w:szCs w:val="24"/>
          <w:highlight w:val="none"/>
          <w:shd w:val="clear" w:color="auto" w:fill="FFFFFF"/>
          <w:lang w:eastAsia="zh-CN"/>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pPr>
        <w:spacing w:line="288" w:lineRule="auto"/>
        <w:jc w:val="right"/>
        <w:rPr>
          <w:rFonts w:cs="宋体"/>
          <w:color w:val="auto"/>
          <w:sz w:val="24"/>
          <w:szCs w:val="24"/>
          <w:highlight w:val="none"/>
          <w:shd w:val="clear" w:color="auto" w:fill="FFFFFF"/>
          <w:lang w:eastAsia="zh-CN"/>
        </w:rPr>
      </w:pPr>
      <w:r>
        <w:rPr>
          <w:rFonts w:cs="宋体"/>
          <w:color w:val="auto"/>
          <w:sz w:val="24"/>
          <w:szCs w:val="24"/>
          <w:highlight w:val="none"/>
          <w:shd w:val="clear" w:color="auto" w:fill="FFFFFF"/>
          <w:lang w:eastAsia="zh-CN"/>
        </w:rPr>
        <w:t>中华人民共和国财政部</w:t>
      </w:r>
    </w:p>
    <w:p>
      <w:pPr>
        <w:spacing w:line="288" w:lineRule="auto"/>
        <w:jc w:val="right"/>
        <w:rPr>
          <w:rFonts w:cs="宋体"/>
          <w:color w:val="auto"/>
          <w:sz w:val="24"/>
          <w:szCs w:val="24"/>
          <w:highlight w:val="none"/>
          <w:shd w:val="clear" w:color="auto" w:fill="FFFFFF"/>
          <w:lang w:eastAsia="zh-CN"/>
        </w:rPr>
      </w:pPr>
      <w:r>
        <w:rPr>
          <w:rFonts w:cs="宋体"/>
          <w:color w:val="auto"/>
          <w:sz w:val="24"/>
          <w:szCs w:val="24"/>
          <w:highlight w:val="none"/>
          <w:shd w:val="clear" w:color="auto" w:fill="FFFFFF"/>
          <w:lang w:eastAsia="zh-CN"/>
        </w:rPr>
        <w:t>中华人民共和国司法部</w:t>
      </w:r>
    </w:p>
    <w:p>
      <w:pPr>
        <w:spacing w:line="288" w:lineRule="auto"/>
        <w:jc w:val="right"/>
        <w:rPr>
          <w:rFonts w:cs="宋体"/>
          <w:color w:val="auto"/>
          <w:sz w:val="24"/>
          <w:szCs w:val="24"/>
          <w:highlight w:val="none"/>
          <w:shd w:val="clear" w:color="auto" w:fill="FFFFFF"/>
          <w:lang w:eastAsia="zh-CN"/>
        </w:rPr>
      </w:pPr>
      <w:r>
        <w:rPr>
          <w:rFonts w:cs="宋体"/>
          <w:color w:val="auto"/>
          <w:sz w:val="24"/>
          <w:szCs w:val="24"/>
          <w:highlight w:val="none"/>
          <w:shd w:val="clear" w:color="auto" w:fill="FFFFFF"/>
          <w:lang w:eastAsia="zh-CN"/>
        </w:rPr>
        <w:t>2014年6月10日</w:t>
      </w:r>
    </w:p>
    <w:p>
      <w:pPr>
        <w:autoSpaceDE/>
        <w:autoSpaceDN/>
        <w:adjustRightInd/>
        <w:spacing w:before="120" w:beforeLines="50" w:after="120" w:afterLines="50"/>
        <w:jc w:val="center"/>
        <w:outlineLvl w:val="0"/>
        <w:rPr>
          <w:rFonts w:cs="宋体"/>
          <w:b/>
          <w:color w:val="auto"/>
          <w:sz w:val="36"/>
          <w:szCs w:val="36"/>
          <w:highlight w:val="none"/>
          <w:lang w:eastAsia="zh-CN"/>
        </w:rPr>
      </w:pPr>
      <w:bookmarkStart w:id="115" w:name="_Toc20185"/>
      <w:r>
        <w:rPr>
          <w:rFonts w:cs="宋体"/>
          <w:b/>
          <w:color w:val="auto"/>
          <w:sz w:val="36"/>
          <w:szCs w:val="36"/>
          <w:highlight w:val="none"/>
          <w:lang w:eastAsia="zh-CN"/>
        </w:rPr>
        <w:t>关于促进残疾人就业政府采购政策的通知</w:t>
      </w:r>
      <w:bookmarkEnd w:id="115"/>
    </w:p>
    <w:p>
      <w:pPr>
        <w:spacing w:before="48" w:beforeLines="20" w:after="48" w:afterLines="20" w:line="288" w:lineRule="auto"/>
        <w:jc w:val="center"/>
        <w:rPr>
          <w:rFonts w:cs="宋体"/>
          <w:bCs/>
          <w:color w:val="auto"/>
          <w:sz w:val="24"/>
          <w:szCs w:val="24"/>
          <w:highlight w:val="none"/>
          <w:lang w:eastAsia="zh-CN"/>
        </w:rPr>
      </w:pPr>
      <w:r>
        <w:rPr>
          <w:rFonts w:cs="宋体"/>
          <w:b/>
          <w:color w:val="auto"/>
          <w:sz w:val="24"/>
          <w:szCs w:val="24"/>
          <w:highlight w:val="none"/>
          <w:shd w:val="clear" w:color="auto" w:fill="FFFFFF"/>
          <w:lang w:eastAsia="zh-CN"/>
        </w:rPr>
        <w:t>财库〔2017〕141号</w:t>
      </w:r>
    </w:p>
    <w:p>
      <w:pPr>
        <w:spacing w:line="288" w:lineRule="auto"/>
        <w:jc w:val="both"/>
        <w:rPr>
          <w:rFonts w:cs="宋体"/>
          <w:color w:val="auto"/>
          <w:sz w:val="24"/>
          <w:szCs w:val="24"/>
          <w:highlight w:val="none"/>
          <w:lang w:eastAsia="zh-CN"/>
        </w:rPr>
      </w:pPr>
      <w:bookmarkStart w:id="116" w:name="toDeptId"/>
      <w:r>
        <w:rPr>
          <w:rFonts w:cs="宋体"/>
          <w:color w:val="auto"/>
          <w:sz w:val="24"/>
          <w:szCs w:val="24"/>
          <w:highlight w:val="none"/>
          <w:shd w:val="clear" w:color="auto" w:fill="FFFFFF"/>
          <w:lang w:eastAsia="zh-CN"/>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116"/>
      <w:r>
        <w:rPr>
          <w:rFonts w:cs="宋体"/>
          <w:color w:val="auto"/>
          <w:sz w:val="24"/>
          <w:szCs w:val="24"/>
          <w:highlight w:val="none"/>
          <w:shd w:val="clear" w:color="auto" w:fill="FFFFFF"/>
          <w:lang w:eastAsia="zh-CN"/>
        </w:rPr>
        <w:t>：</w:t>
      </w:r>
    </w:p>
    <w:p>
      <w:pPr>
        <w:spacing w:line="288" w:lineRule="auto"/>
        <w:jc w:val="both"/>
        <w:rPr>
          <w:rFonts w:cs="宋体"/>
          <w:color w:val="auto"/>
          <w:sz w:val="24"/>
          <w:szCs w:val="24"/>
          <w:highlight w:val="none"/>
          <w:lang w:eastAsia="zh-CN"/>
        </w:rPr>
      </w:pPr>
      <w:r>
        <w:rPr>
          <w:rFonts w:cs="宋体"/>
          <w:color w:val="auto"/>
          <w:sz w:val="24"/>
          <w:szCs w:val="24"/>
          <w:highlight w:val="none"/>
          <w:shd w:val="clear" w:color="auto" w:fill="FFFFFF"/>
          <w:lang w:eastAsia="zh-CN"/>
        </w:rPr>
        <w:t>　　为了发挥政府采购促进残疾人就业的作用，进一步保障残疾人权益，依照《政府采购法》、《残疾人保障法》等法律法规及相关规定，现就促进残疾人就业政府采购政策通知如下：</w:t>
      </w:r>
    </w:p>
    <w:p>
      <w:pPr>
        <w:spacing w:line="288" w:lineRule="auto"/>
        <w:jc w:val="both"/>
        <w:rPr>
          <w:rFonts w:cs="宋体"/>
          <w:color w:val="auto"/>
          <w:sz w:val="24"/>
          <w:szCs w:val="24"/>
          <w:highlight w:val="none"/>
          <w:lang w:eastAsia="zh-CN"/>
        </w:rPr>
      </w:pPr>
      <w:r>
        <w:rPr>
          <w:rFonts w:cs="宋体"/>
          <w:color w:val="auto"/>
          <w:sz w:val="24"/>
          <w:szCs w:val="24"/>
          <w:highlight w:val="none"/>
          <w:shd w:val="clear" w:color="auto" w:fill="FFFFFF"/>
          <w:lang w:eastAsia="zh-CN"/>
        </w:rPr>
        <w:t>　　一、享受政府采购支持政策的残疾人福利性单位应当同时满足以下条件：</w:t>
      </w:r>
    </w:p>
    <w:p>
      <w:pPr>
        <w:spacing w:line="288" w:lineRule="auto"/>
        <w:jc w:val="both"/>
        <w:rPr>
          <w:rFonts w:cs="宋体"/>
          <w:color w:val="auto"/>
          <w:sz w:val="24"/>
          <w:szCs w:val="24"/>
          <w:highlight w:val="none"/>
          <w:lang w:eastAsia="zh-CN"/>
        </w:rPr>
      </w:pPr>
      <w:r>
        <w:rPr>
          <w:rFonts w:cs="宋体"/>
          <w:color w:val="auto"/>
          <w:sz w:val="24"/>
          <w:szCs w:val="24"/>
          <w:highlight w:val="none"/>
          <w:shd w:val="clear" w:color="auto" w:fill="FFFFFF"/>
          <w:lang w:eastAsia="zh-CN"/>
        </w:rPr>
        <w:t>　　（一）安置的残疾人占本单位在职职工人数的比例不低于25%（含25%），并且安置的残疾人人数不少于10人（含10人）；</w:t>
      </w:r>
    </w:p>
    <w:p>
      <w:pPr>
        <w:spacing w:line="288" w:lineRule="auto"/>
        <w:jc w:val="both"/>
        <w:rPr>
          <w:rFonts w:cs="宋体"/>
          <w:color w:val="auto"/>
          <w:sz w:val="24"/>
          <w:szCs w:val="24"/>
          <w:highlight w:val="none"/>
          <w:lang w:eastAsia="zh-CN"/>
        </w:rPr>
      </w:pPr>
      <w:r>
        <w:rPr>
          <w:rFonts w:cs="宋体"/>
          <w:color w:val="auto"/>
          <w:sz w:val="24"/>
          <w:szCs w:val="24"/>
          <w:highlight w:val="none"/>
          <w:shd w:val="clear" w:color="auto" w:fill="FFFFFF"/>
          <w:lang w:eastAsia="zh-CN"/>
        </w:rPr>
        <w:t>　　（二）依法与安置的每位残疾人签订了一年以上（含一年）的劳动合同或服务协议；</w:t>
      </w:r>
    </w:p>
    <w:p>
      <w:pPr>
        <w:spacing w:line="288" w:lineRule="auto"/>
        <w:jc w:val="both"/>
        <w:rPr>
          <w:rFonts w:cs="宋体"/>
          <w:color w:val="auto"/>
          <w:sz w:val="24"/>
          <w:szCs w:val="24"/>
          <w:highlight w:val="none"/>
          <w:lang w:eastAsia="zh-CN"/>
        </w:rPr>
      </w:pPr>
      <w:r>
        <w:rPr>
          <w:rFonts w:cs="宋体"/>
          <w:color w:val="auto"/>
          <w:sz w:val="24"/>
          <w:szCs w:val="24"/>
          <w:highlight w:val="none"/>
          <w:shd w:val="clear" w:color="auto" w:fill="FFFFFF"/>
          <w:lang w:eastAsia="zh-CN"/>
        </w:rPr>
        <w:t>　　（三）为安置的每位残疾人按月足额缴纳了基本养老保险、基本医疗保险、失业保险、工伤保险和生育保险等社会保险费；</w:t>
      </w:r>
    </w:p>
    <w:p>
      <w:pPr>
        <w:spacing w:line="288" w:lineRule="auto"/>
        <w:jc w:val="both"/>
        <w:rPr>
          <w:rFonts w:cs="宋体"/>
          <w:color w:val="auto"/>
          <w:sz w:val="24"/>
          <w:szCs w:val="24"/>
          <w:highlight w:val="none"/>
          <w:lang w:eastAsia="zh-CN"/>
        </w:rPr>
      </w:pPr>
      <w:r>
        <w:rPr>
          <w:rFonts w:cs="宋体"/>
          <w:color w:val="auto"/>
          <w:sz w:val="24"/>
          <w:szCs w:val="24"/>
          <w:highlight w:val="none"/>
          <w:shd w:val="clear" w:color="auto" w:fill="FFFFFF"/>
          <w:lang w:eastAsia="zh-CN"/>
        </w:rPr>
        <w:t>　　（四）通过银行等金融机构向安置的每位残疾人，按月支付了不低于单位所在区县适用的经省级人民政府批准的月最低工资标准的工资；</w:t>
      </w:r>
    </w:p>
    <w:p>
      <w:pPr>
        <w:spacing w:line="288" w:lineRule="auto"/>
        <w:jc w:val="both"/>
        <w:rPr>
          <w:rFonts w:cs="宋体"/>
          <w:color w:val="auto"/>
          <w:sz w:val="24"/>
          <w:szCs w:val="24"/>
          <w:highlight w:val="none"/>
          <w:lang w:eastAsia="zh-CN"/>
        </w:rPr>
      </w:pPr>
      <w:r>
        <w:rPr>
          <w:rFonts w:cs="宋体"/>
          <w:color w:val="auto"/>
          <w:sz w:val="24"/>
          <w:szCs w:val="24"/>
          <w:highlight w:val="none"/>
          <w:shd w:val="clear" w:color="auto" w:fill="FFFFFF"/>
          <w:lang w:eastAsia="zh-CN"/>
        </w:rPr>
        <w:t>　　（五）提供本单位制造的货物、承担的工程或者服务（以下简称产品），或者提供其他残疾人福利性单位制造的货物（不包括使用非残疾人福利性单位注册商标的货物）。</w:t>
      </w:r>
    </w:p>
    <w:p>
      <w:pPr>
        <w:spacing w:line="288" w:lineRule="auto"/>
        <w:jc w:val="both"/>
        <w:rPr>
          <w:rFonts w:cs="宋体"/>
          <w:color w:val="auto"/>
          <w:sz w:val="24"/>
          <w:szCs w:val="24"/>
          <w:highlight w:val="none"/>
          <w:lang w:eastAsia="zh-CN"/>
        </w:rPr>
      </w:pPr>
      <w:r>
        <w:rPr>
          <w:rFonts w:cs="宋体"/>
          <w:color w:val="auto"/>
          <w:sz w:val="24"/>
          <w:szCs w:val="24"/>
          <w:highlight w:val="none"/>
          <w:shd w:val="clear" w:color="auto" w:fill="FFFFFF"/>
          <w:lang w:eastAsia="zh-CN"/>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288" w:lineRule="auto"/>
        <w:jc w:val="both"/>
        <w:rPr>
          <w:rFonts w:cs="宋体"/>
          <w:color w:val="auto"/>
          <w:sz w:val="24"/>
          <w:szCs w:val="24"/>
          <w:highlight w:val="none"/>
          <w:lang w:eastAsia="zh-CN"/>
        </w:rPr>
      </w:pPr>
      <w:r>
        <w:rPr>
          <w:rFonts w:cs="宋体"/>
          <w:color w:val="auto"/>
          <w:sz w:val="24"/>
          <w:szCs w:val="24"/>
          <w:highlight w:val="none"/>
          <w:shd w:val="clear" w:color="auto" w:fill="FFFFFF"/>
          <w:lang w:eastAsia="zh-CN"/>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spacing w:line="288" w:lineRule="auto"/>
        <w:jc w:val="both"/>
        <w:rPr>
          <w:rFonts w:cs="宋体"/>
          <w:color w:val="auto"/>
          <w:sz w:val="24"/>
          <w:szCs w:val="24"/>
          <w:highlight w:val="none"/>
          <w:lang w:eastAsia="zh-CN"/>
        </w:rPr>
      </w:pPr>
      <w:r>
        <w:rPr>
          <w:rFonts w:cs="宋体"/>
          <w:color w:val="auto"/>
          <w:sz w:val="24"/>
          <w:szCs w:val="24"/>
          <w:highlight w:val="none"/>
          <w:shd w:val="clear" w:color="auto" w:fill="FFFFFF"/>
          <w:lang w:eastAsia="zh-CN"/>
        </w:rPr>
        <w:t>　　中标、成交投标人为残疾人福利性单位的，采购人或者其委托的采购代理机构应当随中标、成交结果同时公告其《残疾人福利性单位声明函》，接受社会监督。</w:t>
      </w:r>
    </w:p>
    <w:p>
      <w:pPr>
        <w:spacing w:line="288" w:lineRule="auto"/>
        <w:jc w:val="both"/>
        <w:rPr>
          <w:rFonts w:cs="宋体"/>
          <w:color w:val="auto"/>
          <w:sz w:val="24"/>
          <w:szCs w:val="24"/>
          <w:highlight w:val="none"/>
          <w:lang w:eastAsia="zh-CN"/>
        </w:rPr>
      </w:pPr>
      <w:r>
        <w:rPr>
          <w:rFonts w:cs="宋体"/>
          <w:color w:val="auto"/>
          <w:sz w:val="24"/>
          <w:szCs w:val="24"/>
          <w:highlight w:val="none"/>
          <w:shd w:val="clear" w:color="auto" w:fill="FFFFFF"/>
          <w:lang w:eastAsia="zh-CN"/>
        </w:rPr>
        <w:t>　　投标人提供的《残疾人福利性单位声明函》与事实不符的，依照《政府采购法》第七十七条第一款的规定追究法律责任。</w:t>
      </w:r>
    </w:p>
    <w:p>
      <w:pPr>
        <w:spacing w:line="288" w:lineRule="auto"/>
        <w:jc w:val="both"/>
        <w:rPr>
          <w:rFonts w:cs="宋体"/>
          <w:color w:val="auto"/>
          <w:sz w:val="24"/>
          <w:szCs w:val="24"/>
          <w:highlight w:val="none"/>
          <w:lang w:eastAsia="zh-CN"/>
        </w:rPr>
      </w:pPr>
      <w:r>
        <w:rPr>
          <w:rFonts w:cs="宋体"/>
          <w:color w:val="auto"/>
          <w:sz w:val="24"/>
          <w:szCs w:val="24"/>
          <w:highlight w:val="none"/>
          <w:shd w:val="clear" w:color="auto" w:fill="FFFFFF"/>
          <w:lang w:eastAsia="zh-CN"/>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spacing w:line="288" w:lineRule="auto"/>
        <w:jc w:val="both"/>
        <w:rPr>
          <w:rFonts w:cs="宋体"/>
          <w:color w:val="auto"/>
          <w:sz w:val="24"/>
          <w:szCs w:val="24"/>
          <w:highlight w:val="none"/>
          <w:lang w:eastAsia="zh-CN"/>
        </w:rPr>
      </w:pPr>
      <w:r>
        <w:rPr>
          <w:rFonts w:cs="宋体"/>
          <w:color w:val="auto"/>
          <w:sz w:val="24"/>
          <w:szCs w:val="24"/>
          <w:highlight w:val="none"/>
          <w:shd w:val="clear" w:color="auto" w:fill="FFFFFF"/>
          <w:lang w:eastAsia="zh-CN"/>
        </w:rPr>
        <w:t>　　四、采购人采购公开招标数额标准以上的货物或者服务，因落实促进残疾人就业政策的需要，依法履行有关报批程序后，可采用公开招标以外的采购方式。</w:t>
      </w:r>
    </w:p>
    <w:p>
      <w:pPr>
        <w:spacing w:line="288" w:lineRule="auto"/>
        <w:jc w:val="both"/>
        <w:rPr>
          <w:rFonts w:cs="宋体"/>
          <w:color w:val="auto"/>
          <w:sz w:val="24"/>
          <w:szCs w:val="24"/>
          <w:highlight w:val="none"/>
          <w:lang w:eastAsia="zh-CN"/>
        </w:rPr>
      </w:pPr>
      <w:r>
        <w:rPr>
          <w:rFonts w:cs="宋体"/>
          <w:color w:val="auto"/>
          <w:sz w:val="24"/>
          <w:szCs w:val="24"/>
          <w:highlight w:val="none"/>
          <w:shd w:val="clear" w:color="auto" w:fill="FFFFFF"/>
          <w:lang w:eastAsia="zh-CN"/>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spacing w:line="288" w:lineRule="auto"/>
        <w:jc w:val="both"/>
        <w:rPr>
          <w:rFonts w:cs="宋体"/>
          <w:color w:val="auto"/>
          <w:sz w:val="24"/>
          <w:szCs w:val="24"/>
          <w:highlight w:val="none"/>
          <w:lang w:eastAsia="zh-CN"/>
        </w:rPr>
      </w:pPr>
      <w:r>
        <w:rPr>
          <w:rFonts w:cs="宋体"/>
          <w:color w:val="auto"/>
          <w:sz w:val="24"/>
          <w:szCs w:val="24"/>
          <w:highlight w:val="none"/>
          <w:shd w:val="clear" w:color="auto" w:fill="FFFFFF"/>
          <w:lang w:eastAsia="zh-CN"/>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spacing w:line="288" w:lineRule="auto"/>
        <w:jc w:val="both"/>
        <w:rPr>
          <w:rFonts w:cs="宋体"/>
          <w:color w:val="auto"/>
          <w:sz w:val="24"/>
          <w:szCs w:val="24"/>
          <w:highlight w:val="none"/>
          <w:lang w:eastAsia="zh-CN"/>
        </w:rPr>
      </w:pPr>
      <w:r>
        <w:rPr>
          <w:rFonts w:cs="宋体"/>
          <w:color w:val="auto"/>
          <w:sz w:val="24"/>
          <w:szCs w:val="24"/>
          <w:highlight w:val="none"/>
          <w:shd w:val="clear" w:color="auto" w:fill="FFFFFF"/>
          <w:lang w:eastAsia="zh-CN"/>
        </w:rPr>
        <w:t>　　七、本通知自2017年10月1日起执行。</w:t>
      </w:r>
    </w:p>
    <w:p>
      <w:pPr>
        <w:spacing w:line="288" w:lineRule="auto"/>
        <w:jc w:val="right"/>
        <w:rPr>
          <w:rFonts w:cs="宋体"/>
          <w:color w:val="auto"/>
          <w:sz w:val="24"/>
          <w:szCs w:val="24"/>
          <w:highlight w:val="none"/>
          <w:lang w:eastAsia="zh-CN"/>
        </w:rPr>
      </w:pPr>
      <w:r>
        <w:rPr>
          <w:rFonts w:cs="宋体"/>
          <w:color w:val="auto"/>
          <w:sz w:val="24"/>
          <w:szCs w:val="24"/>
          <w:highlight w:val="none"/>
          <w:shd w:val="clear" w:color="auto" w:fill="FFFFFF"/>
          <w:lang w:eastAsia="zh-CN"/>
        </w:rPr>
        <w:t>　　财政部 民政部 中国残疾人联合会</w:t>
      </w:r>
    </w:p>
    <w:p>
      <w:pPr>
        <w:spacing w:line="288" w:lineRule="auto"/>
        <w:jc w:val="right"/>
        <w:rPr>
          <w:rFonts w:cs="宋体"/>
          <w:color w:val="auto"/>
          <w:sz w:val="24"/>
          <w:szCs w:val="24"/>
          <w:highlight w:val="none"/>
          <w:shd w:val="clear" w:color="auto" w:fill="FFFFFF"/>
          <w:lang w:eastAsia="zh-CN"/>
        </w:rPr>
      </w:pPr>
      <w:r>
        <w:rPr>
          <w:rFonts w:cs="宋体"/>
          <w:color w:val="auto"/>
          <w:sz w:val="24"/>
          <w:szCs w:val="24"/>
          <w:highlight w:val="none"/>
          <w:shd w:val="clear" w:color="auto" w:fill="FFFFFF"/>
          <w:lang w:eastAsia="zh-CN"/>
        </w:rPr>
        <w:t>　　2017年8月22日</w:t>
      </w:r>
    </w:p>
    <w:p>
      <w:pPr>
        <w:spacing w:line="340" w:lineRule="exact"/>
        <w:jc w:val="center"/>
        <w:rPr>
          <w:rFonts w:cs="宋体"/>
          <w:color w:val="auto"/>
          <w:highlight w:val="none"/>
          <w:shd w:val="clear" w:color="auto" w:fill="FFFFFF"/>
          <w:lang w:eastAsia="zh-CN"/>
        </w:rPr>
      </w:pPr>
    </w:p>
    <w:p>
      <w:pPr>
        <w:spacing w:line="340" w:lineRule="exact"/>
        <w:jc w:val="center"/>
        <w:rPr>
          <w:rFonts w:cs="宋体"/>
          <w:color w:val="auto"/>
          <w:highlight w:val="none"/>
          <w:shd w:val="clear" w:color="auto" w:fill="FFFFFF"/>
          <w:lang w:eastAsia="zh-CN"/>
        </w:rPr>
      </w:pPr>
      <w:r>
        <w:rPr>
          <w:rFonts w:cs="宋体"/>
          <w:color w:val="auto"/>
          <w:highlight w:val="none"/>
          <w:shd w:val="clear" w:color="auto" w:fill="FFFFFF"/>
          <w:lang w:eastAsia="zh-CN"/>
        </w:rPr>
        <w:br w:type="page"/>
      </w:r>
    </w:p>
    <w:p>
      <w:pPr>
        <w:autoSpaceDE/>
        <w:autoSpaceDN/>
        <w:adjustRightInd/>
        <w:spacing w:before="120" w:beforeLines="50" w:after="120" w:afterLines="50"/>
        <w:jc w:val="center"/>
        <w:outlineLvl w:val="0"/>
        <w:rPr>
          <w:rFonts w:cs="宋体"/>
          <w:b/>
          <w:color w:val="auto"/>
          <w:sz w:val="36"/>
          <w:szCs w:val="36"/>
          <w:highlight w:val="none"/>
          <w:lang w:eastAsia="zh-CN"/>
        </w:rPr>
      </w:pPr>
      <w:bookmarkStart w:id="117" w:name="_Toc25399"/>
      <w:r>
        <w:rPr>
          <w:rFonts w:cs="宋体"/>
          <w:b/>
          <w:color w:val="auto"/>
          <w:sz w:val="36"/>
          <w:szCs w:val="36"/>
          <w:highlight w:val="none"/>
          <w:lang w:eastAsia="zh-CN"/>
        </w:rPr>
        <w:t>《统计上大中小微型企业划分办法（2017）》修订说明</w:t>
      </w:r>
      <w:bookmarkEnd w:id="117"/>
    </w:p>
    <w:p>
      <w:pPr>
        <w:autoSpaceDE/>
        <w:autoSpaceDN/>
        <w:adjustRightInd/>
        <w:spacing w:line="288" w:lineRule="auto"/>
        <w:ind w:firstLine="480" w:firstLineChars="200"/>
        <w:outlineLvl w:val="0"/>
        <w:rPr>
          <w:rFonts w:cs="宋体"/>
          <w:color w:val="auto"/>
          <w:sz w:val="24"/>
          <w:szCs w:val="24"/>
          <w:highlight w:val="none"/>
          <w:lang w:eastAsia="zh-CN"/>
        </w:rPr>
      </w:pPr>
      <w:bookmarkStart w:id="118" w:name="_Toc28911"/>
      <w:r>
        <w:rPr>
          <w:rFonts w:cs="宋体"/>
          <w:color w:val="auto"/>
          <w:sz w:val="24"/>
          <w:szCs w:val="24"/>
          <w:highlight w:val="none"/>
          <w:lang w:eastAsia="zh-CN"/>
        </w:rPr>
        <w:t>一、修订背景</w:t>
      </w:r>
      <w:bookmarkEnd w:id="118"/>
    </w:p>
    <w:p>
      <w:pPr>
        <w:autoSpaceDE/>
        <w:autoSpaceDN/>
        <w:adjustRightInd/>
        <w:spacing w:line="288" w:lineRule="auto"/>
        <w:ind w:firstLine="480" w:firstLineChars="200"/>
        <w:rPr>
          <w:rFonts w:cs="宋体"/>
          <w:color w:val="auto"/>
          <w:sz w:val="24"/>
          <w:szCs w:val="24"/>
          <w:highlight w:val="none"/>
          <w:lang w:eastAsia="zh-CN"/>
        </w:rPr>
      </w:pPr>
      <w:r>
        <w:rPr>
          <w:rFonts w:cs="宋体"/>
          <w:color w:val="auto"/>
          <w:sz w:val="24"/>
          <w:szCs w:val="24"/>
          <w:highlight w:val="none"/>
          <w:lang w:eastAsia="zh-CN"/>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pPr>
        <w:autoSpaceDE/>
        <w:autoSpaceDN/>
        <w:adjustRightInd/>
        <w:spacing w:line="288" w:lineRule="auto"/>
        <w:ind w:firstLine="480" w:firstLineChars="200"/>
        <w:rPr>
          <w:rFonts w:cs="宋体"/>
          <w:color w:val="auto"/>
          <w:sz w:val="24"/>
          <w:szCs w:val="24"/>
          <w:highlight w:val="none"/>
          <w:lang w:eastAsia="zh-CN"/>
        </w:rPr>
      </w:pPr>
      <w:r>
        <w:rPr>
          <w:rFonts w:cs="宋体"/>
          <w:color w:val="auto"/>
          <w:sz w:val="24"/>
          <w:szCs w:val="24"/>
          <w:highlight w:val="none"/>
          <w:lang w:eastAsia="zh-CN"/>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autoSpaceDE/>
        <w:autoSpaceDN/>
        <w:adjustRightInd/>
        <w:spacing w:line="288" w:lineRule="auto"/>
        <w:ind w:firstLine="480" w:firstLineChars="200"/>
        <w:outlineLvl w:val="0"/>
        <w:rPr>
          <w:rFonts w:cs="宋体"/>
          <w:color w:val="auto"/>
          <w:sz w:val="24"/>
          <w:szCs w:val="24"/>
          <w:highlight w:val="none"/>
          <w:lang w:eastAsia="zh-CN"/>
        </w:rPr>
      </w:pPr>
      <w:bookmarkStart w:id="119" w:name="_Toc26174"/>
      <w:r>
        <w:rPr>
          <w:rFonts w:cs="宋体"/>
          <w:color w:val="auto"/>
          <w:sz w:val="24"/>
          <w:szCs w:val="24"/>
          <w:highlight w:val="none"/>
          <w:lang w:eastAsia="zh-CN"/>
        </w:rPr>
        <w:t>二、修订主要内容</w:t>
      </w:r>
      <w:bookmarkEnd w:id="119"/>
    </w:p>
    <w:p>
      <w:pPr>
        <w:autoSpaceDE/>
        <w:autoSpaceDN/>
        <w:adjustRightInd/>
        <w:spacing w:line="288" w:lineRule="auto"/>
        <w:ind w:firstLine="480" w:firstLineChars="200"/>
        <w:rPr>
          <w:rFonts w:cs="宋体"/>
          <w:color w:val="auto"/>
          <w:sz w:val="24"/>
          <w:szCs w:val="24"/>
          <w:highlight w:val="none"/>
          <w:lang w:eastAsia="zh-CN"/>
        </w:rPr>
      </w:pPr>
      <w:r>
        <w:rPr>
          <w:rFonts w:cs="宋体"/>
          <w:color w:val="auto"/>
          <w:sz w:val="24"/>
          <w:szCs w:val="24"/>
          <w:highlight w:val="none"/>
          <w:lang w:eastAsia="zh-CN"/>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pPr>
        <w:autoSpaceDE/>
        <w:autoSpaceDN/>
        <w:adjustRightInd/>
        <w:spacing w:line="288" w:lineRule="auto"/>
        <w:ind w:firstLine="480" w:firstLineChars="200"/>
        <w:rPr>
          <w:rFonts w:cs="宋体"/>
          <w:color w:val="auto"/>
          <w:sz w:val="24"/>
          <w:szCs w:val="24"/>
          <w:highlight w:val="none"/>
          <w:lang w:eastAsia="zh-CN"/>
        </w:rPr>
      </w:pPr>
      <w:r>
        <w:rPr>
          <w:rFonts w:cs="宋体"/>
          <w:color w:val="auto"/>
          <w:sz w:val="24"/>
          <w:szCs w:val="24"/>
          <w:highlight w:val="none"/>
          <w:lang w:eastAsia="zh-CN"/>
        </w:rPr>
        <w:t>将交通运输业中包括的“装卸搬运和运输代理业”修改为“多式联运和运输代理业、装卸搬运”。</w:t>
      </w:r>
    </w:p>
    <w:p>
      <w:pPr>
        <w:autoSpaceDE/>
        <w:autoSpaceDN/>
        <w:adjustRightInd/>
        <w:spacing w:line="288" w:lineRule="auto"/>
        <w:ind w:firstLine="512" w:firstLineChars="200"/>
        <w:rPr>
          <w:rFonts w:cs="宋体"/>
          <w:color w:val="auto"/>
          <w:spacing w:val="8"/>
          <w:sz w:val="24"/>
          <w:szCs w:val="24"/>
          <w:highlight w:val="none"/>
          <w:lang w:eastAsia="zh-CN"/>
        </w:rPr>
      </w:pPr>
      <w:r>
        <w:rPr>
          <w:rFonts w:cs="宋体"/>
          <w:color w:val="auto"/>
          <w:spacing w:val="8"/>
          <w:sz w:val="24"/>
          <w:szCs w:val="24"/>
          <w:highlight w:val="none"/>
          <w:lang w:eastAsia="zh-CN"/>
        </w:rPr>
        <w:t>仓储业所包括的行业中类，根据《国民经济行业分类》</w:t>
      </w:r>
      <w:r>
        <w:rPr>
          <w:rFonts w:cs="宋体"/>
          <w:color w:val="auto"/>
          <w:sz w:val="24"/>
          <w:szCs w:val="24"/>
          <w:highlight w:val="none"/>
          <w:lang w:eastAsia="zh-CN"/>
        </w:rPr>
        <w:t>（GB/T 4754—2017）</w:t>
      </w:r>
      <w:r>
        <w:rPr>
          <w:rFonts w:cs="宋体"/>
          <w:color w:val="auto"/>
          <w:spacing w:val="8"/>
          <w:sz w:val="24"/>
          <w:szCs w:val="24"/>
          <w:highlight w:val="none"/>
          <w:lang w:eastAsia="zh-CN"/>
        </w:rPr>
        <w:t>调整为“通用仓储，低温仓储，危险品仓储，谷物、棉花等农产品仓储，中药材仓储和其他仓储业”。</w:t>
      </w:r>
    </w:p>
    <w:p>
      <w:pPr>
        <w:autoSpaceDE/>
        <w:autoSpaceDN/>
        <w:adjustRightInd/>
        <w:spacing w:line="288" w:lineRule="auto"/>
        <w:rPr>
          <w:rFonts w:cs="宋体"/>
          <w:color w:val="auto"/>
          <w:sz w:val="24"/>
          <w:szCs w:val="24"/>
          <w:highlight w:val="none"/>
          <w:lang w:eastAsia="zh-CN"/>
        </w:rPr>
      </w:pPr>
      <w:r>
        <w:rPr>
          <w:rFonts w:cs="宋体"/>
          <w:color w:val="auto"/>
          <w:sz w:val="24"/>
          <w:szCs w:val="24"/>
          <w:highlight w:val="none"/>
          <w:lang w:eastAsia="zh-CN"/>
        </w:rPr>
        <w:t>附表                        统计上大中小微型企业划分标准</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vAlign w:val="center"/>
          </w:tcPr>
          <w:p>
            <w:pPr>
              <w:autoSpaceDE/>
              <w:autoSpaceDN/>
              <w:adjustRightInd/>
              <w:spacing w:line="288" w:lineRule="auto"/>
              <w:rPr>
                <w:rFonts w:cs="宋体"/>
                <w:b/>
                <w:bCs/>
                <w:color w:val="auto"/>
                <w:sz w:val="24"/>
                <w:szCs w:val="24"/>
                <w:highlight w:val="none"/>
              </w:rPr>
            </w:pPr>
            <w:r>
              <w:rPr>
                <w:rFonts w:cs="宋体"/>
                <w:b/>
                <w:bCs/>
                <w:color w:val="auto"/>
                <w:sz w:val="24"/>
                <w:szCs w:val="24"/>
                <w:highlight w:val="none"/>
              </w:rPr>
              <w:t>行业名称</w:t>
            </w:r>
          </w:p>
        </w:tc>
        <w:tc>
          <w:tcPr>
            <w:tcW w:w="1369" w:type="dxa"/>
            <w:vAlign w:val="center"/>
          </w:tcPr>
          <w:p>
            <w:pPr>
              <w:autoSpaceDE/>
              <w:autoSpaceDN/>
              <w:adjustRightInd/>
              <w:spacing w:line="288" w:lineRule="auto"/>
              <w:rPr>
                <w:rFonts w:cs="宋体"/>
                <w:b/>
                <w:bCs/>
                <w:color w:val="auto"/>
                <w:sz w:val="24"/>
                <w:szCs w:val="24"/>
                <w:highlight w:val="none"/>
              </w:rPr>
            </w:pPr>
            <w:r>
              <w:rPr>
                <w:rFonts w:cs="宋体"/>
                <w:b/>
                <w:bCs/>
                <w:color w:val="auto"/>
                <w:sz w:val="24"/>
                <w:szCs w:val="24"/>
                <w:highlight w:val="none"/>
              </w:rPr>
              <w:t>指标名称</w:t>
            </w:r>
          </w:p>
        </w:tc>
        <w:tc>
          <w:tcPr>
            <w:tcW w:w="709" w:type="dxa"/>
            <w:vAlign w:val="center"/>
          </w:tcPr>
          <w:p>
            <w:pPr>
              <w:autoSpaceDE/>
              <w:autoSpaceDN/>
              <w:adjustRightInd/>
              <w:spacing w:line="288" w:lineRule="auto"/>
              <w:rPr>
                <w:rFonts w:cs="宋体"/>
                <w:b/>
                <w:bCs/>
                <w:color w:val="auto"/>
                <w:sz w:val="24"/>
                <w:szCs w:val="24"/>
                <w:highlight w:val="none"/>
              </w:rPr>
            </w:pPr>
            <w:r>
              <w:rPr>
                <w:rFonts w:cs="宋体"/>
                <w:b/>
                <w:bCs/>
                <w:color w:val="auto"/>
                <w:sz w:val="24"/>
                <w:szCs w:val="24"/>
                <w:highlight w:val="none"/>
              </w:rPr>
              <w:t>计量</w:t>
            </w:r>
          </w:p>
          <w:p>
            <w:pPr>
              <w:autoSpaceDE/>
              <w:autoSpaceDN/>
              <w:adjustRightInd/>
              <w:spacing w:line="288" w:lineRule="auto"/>
              <w:rPr>
                <w:rFonts w:cs="宋体"/>
                <w:b/>
                <w:bCs/>
                <w:color w:val="auto"/>
                <w:sz w:val="24"/>
                <w:szCs w:val="24"/>
                <w:highlight w:val="none"/>
              </w:rPr>
            </w:pPr>
            <w:r>
              <w:rPr>
                <w:rFonts w:cs="宋体"/>
                <w:b/>
                <w:bCs/>
                <w:color w:val="auto"/>
                <w:sz w:val="24"/>
                <w:szCs w:val="24"/>
                <w:highlight w:val="none"/>
              </w:rPr>
              <w:t>单位</w:t>
            </w:r>
          </w:p>
        </w:tc>
        <w:tc>
          <w:tcPr>
            <w:tcW w:w="1125" w:type="dxa"/>
            <w:vAlign w:val="center"/>
          </w:tcPr>
          <w:p>
            <w:pPr>
              <w:autoSpaceDE/>
              <w:autoSpaceDN/>
              <w:adjustRightInd/>
              <w:spacing w:line="288" w:lineRule="auto"/>
              <w:rPr>
                <w:rFonts w:cs="宋体"/>
                <w:b/>
                <w:bCs/>
                <w:color w:val="auto"/>
                <w:sz w:val="24"/>
                <w:szCs w:val="24"/>
                <w:highlight w:val="none"/>
              </w:rPr>
            </w:pPr>
            <w:r>
              <w:rPr>
                <w:rFonts w:cs="宋体"/>
                <w:b/>
                <w:bCs/>
                <w:color w:val="auto"/>
                <w:sz w:val="24"/>
                <w:szCs w:val="24"/>
                <w:highlight w:val="none"/>
              </w:rPr>
              <w:t>大型</w:t>
            </w:r>
          </w:p>
        </w:tc>
        <w:tc>
          <w:tcPr>
            <w:tcW w:w="1701" w:type="dxa"/>
            <w:vAlign w:val="center"/>
          </w:tcPr>
          <w:p>
            <w:pPr>
              <w:autoSpaceDE/>
              <w:autoSpaceDN/>
              <w:adjustRightInd/>
              <w:spacing w:line="288" w:lineRule="auto"/>
              <w:rPr>
                <w:rFonts w:cs="宋体"/>
                <w:b/>
                <w:bCs/>
                <w:color w:val="auto"/>
                <w:sz w:val="24"/>
                <w:szCs w:val="24"/>
                <w:highlight w:val="none"/>
              </w:rPr>
            </w:pPr>
            <w:r>
              <w:rPr>
                <w:rFonts w:cs="宋体"/>
                <w:b/>
                <w:bCs/>
                <w:color w:val="auto"/>
                <w:sz w:val="24"/>
                <w:szCs w:val="24"/>
                <w:highlight w:val="none"/>
              </w:rPr>
              <w:t>中型</w:t>
            </w:r>
          </w:p>
        </w:tc>
        <w:tc>
          <w:tcPr>
            <w:tcW w:w="1426" w:type="dxa"/>
            <w:vAlign w:val="center"/>
          </w:tcPr>
          <w:p>
            <w:pPr>
              <w:autoSpaceDE/>
              <w:autoSpaceDN/>
              <w:adjustRightInd/>
              <w:spacing w:line="288" w:lineRule="auto"/>
              <w:rPr>
                <w:rFonts w:cs="宋体"/>
                <w:b/>
                <w:bCs/>
                <w:color w:val="auto"/>
                <w:sz w:val="24"/>
                <w:szCs w:val="24"/>
                <w:highlight w:val="none"/>
              </w:rPr>
            </w:pPr>
            <w:r>
              <w:rPr>
                <w:rFonts w:cs="宋体"/>
                <w:b/>
                <w:bCs/>
                <w:color w:val="auto"/>
                <w:sz w:val="24"/>
                <w:szCs w:val="24"/>
                <w:highlight w:val="none"/>
              </w:rPr>
              <w:t>小型</w:t>
            </w:r>
          </w:p>
        </w:tc>
        <w:tc>
          <w:tcPr>
            <w:tcW w:w="992" w:type="dxa"/>
            <w:vAlign w:val="center"/>
          </w:tcPr>
          <w:p>
            <w:pPr>
              <w:autoSpaceDE/>
              <w:autoSpaceDN/>
              <w:adjustRightInd/>
              <w:spacing w:line="288" w:lineRule="auto"/>
              <w:rPr>
                <w:rFonts w:cs="宋体"/>
                <w:b/>
                <w:bCs/>
                <w:color w:val="auto"/>
                <w:sz w:val="24"/>
                <w:szCs w:val="24"/>
                <w:highlight w:val="none"/>
              </w:rPr>
            </w:pPr>
            <w:r>
              <w:rPr>
                <w:rFonts w:cs="宋体"/>
                <w:b/>
                <w:bCs/>
                <w:color w:val="auto"/>
                <w:sz w:val="24"/>
                <w:szCs w:val="24"/>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农、林、牧、渔业</w:t>
            </w:r>
          </w:p>
        </w:tc>
        <w:tc>
          <w:tcPr>
            <w:tcW w:w="136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营业收入(Y)</w:t>
            </w:r>
          </w:p>
        </w:tc>
        <w:tc>
          <w:tcPr>
            <w:tcW w:w="70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万元</w:t>
            </w:r>
          </w:p>
        </w:tc>
        <w:tc>
          <w:tcPr>
            <w:tcW w:w="1125"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Y≥20000</w:t>
            </w:r>
          </w:p>
        </w:tc>
        <w:tc>
          <w:tcPr>
            <w:tcW w:w="1701"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 xml:space="preserve"> 500≤Y＜20000</w:t>
            </w:r>
          </w:p>
        </w:tc>
        <w:tc>
          <w:tcPr>
            <w:tcW w:w="1426"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 xml:space="preserve"> 50≤Y＜500</w:t>
            </w:r>
          </w:p>
        </w:tc>
        <w:tc>
          <w:tcPr>
            <w:tcW w:w="992"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工业 *</w:t>
            </w:r>
          </w:p>
        </w:tc>
        <w:tc>
          <w:tcPr>
            <w:tcW w:w="136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从业人员(X)</w:t>
            </w:r>
          </w:p>
        </w:tc>
        <w:tc>
          <w:tcPr>
            <w:tcW w:w="70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人</w:t>
            </w:r>
          </w:p>
        </w:tc>
        <w:tc>
          <w:tcPr>
            <w:tcW w:w="1125"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X≥1000</w:t>
            </w:r>
          </w:p>
        </w:tc>
        <w:tc>
          <w:tcPr>
            <w:tcW w:w="1701"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300≤X＜1000</w:t>
            </w:r>
          </w:p>
        </w:tc>
        <w:tc>
          <w:tcPr>
            <w:tcW w:w="1426"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 xml:space="preserve"> 20≤X＜300</w:t>
            </w:r>
          </w:p>
        </w:tc>
        <w:tc>
          <w:tcPr>
            <w:tcW w:w="992"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autoSpaceDE/>
              <w:autoSpaceDN/>
              <w:adjustRightInd/>
              <w:spacing w:line="288" w:lineRule="auto"/>
              <w:rPr>
                <w:rFonts w:cs="宋体"/>
                <w:b/>
                <w:color w:val="auto"/>
                <w:sz w:val="24"/>
                <w:szCs w:val="24"/>
                <w:highlight w:val="none"/>
              </w:rPr>
            </w:pPr>
          </w:p>
        </w:tc>
        <w:tc>
          <w:tcPr>
            <w:tcW w:w="136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营业收入(Y)</w:t>
            </w:r>
          </w:p>
        </w:tc>
        <w:tc>
          <w:tcPr>
            <w:tcW w:w="70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万元</w:t>
            </w:r>
          </w:p>
        </w:tc>
        <w:tc>
          <w:tcPr>
            <w:tcW w:w="1125"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Y≥40000</w:t>
            </w:r>
          </w:p>
        </w:tc>
        <w:tc>
          <w:tcPr>
            <w:tcW w:w="1701"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2000≤Y＜40000</w:t>
            </w:r>
          </w:p>
        </w:tc>
        <w:tc>
          <w:tcPr>
            <w:tcW w:w="1426"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 xml:space="preserve"> 300≤Y＜2000</w:t>
            </w:r>
          </w:p>
        </w:tc>
        <w:tc>
          <w:tcPr>
            <w:tcW w:w="992"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建筑业</w:t>
            </w:r>
          </w:p>
        </w:tc>
        <w:tc>
          <w:tcPr>
            <w:tcW w:w="136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营业收入(Y)</w:t>
            </w:r>
          </w:p>
        </w:tc>
        <w:tc>
          <w:tcPr>
            <w:tcW w:w="70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万元</w:t>
            </w:r>
          </w:p>
        </w:tc>
        <w:tc>
          <w:tcPr>
            <w:tcW w:w="1125"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Y≥80000</w:t>
            </w:r>
          </w:p>
        </w:tc>
        <w:tc>
          <w:tcPr>
            <w:tcW w:w="1701"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6000≤Y＜80000</w:t>
            </w:r>
          </w:p>
        </w:tc>
        <w:tc>
          <w:tcPr>
            <w:tcW w:w="1426"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 xml:space="preserve"> 300≤Y＜6000</w:t>
            </w:r>
          </w:p>
        </w:tc>
        <w:tc>
          <w:tcPr>
            <w:tcW w:w="992"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autoSpaceDE/>
              <w:autoSpaceDN/>
              <w:adjustRightInd/>
              <w:spacing w:line="288" w:lineRule="auto"/>
              <w:rPr>
                <w:rFonts w:cs="宋体"/>
                <w:b/>
                <w:color w:val="auto"/>
                <w:sz w:val="24"/>
                <w:szCs w:val="24"/>
                <w:highlight w:val="none"/>
              </w:rPr>
            </w:pPr>
          </w:p>
        </w:tc>
        <w:tc>
          <w:tcPr>
            <w:tcW w:w="136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资产总额(Z)</w:t>
            </w:r>
          </w:p>
        </w:tc>
        <w:tc>
          <w:tcPr>
            <w:tcW w:w="70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万元</w:t>
            </w:r>
          </w:p>
        </w:tc>
        <w:tc>
          <w:tcPr>
            <w:tcW w:w="1125"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Z≥80000</w:t>
            </w:r>
          </w:p>
        </w:tc>
        <w:tc>
          <w:tcPr>
            <w:tcW w:w="1701"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5000≤Z＜80000</w:t>
            </w:r>
          </w:p>
        </w:tc>
        <w:tc>
          <w:tcPr>
            <w:tcW w:w="1426"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 xml:space="preserve"> 300≤Z＜5000</w:t>
            </w:r>
          </w:p>
        </w:tc>
        <w:tc>
          <w:tcPr>
            <w:tcW w:w="992"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批发业</w:t>
            </w:r>
          </w:p>
        </w:tc>
        <w:tc>
          <w:tcPr>
            <w:tcW w:w="136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从业人员(X)</w:t>
            </w:r>
          </w:p>
        </w:tc>
        <w:tc>
          <w:tcPr>
            <w:tcW w:w="70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人</w:t>
            </w:r>
          </w:p>
        </w:tc>
        <w:tc>
          <w:tcPr>
            <w:tcW w:w="1125"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X≥200</w:t>
            </w:r>
          </w:p>
        </w:tc>
        <w:tc>
          <w:tcPr>
            <w:tcW w:w="1701"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20≤X＜200</w:t>
            </w:r>
          </w:p>
        </w:tc>
        <w:tc>
          <w:tcPr>
            <w:tcW w:w="1426"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 xml:space="preserve"> 5≤X＜20</w:t>
            </w:r>
          </w:p>
        </w:tc>
        <w:tc>
          <w:tcPr>
            <w:tcW w:w="992"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autoSpaceDE/>
              <w:autoSpaceDN/>
              <w:adjustRightInd/>
              <w:spacing w:line="288" w:lineRule="auto"/>
              <w:rPr>
                <w:rFonts w:cs="宋体"/>
                <w:b/>
                <w:color w:val="auto"/>
                <w:sz w:val="24"/>
                <w:szCs w:val="24"/>
                <w:highlight w:val="none"/>
              </w:rPr>
            </w:pPr>
          </w:p>
        </w:tc>
        <w:tc>
          <w:tcPr>
            <w:tcW w:w="136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营业收入(Y)</w:t>
            </w:r>
          </w:p>
        </w:tc>
        <w:tc>
          <w:tcPr>
            <w:tcW w:w="70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万元</w:t>
            </w:r>
          </w:p>
        </w:tc>
        <w:tc>
          <w:tcPr>
            <w:tcW w:w="1125"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Y≥40000</w:t>
            </w:r>
          </w:p>
        </w:tc>
        <w:tc>
          <w:tcPr>
            <w:tcW w:w="1701"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5000≤Y＜40000</w:t>
            </w:r>
          </w:p>
        </w:tc>
        <w:tc>
          <w:tcPr>
            <w:tcW w:w="1426" w:type="dxa"/>
            <w:vAlign w:val="center"/>
          </w:tcPr>
          <w:p>
            <w:pPr>
              <w:autoSpaceDE/>
              <w:autoSpaceDN/>
              <w:adjustRightInd/>
              <w:spacing w:line="288" w:lineRule="auto"/>
              <w:ind w:left="-1" w:leftChars="-1" w:hanging="1"/>
              <w:rPr>
                <w:rFonts w:cs="宋体"/>
                <w:b/>
                <w:color w:val="auto"/>
                <w:sz w:val="24"/>
                <w:szCs w:val="24"/>
                <w:highlight w:val="none"/>
              </w:rPr>
            </w:pPr>
            <w:r>
              <w:rPr>
                <w:rFonts w:cs="宋体"/>
                <w:b/>
                <w:color w:val="auto"/>
                <w:sz w:val="24"/>
                <w:szCs w:val="24"/>
                <w:highlight w:val="none"/>
              </w:rPr>
              <w:t>1000≤Y＜5000</w:t>
            </w:r>
          </w:p>
        </w:tc>
        <w:tc>
          <w:tcPr>
            <w:tcW w:w="992"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零售业</w:t>
            </w:r>
          </w:p>
        </w:tc>
        <w:tc>
          <w:tcPr>
            <w:tcW w:w="136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从业人员(X)</w:t>
            </w:r>
          </w:p>
        </w:tc>
        <w:tc>
          <w:tcPr>
            <w:tcW w:w="70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人</w:t>
            </w:r>
          </w:p>
        </w:tc>
        <w:tc>
          <w:tcPr>
            <w:tcW w:w="1125"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X≥300</w:t>
            </w:r>
          </w:p>
        </w:tc>
        <w:tc>
          <w:tcPr>
            <w:tcW w:w="1701"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50≤X＜300</w:t>
            </w:r>
          </w:p>
        </w:tc>
        <w:tc>
          <w:tcPr>
            <w:tcW w:w="1426" w:type="dxa"/>
            <w:vAlign w:val="center"/>
          </w:tcPr>
          <w:p>
            <w:pPr>
              <w:autoSpaceDE/>
              <w:autoSpaceDN/>
              <w:adjustRightInd/>
              <w:spacing w:line="288" w:lineRule="auto"/>
              <w:ind w:left="-1" w:leftChars="-1" w:hanging="1"/>
              <w:rPr>
                <w:rFonts w:cs="宋体"/>
                <w:b/>
                <w:color w:val="auto"/>
                <w:sz w:val="24"/>
                <w:szCs w:val="24"/>
                <w:highlight w:val="none"/>
              </w:rPr>
            </w:pPr>
            <w:r>
              <w:rPr>
                <w:rFonts w:cs="宋体"/>
                <w:b/>
                <w:color w:val="auto"/>
                <w:sz w:val="24"/>
                <w:szCs w:val="24"/>
                <w:highlight w:val="none"/>
              </w:rPr>
              <w:t xml:space="preserve">10≤X＜50 </w:t>
            </w:r>
          </w:p>
        </w:tc>
        <w:tc>
          <w:tcPr>
            <w:tcW w:w="992"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autoSpaceDE/>
              <w:autoSpaceDN/>
              <w:adjustRightInd/>
              <w:spacing w:line="288" w:lineRule="auto"/>
              <w:rPr>
                <w:rFonts w:cs="宋体"/>
                <w:b/>
                <w:color w:val="auto"/>
                <w:sz w:val="24"/>
                <w:szCs w:val="24"/>
                <w:highlight w:val="none"/>
              </w:rPr>
            </w:pPr>
          </w:p>
        </w:tc>
        <w:tc>
          <w:tcPr>
            <w:tcW w:w="136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营业收入(Y)</w:t>
            </w:r>
          </w:p>
        </w:tc>
        <w:tc>
          <w:tcPr>
            <w:tcW w:w="70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万元</w:t>
            </w:r>
          </w:p>
        </w:tc>
        <w:tc>
          <w:tcPr>
            <w:tcW w:w="1125"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Y≥20000</w:t>
            </w:r>
          </w:p>
        </w:tc>
        <w:tc>
          <w:tcPr>
            <w:tcW w:w="1701"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 xml:space="preserve"> 500≤Y＜20000</w:t>
            </w:r>
          </w:p>
        </w:tc>
        <w:tc>
          <w:tcPr>
            <w:tcW w:w="1426" w:type="dxa"/>
            <w:vAlign w:val="center"/>
          </w:tcPr>
          <w:p>
            <w:pPr>
              <w:autoSpaceDE/>
              <w:autoSpaceDN/>
              <w:adjustRightInd/>
              <w:spacing w:line="288" w:lineRule="auto"/>
              <w:ind w:left="-1" w:leftChars="-1" w:hanging="1"/>
              <w:rPr>
                <w:rFonts w:cs="宋体"/>
                <w:b/>
                <w:color w:val="auto"/>
                <w:sz w:val="24"/>
                <w:szCs w:val="24"/>
                <w:highlight w:val="none"/>
              </w:rPr>
            </w:pPr>
            <w:r>
              <w:rPr>
                <w:rFonts w:cs="宋体"/>
                <w:b/>
                <w:color w:val="auto"/>
                <w:sz w:val="24"/>
                <w:szCs w:val="24"/>
                <w:highlight w:val="none"/>
              </w:rPr>
              <w:t xml:space="preserve">100≤Y＜500 </w:t>
            </w:r>
          </w:p>
        </w:tc>
        <w:tc>
          <w:tcPr>
            <w:tcW w:w="992"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交通运输业 *</w:t>
            </w:r>
          </w:p>
        </w:tc>
        <w:tc>
          <w:tcPr>
            <w:tcW w:w="136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从业人员(X)</w:t>
            </w:r>
          </w:p>
        </w:tc>
        <w:tc>
          <w:tcPr>
            <w:tcW w:w="70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人</w:t>
            </w:r>
          </w:p>
        </w:tc>
        <w:tc>
          <w:tcPr>
            <w:tcW w:w="1125"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X≥1000</w:t>
            </w:r>
          </w:p>
        </w:tc>
        <w:tc>
          <w:tcPr>
            <w:tcW w:w="1701"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300≤X＜1000</w:t>
            </w:r>
          </w:p>
        </w:tc>
        <w:tc>
          <w:tcPr>
            <w:tcW w:w="1426"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 xml:space="preserve"> 20≤X＜300</w:t>
            </w:r>
          </w:p>
        </w:tc>
        <w:tc>
          <w:tcPr>
            <w:tcW w:w="992"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autoSpaceDE/>
              <w:autoSpaceDN/>
              <w:adjustRightInd/>
              <w:spacing w:line="288" w:lineRule="auto"/>
              <w:rPr>
                <w:rFonts w:cs="宋体"/>
                <w:b/>
                <w:color w:val="auto"/>
                <w:sz w:val="24"/>
                <w:szCs w:val="24"/>
                <w:highlight w:val="none"/>
              </w:rPr>
            </w:pPr>
          </w:p>
        </w:tc>
        <w:tc>
          <w:tcPr>
            <w:tcW w:w="136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营业收入(Y)</w:t>
            </w:r>
          </w:p>
        </w:tc>
        <w:tc>
          <w:tcPr>
            <w:tcW w:w="70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万元</w:t>
            </w:r>
          </w:p>
        </w:tc>
        <w:tc>
          <w:tcPr>
            <w:tcW w:w="1125"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Y≥30000</w:t>
            </w:r>
          </w:p>
        </w:tc>
        <w:tc>
          <w:tcPr>
            <w:tcW w:w="1701"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3000≤Y＜30000</w:t>
            </w:r>
          </w:p>
        </w:tc>
        <w:tc>
          <w:tcPr>
            <w:tcW w:w="1426"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 xml:space="preserve"> 200≤Y＜3000</w:t>
            </w:r>
          </w:p>
        </w:tc>
        <w:tc>
          <w:tcPr>
            <w:tcW w:w="992"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仓储业*</w:t>
            </w:r>
          </w:p>
        </w:tc>
        <w:tc>
          <w:tcPr>
            <w:tcW w:w="136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从业人员(X)</w:t>
            </w:r>
          </w:p>
        </w:tc>
        <w:tc>
          <w:tcPr>
            <w:tcW w:w="70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人</w:t>
            </w:r>
          </w:p>
        </w:tc>
        <w:tc>
          <w:tcPr>
            <w:tcW w:w="1125"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X≥200</w:t>
            </w:r>
          </w:p>
        </w:tc>
        <w:tc>
          <w:tcPr>
            <w:tcW w:w="1701" w:type="dxa"/>
            <w:vAlign w:val="center"/>
          </w:tcPr>
          <w:p>
            <w:pPr>
              <w:autoSpaceDE/>
              <w:autoSpaceDN/>
              <w:adjustRightInd/>
              <w:spacing w:line="288" w:lineRule="auto"/>
              <w:ind w:left="37" w:leftChars="-51" w:hanging="144" w:hangingChars="60"/>
              <w:rPr>
                <w:rFonts w:cs="宋体"/>
                <w:b/>
                <w:color w:val="auto"/>
                <w:sz w:val="24"/>
                <w:szCs w:val="24"/>
                <w:highlight w:val="none"/>
              </w:rPr>
            </w:pPr>
            <w:r>
              <w:rPr>
                <w:rFonts w:cs="宋体"/>
                <w:b/>
                <w:color w:val="auto"/>
                <w:sz w:val="24"/>
                <w:szCs w:val="24"/>
                <w:highlight w:val="none"/>
              </w:rPr>
              <w:t>100≤X＜200</w:t>
            </w:r>
          </w:p>
        </w:tc>
        <w:tc>
          <w:tcPr>
            <w:tcW w:w="1426"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 xml:space="preserve"> 20≤X＜100</w:t>
            </w:r>
          </w:p>
        </w:tc>
        <w:tc>
          <w:tcPr>
            <w:tcW w:w="992"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autoSpaceDE/>
              <w:autoSpaceDN/>
              <w:adjustRightInd/>
              <w:spacing w:line="288" w:lineRule="auto"/>
              <w:rPr>
                <w:rFonts w:cs="宋体"/>
                <w:b/>
                <w:color w:val="auto"/>
                <w:sz w:val="24"/>
                <w:szCs w:val="24"/>
                <w:highlight w:val="none"/>
              </w:rPr>
            </w:pPr>
          </w:p>
        </w:tc>
        <w:tc>
          <w:tcPr>
            <w:tcW w:w="136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营业收入(Y)</w:t>
            </w:r>
          </w:p>
        </w:tc>
        <w:tc>
          <w:tcPr>
            <w:tcW w:w="70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万元</w:t>
            </w:r>
          </w:p>
        </w:tc>
        <w:tc>
          <w:tcPr>
            <w:tcW w:w="1125"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Y≥30000</w:t>
            </w:r>
          </w:p>
        </w:tc>
        <w:tc>
          <w:tcPr>
            <w:tcW w:w="1701"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1000≤Y＜30000</w:t>
            </w:r>
          </w:p>
        </w:tc>
        <w:tc>
          <w:tcPr>
            <w:tcW w:w="1426"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 xml:space="preserve"> 100≤Y＜1000</w:t>
            </w:r>
          </w:p>
        </w:tc>
        <w:tc>
          <w:tcPr>
            <w:tcW w:w="992"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邮政业</w:t>
            </w:r>
          </w:p>
        </w:tc>
        <w:tc>
          <w:tcPr>
            <w:tcW w:w="136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从业人员(X)</w:t>
            </w:r>
          </w:p>
        </w:tc>
        <w:tc>
          <w:tcPr>
            <w:tcW w:w="70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人</w:t>
            </w:r>
          </w:p>
        </w:tc>
        <w:tc>
          <w:tcPr>
            <w:tcW w:w="1125"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X≥1000</w:t>
            </w:r>
          </w:p>
        </w:tc>
        <w:tc>
          <w:tcPr>
            <w:tcW w:w="1701"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300≤X＜1000</w:t>
            </w:r>
          </w:p>
        </w:tc>
        <w:tc>
          <w:tcPr>
            <w:tcW w:w="1426"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 xml:space="preserve"> 20≤X＜300</w:t>
            </w:r>
          </w:p>
        </w:tc>
        <w:tc>
          <w:tcPr>
            <w:tcW w:w="992"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autoSpaceDE/>
              <w:autoSpaceDN/>
              <w:adjustRightInd/>
              <w:spacing w:line="288" w:lineRule="auto"/>
              <w:rPr>
                <w:rFonts w:cs="宋体"/>
                <w:b/>
                <w:color w:val="auto"/>
                <w:sz w:val="24"/>
                <w:szCs w:val="24"/>
                <w:highlight w:val="none"/>
              </w:rPr>
            </w:pPr>
          </w:p>
        </w:tc>
        <w:tc>
          <w:tcPr>
            <w:tcW w:w="136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营业收入(Y)</w:t>
            </w:r>
          </w:p>
        </w:tc>
        <w:tc>
          <w:tcPr>
            <w:tcW w:w="70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万元</w:t>
            </w:r>
          </w:p>
        </w:tc>
        <w:tc>
          <w:tcPr>
            <w:tcW w:w="1125"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Y≥30000</w:t>
            </w:r>
          </w:p>
        </w:tc>
        <w:tc>
          <w:tcPr>
            <w:tcW w:w="1701"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2000≤Y＜30000</w:t>
            </w:r>
          </w:p>
        </w:tc>
        <w:tc>
          <w:tcPr>
            <w:tcW w:w="1426"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 xml:space="preserve"> 100≤Y＜2000</w:t>
            </w:r>
          </w:p>
        </w:tc>
        <w:tc>
          <w:tcPr>
            <w:tcW w:w="992"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住宿业</w:t>
            </w:r>
          </w:p>
        </w:tc>
        <w:tc>
          <w:tcPr>
            <w:tcW w:w="136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从业人员(X)</w:t>
            </w:r>
          </w:p>
        </w:tc>
        <w:tc>
          <w:tcPr>
            <w:tcW w:w="70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人</w:t>
            </w:r>
          </w:p>
        </w:tc>
        <w:tc>
          <w:tcPr>
            <w:tcW w:w="1125"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X≥300</w:t>
            </w:r>
          </w:p>
        </w:tc>
        <w:tc>
          <w:tcPr>
            <w:tcW w:w="1701" w:type="dxa"/>
            <w:vAlign w:val="center"/>
          </w:tcPr>
          <w:p>
            <w:pPr>
              <w:autoSpaceDE/>
              <w:autoSpaceDN/>
              <w:adjustRightInd/>
              <w:spacing w:line="288" w:lineRule="auto"/>
              <w:ind w:left="37" w:leftChars="-51" w:hanging="144" w:hangingChars="60"/>
              <w:rPr>
                <w:rFonts w:cs="宋体"/>
                <w:b/>
                <w:color w:val="auto"/>
                <w:sz w:val="24"/>
                <w:szCs w:val="24"/>
                <w:highlight w:val="none"/>
              </w:rPr>
            </w:pPr>
            <w:r>
              <w:rPr>
                <w:rFonts w:cs="宋体"/>
                <w:b/>
                <w:color w:val="auto"/>
                <w:sz w:val="24"/>
                <w:szCs w:val="24"/>
                <w:highlight w:val="none"/>
              </w:rPr>
              <w:t xml:space="preserve">100≤X＜300 </w:t>
            </w:r>
          </w:p>
        </w:tc>
        <w:tc>
          <w:tcPr>
            <w:tcW w:w="1426"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 xml:space="preserve"> 10≤X＜100</w:t>
            </w:r>
          </w:p>
        </w:tc>
        <w:tc>
          <w:tcPr>
            <w:tcW w:w="992"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autoSpaceDE/>
              <w:autoSpaceDN/>
              <w:adjustRightInd/>
              <w:spacing w:line="288" w:lineRule="auto"/>
              <w:rPr>
                <w:rFonts w:cs="宋体"/>
                <w:b/>
                <w:color w:val="auto"/>
                <w:sz w:val="24"/>
                <w:szCs w:val="24"/>
                <w:highlight w:val="none"/>
              </w:rPr>
            </w:pPr>
          </w:p>
        </w:tc>
        <w:tc>
          <w:tcPr>
            <w:tcW w:w="136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营业收入(Y)</w:t>
            </w:r>
          </w:p>
        </w:tc>
        <w:tc>
          <w:tcPr>
            <w:tcW w:w="70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万元</w:t>
            </w:r>
          </w:p>
        </w:tc>
        <w:tc>
          <w:tcPr>
            <w:tcW w:w="1125"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Y≥10000</w:t>
            </w:r>
          </w:p>
        </w:tc>
        <w:tc>
          <w:tcPr>
            <w:tcW w:w="1701"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2000≤Y＜10000</w:t>
            </w:r>
          </w:p>
        </w:tc>
        <w:tc>
          <w:tcPr>
            <w:tcW w:w="1426"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 xml:space="preserve"> 100≤Y＜2000</w:t>
            </w:r>
          </w:p>
        </w:tc>
        <w:tc>
          <w:tcPr>
            <w:tcW w:w="992"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餐饮业</w:t>
            </w:r>
          </w:p>
        </w:tc>
        <w:tc>
          <w:tcPr>
            <w:tcW w:w="136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从业人员(X)</w:t>
            </w:r>
          </w:p>
        </w:tc>
        <w:tc>
          <w:tcPr>
            <w:tcW w:w="70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人</w:t>
            </w:r>
          </w:p>
        </w:tc>
        <w:tc>
          <w:tcPr>
            <w:tcW w:w="1125"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X≥300</w:t>
            </w:r>
          </w:p>
        </w:tc>
        <w:tc>
          <w:tcPr>
            <w:tcW w:w="1701" w:type="dxa"/>
            <w:vAlign w:val="center"/>
          </w:tcPr>
          <w:p>
            <w:pPr>
              <w:autoSpaceDE/>
              <w:autoSpaceDN/>
              <w:adjustRightInd/>
              <w:spacing w:line="288" w:lineRule="auto"/>
              <w:ind w:left="37" w:leftChars="-51" w:hanging="144" w:hangingChars="60"/>
              <w:rPr>
                <w:rFonts w:cs="宋体"/>
                <w:b/>
                <w:color w:val="auto"/>
                <w:sz w:val="24"/>
                <w:szCs w:val="24"/>
                <w:highlight w:val="none"/>
              </w:rPr>
            </w:pPr>
            <w:r>
              <w:rPr>
                <w:rFonts w:cs="宋体"/>
                <w:b/>
                <w:color w:val="auto"/>
                <w:sz w:val="24"/>
                <w:szCs w:val="24"/>
                <w:highlight w:val="none"/>
              </w:rPr>
              <w:t xml:space="preserve">100≤X＜300 </w:t>
            </w:r>
          </w:p>
        </w:tc>
        <w:tc>
          <w:tcPr>
            <w:tcW w:w="1426"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 xml:space="preserve"> 10≤X＜100</w:t>
            </w:r>
          </w:p>
        </w:tc>
        <w:tc>
          <w:tcPr>
            <w:tcW w:w="992"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autoSpaceDE/>
              <w:autoSpaceDN/>
              <w:adjustRightInd/>
              <w:spacing w:line="288" w:lineRule="auto"/>
              <w:rPr>
                <w:rFonts w:cs="宋体"/>
                <w:b/>
                <w:color w:val="auto"/>
                <w:sz w:val="24"/>
                <w:szCs w:val="24"/>
                <w:highlight w:val="none"/>
              </w:rPr>
            </w:pPr>
          </w:p>
        </w:tc>
        <w:tc>
          <w:tcPr>
            <w:tcW w:w="136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营业收入(Y)</w:t>
            </w:r>
          </w:p>
        </w:tc>
        <w:tc>
          <w:tcPr>
            <w:tcW w:w="70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万元</w:t>
            </w:r>
          </w:p>
        </w:tc>
        <w:tc>
          <w:tcPr>
            <w:tcW w:w="1125"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Y≥10000</w:t>
            </w:r>
          </w:p>
        </w:tc>
        <w:tc>
          <w:tcPr>
            <w:tcW w:w="1701"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2000≤Y＜10000</w:t>
            </w:r>
          </w:p>
        </w:tc>
        <w:tc>
          <w:tcPr>
            <w:tcW w:w="1426"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 xml:space="preserve"> 100≤Y＜2000</w:t>
            </w:r>
          </w:p>
        </w:tc>
        <w:tc>
          <w:tcPr>
            <w:tcW w:w="992"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信息传输业*</w:t>
            </w:r>
          </w:p>
        </w:tc>
        <w:tc>
          <w:tcPr>
            <w:tcW w:w="136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从业人员(X)</w:t>
            </w:r>
          </w:p>
        </w:tc>
        <w:tc>
          <w:tcPr>
            <w:tcW w:w="70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人</w:t>
            </w:r>
          </w:p>
        </w:tc>
        <w:tc>
          <w:tcPr>
            <w:tcW w:w="1125"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X≥2000</w:t>
            </w:r>
          </w:p>
        </w:tc>
        <w:tc>
          <w:tcPr>
            <w:tcW w:w="1701"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100≤X＜2000</w:t>
            </w:r>
          </w:p>
        </w:tc>
        <w:tc>
          <w:tcPr>
            <w:tcW w:w="1426"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 xml:space="preserve"> 10≤X＜100</w:t>
            </w:r>
          </w:p>
        </w:tc>
        <w:tc>
          <w:tcPr>
            <w:tcW w:w="992"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autoSpaceDE/>
              <w:autoSpaceDN/>
              <w:adjustRightInd/>
              <w:spacing w:line="288" w:lineRule="auto"/>
              <w:rPr>
                <w:rFonts w:cs="宋体"/>
                <w:b/>
                <w:color w:val="auto"/>
                <w:sz w:val="24"/>
                <w:szCs w:val="24"/>
                <w:highlight w:val="none"/>
              </w:rPr>
            </w:pPr>
          </w:p>
        </w:tc>
        <w:tc>
          <w:tcPr>
            <w:tcW w:w="136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营业收入(Y)</w:t>
            </w:r>
          </w:p>
        </w:tc>
        <w:tc>
          <w:tcPr>
            <w:tcW w:w="70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万元</w:t>
            </w:r>
          </w:p>
        </w:tc>
        <w:tc>
          <w:tcPr>
            <w:tcW w:w="1125"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Y≥100000</w:t>
            </w:r>
          </w:p>
        </w:tc>
        <w:tc>
          <w:tcPr>
            <w:tcW w:w="1701"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 xml:space="preserve"> 1000≤Y＜100000</w:t>
            </w:r>
          </w:p>
        </w:tc>
        <w:tc>
          <w:tcPr>
            <w:tcW w:w="1426"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 xml:space="preserve"> 100≤Y＜1000</w:t>
            </w:r>
          </w:p>
        </w:tc>
        <w:tc>
          <w:tcPr>
            <w:tcW w:w="992"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autoSpaceDE/>
              <w:autoSpaceDN/>
              <w:adjustRightInd/>
              <w:spacing w:line="288" w:lineRule="auto"/>
              <w:rPr>
                <w:rFonts w:cs="宋体"/>
                <w:b/>
                <w:color w:val="auto"/>
                <w:spacing w:val="-12"/>
                <w:sz w:val="24"/>
                <w:szCs w:val="24"/>
                <w:highlight w:val="none"/>
                <w:lang w:eastAsia="zh-CN"/>
              </w:rPr>
            </w:pPr>
            <w:r>
              <w:rPr>
                <w:rFonts w:cs="宋体"/>
                <w:b/>
                <w:color w:val="auto"/>
                <w:spacing w:val="-12"/>
                <w:sz w:val="24"/>
                <w:szCs w:val="24"/>
                <w:highlight w:val="none"/>
                <w:lang w:eastAsia="zh-CN"/>
              </w:rPr>
              <w:t>软件和信息技术服</w:t>
            </w:r>
            <w:r>
              <w:rPr>
                <w:rFonts w:cs="宋体"/>
                <w:b/>
                <w:color w:val="auto"/>
                <w:sz w:val="24"/>
                <w:szCs w:val="24"/>
                <w:highlight w:val="none"/>
                <w:lang w:eastAsia="zh-CN"/>
              </w:rPr>
              <w:t>务业</w:t>
            </w:r>
          </w:p>
        </w:tc>
        <w:tc>
          <w:tcPr>
            <w:tcW w:w="136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从业人员(X)</w:t>
            </w:r>
          </w:p>
        </w:tc>
        <w:tc>
          <w:tcPr>
            <w:tcW w:w="70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人</w:t>
            </w:r>
          </w:p>
        </w:tc>
        <w:tc>
          <w:tcPr>
            <w:tcW w:w="1125"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X≥300</w:t>
            </w:r>
          </w:p>
        </w:tc>
        <w:tc>
          <w:tcPr>
            <w:tcW w:w="1701" w:type="dxa"/>
            <w:vAlign w:val="center"/>
          </w:tcPr>
          <w:p>
            <w:pPr>
              <w:autoSpaceDE/>
              <w:autoSpaceDN/>
              <w:adjustRightInd/>
              <w:spacing w:line="288" w:lineRule="auto"/>
              <w:ind w:left="37" w:leftChars="-51" w:hanging="144" w:hangingChars="60"/>
              <w:rPr>
                <w:rFonts w:cs="宋体"/>
                <w:b/>
                <w:color w:val="auto"/>
                <w:sz w:val="24"/>
                <w:szCs w:val="24"/>
                <w:highlight w:val="none"/>
              </w:rPr>
            </w:pPr>
            <w:r>
              <w:rPr>
                <w:rFonts w:cs="宋体"/>
                <w:b/>
                <w:color w:val="auto"/>
                <w:sz w:val="24"/>
                <w:szCs w:val="24"/>
                <w:highlight w:val="none"/>
              </w:rPr>
              <w:t xml:space="preserve">100≤X＜300 </w:t>
            </w:r>
          </w:p>
        </w:tc>
        <w:tc>
          <w:tcPr>
            <w:tcW w:w="1426"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 xml:space="preserve"> 10≤X＜100</w:t>
            </w:r>
          </w:p>
        </w:tc>
        <w:tc>
          <w:tcPr>
            <w:tcW w:w="992"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autoSpaceDE/>
              <w:autoSpaceDN/>
              <w:adjustRightInd/>
              <w:spacing w:line="288" w:lineRule="auto"/>
              <w:rPr>
                <w:rFonts w:cs="宋体"/>
                <w:b/>
                <w:color w:val="auto"/>
                <w:spacing w:val="-12"/>
                <w:sz w:val="24"/>
                <w:szCs w:val="24"/>
                <w:highlight w:val="none"/>
              </w:rPr>
            </w:pPr>
          </w:p>
        </w:tc>
        <w:tc>
          <w:tcPr>
            <w:tcW w:w="136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营业收入(Y)</w:t>
            </w:r>
          </w:p>
        </w:tc>
        <w:tc>
          <w:tcPr>
            <w:tcW w:w="70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万元</w:t>
            </w:r>
          </w:p>
        </w:tc>
        <w:tc>
          <w:tcPr>
            <w:tcW w:w="1125"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Y≥10000</w:t>
            </w:r>
          </w:p>
        </w:tc>
        <w:tc>
          <w:tcPr>
            <w:tcW w:w="1701"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1000≤Y＜10000</w:t>
            </w:r>
          </w:p>
        </w:tc>
        <w:tc>
          <w:tcPr>
            <w:tcW w:w="1426"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 xml:space="preserve">  50≤Y＜1000</w:t>
            </w:r>
          </w:p>
        </w:tc>
        <w:tc>
          <w:tcPr>
            <w:tcW w:w="992"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房地产开发经营</w:t>
            </w:r>
          </w:p>
        </w:tc>
        <w:tc>
          <w:tcPr>
            <w:tcW w:w="136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营业收入(Y)</w:t>
            </w:r>
          </w:p>
        </w:tc>
        <w:tc>
          <w:tcPr>
            <w:tcW w:w="70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万元</w:t>
            </w:r>
          </w:p>
        </w:tc>
        <w:tc>
          <w:tcPr>
            <w:tcW w:w="1125"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Y≥200000</w:t>
            </w:r>
          </w:p>
        </w:tc>
        <w:tc>
          <w:tcPr>
            <w:tcW w:w="1701"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 xml:space="preserve"> 1000≤Y＜200000</w:t>
            </w:r>
          </w:p>
        </w:tc>
        <w:tc>
          <w:tcPr>
            <w:tcW w:w="1426"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 xml:space="preserve"> 100≤Y＜1000</w:t>
            </w:r>
          </w:p>
        </w:tc>
        <w:tc>
          <w:tcPr>
            <w:tcW w:w="992"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autoSpaceDE/>
              <w:autoSpaceDN/>
              <w:adjustRightInd/>
              <w:spacing w:line="288" w:lineRule="auto"/>
              <w:rPr>
                <w:rFonts w:cs="宋体"/>
                <w:b/>
                <w:color w:val="auto"/>
                <w:sz w:val="24"/>
                <w:szCs w:val="24"/>
                <w:highlight w:val="none"/>
              </w:rPr>
            </w:pPr>
          </w:p>
        </w:tc>
        <w:tc>
          <w:tcPr>
            <w:tcW w:w="136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资产总额(Z)</w:t>
            </w:r>
          </w:p>
        </w:tc>
        <w:tc>
          <w:tcPr>
            <w:tcW w:w="70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万元</w:t>
            </w:r>
          </w:p>
        </w:tc>
        <w:tc>
          <w:tcPr>
            <w:tcW w:w="1125"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Z≥10000</w:t>
            </w:r>
          </w:p>
        </w:tc>
        <w:tc>
          <w:tcPr>
            <w:tcW w:w="1701"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5000≤Z＜10000</w:t>
            </w:r>
          </w:p>
        </w:tc>
        <w:tc>
          <w:tcPr>
            <w:tcW w:w="1426"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 xml:space="preserve">2000≤Z＜5000   </w:t>
            </w:r>
          </w:p>
        </w:tc>
        <w:tc>
          <w:tcPr>
            <w:tcW w:w="992"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物业管理</w:t>
            </w:r>
          </w:p>
        </w:tc>
        <w:tc>
          <w:tcPr>
            <w:tcW w:w="136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从业人员(X)</w:t>
            </w:r>
          </w:p>
        </w:tc>
        <w:tc>
          <w:tcPr>
            <w:tcW w:w="70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人</w:t>
            </w:r>
          </w:p>
        </w:tc>
        <w:tc>
          <w:tcPr>
            <w:tcW w:w="1125"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X≥1000</w:t>
            </w:r>
          </w:p>
        </w:tc>
        <w:tc>
          <w:tcPr>
            <w:tcW w:w="1701"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300≤X＜1000</w:t>
            </w:r>
          </w:p>
        </w:tc>
        <w:tc>
          <w:tcPr>
            <w:tcW w:w="1426"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 xml:space="preserve">100≤X＜300 </w:t>
            </w:r>
          </w:p>
        </w:tc>
        <w:tc>
          <w:tcPr>
            <w:tcW w:w="992"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autoSpaceDE/>
              <w:autoSpaceDN/>
              <w:adjustRightInd/>
              <w:spacing w:line="288" w:lineRule="auto"/>
              <w:rPr>
                <w:rFonts w:cs="宋体"/>
                <w:b/>
                <w:color w:val="auto"/>
                <w:sz w:val="24"/>
                <w:szCs w:val="24"/>
                <w:highlight w:val="none"/>
              </w:rPr>
            </w:pPr>
          </w:p>
        </w:tc>
        <w:tc>
          <w:tcPr>
            <w:tcW w:w="136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营业收入(Y)</w:t>
            </w:r>
          </w:p>
        </w:tc>
        <w:tc>
          <w:tcPr>
            <w:tcW w:w="70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万元</w:t>
            </w:r>
          </w:p>
        </w:tc>
        <w:tc>
          <w:tcPr>
            <w:tcW w:w="1125"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Y≥5000</w:t>
            </w:r>
          </w:p>
        </w:tc>
        <w:tc>
          <w:tcPr>
            <w:tcW w:w="1701" w:type="dxa"/>
            <w:vAlign w:val="center"/>
          </w:tcPr>
          <w:p>
            <w:pPr>
              <w:autoSpaceDE/>
              <w:autoSpaceDN/>
              <w:adjustRightInd/>
              <w:spacing w:line="288" w:lineRule="auto"/>
              <w:ind w:left="37" w:leftChars="-51" w:hanging="144" w:hangingChars="60"/>
              <w:rPr>
                <w:rFonts w:cs="宋体"/>
                <w:b/>
                <w:color w:val="auto"/>
                <w:sz w:val="24"/>
                <w:szCs w:val="24"/>
                <w:highlight w:val="none"/>
              </w:rPr>
            </w:pPr>
            <w:r>
              <w:rPr>
                <w:rFonts w:cs="宋体"/>
                <w:b/>
                <w:color w:val="auto"/>
                <w:sz w:val="24"/>
                <w:szCs w:val="24"/>
                <w:highlight w:val="none"/>
              </w:rPr>
              <w:t xml:space="preserve">1000≤Y＜5000 </w:t>
            </w:r>
          </w:p>
        </w:tc>
        <w:tc>
          <w:tcPr>
            <w:tcW w:w="1426"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 xml:space="preserve"> 500≤Y＜1000</w:t>
            </w:r>
          </w:p>
        </w:tc>
        <w:tc>
          <w:tcPr>
            <w:tcW w:w="992"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租赁和商务服务业</w:t>
            </w:r>
          </w:p>
        </w:tc>
        <w:tc>
          <w:tcPr>
            <w:tcW w:w="136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从业人员(X)</w:t>
            </w:r>
          </w:p>
        </w:tc>
        <w:tc>
          <w:tcPr>
            <w:tcW w:w="70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人</w:t>
            </w:r>
          </w:p>
        </w:tc>
        <w:tc>
          <w:tcPr>
            <w:tcW w:w="1125"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X≥300</w:t>
            </w:r>
          </w:p>
        </w:tc>
        <w:tc>
          <w:tcPr>
            <w:tcW w:w="1701" w:type="dxa"/>
            <w:vAlign w:val="center"/>
          </w:tcPr>
          <w:p>
            <w:pPr>
              <w:autoSpaceDE/>
              <w:autoSpaceDN/>
              <w:adjustRightInd/>
              <w:spacing w:line="288" w:lineRule="auto"/>
              <w:ind w:left="37" w:leftChars="-51" w:hanging="144" w:hangingChars="60"/>
              <w:rPr>
                <w:rFonts w:cs="宋体"/>
                <w:b/>
                <w:color w:val="auto"/>
                <w:sz w:val="24"/>
                <w:szCs w:val="24"/>
                <w:highlight w:val="none"/>
              </w:rPr>
            </w:pPr>
            <w:r>
              <w:rPr>
                <w:rFonts w:cs="宋体"/>
                <w:b/>
                <w:color w:val="auto"/>
                <w:sz w:val="24"/>
                <w:szCs w:val="24"/>
                <w:highlight w:val="none"/>
              </w:rPr>
              <w:t xml:space="preserve">100≤X＜300 </w:t>
            </w:r>
          </w:p>
        </w:tc>
        <w:tc>
          <w:tcPr>
            <w:tcW w:w="1426"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 xml:space="preserve"> 10≤X＜100</w:t>
            </w:r>
          </w:p>
        </w:tc>
        <w:tc>
          <w:tcPr>
            <w:tcW w:w="992"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autoSpaceDE/>
              <w:autoSpaceDN/>
              <w:adjustRightInd/>
              <w:spacing w:line="288" w:lineRule="auto"/>
              <w:rPr>
                <w:rFonts w:cs="宋体"/>
                <w:b/>
                <w:color w:val="auto"/>
                <w:sz w:val="24"/>
                <w:szCs w:val="24"/>
                <w:highlight w:val="none"/>
              </w:rPr>
            </w:pPr>
          </w:p>
        </w:tc>
        <w:tc>
          <w:tcPr>
            <w:tcW w:w="136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资产总额(Z)</w:t>
            </w:r>
          </w:p>
        </w:tc>
        <w:tc>
          <w:tcPr>
            <w:tcW w:w="70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万元</w:t>
            </w:r>
          </w:p>
        </w:tc>
        <w:tc>
          <w:tcPr>
            <w:tcW w:w="1125"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Z≥120000</w:t>
            </w:r>
          </w:p>
        </w:tc>
        <w:tc>
          <w:tcPr>
            <w:tcW w:w="1701"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 xml:space="preserve"> 8000≤Z＜120000</w:t>
            </w:r>
          </w:p>
        </w:tc>
        <w:tc>
          <w:tcPr>
            <w:tcW w:w="1426"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 xml:space="preserve"> 100≤Z＜8000</w:t>
            </w:r>
          </w:p>
        </w:tc>
        <w:tc>
          <w:tcPr>
            <w:tcW w:w="992"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13"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其他未列明行业*</w:t>
            </w:r>
          </w:p>
        </w:tc>
        <w:tc>
          <w:tcPr>
            <w:tcW w:w="136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从业人员(X)</w:t>
            </w:r>
          </w:p>
        </w:tc>
        <w:tc>
          <w:tcPr>
            <w:tcW w:w="709"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人</w:t>
            </w:r>
          </w:p>
        </w:tc>
        <w:tc>
          <w:tcPr>
            <w:tcW w:w="1125"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X≥300</w:t>
            </w:r>
          </w:p>
        </w:tc>
        <w:tc>
          <w:tcPr>
            <w:tcW w:w="1701" w:type="dxa"/>
            <w:vAlign w:val="center"/>
          </w:tcPr>
          <w:p>
            <w:pPr>
              <w:autoSpaceDE/>
              <w:autoSpaceDN/>
              <w:adjustRightInd/>
              <w:spacing w:line="288" w:lineRule="auto"/>
              <w:ind w:left="37" w:leftChars="-51" w:hanging="144" w:hangingChars="60"/>
              <w:rPr>
                <w:rFonts w:cs="宋体"/>
                <w:b/>
                <w:color w:val="auto"/>
                <w:sz w:val="24"/>
                <w:szCs w:val="24"/>
                <w:highlight w:val="none"/>
              </w:rPr>
            </w:pPr>
            <w:r>
              <w:rPr>
                <w:rFonts w:cs="宋体"/>
                <w:b/>
                <w:color w:val="auto"/>
                <w:sz w:val="24"/>
                <w:szCs w:val="24"/>
                <w:highlight w:val="none"/>
              </w:rPr>
              <w:t xml:space="preserve">100≤X＜300 </w:t>
            </w:r>
          </w:p>
        </w:tc>
        <w:tc>
          <w:tcPr>
            <w:tcW w:w="1426"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 xml:space="preserve"> 10≤X＜100</w:t>
            </w:r>
          </w:p>
        </w:tc>
        <w:tc>
          <w:tcPr>
            <w:tcW w:w="992" w:type="dxa"/>
            <w:vAlign w:val="center"/>
          </w:tcPr>
          <w:p>
            <w:pPr>
              <w:autoSpaceDE/>
              <w:autoSpaceDN/>
              <w:adjustRightInd/>
              <w:spacing w:line="288" w:lineRule="auto"/>
              <w:rPr>
                <w:rFonts w:cs="宋体"/>
                <w:b/>
                <w:color w:val="auto"/>
                <w:sz w:val="24"/>
                <w:szCs w:val="24"/>
                <w:highlight w:val="none"/>
              </w:rPr>
            </w:pPr>
            <w:r>
              <w:rPr>
                <w:rFonts w:cs="宋体"/>
                <w:b/>
                <w:color w:val="auto"/>
                <w:sz w:val="24"/>
                <w:szCs w:val="24"/>
                <w:highlight w:val="none"/>
              </w:rPr>
              <w:t>X＜10</w:t>
            </w:r>
          </w:p>
        </w:tc>
      </w:tr>
    </w:tbl>
    <w:p>
      <w:pPr>
        <w:autoSpaceDE/>
        <w:autoSpaceDN/>
        <w:adjustRightInd/>
        <w:spacing w:line="288" w:lineRule="auto"/>
        <w:rPr>
          <w:rFonts w:cs="宋体"/>
          <w:color w:val="auto"/>
          <w:spacing w:val="8"/>
          <w:sz w:val="24"/>
          <w:szCs w:val="24"/>
          <w:highlight w:val="none"/>
        </w:rPr>
      </w:pPr>
      <w:r>
        <w:rPr>
          <w:rFonts w:cs="宋体"/>
          <w:color w:val="auto"/>
          <w:spacing w:val="8"/>
          <w:sz w:val="24"/>
          <w:szCs w:val="24"/>
          <w:highlight w:val="none"/>
        </w:rPr>
        <w:t>说明：</w:t>
      </w:r>
    </w:p>
    <w:p>
      <w:pPr>
        <w:autoSpaceDE/>
        <w:autoSpaceDN/>
        <w:adjustRightInd/>
        <w:spacing w:line="288" w:lineRule="auto"/>
        <w:ind w:firstLine="452"/>
        <w:rPr>
          <w:rFonts w:cs="宋体"/>
          <w:color w:val="auto"/>
          <w:spacing w:val="8"/>
          <w:sz w:val="24"/>
          <w:szCs w:val="24"/>
          <w:highlight w:val="none"/>
          <w:lang w:eastAsia="zh-CN"/>
        </w:rPr>
      </w:pPr>
      <w:r>
        <w:rPr>
          <w:rFonts w:cs="宋体"/>
          <w:color w:val="auto"/>
          <w:spacing w:val="8"/>
          <w:sz w:val="24"/>
          <w:szCs w:val="24"/>
          <w:highlight w:val="none"/>
          <w:lang w:eastAsia="zh-CN"/>
        </w:rPr>
        <w:t>1.大型、中型和小型企业须同时满足所列指标的下限，否则下划一档；微型企业只须满足所列指标中的一项即可。</w:t>
      </w:r>
    </w:p>
    <w:p>
      <w:pPr>
        <w:autoSpaceDE/>
        <w:autoSpaceDN/>
        <w:adjustRightInd/>
        <w:spacing w:line="288" w:lineRule="auto"/>
        <w:ind w:firstLine="452"/>
        <w:rPr>
          <w:rFonts w:cs="宋体"/>
          <w:color w:val="auto"/>
          <w:spacing w:val="8"/>
          <w:sz w:val="24"/>
          <w:szCs w:val="24"/>
          <w:highlight w:val="none"/>
          <w:lang w:eastAsia="zh-CN"/>
        </w:rPr>
      </w:pPr>
      <w:r>
        <w:rPr>
          <w:rFonts w:cs="宋体"/>
          <w:color w:val="auto"/>
          <w:spacing w:val="8"/>
          <w:sz w:val="24"/>
          <w:szCs w:val="24"/>
          <w:highlight w:val="none"/>
          <w:lang w:eastAsia="zh-CN"/>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rPr>
          <w:rFonts w:cs="宋体"/>
          <w:b/>
          <w:color w:val="auto"/>
          <w:sz w:val="28"/>
          <w:highlight w:val="none"/>
        </w:rPr>
      </w:pPr>
      <w:r>
        <w:rPr>
          <w:rFonts w:cs="宋体"/>
          <w:color w:val="auto"/>
          <w:spacing w:val="8"/>
          <w:sz w:val="24"/>
          <w:szCs w:val="24"/>
          <w:highlight w:val="none"/>
          <w:lang w:eastAsia="zh-CN"/>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cs="宋体"/>
          <w:color w:val="auto"/>
          <w:spacing w:val="8"/>
          <w:sz w:val="24"/>
          <w:szCs w:val="24"/>
          <w:highlight w:val="none"/>
        </w:rPr>
        <w:t>（3）资产总额，采用资产总计代替。</w:t>
      </w:r>
    </w:p>
    <w:p>
      <w:pPr>
        <w:rPr>
          <w:rFonts w:cs="宋体"/>
          <w:b/>
          <w:color w:val="auto"/>
          <w:sz w:val="28"/>
          <w:highlight w:val="none"/>
        </w:rPr>
      </w:pPr>
    </w:p>
    <w:bookmarkEnd w:id="0"/>
    <w:bookmarkEnd w:id="1"/>
    <w:bookmarkEnd w:id="2"/>
    <w:bookmarkEnd w:id="3"/>
    <w:bookmarkEnd w:id="4"/>
    <w:bookmarkEnd w:id="5"/>
    <w:p>
      <w:pPr>
        <w:pStyle w:val="2"/>
        <w:spacing w:before="78" w:line="229" w:lineRule="auto"/>
        <w:ind w:firstLine="480"/>
        <w:rPr>
          <w:rFonts w:hint="eastAsia"/>
          <w:color w:val="auto"/>
          <w:szCs w:val="24"/>
          <w:highlight w:val="none"/>
          <w:lang w:eastAsia="zh-CN"/>
        </w:rPr>
      </w:pPr>
    </w:p>
    <w:sectPr>
      <w:pgSz w:w="11906" w:h="16839"/>
      <w:pgMar w:top="1431" w:right="1425" w:bottom="957" w:left="1370" w:header="0" w:footer="795"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微软雅黑"/>
    <w:panose1 w:val="00000000000000000000"/>
    <w:charset w:val="00"/>
    <w:family w:val="auto"/>
    <w:pitch w:val="default"/>
    <w:sig w:usb0="00000000" w:usb1="00000000" w:usb2="00000000"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56210" cy="1295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56210" cy="12954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0.2pt;width:12.3pt;mso-position-horizontal:center;mso-position-horizontal-relative:margin;z-index:251659264;mso-width-relative:page;mso-height-relative:page;" filled="f" stroked="f" coordsize="21600,21600" o:gfxdata="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P2Y7ijSAAAAAwEAAA8AAAAAAAAAAQAgAAAAIgAAAGRycy9kb3ducmV2LnhtbFBL&#10;AQIUABQAAAAIAIdO4kBUuvXG4AIAACQGAAAOAAAAAAAAAAEAIAAAACEBAABkcnMvZTJvRG9jLnht&#10;bFBLBQYAAAAABgAGAFkBAABzBgAAAAA=&#10;">
              <v:fill on="f" focussize="0,0"/>
              <v:stroke on="f" weight="0.5pt"/>
              <v:imagedata o:title=""/>
              <o:lock v:ext="edit" aspectratio="f"/>
              <v:textbox inset="0mm,0mm,0mm,0mm">
                <w:txbxContent>
                  <w:p>
                    <w:pPr>
                      <w:pStyle w:val="1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sz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BF048D"/>
    <w:multiLevelType w:val="singleLevel"/>
    <w:tmpl w:val="0BBF048D"/>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isplayHorizontalDrawingGridEvery w:val="0"/>
  <w:displayVerticalDrawingGridEvery w:val="2"/>
  <w:characterSpacingControl w:val="doNotCompress"/>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NzYyNjFhMDJiYzgzM2NkNjdmZWYyZGY3OTJjMTYwNzcifQ=="/>
  </w:docVars>
  <w:rsids>
    <w:rsidRoot w:val="00172A27"/>
    <w:rsid w:val="0000067C"/>
    <w:rsid w:val="00072A29"/>
    <w:rsid w:val="00072F67"/>
    <w:rsid w:val="000A1BCC"/>
    <w:rsid w:val="000F713D"/>
    <w:rsid w:val="00111706"/>
    <w:rsid w:val="00126063"/>
    <w:rsid w:val="00172A27"/>
    <w:rsid w:val="00177325"/>
    <w:rsid w:val="001A25D2"/>
    <w:rsid w:val="001B02DF"/>
    <w:rsid w:val="001B577D"/>
    <w:rsid w:val="001C6E02"/>
    <w:rsid w:val="001D31C4"/>
    <w:rsid w:val="002049C4"/>
    <w:rsid w:val="00206563"/>
    <w:rsid w:val="002363C1"/>
    <w:rsid w:val="002424ED"/>
    <w:rsid w:val="00247342"/>
    <w:rsid w:val="002808FD"/>
    <w:rsid w:val="002E6976"/>
    <w:rsid w:val="00304B70"/>
    <w:rsid w:val="00313F3A"/>
    <w:rsid w:val="00320362"/>
    <w:rsid w:val="0033153D"/>
    <w:rsid w:val="0034250D"/>
    <w:rsid w:val="003426E3"/>
    <w:rsid w:val="00372417"/>
    <w:rsid w:val="00382394"/>
    <w:rsid w:val="00397042"/>
    <w:rsid w:val="00421024"/>
    <w:rsid w:val="00431712"/>
    <w:rsid w:val="00442656"/>
    <w:rsid w:val="00476750"/>
    <w:rsid w:val="004C406B"/>
    <w:rsid w:val="004D3983"/>
    <w:rsid w:val="00544180"/>
    <w:rsid w:val="0057707E"/>
    <w:rsid w:val="005D5A79"/>
    <w:rsid w:val="005D5F0A"/>
    <w:rsid w:val="005E1EEC"/>
    <w:rsid w:val="00635369"/>
    <w:rsid w:val="00641012"/>
    <w:rsid w:val="006536B2"/>
    <w:rsid w:val="00667032"/>
    <w:rsid w:val="006C2AF0"/>
    <w:rsid w:val="006C6FB0"/>
    <w:rsid w:val="006D4B14"/>
    <w:rsid w:val="006F037C"/>
    <w:rsid w:val="006F1A3A"/>
    <w:rsid w:val="00763955"/>
    <w:rsid w:val="007778A0"/>
    <w:rsid w:val="007C36BE"/>
    <w:rsid w:val="00852575"/>
    <w:rsid w:val="00861403"/>
    <w:rsid w:val="0086251C"/>
    <w:rsid w:val="008A02D6"/>
    <w:rsid w:val="008B0EB1"/>
    <w:rsid w:val="008B2138"/>
    <w:rsid w:val="008B6398"/>
    <w:rsid w:val="008E6E6C"/>
    <w:rsid w:val="008F03AE"/>
    <w:rsid w:val="009046D2"/>
    <w:rsid w:val="009165D1"/>
    <w:rsid w:val="00925E30"/>
    <w:rsid w:val="0095534F"/>
    <w:rsid w:val="009707D9"/>
    <w:rsid w:val="00971CC1"/>
    <w:rsid w:val="00972A55"/>
    <w:rsid w:val="00986D1E"/>
    <w:rsid w:val="009A6E73"/>
    <w:rsid w:val="009C15D2"/>
    <w:rsid w:val="009F65B5"/>
    <w:rsid w:val="00A4048B"/>
    <w:rsid w:val="00A40FAE"/>
    <w:rsid w:val="00A54DBB"/>
    <w:rsid w:val="00A560BB"/>
    <w:rsid w:val="00A56186"/>
    <w:rsid w:val="00A56263"/>
    <w:rsid w:val="00A91135"/>
    <w:rsid w:val="00AB6AF1"/>
    <w:rsid w:val="00AC7F6A"/>
    <w:rsid w:val="00AE5BF4"/>
    <w:rsid w:val="00B00C7F"/>
    <w:rsid w:val="00B10822"/>
    <w:rsid w:val="00B73937"/>
    <w:rsid w:val="00BA5BCB"/>
    <w:rsid w:val="00BB0814"/>
    <w:rsid w:val="00C031F3"/>
    <w:rsid w:val="00C72413"/>
    <w:rsid w:val="00C77B76"/>
    <w:rsid w:val="00CA5497"/>
    <w:rsid w:val="00CC357F"/>
    <w:rsid w:val="00D07172"/>
    <w:rsid w:val="00D233CB"/>
    <w:rsid w:val="00D63771"/>
    <w:rsid w:val="00D646A7"/>
    <w:rsid w:val="00D66A0A"/>
    <w:rsid w:val="00D80FF0"/>
    <w:rsid w:val="00D818BD"/>
    <w:rsid w:val="00DA260D"/>
    <w:rsid w:val="00DB4252"/>
    <w:rsid w:val="00DE1A66"/>
    <w:rsid w:val="00DE2546"/>
    <w:rsid w:val="00DE30C2"/>
    <w:rsid w:val="00E20DDE"/>
    <w:rsid w:val="00E24EA2"/>
    <w:rsid w:val="00E504B4"/>
    <w:rsid w:val="00E75584"/>
    <w:rsid w:val="00EA4D00"/>
    <w:rsid w:val="00ED37D1"/>
    <w:rsid w:val="00EE78DB"/>
    <w:rsid w:val="00F32BB3"/>
    <w:rsid w:val="00F85212"/>
    <w:rsid w:val="00FA4963"/>
    <w:rsid w:val="00FC043C"/>
    <w:rsid w:val="00FC1CD9"/>
    <w:rsid w:val="00FC42C2"/>
    <w:rsid w:val="00FC45CC"/>
    <w:rsid w:val="00FD7368"/>
    <w:rsid w:val="00FE5A58"/>
    <w:rsid w:val="00FF5B0D"/>
    <w:rsid w:val="01AE66A2"/>
    <w:rsid w:val="01CC71EA"/>
    <w:rsid w:val="022A6766"/>
    <w:rsid w:val="022B7772"/>
    <w:rsid w:val="02BA21E0"/>
    <w:rsid w:val="032C036B"/>
    <w:rsid w:val="03A569EC"/>
    <w:rsid w:val="03DA38B5"/>
    <w:rsid w:val="058F34B0"/>
    <w:rsid w:val="068C5EFB"/>
    <w:rsid w:val="06F51A39"/>
    <w:rsid w:val="077671D5"/>
    <w:rsid w:val="08026ABE"/>
    <w:rsid w:val="08066C04"/>
    <w:rsid w:val="087074CD"/>
    <w:rsid w:val="08C37A45"/>
    <w:rsid w:val="08E829BF"/>
    <w:rsid w:val="08EE6740"/>
    <w:rsid w:val="09A80E3D"/>
    <w:rsid w:val="09F4422A"/>
    <w:rsid w:val="0A0338DA"/>
    <w:rsid w:val="0A140428"/>
    <w:rsid w:val="0B4E6B69"/>
    <w:rsid w:val="0B901D30"/>
    <w:rsid w:val="0BAC5C69"/>
    <w:rsid w:val="0C9C5EA0"/>
    <w:rsid w:val="0CA94B01"/>
    <w:rsid w:val="0D531BCD"/>
    <w:rsid w:val="0D9C7EFE"/>
    <w:rsid w:val="0EA770DF"/>
    <w:rsid w:val="0EF077C6"/>
    <w:rsid w:val="0F034490"/>
    <w:rsid w:val="0F29227F"/>
    <w:rsid w:val="0F515C7A"/>
    <w:rsid w:val="0F9F2ED8"/>
    <w:rsid w:val="0FB35237"/>
    <w:rsid w:val="10142F30"/>
    <w:rsid w:val="1025695A"/>
    <w:rsid w:val="102A2753"/>
    <w:rsid w:val="10AB6079"/>
    <w:rsid w:val="118B7221"/>
    <w:rsid w:val="120D0465"/>
    <w:rsid w:val="13475945"/>
    <w:rsid w:val="13734F34"/>
    <w:rsid w:val="1384217A"/>
    <w:rsid w:val="138D4257"/>
    <w:rsid w:val="13B03341"/>
    <w:rsid w:val="14832432"/>
    <w:rsid w:val="14BA2B93"/>
    <w:rsid w:val="15A22D8C"/>
    <w:rsid w:val="15F663AA"/>
    <w:rsid w:val="16290DB7"/>
    <w:rsid w:val="168E3310"/>
    <w:rsid w:val="16DA6555"/>
    <w:rsid w:val="173E4D36"/>
    <w:rsid w:val="17A73DA0"/>
    <w:rsid w:val="17CC2342"/>
    <w:rsid w:val="19481E9C"/>
    <w:rsid w:val="19662123"/>
    <w:rsid w:val="197229BC"/>
    <w:rsid w:val="198D78AF"/>
    <w:rsid w:val="1A02204B"/>
    <w:rsid w:val="1A200723"/>
    <w:rsid w:val="1AAE2094"/>
    <w:rsid w:val="1AB01AA7"/>
    <w:rsid w:val="1ADF413A"/>
    <w:rsid w:val="1B0167A6"/>
    <w:rsid w:val="1B46207A"/>
    <w:rsid w:val="1B903686"/>
    <w:rsid w:val="1B971143"/>
    <w:rsid w:val="1C0302FC"/>
    <w:rsid w:val="1C2465A3"/>
    <w:rsid w:val="1D1550CF"/>
    <w:rsid w:val="1DC03AB5"/>
    <w:rsid w:val="1DC771BE"/>
    <w:rsid w:val="1DCF0496"/>
    <w:rsid w:val="1E036392"/>
    <w:rsid w:val="1EAC6A29"/>
    <w:rsid w:val="1EC75A83"/>
    <w:rsid w:val="1ECD32A4"/>
    <w:rsid w:val="1EE53CE9"/>
    <w:rsid w:val="1EFA3C1D"/>
    <w:rsid w:val="1F1F544D"/>
    <w:rsid w:val="1FD4103A"/>
    <w:rsid w:val="206E04AF"/>
    <w:rsid w:val="209C2DDB"/>
    <w:rsid w:val="20BF6730"/>
    <w:rsid w:val="20D12777"/>
    <w:rsid w:val="21042B4C"/>
    <w:rsid w:val="21117017"/>
    <w:rsid w:val="213101C8"/>
    <w:rsid w:val="21894680"/>
    <w:rsid w:val="21F77050"/>
    <w:rsid w:val="221E6FA4"/>
    <w:rsid w:val="22351092"/>
    <w:rsid w:val="223D7616"/>
    <w:rsid w:val="225437D4"/>
    <w:rsid w:val="225B679C"/>
    <w:rsid w:val="22BE6442"/>
    <w:rsid w:val="22D24584"/>
    <w:rsid w:val="247B26AF"/>
    <w:rsid w:val="24C22B02"/>
    <w:rsid w:val="24EC504A"/>
    <w:rsid w:val="24F97B02"/>
    <w:rsid w:val="25A85EC8"/>
    <w:rsid w:val="25B53114"/>
    <w:rsid w:val="25DC4098"/>
    <w:rsid w:val="266C6E63"/>
    <w:rsid w:val="26D905D7"/>
    <w:rsid w:val="26F43AA8"/>
    <w:rsid w:val="270F7B55"/>
    <w:rsid w:val="285C1CAC"/>
    <w:rsid w:val="287700A8"/>
    <w:rsid w:val="28FE4325"/>
    <w:rsid w:val="291E4D83"/>
    <w:rsid w:val="297445E7"/>
    <w:rsid w:val="29EC0622"/>
    <w:rsid w:val="2A196EE8"/>
    <w:rsid w:val="2AE337D3"/>
    <w:rsid w:val="2AFA0B1C"/>
    <w:rsid w:val="2BDE20BE"/>
    <w:rsid w:val="2C1016F4"/>
    <w:rsid w:val="2C634B60"/>
    <w:rsid w:val="2D1703B4"/>
    <w:rsid w:val="2D3C391E"/>
    <w:rsid w:val="2D40614A"/>
    <w:rsid w:val="2D524C40"/>
    <w:rsid w:val="2D5D4478"/>
    <w:rsid w:val="2F1877C3"/>
    <w:rsid w:val="2F2C103E"/>
    <w:rsid w:val="316A07AA"/>
    <w:rsid w:val="316B62D0"/>
    <w:rsid w:val="31CB1E59"/>
    <w:rsid w:val="32816997"/>
    <w:rsid w:val="33747866"/>
    <w:rsid w:val="33782515"/>
    <w:rsid w:val="33852B74"/>
    <w:rsid w:val="344861A9"/>
    <w:rsid w:val="34666F8D"/>
    <w:rsid w:val="34872A21"/>
    <w:rsid w:val="34961776"/>
    <w:rsid w:val="34EC0FF3"/>
    <w:rsid w:val="3568190D"/>
    <w:rsid w:val="3573258D"/>
    <w:rsid w:val="357A187A"/>
    <w:rsid w:val="359609A8"/>
    <w:rsid w:val="36737536"/>
    <w:rsid w:val="36AC36DC"/>
    <w:rsid w:val="370A417C"/>
    <w:rsid w:val="37730687"/>
    <w:rsid w:val="37907976"/>
    <w:rsid w:val="379B7E94"/>
    <w:rsid w:val="37FA5E67"/>
    <w:rsid w:val="38586D49"/>
    <w:rsid w:val="3922076C"/>
    <w:rsid w:val="39360086"/>
    <w:rsid w:val="39643225"/>
    <w:rsid w:val="3AD96C06"/>
    <w:rsid w:val="3B13023F"/>
    <w:rsid w:val="3B7A783B"/>
    <w:rsid w:val="3C300216"/>
    <w:rsid w:val="3C7652B2"/>
    <w:rsid w:val="3DBB7DD9"/>
    <w:rsid w:val="3E1A1791"/>
    <w:rsid w:val="3EE50630"/>
    <w:rsid w:val="3F2F7A9F"/>
    <w:rsid w:val="3F3146B5"/>
    <w:rsid w:val="3F76848C"/>
    <w:rsid w:val="3F8F587F"/>
    <w:rsid w:val="3FDC1EC7"/>
    <w:rsid w:val="3FE72345"/>
    <w:rsid w:val="40055B41"/>
    <w:rsid w:val="402B6D7A"/>
    <w:rsid w:val="411E6EBB"/>
    <w:rsid w:val="41390199"/>
    <w:rsid w:val="41401527"/>
    <w:rsid w:val="41654AEA"/>
    <w:rsid w:val="41B20D73"/>
    <w:rsid w:val="421F18CC"/>
    <w:rsid w:val="424419FB"/>
    <w:rsid w:val="437E026F"/>
    <w:rsid w:val="43C07593"/>
    <w:rsid w:val="43F33419"/>
    <w:rsid w:val="44CD30D2"/>
    <w:rsid w:val="44EE3048"/>
    <w:rsid w:val="45237196"/>
    <w:rsid w:val="45972127"/>
    <w:rsid w:val="46127F03"/>
    <w:rsid w:val="46A81102"/>
    <w:rsid w:val="47253D58"/>
    <w:rsid w:val="47EF036F"/>
    <w:rsid w:val="47FA68CC"/>
    <w:rsid w:val="48141018"/>
    <w:rsid w:val="481B4BAB"/>
    <w:rsid w:val="483641B2"/>
    <w:rsid w:val="48F101BE"/>
    <w:rsid w:val="491F2BA7"/>
    <w:rsid w:val="4A0F4A27"/>
    <w:rsid w:val="4A676C67"/>
    <w:rsid w:val="4A6C7187"/>
    <w:rsid w:val="4A89557F"/>
    <w:rsid w:val="4AAA17BF"/>
    <w:rsid w:val="4AC2275D"/>
    <w:rsid w:val="4AC2685D"/>
    <w:rsid w:val="4AD12E59"/>
    <w:rsid w:val="4AE62E7D"/>
    <w:rsid w:val="4B406A55"/>
    <w:rsid w:val="4B6232EC"/>
    <w:rsid w:val="4BA625CF"/>
    <w:rsid w:val="4BFE1DC3"/>
    <w:rsid w:val="4C4A1A57"/>
    <w:rsid w:val="4C5B27E1"/>
    <w:rsid w:val="4C8D6FAC"/>
    <w:rsid w:val="4D000510"/>
    <w:rsid w:val="4E0421EA"/>
    <w:rsid w:val="4E573A0C"/>
    <w:rsid w:val="4EC831E2"/>
    <w:rsid w:val="4F6A776F"/>
    <w:rsid w:val="4F7E13E5"/>
    <w:rsid w:val="50575F45"/>
    <w:rsid w:val="50644223"/>
    <w:rsid w:val="5079536F"/>
    <w:rsid w:val="50F564C4"/>
    <w:rsid w:val="51451007"/>
    <w:rsid w:val="51EA42B4"/>
    <w:rsid w:val="51FC4FF6"/>
    <w:rsid w:val="5217093F"/>
    <w:rsid w:val="52B15FA1"/>
    <w:rsid w:val="52CE6390"/>
    <w:rsid w:val="52CF6267"/>
    <w:rsid w:val="536F17F8"/>
    <w:rsid w:val="53B9056F"/>
    <w:rsid w:val="53C5766A"/>
    <w:rsid w:val="53FA5EEE"/>
    <w:rsid w:val="54C47921"/>
    <w:rsid w:val="55306D65"/>
    <w:rsid w:val="55BB0D24"/>
    <w:rsid w:val="55D32512"/>
    <w:rsid w:val="560414BF"/>
    <w:rsid w:val="565847C5"/>
    <w:rsid w:val="56DE4CCA"/>
    <w:rsid w:val="57164DB9"/>
    <w:rsid w:val="57572CCF"/>
    <w:rsid w:val="581B1F4E"/>
    <w:rsid w:val="597C07CB"/>
    <w:rsid w:val="59926240"/>
    <w:rsid w:val="599B622F"/>
    <w:rsid w:val="59A11A4D"/>
    <w:rsid w:val="5A0031AA"/>
    <w:rsid w:val="5A2275C4"/>
    <w:rsid w:val="5B1A029B"/>
    <w:rsid w:val="5B84416B"/>
    <w:rsid w:val="5C622364"/>
    <w:rsid w:val="5C98591B"/>
    <w:rsid w:val="5CBC3D00"/>
    <w:rsid w:val="5D9F6671"/>
    <w:rsid w:val="5DB524FD"/>
    <w:rsid w:val="5DE27796"/>
    <w:rsid w:val="5E7B1F70"/>
    <w:rsid w:val="5EAF519E"/>
    <w:rsid w:val="5ED75362"/>
    <w:rsid w:val="5EE43494"/>
    <w:rsid w:val="5F2913F5"/>
    <w:rsid w:val="5FE5531C"/>
    <w:rsid w:val="60261490"/>
    <w:rsid w:val="60B870CC"/>
    <w:rsid w:val="60D12E98"/>
    <w:rsid w:val="61642270"/>
    <w:rsid w:val="621406F6"/>
    <w:rsid w:val="62672BDC"/>
    <w:rsid w:val="62BE3D10"/>
    <w:rsid w:val="632F29DF"/>
    <w:rsid w:val="64A121F4"/>
    <w:rsid w:val="64F22C15"/>
    <w:rsid w:val="653B778C"/>
    <w:rsid w:val="65A41DFF"/>
    <w:rsid w:val="660E4721"/>
    <w:rsid w:val="673E4ABB"/>
    <w:rsid w:val="67AA1DDE"/>
    <w:rsid w:val="685079F2"/>
    <w:rsid w:val="69104AC8"/>
    <w:rsid w:val="693469CC"/>
    <w:rsid w:val="6938787C"/>
    <w:rsid w:val="69823F1E"/>
    <w:rsid w:val="69F04620"/>
    <w:rsid w:val="6A022F6E"/>
    <w:rsid w:val="6A042842"/>
    <w:rsid w:val="6A6432E1"/>
    <w:rsid w:val="6B0D3001"/>
    <w:rsid w:val="6B39476E"/>
    <w:rsid w:val="6B811C71"/>
    <w:rsid w:val="6C663424"/>
    <w:rsid w:val="6CB17FB2"/>
    <w:rsid w:val="6E222B0F"/>
    <w:rsid w:val="6EEE5550"/>
    <w:rsid w:val="6F1057E5"/>
    <w:rsid w:val="6FB64F77"/>
    <w:rsid w:val="6FBE16E5"/>
    <w:rsid w:val="6FD5217B"/>
    <w:rsid w:val="6FE7765D"/>
    <w:rsid w:val="6FED1155"/>
    <w:rsid w:val="70301CAE"/>
    <w:rsid w:val="70651B61"/>
    <w:rsid w:val="713B5F44"/>
    <w:rsid w:val="733A6A75"/>
    <w:rsid w:val="73DE2356"/>
    <w:rsid w:val="73F456D6"/>
    <w:rsid w:val="745E666F"/>
    <w:rsid w:val="747D1B6F"/>
    <w:rsid w:val="753A6484"/>
    <w:rsid w:val="759C7DD3"/>
    <w:rsid w:val="75A44ED9"/>
    <w:rsid w:val="75FF6965"/>
    <w:rsid w:val="76366479"/>
    <w:rsid w:val="76482007"/>
    <w:rsid w:val="77277B70"/>
    <w:rsid w:val="77FA201F"/>
    <w:rsid w:val="780F6F82"/>
    <w:rsid w:val="78681C80"/>
    <w:rsid w:val="78DB50B6"/>
    <w:rsid w:val="78EF290F"/>
    <w:rsid w:val="790243F1"/>
    <w:rsid w:val="79DF10D7"/>
    <w:rsid w:val="79E87A8A"/>
    <w:rsid w:val="7A083313"/>
    <w:rsid w:val="7A1D5E2F"/>
    <w:rsid w:val="7BD55DED"/>
    <w:rsid w:val="7C7C4FD8"/>
    <w:rsid w:val="7CCB71F0"/>
    <w:rsid w:val="7D814CF3"/>
    <w:rsid w:val="7D9B4E14"/>
    <w:rsid w:val="7DFC2828"/>
    <w:rsid w:val="7E4454AB"/>
    <w:rsid w:val="7F7E0318"/>
    <w:rsid w:val="7F8622CD"/>
    <w:rsid w:val="7FA3120B"/>
    <w:rsid w:val="7FB763C1"/>
    <w:rsid w:val="7FE231CE"/>
    <w:rsid w:val="7FFEBF16"/>
    <w:rsid w:val="9EBE9F61"/>
    <w:rsid w:val="ADEF1E4E"/>
    <w:rsid w:val="CDF9F7FC"/>
    <w:rsid w:val="F6EE2AD4"/>
    <w:rsid w:val="FB57AD60"/>
    <w:rsid w:val="FE1AFC7D"/>
    <w:rsid w:val="FEFB5228"/>
    <w:rsid w:val="FF7F4E5A"/>
    <w:rsid w:val="FF8F743D"/>
    <w:rsid w:val="FFFF3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uiPriority="39"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qFormat/>
    <w:uiPriority w:val="9"/>
    <w:pPr>
      <w:keepNext/>
      <w:keepLines/>
      <w:spacing w:before="100" w:after="100" w:line="240" w:lineRule="auto"/>
      <w:jc w:val="center"/>
      <w:outlineLvl w:val="0"/>
    </w:pPr>
    <w:rPr>
      <w:rFonts w:ascii="Times New Roman" w:hAnsi="Times New Roman" w:eastAsia="宋体"/>
      <w:b/>
      <w:bCs/>
      <w:kern w:val="44"/>
      <w:sz w:val="44"/>
      <w:szCs w:val="44"/>
    </w:rPr>
  </w:style>
  <w:style w:type="paragraph" w:styleId="4">
    <w:name w:val="heading 2"/>
    <w:basedOn w:val="1"/>
    <w:next w:val="1"/>
    <w:link w:val="61"/>
    <w:unhideWhenUsed/>
    <w:qFormat/>
    <w:uiPriority w:val="0"/>
    <w:pPr>
      <w:keepNext/>
      <w:keepLines/>
      <w:spacing w:before="120" w:after="120" w:line="415" w:lineRule="auto"/>
      <w:jc w:val="center"/>
      <w:outlineLvl w:val="1"/>
    </w:pPr>
    <w:rPr>
      <w:rFonts w:asciiTheme="majorHAnsi" w:hAnsiTheme="majorHAnsi" w:eastAsiaTheme="majorEastAsia" w:cstheme="majorBidi"/>
      <w:b/>
      <w:bCs/>
      <w:sz w:val="32"/>
      <w:szCs w:val="32"/>
    </w:rPr>
  </w:style>
  <w:style w:type="paragraph" w:styleId="5">
    <w:name w:val="heading 3"/>
    <w:basedOn w:val="1"/>
    <w:next w:val="1"/>
    <w:link w:val="60"/>
    <w:unhideWhenUsed/>
    <w:qFormat/>
    <w:uiPriority w:val="0"/>
    <w:pPr>
      <w:keepNext/>
      <w:keepLines/>
      <w:spacing w:before="120" w:after="120"/>
      <w:jc w:val="center"/>
      <w:outlineLvl w:val="2"/>
    </w:pPr>
    <w:rPr>
      <w:rFonts w:eastAsia="宋体"/>
      <w:b/>
      <w:bCs/>
      <w:sz w:val="28"/>
      <w:szCs w:val="32"/>
    </w:rPr>
  </w:style>
  <w:style w:type="paragraph" w:styleId="6">
    <w:name w:val="heading 4"/>
    <w:basedOn w:val="1"/>
    <w:next w:val="1"/>
    <w:link w:val="62"/>
    <w:unhideWhenUsed/>
    <w:qFormat/>
    <w:uiPriority w:val="0"/>
    <w:pPr>
      <w:keepNext/>
      <w:keepLines/>
      <w:spacing w:before="120" w:after="120"/>
      <w:jc w:val="center"/>
      <w:outlineLvl w:val="3"/>
    </w:pPr>
    <w:rPr>
      <w:rFonts w:asciiTheme="majorHAnsi" w:hAnsiTheme="majorHAnsi" w:eastAsiaTheme="majorEastAsia" w:cstheme="majorBidi"/>
      <w:b/>
      <w:bCs/>
      <w:sz w:val="24"/>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spacing w:line="360" w:lineRule="auto"/>
      <w:ind w:firstLine="200" w:firstLineChars="200"/>
    </w:pPr>
    <w:rPr>
      <w:rFonts w:ascii="宋体" w:hAnsi="宋体" w:eastAsia="宋体" w:cs="宋体"/>
      <w:sz w:val="24"/>
      <w:szCs w:val="31"/>
    </w:rPr>
  </w:style>
  <w:style w:type="paragraph" w:styleId="7">
    <w:name w:val="toc 7"/>
    <w:basedOn w:val="1"/>
    <w:next w:val="1"/>
    <w:unhideWhenUsed/>
    <w:qFormat/>
    <w:uiPriority w:val="39"/>
    <w:pPr>
      <w:widowControl w:val="0"/>
      <w:kinsoku/>
      <w:autoSpaceDE/>
      <w:autoSpaceDN/>
      <w:adjustRightInd/>
      <w:snapToGrid/>
      <w:spacing w:after="160" w:line="278" w:lineRule="auto"/>
      <w:ind w:left="2520" w:leftChars="12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paragraph" w:styleId="8">
    <w:name w:val="Normal Indent"/>
    <w:basedOn w:val="1"/>
    <w:unhideWhenUsed/>
    <w:qFormat/>
    <w:uiPriority w:val="99"/>
    <w:pPr>
      <w:widowControl w:val="0"/>
      <w:kinsoku/>
      <w:autoSpaceDE/>
      <w:autoSpaceDN/>
      <w:adjustRightInd/>
      <w:snapToGrid/>
      <w:ind w:firstLine="420"/>
      <w:jc w:val="both"/>
      <w:textAlignment w:val="auto"/>
    </w:pPr>
    <w:rPr>
      <w:rFonts w:ascii="Times New Roman" w:hAnsi="Times New Roman" w:eastAsia="宋体" w:cs="Times New Roman"/>
      <w:snapToGrid/>
      <w:color w:val="auto"/>
      <w:kern w:val="2"/>
      <w:szCs w:val="24"/>
      <w:lang w:eastAsia="zh-CN"/>
    </w:rPr>
  </w:style>
  <w:style w:type="paragraph" w:styleId="9">
    <w:name w:val="annotation text"/>
    <w:basedOn w:val="1"/>
    <w:link w:val="58"/>
    <w:qFormat/>
    <w:uiPriority w:val="0"/>
  </w:style>
  <w:style w:type="paragraph" w:styleId="10">
    <w:name w:val="Body Text Indent"/>
    <w:basedOn w:val="1"/>
    <w:next w:val="1"/>
    <w:qFormat/>
    <w:uiPriority w:val="0"/>
    <w:pPr>
      <w:suppressAutoHyphens/>
      <w:spacing w:line="360" w:lineRule="auto"/>
      <w:ind w:firstLine="240" w:firstLineChars="100"/>
    </w:pPr>
    <w:rPr>
      <w:rFonts w:ascii="宋体"/>
      <w:kern w:val="1"/>
      <w:sz w:val="24"/>
      <w:lang w:eastAsia="ar-SA"/>
    </w:rPr>
  </w:style>
  <w:style w:type="paragraph" w:styleId="11">
    <w:name w:val="List 2"/>
    <w:basedOn w:val="1"/>
    <w:qFormat/>
    <w:uiPriority w:val="0"/>
    <w:pPr>
      <w:ind w:left="100" w:leftChars="200" w:hanging="200" w:hangingChars="200"/>
    </w:pPr>
  </w:style>
  <w:style w:type="paragraph" w:styleId="12">
    <w:name w:val="Block Text"/>
    <w:basedOn w:val="1"/>
    <w:qFormat/>
    <w:uiPriority w:val="0"/>
    <w:pPr>
      <w:spacing w:line="400" w:lineRule="exact"/>
      <w:ind w:left="-359" w:leftChars="-171" w:right="-327" w:rightChars="-327" w:firstLine="720"/>
    </w:pPr>
    <w:rPr>
      <w:rFonts w:ascii="宋体" w:hAnsi="宋体"/>
      <w:sz w:val="28"/>
    </w:rPr>
  </w:style>
  <w:style w:type="paragraph" w:styleId="13">
    <w:name w:val="toc 5"/>
    <w:basedOn w:val="1"/>
    <w:next w:val="1"/>
    <w:unhideWhenUsed/>
    <w:qFormat/>
    <w:uiPriority w:val="39"/>
    <w:pPr>
      <w:widowControl w:val="0"/>
      <w:kinsoku/>
      <w:autoSpaceDE/>
      <w:autoSpaceDN/>
      <w:adjustRightInd/>
      <w:snapToGrid/>
      <w:spacing w:after="160" w:line="278" w:lineRule="auto"/>
      <w:ind w:left="1680" w:leftChars="8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paragraph" w:styleId="14">
    <w:name w:val="toc 3"/>
    <w:basedOn w:val="1"/>
    <w:next w:val="1"/>
    <w:qFormat/>
    <w:uiPriority w:val="39"/>
    <w:pPr>
      <w:ind w:left="840" w:leftChars="400"/>
    </w:pPr>
  </w:style>
  <w:style w:type="paragraph" w:styleId="15">
    <w:name w:val="toc 8"/>
    <w:basedOn w:val="1"/>
    <w:next w:val="1"/>
    <w:unhideWhenUsed/>
    <w:qFormat/>
    <w:uiPriority w:val="39"/>
    <w:pPr>
      <w:widowControl w:val="0"/>
      <w:kinsoku/>
      <w:autoSpaceDE/>
      <w:autoSpaceDN/>
      <w:adjustRightInd/>
      <w:snapToGrid/>
      <w:spacing w:after="160" w:line="278" w:lineRule="auto"/>
      <w:ind w:left="2940" w:leftChars="14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paragraph" w:styleId="16">
    <w:name w:val="Date"/>
    <w:basedOn w:val="1"/>
    <w:next w:val="1"/>
    <w:qFormat/>
    <w:uiPriority w:val="0"/>
    <w:pPr>
      <w:widowControl w:val="0"/>
      <w:jc w:val="both"/>
    </w:pPr>
    <w:rPr>
      <w:kern w:val="2"/>
      <w:sz w:val="24"/>
    </w:rPr>
  </w:style>
  <w:style w:type="paragraph" w:styleId="17">
    <w:name w:val="footer"/>
    <w:basedOn w:val="1"/>
    <w:next w:val="1"/>
    <w:link w:val="57"/>
    <w:qFormat/>
    <w:uiPriority w:val="99"/>
    <w:pPr>
      <w:tabs>
        <w:tab w:val="center" w:pos="4153"/>
        <w:tab w:val="right" w:pos="8306"/>
      </w:tabs>
    </w:pPr>
    <w:rPr>
      <w:sz w:val="18"/>
    </w:rPr>
  </w:style>
  <w:style w:type="paragraph" w:styleId="18">
    <w:name w:val="envelope return"/>
    <w:basedOn w:val="1"/>
    <w:qFormat/>
    <w:uiPriority w:val="0"/>
  </w:style>
  <w:style w:type="paragraph" w:styleId="19">
    <w:name w:val="header"/>
    <w:basedOn w:val="1"/>
    <w:link w:val="55"/>
    <w:qFormat/>
    <w:uiPriority w:val="0"/>
    <w:pPr>
      <w:tabs>
        <w:tab w:val="center" w:pos="4153"/>
        <w:tab w:val="right" w:pos="8306"/>
      </w:tabs>
      <w:jc w:val="center"/>
    </w:pPr>
    <w:rPr>
      <w:sz w:val="18"/>
      <w:szCs w:val="18"/>
    </w:rPr>
  </w:style>
  <w:style w:type="paragraph" w:styleId="20">
    <w:name w:val="toc 1"/>
    <w:basedOn w:val="1"/>
    <w:next w:val="1"/>
    <w:uiPriority w:val="39"/>
  </w:style>
  <w:style w:type="paragraph" w:styleId="21">
    <w:name w:val="toc 4"/>
    <w:basedOn w:val="1"/>
    <w:next w:val="1"/>
    <w:unhideWhenUsed/>
    <w:qFormat/>
    <w:uiPriority w:val="39"/>
    <w:pPr>
      <w:widowControl w:val="0"/>
      <w:kinsoku/>
      <w:autoSpaceDE/>
      <w:autoSpaceDN/>
      <w:adjustRightInd/>
      <w:snapToGrid/>
      <w:spacing w:after="160" w:line="278" w:lineRule="auto"/>
      <w:ind w:left="1260" w:leftChars="6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paragraph" w:styleId="22">
    <w:name w:val="footnote text"/>
    <w:basedOn w:val="1"/>
    <w:next w:val="2"/>
    <w:qFormat/>
    <w:uiPriority w:val="0"/>
    <w:rPr>
      <w:sz w:val="18"/>
      <w:szCs w:val="18"/>
    </w:rPr>
  </w:style>
  <w:style w:type="paragraph" w:styleId="23">
    <w:name w:val="toc 6"/>
    <w:basedOn w:val="1"/>
    <w:next w:val="1"/>
    <w:unhideWhenUsed/>
    <w:qFormat/>
    <w:uiPriority w:val="39"/>
    <w:pPr>
      <w:widowControl w:val="0"/>
      <w:kinsoku/>
      <w:autoSpaceDE/>
      <w:autoSpaceDN/>
      <w:adjustRightInd/>
      <w:snapToGrid/>
      <w:spacing w:after="160" w:line="278" w:lineRule="auto"/>
      <w:ind w:left="2100" w:leftChars="10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paragraph" w:styleId="24">
    <w:name w:val="toc 2"/>
    <w:basedOn w:val="1"/>
    <w:next w:val="1"/>
    <w:qFormat/>
    <w:uiPriority w:val="39"/>
    <w:pPr>
      <w:ind w:left="420" w:leftChars="200"/>
    </w:pPr>
  </w:style>
  <w:style w:type="paragraph" w:styleId="25">
    <w:name w:val="toc 9"/>
    <w:basedOn w:val="1"/>
    <w:next w:val="1"/>
    <w:unhideWhenUsed/>
    <w:uiPriority w:val="39"/>
    <w:pPr>
      <w:widowControl w:val="0"/>
      <w:kinsoku/>
      <w:autoSpaceDE/>
      <w:autoSpaceDN/>
      <w:adjustRightInd/>
      <w:snapToGrid/>
      <w:spacing w:after="160" w:line="278" w:lineRule="auto"/>
      <w:ind w:left="3360" w:leftChars="16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paragraph" w:styleId="26">
    <w:name w:val="Body Text 2"/>
    <w:basedOn w:val="1"/>
    <w:unhideWhenUsed/>
    <w:qFormat/>
    <w:uiPriority w:val="99"/>
    <w:pPr>
      <w:spacing w:after="120" w:line="480" w:lineRule="auto"/>
    </w:pPr>
    <w:rPr>
      <w:szCs w:val="24"/>
    </w:rPr>
  </w:style>
  <w:style w:type="paragraph" w:styleId="27">
    <w:name w:val="Normal (Web)"/>
    <w:basedOn w:val="1"/>
    <w:unhideWhenUsed/>
    <w:qFormat/>
    <w:uiPriority w:val="0"/>
    <w:pPr>
      <w:spacing w:before="100" w:beforeAutospacing="1" w:after="100" w:afterAutospacing="1"/>
    </w:pPr>
    <w:rPr>
      <w:rFonts w:ascii="??" w:hAnsi="??" w:cs="宋体"/>
      <w:sz w:val="24"/>
      <w:szCs w:val="24"/>
    </w:rPr>
  </w:style>
  <w:style w:type="paragraph" w:styleId="28">
    <w:name w:val="Title"/>
    <w:basedOn w:val="1"/>
    <w:next w:val="1"/>
    <w:qFormat/>
    <w:uiPriority w:val="0"/>
    <w:pPr>
      <w:spacing w:before="240" w:after="60"/>
      <w:jc w:val="center"/>
      <w:outlineLvl w:val="0"/>
    </w:pPr>
    <w:rPr>
      <w:b/>
      <w:bCs/>
      <w:sz w:val="44"/>
      <w:szCs w:val="32"/>
    </w:rPr>
  </w:style>
  <w:style w:type="paragraph" w:styleId="29">
    <w:name w:val="annotation subject"/>
    <w:basedOn w:val="9"/>
    <w:next w:val="9"/>
    <w:link w:val="59"/>
    <w:qFormat/>
    <w:uiPriority w:val="0"/>
    <w:rPr>
      <w:b/>
      <w:bCs/>
    </w:rPr>
  </w:style>
  <w:style w:type="paragraph" w:styleId="30">
    <w:name w:val="Body Text First Indent"/>
    <w:basedOn w:val="2"/>
    <w:qFormat/>
    <w:uiPriority w:val="0"/>
    <w:pPr>
      <w:spacing w:line="312" w:lineRule="auto"/>
    </w:pPr>
    <w:rPr>
      <w:szCs w:val="24"/>
    </w:rPr>
  </w:style>
  <w:style w:type="paragraph" w:styleId="31">
    <w:name w:val="Body Text First Indent 2"/>
    <w:basedOn w:val="10"/>
    <w:next w:val="12"/>
    <w:qFormat/>
    <w:uiPriority w:val="99"/>
    <w:pPr>
      <w:ind w:firstLine="420" w:firstLineChars="200"/>
    </w:p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sz w:val="24"/>
      <w:szCs w:val="24"/>
    </w:rPr>
  </w:style>
  <w:style w:type="character" w:styleId="36">
    <w:name w:val="FollowedHyperlink"/>
    <w:basedOn w:val="34"/>
    <w:qFormat/>
    <w:uiPriority w:val="0"/>
    <w:rPr>
      <w:color w:val="551A8B"/>
      <w:u w:val="single"/>
    </w:rPr>
  </w:style>
  <w:style w:type="character" w:styleId="37">
    <w:name w:val="Emphasis"/>
    <w:basedOn w:val="34"/>
    <w:qFormat/>
    <w:uiPriority w:val="0"/>
    <w:rPr>
      <w:color w:val="D73130"/>
      <w:sz w:val="24"/>
      <w:szCs w:val="24"/>
    </w:rPr>
  </w:style>
  <w:style w:type="character" w:styleId="38">
    <w:name w:val="HTML Definition"/>
    <w:basedOn w:val="34"/>
    <w:qFormat/>
    <w:uiPriority w:val="0"/>
    <w:rPr>
      <w:i/>
      <w:iCs/>
    </w:rPr>
  </w:style>
  <w:style w:type="character" w:styleId="39">
    <w:name w:val="Hyperlink"/>
    <w:qFormat/>
    <w:uiPriority w:val="99"/>
    <w:rPr>
      <w:color w:val="0000FF"/>
      <w:u w:val="single"/>
    </w:rPr>
  </w:style>
  <w:style w:type="character" w:styleId="40">
    <w:name w:val="HTML Code"/>
    <w:basedOn w:val="34"/>
    <w:qFormat/>
    <w:uiPriority w:val="0"/>
    <w:rPr>
      <w:rFonts w:hint="default" w:ascii="monospace" w:hAnsi="monospace" w:eastAsia="monospace" w:cs="monospace"/>
      <w:sz w:val="21"/>
      <w:szCs w:val="21"/>
    </w:rPr>
  </w:style>
  <w:style w:type="character" w:styleId="41">
    <w:name w:val="annotation reference"/>
    <w:basedOn w:val="34"/>
    <w:qFormat/>
    <w:uiPriority w:val="0"/>
    <w:rPr>
      <w:sz w:val="21"/>
      <w:szCs w:val="21"/>
    </w:rPr>
  </w:style>
  <w:style w:type="character" w:styleId="42">
    <w:name w:val="HTML Cite"/>
    <w:basedOn w:val="34"/>
    <w:qFormat/>
    <w:uiPriority w:val="0"/>
    <w:rPr>
      <w:sz w:val="24"/>
      <w:szCs w:val="24"/>
    </w:rPr>
  </w:style>
  <w:style w:type="character" w:styleId="43">
    <w:name w:val="HTML Keyboard"/>
    <w:basedOn w:val="34"/>
    <w:qFormat/>
    <w:uiPriority w:val="0"/>
    <w:rPr>
      <w:rFonts w:ascii="monospace" w:hAnsi="monospace" w:eastAsia="monospace" w:cs="monospace"/>
      <w:sz w:val="21"/>
      <w:szCs w:val="21"/>
    </w:rPr>
  </w:style>
  <w:style w:type="character" w:styleId="44">
    <w:name w:val="HTML Sample"/>
    <w:basedOn w:val="34"/>
    <w:qFormat/>
    <w:uiPriority w:val="0"/>
    <w:rPr>
      <w:rFonts w:hint="default" w:ascii="monospace" w:hAnsi="monospace" w:eastAsia="monospace" w:cs="monospace"/>
      <w:sz w:val="21"/>
      <w:szCs w:val="21"/>
    </w:rPr>
  </w:style>
  <w:style w:type="paragraph" w:customStyle="1" w:styleId="45">
    <w:name w:val="表格文字"/>
    <w:basedOn w:val="2"/>
    <w:next w:val="2"/>
    <w:qFormat/>
    <w:uiPriority w:val="0"/>
    <w:pPr>
      <w:spacing w:before="20" w:beforeLines="20" w:after="20" w:afterLines="20"/>
    </w:pPr>
    <w:rPr>
      <w:rFonts w:ascii="Arial" w:hAnsi="Arial"/>
    </w:rPr>
  </w:style>
  <w:style w:type="paragraph" w:styleId="46">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table" w:customStyle="1" w:styleId="47">
    <w:name w:val="Table Normal"/>
    <w:semiHidden/>
    <w:unhideWhenUsed/>
    <w:qFormat/>
    <w:uiPriority w:val="0"/>
    <w:tblPr>
      <w:tblCellMar>
        <w:top w:w="0" w:type="dxa"/>
        <w:left w:w="0" w:type="dxa"/>
        <w:bottom w:w="0" w:type="dxa"/>
        <w:right w:w="0" w:type="dxa"/>
      </w:tblCellMar>
    </w:tblPr>
  </w:style>
  <w:style w:type="paragraph" w:customStyle="1" w:styleId="48">
    <w:name w:val="Table Text"/>
    <w:basedOn w:val="1"/>
    <w:semiHidden/>
    <w:qFormat/>
    <w:uiPriority w:val="0"/>
    <w:rPr>
      <w:rFonts w:ascii="宋体" w:hAnsi="宋体" w:eastAsia="宋体" w:cs="宋体"/>
      <w:sz w:val="24"/>
      <w:szCs w:val="24"/>
    </w:rPr>
  </w:style>
  <w:style w:type="paragraph" w:customStyle="1" w:styleId="49">
    <w:name w:val="Default"/>
    <w:next w:val="16"/>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0">
    <w:name w:val="WPSOffice手动目录 1"/>
    <w:qFormat/>
    <w:uiPriority w:val="0"/>
    <w:rPr>
      <w:rFonts w:ascii="Times New Roman" w:hAnsi="Times New Roman" w:eastAsia="宋体" w:cs="Times New Roman"/>
      <w:lang w:val="en-US" w:eastAsia="zh-CN" w:bidi="ar-SA"/>
    </w:rPr>
  </w:style>
  <w:style w:type="paragraph" w:customStyle="1" w:styleId="5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53">
    <w:name w:val="Table Paragraph"/>
    <w:basedOn w:val="1"/>
    <w:qFormat/>
    <w:uiPriority w:val="1"/>
    <w:rPr>
      <w:rFonts w:ascii="宋体" w:hAnsi="宋体" w:eastAsia="宋体" w:cs="宋体"/>
      <w:lang w:val="zh-CN" w:eastAsia="zh-CN" w:bidi="zh-CN"/>
    </w:rPr>
  </w:style>
  <w:style w:type="character" w:customStyle="1" w:styleId="54">
    <w:name w:val="NormalCharacter"/>
    <w:semiHidden/>
    <w:qFormat/>
    <w:uiPriority w:val="0"/>
  </w:style>
  <w:style w:type="character" w:customStyle="1" w:styleId="55">
    <w:name w:val="页眉 字符"/>
    <w:basedOn w:val="34"/>
    <w:link w:val="19"/>
    <w:qFormat/>
    <w:uiPriority w:val="0"/>
    <w:rPr>
      <w:rFonts w:ascii="Arial" w:hAnsi="Arial" w:eastAsia="Arial" w:cs="Arial"/>
      <w:snapToGrid w:val="0"/>
      <w:color w:val="000000"/>
      <w:sz w:val="18"/>
      <w:szCs w:val="18"/>
      <w:lang w:eastAsia="en-US"/>
    </w:rPr>
  </w:style>
  <w:style w:type="character" w:customStyle="1" w:styleId="56">
    <w:name w:val="未处理的提及1"/>
    <w:basedOn w:val="34"/>
    <w:semiHidden/>
    <w:unhideWhenUsed/>
    <w:qFormat/>
    <w:uiPriority w:val="99"/>
    <w:rPr>
      <w:color w:val="605E5C"/>
      <w:shd w:val="clear" w:color="auto" w:fill="E1DFDD"/>
    </w:rPr>
  </w:style>
  <w:style w:type="character" w:customStyle="1" w:styleId="57">
    <w:name w:val="页脚 字符"/>
    <w:basedOn w:val="34"/>
    <w:link w:val="17"/>
    <w:qFormat/>
    <w:uiPriority w:val="99"/>
    <w:rPr>
      <w:rFonts w:ascii="Arial" w:hAnsi="Arial" w:eastAsia="Arial" w:cs="Arial"/>
      <w:snapToGrid w:val="0"/>
      <w:color w:val="000000"/>
      <w:sz w:val="18"/>
      <w:szCs w:val="21"/>
      <w:lang w:eastAsia="en-US"/>
    </w:rPr>
  </w:style>
  <w:style w:type="character" w:customStyle="1" w:styleId="58">
    <w:name w:val="批注文字 字符"/>
    <w:basedOn w:val="34"/>
    <w:link w:val="9"/>
    <w:qFormat/>
    <w:uiPriority w:val="0"/>
    <w:rPr>
      <w:rFonts w:ascii="Arial" w:hAnsi="Arial" w:eastAsia="Arial" w:cs="Arial"/>
      <w:snapToGrid w:val="0"/>
      <w:color w:val="000000"/>
      <w:sz w:val="21"/>
      <w:szCs w:val="21"/>
      <w:lang w:eastAsia="en-US"/>
    </w:rPr>
  </w:style>
  <w:style w:type="character" w:customStyle="1" w:styleId="59">
    <w:name w:val="批注主题 字符"/>
    <w:basedOn w:val="58"/>
    <w:link w:val="29"/>
    <w:qFormat/>
    <w:uiPriority w:val="0"/>
    <w:rPr>
      <w:rFonts w:ascii="Arial" w:hAnsi="Arial" w:eastAsia="Arial" w:cs="Arial"/>
      <w:b/>
      <w:bCs/>
      <w:snapToGrid w:val="0"/>
      <w:color w:val="000000"/>
      <w:sz w:val="21"/>
      <w:szCs w:val="21"/>
      <w:lang w:eastAsia="en-US"/>
    </w:rPr>
  </w:style>
  <w:style w:type="character" w:customStyle="1" w:styleId="60">
    <w:name w:val="标题 3 字符"/>
    <w:basedOn w:val="34"/>
    <w:link w:val="5"/>
    <w:qFormat/>
    <w:uiPriority w:val="0"/>
    <w:rPr>
      <w:rFonts w:ascii="Arial" w:hAnsi="Arial" w:eastAsia="宋体" w:cs="Arial"/>
      <w:b/>
      <w:bCs/>
      <w:snapToGrid w:val="0"/>
      <w:color w:val="000000"/>
      <w:sz w:val="28"/>
      <w:szCs w:val="32"/>
      <w:lang w:eastAsia="en-US"/>
    </w:rPr>
  </w:style>
  <w:style w:type="character" w:customStyle="1" w:styleId="61">
    <w:name w:val="标题 2 字符"/>
    <w:basedOn w:val="34"/>
    <w:link w:val="4"/>
    <w:uiPriority w:val="0"/>
    <w:rPr>
      <w:rFonts w:asciiTheme="majorHAnsi" w:hAnsiTheme="majorHAnsi" w:eastAsiaTheme="majorEastAsia" w:cstheme="majorBidi"/>
      <w:b/>
      <w:bCs/>
      <w:snapToGrid w:val="0"/>
      <w:color w:val="000000"/>
      <w:sz w:val="32"/>
      <w:szCs w:val="32"/>
      <w:lang w:eastAsia="en-US"/>
    </w:rPr>
  </w:style>
  <w:style w:type="character" w:customStyle="1" w:styleId="62">
    <w:name w:val="标题 4 字符"/>
    <w:basedOn w:val="34"/>
    <w:link w:val="6"/>
    <w:qFormat/>
    <w:uiPriority w:val="0"/>
    <w:rPr>
      <w:rFonts w:asciiTheme="majorHAnsi" w:hAnsiTheme="majorHAnsi" w:eastAsiaTheme="majorEastAsia" w:cstheme="majorBidi"/>
      <w:b/>
      <w:bCs/>
      <w:snapToGrid w:val="0"/>
      <w:color w:val="000000"/>
      <w:sz w:val="24"/>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84C54D-4340-450C-A759-45D110629BB2}">
  <ds:schemaRefs/>
</ds:datastoreItem>
</file>

<file path=docProps/app.xml><?xml version="1.0" encoding="utf-8"?>
<Properties xmlns="http://schemas.openxmlformats.org/officeDocument/2006/extended-properties" xmlns:vt="http://schemas.openxmlformats.org/officeDocument/2006/docPropsVTypes">
  <Template>Normal</Template>
  <Pages>79</Pages>
  <Words>21661</Words>
  <Characters>22961</Characters>
  <Lines>1530</Lines>
  <Paragraphs>1487</Paragraphs>
  <TotalTime>99</TotalTime>
  <ScaleCrop>false</ScaleCrop>
  <LinksUpToDate>false</LinksUpToDate>
  <CharactersWithSpaces>43135</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2023-12-22T23:34:00Z</dcterms:created>
  <dc:creator>Administrator</dc:creator>
  <cp:lastModifiedBy>Administrator</cp:lastModifiedBy>
  <dcterms:modified xsi:type="dcterms:W3CDTF">2025-07-02T07:01:38Z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2024-01-19T09:12:24Z</vt:filetime>
  </property>
  <property fmtid="{D5CDD505-2E9C-101B-9397-08002B2CF9AE}" pid="4" name="KSOProductBuildVer">
    <vt:lpwstr>2052-11.8.2.10154</vt:lpwstr>
  </property>
  <property fmtid="{D5CDD505-2E9C-101B-9397-08002B2CF9AE}" pid="5" name="ICV">
    <vt:lpwstr>91E38D16403DCB44A757AB65EDAD2382</vt:lpwstr>
  </property>
  <property fmtid="{D5CDD505-2E9C-101B-9397-08002B2CF9AE}" pid="6" name="KSOTemplateDocerSaveRecord">
    <vt:lpwstr>eyJoZGlkIjoiNGNlMDE4YWUzYzk3NzFjOTE0NGUxMjZkMDAxNDg2ZmQiLCJ1c2VySWQiOiI3Mjg5Mjg0NTgifQ==</vt:lpwstr>
  </property>
</Properties>
</file>