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59249">
      <w:pPr>
        <w:snapToGrid/>
        <w:spacing w:before="0" w:beforeAutospacing="0" w:after="0" w:afterAutospacing="0" w:line="240" w:lineRule="auto"/>
        <w:jc w:val="center"/>
        <w:textAlignment w:val="baseline"/>
        <w:rPr>
          <w:b w:val="0"/>
          <w:i w:val="0"/>
          <w:caps w:val="0"/>
          <w:spacing w:val="0"/>
          <w:w w:val="100"/>
          <w:sz w:val="52"/>
        </w:rPr>
      </w:pPr>
    </w:p>
    <w:p w14:paraId="2287C012">
      <w:pPr>
        <w:widowControl/>
        <w:spacing w:line="360" w:lineRule="auto"/>
        <w:jc w:val="center"/>
        <w:rPr>
          <w:rFonts w:hAnsi="宋体" w:cs="黑体"/>
          <w:b/>
          <w:bCs/>
          <w:kern w:val="30"/>
          <w:sz w:val="44"/>
          <w:szCs w:val="44"/>
          <w:highlight w:val="none"/>
        </w:rPr>
      </w:pPr>
      <w:r>
        <w:rPr>
          <w:rFonts w:hint="eastAsia" w:hAnsi="宋体" w:cs="黑体"/>
          <w:b/>
          <w:bCs/>
          <w:kern w:val="30"/>
          <w:sz w:val="44"/>
          <w:szCs w:val="44"/>
          <w:highlight w:val="none"/>
        </w:rPr>
        <w:t>吉林市船营区中小学生上放学校车接送服务项目</w:t>
      </w:r>
    </w:p>
    <w:p w14:paraId="5890BB50">
      <w:pPr>
        <w:widowControl/>
        <w:spacing w:line="360" w:lineRule="auto"/>
        <w:jc w:val="center"/>
        <w:rPr>
          <w:rFonts w:ascii="宋体" w:hAnsi="宋体"/>
          <w:b/>
          <w:bCs/>
          <w:sz w:val="32"/>
          <w:szCs w:val="6"/>
          <w:highlight w:val="none"/>
        </w:rPr>
      </w:pPr>
    </w:p>
    <w:p w14:paraId="0AAD9DD7">
      <w:pPr>
        <w:widowControl/>
        <w:spacing w:line="360" w:lineRule="auto"/>
        <w:jc w:val="center"/>
        <w:rPr>
          <w:rFonts w:hint="eastAsia" w:ascii="宋体" w:hAnsi="宋体"/>
          <w:b/>
          <w:bCs/>
          <w:sz w:val="92"/>
          <w:szCs w:val="20"/>
          <w:highlight w:val="none"/>
        </w:rPr>
      </w:pPr>
      <w:r>
        <w:rPr>
          <w:rFonts w:hint="eastAsia" w:ascii="宋体" w:hAnsi="宋体"/>
          <w:b/>
          <w:bCs/>
          <w:sz w:val="92"/>
          <w:szCs w:val="20"/>
          <w:highlight w:val="none"/>
        </w:rPr>
        <w:t xml:space="preserve"> 招</w:t>
      </w:r>
      <w:r>
        <w:rPr>
          <w:rFonts w:ascii="宋体" w:hAnsi="宋体"/>
          <w:b/>
          <w:bCs/>
          <w:sz w:val="92"/>
          <w:szCs w:val="20"/>
          <w:highlight w:val="none"/>
        </w:rPr>
        <w:t xml:space="preserve"> </w:t>
      </w:r>
      <w:r>
        <w:rPr>
          <w:rFonts w:hint="eastAsia" w:ascii="宋体" w:hAnsi="宋体"/>
          <w:b/>
          <w:bCs/>
          <w:sz w:val="92"/>
          <w:szCs w:val="20"/>
          <w:highlight w:val="none"/>
        </w:rPr>
        <w:t>标</w:t>
      </w:r>
      <w:r>
        <w:rPr>
          <w:rFonts w:ascii="宋体" w:hAnsi="宋体"/>
          <w:b/>
          <w:bCs/>
          <w:sz w:val="92"/>
          <w:szCs w:val="20"/>
          <w:highlight w:val="none"/>
        </w:rPr>
        <w:t xml:space="preserve"> </w:t>
      </w:r>
      <w:r>
        <w:rPr>
          <w:rFonts w:hint="eastAsia" w:ascii="宋体" w:hAnsi="宋体"/>
          <w:b/>
          <w:bCs/>
          <w:sz w:val="92"/>
          <w:szCs w:val="20"/>
          <w:highlight w:val="none"/>
        </w:rPr>
        <w:t>文 件</w:t>
      </w:r>
    </w:p>
    <w:p w14:paraId="792390AA">
      <w:pPr>
        <w:widowControl/>
        <w:spacing w:line="360" w:lineRule="auto"/>
        <w:jc w:val="center"/>
        <w:rPr>
          <w:rFonts w:hint="default" w:ascii="宋体" w:hAnsi="宋体"/>
          <w:b/>
          <w:bCs/>
          <w:sz w:val="36"/>
          <w:szCs w:val="16"/>
          <w:highlight w:val="none"/>
          <w:lang w:val="en-US"/>
        </w:rPr>
      </w:pPr>
      <w:r>
        <w:rPr>
          <w:rFonts w:hint="eastAsia" w:ascii="宋体" w:hAnsi="宋体"/>
          <w:b/>
          <w:bCs/>
          <w:sz w:val="36"/>
          <w:szCs w:val="16"/>
          <w:highlight w:val="none"/>
        </w:rPr>
        <w:t>项目编号：</w:t>
      </w:r>
      <w:r>
        <w:rPr>
          <w:rFonts w:hint="eastAsia" w:ascii="宋体" w:hAnsi="宋体"/>
          <w:b/>
          <w:bCs/>
          <w:sz w:val="36"/>
          <w:szCs w:val="16"/>
          <w:highlight w:val="none"/>
          <w:lang w:val="zh-CN"/>
        </w:rPr>
        <w:t>采购计划-[2025]-00048号</w:t>
      </w:r>
      <w:r>
        <w:rPr>
          <w:rFonts w:hint="eastAsia" w:ascii="宋体" w:hAnsi="宋体"/>
          <w:b/>
          <w:bCs/>
          <w:sz w:val="36"/>
          <w:szCs w:val="16"/>
          <w:highlight w:val="none"/>
          <w:lang w:val="zh-CN" w:eastAsia="zh-CN"/>
        </w:rPr>
        <w:t>-CG0029</w:t>
      </w:r>
    </w:p>
    <w:p w14:paraId="34C565EF">
      <w:pPr>
        <w:spacing w:line="360" w:lineRule="auto"/>
        <w:rPr>
          <w:rFonts w:ascii="宋体" w:hAnsi="宋体"/>
          <w:bCs/>
          <w:color w:val="000000"/>
          <w:sz w:val="28"/>
          <w:szCs w:val="28"/>
          <w:highlight w:val="none"/>
        </w:rPr>
      </w:pPr>
      <w:r>
        <w:rPr>
          <w:rFonts w:hint="eastAsia" w:ascii="宋体" w:hAnsi="宋体" w:eastAsia="宋体"/>
          <w:b/>
          <w:color w:val="auto"/>
          <w:sz w:val="30"/>
          <w:lang w:eastAsia="zh-CN"/>
        </w:rPr>
        <w:drawing>
          <wp:anchor distT="0" distB="0" distL="114300" distR="114300" simplePos="0" relativeHeight="251659264" behindDoc="0" locked="0" layoutInCell="1" allowOverlap="1">
            <wp:simplePos x="0" y="0"/>
            <wp:positionH relativeFrom="column">
              <wp:posOffset>2299335</wp:posOffset>
            </wp:positionH>
            <wp:positionV relativeFrom="paragraph">
              <wp:posOffset>160655</wp:posOffset>
            </wp:positionV>
            <wp:extent cx="1735455" cy="2210435"/>
            <wp:effectExtent l="0" t="0" r="17145" b="18415"/>
            <wp:wrapSquare wrapText="bothSides"/>
            <wp:docPr id="2" name="图片 2" descr="afe9d549a767fc79fb332701c958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fe9d549a767fc79fb332701c958391"/>
                    <pic:cNvPicPr>
                      <a:picLocks noChangeAspect="1"/>
                    </pic:cNvPicPr>
                  </pic:nvPicPr>
                  <pic:blipFill>
                    <a:blip r:embed="rId11"/>
                    <a:stretch>
                      <a:fillRect/>
                    </a:stretch>
                  </pic:blipFill>
                  <pic:spPr>
                    <a:xfrm>
                      <a:off x="0" y="0"/>
                      <a:ext cx="1735455" cy="2210435"/>
                    </a:xfrm>
                    <a:prstGeom prst="rect">
                      <a:avLst/>
                    </a:prstGeom>
                    <a:noFill/>
                    <a:ln>
                      <a:noFill/>
                    </a:ln>
                  </pic:spPr>
                </pic:pic>
              </a:graphicData>
            </a:graphic>
          </wp:anchor>
        </w:drawing>
      </w:r>
    </w:p>
    <w:p w14:paraId="025884F1">
      <w:pPr>
        <w:spacing w:line="360" w:lineRule="auto"/>
        <w:rPr>
          <w:rFonts w:hint="eastAsia" w:ascii="宋体" w:hAnsi="宋体"/>
          <w:bCs/>
          <w:color w:val="000000"/>
          <w:sz w:val="28"/>
          <w:szCs w:val="28"/>
          <w:highlight w:val="none"/>
        </w:rPr>
      </w:pPr>
    </w:p>
    <w:p w14:paraId="459CC784">
      <w:pPr>
        <w:spacing w:line="360" w:lineRule="auto"/>
        <w:rPr>
          <w:rFonts w:hint="eastAsia" w:ascii="宋体" w:hAnsi="宋体"/>
          <w:b/>
          <w:bCs/>
          <w:color w:val="000000"/>
          <w:sz w:val="28"/>
          <w:szCs w:val="28"/>
          <w:highlight w:val="none"/>
        </w:rPr>
      </w:pPr>
    </w:p>
    <w:p w14:paraId="6D8655E4">
      <w:pPr>
        <w:spacing w:line="360" w:lineRule="auto"/>
        <w:rPr>
          <w:rFonts w:hint="eastAsia" w:ascii="宋体" w:hAnsi="宋体"/>
          <w:b/>
          <w:bCs/>
          <w:color w:val="000000"/>
          <w:sz w:val="28"/>
          <w:szCs w:val="28"/>
          <w:highlight w:val="none"/>
        </w:rPr>
      </w:pPr>
    </w:p>
    <w:p w14:paraId="4FCAA41B">
      <w:pPr>
        <w:spacing w:line="360" w:lineRule="auto"/>
        <w:rPr>
          <w:rFonts w:hint="eastAsia" w:ascii="宋体" w:hAnsi="宋体"/>
          <w:b/>
          <w:bCs/>
          <w:color w:val="000000"/>
          <w:sz w:val="28"/>
          <w:szCs w:val="28"/>
          <w:highlight w:val="none"/>
        </w:rPr>
      </w:pPr>
    </w:p>
    <w:p w14:paraId="012EBE5D">
      <w:pPr>
        <w:spacing w:line="360" w:lineRule="auto"/>
        <w:rPr>
          <w:rFonts w:hint="eastAsia" w:ascii="宋体" w:hAnsi="宋体"/>
          <w:b/>
          <w:bCs/>
          <w:color w:val="000000"/>
          <w:sz w:val="28"/>
          <w:szCs w:val="28"/>
          <w:highlight w:val="none"/>
        </w:rPr>
      </w:pPr>
    </w:p>
    <w:p w14:paraId="70BCE0B1">
      <w:pPr>
        <w:spacing w:line="360" w:lineRule="auto"/>
        <w:rPr>
          <w:rFonts w:hint="eastAsia" w:ascii="宋体" w:hAnsi="宋体"/>
          <w:b/>
          <w:bCs/>
          <w:color w:val="000000"/>
          <w:sz w:val="28"/>
          <w:szCs w:val="28"/>
          <w:highlight w:val="none"/>
        </w:rPr>
      </w:pPr>
    </w:p>
    <w:p w14:paraId="3A6EE591">
      <w:pPr>
        <w:spacing w:line="360" w:lineRule="auto"/>
        <w:rPr>
          <w:rFonts w:hint="eastAsia" w:ascii="宋体" w:hAnsi="宋体"/>
          <w:b/>
          <w:bCs/>
          <w:color w:val="000000"/>
          <w:sz w:val="28"/>
          <w:szCs w:val="28"/>
          <w:highlight w:val="none"/>
        </w:rPr>
      </w:pPr>
    </w:p>
    <w:p w14:paraId="0C7DBF2C">
      <w:pPr>
        <w:spacing w:line="740" w:lineRule="exact"/>
        <w:ind w:firstLine="321" w:firstLineChars="100"/>
        <w:rPr>
          <w:rFonts w:hint="eastAsia" w:ascii="宋体" w:hAnsi="宋体"/>
          <w:b/>
          <w:bCs/>
          <w:color w:val="000000"/>
          <w:sz w:val="32"/>
          <w:szCs w:val="32"/>
          <w:highlight w:val="none"/>
        </w:rPr>
      </w:pPr>
    </w:p>
    <w:p w14:paraId="519C2252">
      <w:pPr>
        <w:spacing w:line="740" w:lineRule="exact"/>
        <w:ind w:firstLine="321" w:firstLineChars="100"/>
        <w:rPr>
          <w:rFonts w:hint="eastAsia" w:ascii="宋体" w:hAnsi="宋体"/>
          <w:b/>
          <w:bCs/>
          <w:color w:val="000000"/>
          <w:sz w:val="32"/>
          <w:szCs w:val="32"/>
          <w:highlight w:val="none"/>
        </w:rPr>
      </w:pPr>
    </w:p>
    <w:p w14:paraId="2F0F2227">
      <w:pPr>
        <w:spacing w:line="740" w:lineRule="exact"/>
        <w:ind w:firstLine="643" w:firstLineChars="200"/>
        <w:rPr>
          <w:rFonts w:ascii="宋体" w:hAnsi="宋体"/>
          <w:b/>
          <w:bCs/>
          <w:color w:val="000000"/>
          <w:sz w:val="32"/>
          <w:szCs w:val="32"/>
          <w:highlight w:val="none"/>
          <w:u w:val="single"/>
        </w:rPr>
      </w:pPr>
      <w:r>
        <w:rPr>
          <w:rFonts w:hint="eastAsia" w:ascii="宋体" w:hAnsi="宋体"/>
          <w:b/>
          <w:bCs/>
          <w:color w:val="000000"/>
          <w:sz w:val="32"/>
          <w:szCs w:val="32"/>
          <w:highlight w:val="none"/>
        </w:rPr>
        <w:t xml:space="preserve">采 </w:t>
      </w:r>
      <w:r>
        <w:rPr>
          <w:rFonts w:hint="eastAsia" w:ascii="宋体" w:hAnsi="宋体"/>
          <w:b/>
          <w:bCs/>
          <w:color w:val="000000"/>
          <w:sz w:val="32"/>
          <w:szCs w:val="32"/>
          <w:highlight w:val="none"/>
          <w:lang w:val="en-US" w:eastAsia="zh-CN"/>
        </w:rPr>
        <w:t xml:space="preserve"> </w:t>
      </w:r>
      <w:r>
        <w:rPr>
          <w:rFonts w:hint="eastAsia" w:ascii="宋体" w:hAnsi="宋体"/>
          <w:b/>
          <w:bCs/>
          <w:color w:val="000000"/>
          <w:sz w:val="32"/>
          <w:szCs w:val="32"/>
          <w:highlight w:val="none"/>
        </w:rPr>
        <w:t xml:space="preserve"> 购 </w:t>
      </w:r>
      <w:r>
        <w:rPr>
          <w:rFonts w:hint="eastAsia" w:ascii="宋体" w:hAnsi="宋体"/>
          <w:b/>
          <w:bCs/>
          <w:color w:val="000000"/>
          <w:sz w:val="32"/>
          <w:szCs w:val="32"/>
          <w:highlight w:val="none"/>
          <w:lang w:val="en-US" w:eastAsia="zh-CN"/>
        </w:rPr>
        <w:t xml:space="preserve"> </w:t>
      </w:r>
      <w:r>
        <w:rPr>
          <w:rFonts w:hint="eastAsia" w:ascii="宋体" w:hAnsi="宋体"/>
          <w:b/>
          <w:bCs/>
          <w:color w:val="000000"/>
          <w:sz w:val="32"/>
          <w:szCs w:val="32"/>
          <w:highlight w:val="none"/>
        </w:rPr>
        <w:t xml:space="preserve"> 人：</w:t>
      </w:r>
      <w:r>
        <w:rPr>
          <w:rFonts w:hint="eastAsia" w:ascii="宋体" w:hAnsi="宋体"/>
          <w:b/>
          <w:bCs/>
          <w:color w:val="000000"/>
          <w:sz w:val="32"/>
          <w:szCs w:val="32"/>
          <w:highlight w:val="none"/>
          <w:u w:val="single"/>
          <w:lang w:val="en-US" w:eastAsia="zh-CN"/>
        </w:rPr>
        <w:t>吉林市船营区中小学校后勤管理中心</w:t>
      </w:r>
    </w:p>
    <w:p w14:paraId="1604DE70">
      <w:pPr>
        <w:spacing w:line="260" w:lineRule="exact"/>
        <w:ind w:firstLine="40" w:firstLineChars="200"/>
        <w:rPr>
          <w:rFonts w:hint="eastAsia" w:ascii="宋体" w:hAnsi="宋体"/>
          <w:b/>
          <w:bCs/>
          <w:color w:val="000000"/>
          <w:sz w:val="2"/>
          <w:szCs w:val="32"/>
          <w:highlight w:val="none"/>
          <w:u w:val="single"/>
        </w:rPr>
      </w:pPr>
    </w:p>
    <w:p w14:paraId="68623F56">
      <w:pPr>
        <w:spacing w:line="740" w:lineRule="exact"/>
        <w:ind w:firstLine="643" w:firstLineChars="200"/>
        <w:rPr>
          <w:rFonts w:hint="eastAsia" w:ascii="宋体" w:hAnsi="宋体"/>
          <w:b/>
          <w:bCs/>
          <w:color w:val="000000"/>
          <w:sz w:val="32"/>
          <w:szCs w:val="32"/>
          <w:highlight w:val="none"/>
          <w:u w:val="single"/>
        </w:rPr>
      </w:pPr>
      <w:r>
        <w:rPr>
          <w:rFonts w:hint="eastAsia" w:ascii="宋体" w:hAnsi="宋体"/>
          <w:b/>
          <w:bCs/>
          <w:color w:val="000000"/>
          <w:sz w:val="32"/>
          <w:szCs w:val="32"/>
          <w:highlight w:val="none"/>
        </w:rPr>
        <w:t>采购代理机构：</w:t>
      </w:r>
      <w:r>
        <w:rPr>
          <w:rFonts w:hint="eastAsia" w:ascii="宋体" w:hAnsi="宋体"/>
          <w:b/>
          <w:bCs/>
          <w:color w:val="000000"/>
          <w:sz w:val="32"/>
          <w:szCs w:val="32"/>
          <w:highlight w:val="none"/>
          <w:u w:val="single"/>
          <w:lang w:eastAsia="zh-CN"/>
        </w:rPr>
        <w:t>吉林</w:t>
      </w:r>
      <w:r>
        <w:rPr>
          <w:rFonts w:hint="eastAsia" w:ascii="宋体" w:hAnsi="宋体"/>
          <w:b/>
          <w:bCs/>
          <w:color w:val="000000"/>
          <w:sz w:val="32"/>
          <w:szCs w:val="32"/>
          <w:highlight w:val="none"/>
          <w:u w:val="single"/>
          <w:lang w:val="en-US" w:eastAsia="zh-CN"/>
        </w:rPr>
        <w:t>中利项目</w:t>
      </w:r>
      <w:r>
        <w:rPr>
          <w:rFonts w:hint="eastAsia" w:ascii="宋体" w:hAnsi="宋体"/>
          <w:b/>
          <w:bCs/>
          <w:color w:val="000000"/>
          <w:sz w:val="32"/>
          <w:szCs w:val="32"/>
          <w:highlight w:val="none"/>
          <w:u w:val="single"/>
          <w:lang w:eastAsia="zh-CN"/>
        </w:rPr>
        <w:t>管理有限公司</w:t>
      </w:r>
      <w:r>
        <w:rPr>
          <w:rFonts w:hint="eastAsia" w:ascii="宋体" w:hAnsi="宋体"/>
          <w:b/>
          <w:bCs/>
          <w:color w:val="000000"/>
          <w:sz w:val="32"/>
          <w:szCs w:val="32"/>
          <w:highlight w:val="none"/>
          <w:u w:val="single"/>
          <w:lang w:val="en-US" w:eastAsia="zh-CN"/>
        </w:rPr>
        <w:t xml:space="preserve"> </w:t>
      </w:r>
      <w:r>
        <w:rPr>
          <w:rFonts w:hint="eastAsia" w:ascii="宋体" w:hAnsi="宋体"/>
          <w:b/>
          <w:bCs/>
          <w:color w:val="000000"/>
          <w:sz w:val="32"/>
          <w:szCs w:val="32"/>
          <w:highlight w:val="none"/>
          <w:u w:val="single"/>
        </w:rPr>
        <w:t xml:space="preserve"> </w:t>
      </w:r>
    </w:p>
    <w:p w14:paraId="3697BE72">
      <w:pPr>
        <w:autoSpaceDE w:val="0"/>
        <w:autoSpaceDN w:val="0"/>
        <w:adjustRightInd w:val="0"/>
        <w:spacing w:line="360" w:lineRule="auto"/>
        <w:jc w:val="center"/>
        <w:rPr>
          <w:rFonts w:ascii="宋体" w:hAnsi="宋体"/>
          <w:b/>
          <w:bCs/>
          <w:color w:val="000000"/>
          <w:sz w:val="32"/>
          <w:szCs w:val="32"/>
          <w:highlight w:val="none"/>
        </w:rPr>
      </w:pPr>
    </w:p>
    <w:p w14:paraId="1722F72A">
      <w:pPr>
        <w:jc w:val="center"/>
        <w:rPr>
          <w:rFonts w:hint="eastAsia" w:ascii="宋体" w:hAnsi="宋体" w:eastAsia="宋体" w:cs="宋体"/>
          <w:b/>
          <w:bCs/>
          <w:color w:val="auto"/>
          <w:highlight w:val="none"/>
        </w:rPr>
      </w:pPr>
      <w:r>
        <w:rPr>
          <w:rFonts w:hint="eastAsia" w:ascii="宋体" w:hAnsi="宋体"/>
          <w:b/>
          <w:bCs/>
          <w:color w:val="000000"/>
          <w:sz w:val="32"/>
          <w:szCs w:val="32"/>
          <w:highlight w:val="none"/>
        </w:rPr>
        <w:t>二</w:t>
      </w:r>
      <w:r>
        <w:rPr>
          <w:rFonts w:hint="eastAsia" w:ascii="宋体" w:hAnsi="宋体"/>
          <w:b/>
          <w:bCs/>
          <w:sz w:val="32"/>
          <w:szCs w:val="32"/>
          <w:highlight w:val="none"/>
        </w:rPr>
        <w:t>〇</w:t>
      </w:r>
      <w:r>
        <w:rPr>
          <w:rFonts w:hint="eastAsia" w:ascii="宋体" w:hAnsi="宋体"/>
          <w:b/>
          <w:bCs/>
          <w:color w:val="000000"/>
          <w:sz w:val="32"/>
          <w:szCs w:val="32"/>
          <w:highlight w:val="none"/>
        </w:rPr>
        <w:t>二</w:t>
      </w:r>
      <w:r>
        <w:rPr>
          <w:rFonts w:hint="eastAsia" w:ascii="宋体" w:hAnsi="宋体"/>
          <w:b/>
          <w:bCs/>
          <w:color w:val="000000"/>
          <w:sz w:val="32"/>
          <w:szCs w:val="32"/>
          <w:highlight w:val="none"/>
          <w:lang w:val="en-US" w:eastAsia="zh-CN"/>
        </w:rPr>
        <w:t>五</w:t>
      </w:r>
      <w:r>
        <w:rPr>
          <w:rFonts w:hint="eastAsia" w:ascii="宋体" w:hAnsi="宋体"/>
          <w:b/>
          <w:bCs/>
          <w:color w:val="000000"/>
          <w:sz w:val="32"/>
          <w:szCs w:val="32"/>
          <w:highlight w:val="none"/>
        </w:rPr>
        <w:t>年</w:t>
      </w:r>
      <w:r>
        <w:rPr>
          <w:rFonts w:hint="eastAsia" w:ascii="宋体" w:hAnsi="宋体"/>
          <w:b/>
          <w:bCs/>
          <w:color w:val="000000"/>
          <w:sz w:val="32"/>
          <w:szCs w:val="32"/>
          <w:highlight w:val="none"/>
          <w:lang w:val="en-US" w:eastAsia="zh-CN"/>
        </w:rPr>
        <w:t>六</w:t>
      </w:r>
      <w:r>
        <w:rPr>
          <w:rFonts w:hint="eastAsia" w:ascii="宋体" w:hAnsi="宋体"/>
          <w:b/>
          <w:bCs/>
          <w:color w:val="000000"/>
          <w:sz w:val="32"/>
          <w:szCs w:val="32"/>
          <w:highlight w:val="none"/>
        </w:rPr>
        <w:t>月</w:t>
      </w:r>
    </w:p>
    <w:p w14:paraId="5807A39E">
      <w:pPr>
        <w:jc w:val="center"/>
        <w:rPr>
          <w:rFonts w:hint="eastAsia" w:ascii="宋体" w:hAnsi="宋体" w:eastAsia="宋体" w:cs="宋体"/>
          <w:bCs/>
          <w:color w:val="auto"/>
          <w:highlight w:val="none"/>
        </w:rPr>
        <w:sectPr>
          <w:footerReference r:id="rId6" w:type="first"/>
          <w:headerReference r:id="rId3" w:type="default"/>
          <w:headerReference r:id="rId4" w:type="even"/>
          <w:footerReference r:id="rId5" w:type="even"/>
          <w:pgSz w:w="11907" w:h="16840"/>
          <w:pgMar w:top="1418" w:right="1134" w:bottom="1134" w:left="1080" w:header="680" w:footer="907" w:gutter="0"/>
          <w:pgNumType w:fmt="numberInDash" w:start="1"/>
          <w:cols w:space="720" w:num="1"/>
          <w:docGrid w:linePitch="271" w:charSpace="0"/>
        </w:sectPr>
      </w:pPr>
    </w:p>
    <w:p w14:paraId="6FB61944">
      <w:pPr>
        <w:snapToGrid/>
        <w:spacing w:before="0" w:beforeAutospacing="0" w:after="0" w:afterAutospacing="0" w:line="240" w:lineRule="auto"/>
        <w:jc w:val="both"/>
        <w:textAlignment w:val="baseline"/>
        <w:rPr>
          <w:b w:val="0"/>
          <w:i w:val="0"/>
          <w:caps w:val="0"/>
          <w:spacing w:val="0"/>
          <w:w w:val="100"/>
          <w:sz w:val="36"/>
        </w:rPr>
      </w:pPr>
      <w:r>
        <w:rPr>
          <w:rFonts w:hint="eastAsia"/>
          <w:b w:val="0"/>
          <w:i w:val="0"/>
          <w:caps w:val="0"/>
          <w:spacing w:val="0"/>
          <w:w w:val="100"/>
          <w:sz w:val="36"/>
        </w:rPr>
        <w:t xml:space="preserve">                      </w:t>
      </w:r>
    </w:p>
    <w:p w14:paraId="19C8A360">
      <w:pPr>
        <w:snapToGrid/>
        <w:spacing w:before="0" w:beforeAutospacing="0" w:after="0" w:afterAutospacing="0" w:line="240" w:lineRule="auto"/>
        <w:jc w:val="both"/>
        <w:textAlignment w:val="baseline"/>
        <w:rPr>
          <w:b w:val="0"/>
          <w:i w:val="0"/>
          <w:caps w:val="0"/>
          <w:spacing w:val="0"/>
          <w:w w:val="100"/>
          <w:sz w:val="36"/>
        </w:rPr>
      </w:pPr>
    </w:p>
    <w:sdt>
      <w:sdtPr>
        <w:rPr>
          <w:rFonts w:ascii="宋体" w:hAnsi="宋体" w:eastAsia="宋体" w:cstheme="minorBidi"/>
          <w:kern w:val="2"/>
          <w:sz w:val="21"/>
          <w:szCs w:val="22"/>
          <w:lang w:val="en-US" w:eastAsia="zh-CN" w:bidi="ar-SA"/>
        </w:rPr>
        <w:id w:val="147477853"/>
        <w15:color w:val="DBDBDB"/>
        <w:docPartObj>
          <w:docPartGallery w:val="Table of Contents"/>
          <w:docPartUnique/>
        </w:docPartObj>
      </w:sdtPr>
      <w:sdtEndPr>
        <w:rPr>
          <w:rFonts w:ascii="Times New Roman" w:hAnsi="Times New Roman" w:eastAsia="宋体" w:cs="Times New Roman"/>
          <w:b/>
          <w:kern w:val="2"/>
          <w:sz w:val="30"/>
          <w:szCs w:val="20"/>
          <w:lang w:val="en-US" w:eastAsia="zh-CN" w:bidi="ar-SA"/>
        </w:rPr>
      </w:sdtEndPr>
      <w:sdtContent>
        <w:p w14:paraId="4D24765D">
          <w:pPr>
            <w:spacing w:before="0" w:beforeLines="0" w:after="0" w:afterLines="0" w:line="480" w:lineRule="auto"/>
            <w:ind w:left="0" w:leftChars="0" w:right="0" w:rightChars="0" w:firstLine="0" w:firstLineChars="0"/>
            <w:jc w:val="center"/>
            <w:rPr>
              <w:rFonts w:eastAsia="宋体"/>
              <w:b w:val="0"/>
              <w:kern w:val="11"/>
              <w:sz w:val="30"/>
            </w:rPr>
          </w:pPr>
          <w:r>
            <w:rPr>
              <w:rFonts w:ascii="宋体" w:hAnsi="宋体" w:eastAsia="宋体"/>
              <w:b w:val="0"/>
              <w:kern w:val="11"/>
              <w:sz w:val="30"/>
            </w:rPr>
            <w:t>目</w:t>
          </w:r>
          <w:r>
            <w:rPr>
              <w:rFonts w:hint="eastAsia" w:ascii="宋体" w:hAnsi="宋体" w:eastAsia="宋体"/>
              <w:b w:val="0"/>
              <w:kern w:val="11"/>
              <w:sz w:val="30"/>
              <w:lang w:val="en-US" w:eastAsia="zh-CN"/>
            </w:rPr>
            <w:t xml:space="preserve"> </w:t>
          </w:r>
          <w:r>
            <w:rPr>
              <w:rFonts w:ascii="宋体" w:hAnsi="宋体" w:eastAsia="宋体"/>
              <w:b w:val="0"/>
              <w:kern w:val="11"/>
              <w:sz w:val="30"/>
            </w:rPr>
            <w:t>录</w:t>
          </w:r>
        </w:p>
        <w:p w14:paraId="6BE7B6AF">
          <w:pPr>
            <w:pStyle w:val="12"/>
            <w:tabs>
              <w:tab w:val="right" w:leader="dot" w:pos="8307"/>
            </w:tabs>
            <w:spacing w:line="360" w:lineRule="auto"/>
            <w:rPr>
              <w:rFonts w:hint="eastAsia" w:ascii="宋体" w:hAnsi="宋体" w:eastAsia="宋体" w:cs="宋体"/>
              <w:sz w:val="24"/>
              <w:szCs w:val="24"/>
            </w:rPr>
          </w:pPr>
          <w:r>
            <w:rPr>
              <w:rFonts w:hint="eastAsia" w:ascii="宋体" w:hAnsi="宋体" w:eastAsia="宋体" w:cs="宋体"/>
              <w:b w:val="0"/>
              <w:kern w:val="11"/>
              <w:sz w:val="24"/>
              <w:szCs w:val="24"/>
            </w:rPr>
            <w:fldChar w:fldCharType="begin"/>
          </w:r>
          <w:r>
            <w:rPr>
              <w:rFonts w:hint="eastAsia" w:ascii="宋体" w:hAnsi="宋体" w:eastAsia="宋体" w:cs="宋体"/>
              <w:b w:val="0"/>
              <w:kern w:val="11"/>
              <w:sz w:val="24"/>
              <w:szCs w:val="24"/>
            </w:rPr>
            <w:instrText xml:space="preserve">TOC \o "1-1" \h \u </w:instrText>
          </w:r>
          <w:r>
            <w:rPr>
              <w:rFonts w:hint="eastAsia" w:ascii="宋体" w:hAnsi="宋体" w:eastAsia="宋体" w:cs="宋体"/>
              <w:b w:val="0"/>
              <w:kern w:val="11"/>
              <w:sz w:val="24"/>
              <w:szCs w:val="24"/>
            </w:rPr>
            <w:fldChar w:fldCharType="separate"/>
          </w:r>
          <w:r>
            <w:rPr>
              <w:rFonts w:hint="eastAsia" w:ascii="宋体" w:hAnsi="宋体" w:eastAsia="宋体" w:cs="宋体"/>
              <w:kern w:val="11"/>
              <w:sz w:val="24"/>
              <w:szCs w:val="24"/>
            </w:rPr>
            <w:fldChar w:fldCharType="begin"/>
          </w:r>
          <w:r>
            <w:rPr>
              <w:rFonts w:hint="eastAsia" w:ascii="宋体" w:hAnsi="宋体" w:eastAsia="宋体" w:cs="宋体"/>
              <w:kern w:val="11"/>
              <w:sz w:val="24"/>
              <w:szCs w:val="24"/>
            </w:rPr>
            <w:instrText xml:space="preserve"> HYPERLINK \l _Toc5356 </w:instrText>
          </w:r>
          <w:r>
            <w:rPr>
              <w:rFonts w:hint="eastAsia" w:ascii="宋体" w:hAnsi="宋体" w:eastAsia="宋体" w:cs="宋体"/>
              <w:kern w:val="11"/>
              <w:sz w:val="24"/>
              <w:szCs w:val="24"/>
            </w:rPr>
            <w:fldChar w:fldCharType="separate"/>
          </w:r>
          <w:r>
            <w:rPr>
              <w:rFonts w:hint="eastAsia" w:ascii="宋体" w:hAnsi="宋体" w:eastAsia="宋体" w:cs="宋体"/>
              <w:sz w:val="24"/>
              <w:szCs w:val="24"/>
              <w:lang w:val="en-US" w:eastAsia="zh-CN"/>
            </w:rPr>
            <w:t>第一章 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_Toc5356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kern w:val="11"/>
              <w:sz w:val="24"/>
              <w:szCs w:val="24"/>
            </w:rPr>
            <w:fldChar w:fldCharType="end"/>
          </w:r>
        </w:p>
        <w:p w14:paraId="61DE7D07">
          <w:pPr>
            <w:pStyle w:val="12"/>
            <w:tabs>
              <w:tab w:val="right" w:leader="dot" w:pos="8307"/>
            </w:tabs>
            <w:spacing w:line="360" w:lineRule="auto"/>
            <w:rPr>
              <w:rFonts w:hint="eastAsia" w:ascii="宋体" w:hAnsi="宋体" w:eastAsia="宋体" w:cs="宋体"/>
              <w:sz w:val="24"/>
              <w:szCs w:val="24"/>
            </w:rPr>
          </w:pPr>
          <w:r>
            <w:rPr>
              <w:rFonts w:hint="eastAsia" w:ascii="宋体" w:hAnsi="宋体" w:eastAsia="宋体" w:cs="宋体"/>
              <w:kern w:val="11"/>
              <w:sz w:val="24"/>
              <w:szCs w:val="24"/>
            </w:rPr>
            <w:fldChar w:fldCharType="begin"/>
          </w:r>
          <w:r>
            <w:rPr>
              <w:rFonts w:hint="eastAsia" w:ascii="宋体" w:hAnsi="宋体" w:eastAsia="宋体" w:cs="宋体"/>
              <w:kern w:val="11"/>
              <w:sz w:val="24"/>
              <w:szCs w:val="24"/>
            </w:rPr>
            <w:instrText xml:space="preserve"> HYPERLINK \l _Toc13478 </w:instrText>
          </w:r>
          <w:r>
            <w:rPr>
              <w:rFonts w:hint="eastAsia" w:ascii="宋体" w:hAnsi="宋体" w:eastAsia="宋体" w:cs="宋体"/>
              <w:kern w:val="11"/>
              <w:sz w:val="24"/>
              <w:szCs w:val="24"/>
            </w:rPr>
            <w:fldChar w:fldCharType="separate"/>
          </w:r>
          <w:r>
            <w:rPr>
              <w:rFonts w:hint="eastAsia" w:ascii="宋体" w:hAnsi="宋体" w:eastAsia="宋体" w:cs="宋体"/>
              <w:sz w:val="24"/>
              <w:szCs w:val="24"/>
              <w:highlight w:val="none"/>
            </w:rPr>
            <w:t>第二章 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_Toc13478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kern w:val="11"/>
              <w:sz w:val="24"/>
              <w:szCs w:val="24"/>
            </w:rPr>
            <w:fldChar w:fldCharType="end"/>
          </w:r>
        </w:p>
        <w:p w14:paraId="790B12EB">
          <w:pPr>
            <w:pStyle w:val="12"/>
            <w:tabs>
              <w:tab w:val="right" w:leader="dot" w:pos="8307"/>
            </w:tabs>
            <w:spacing w:line="360" w:lineRule="auto"/>
            <w:rPr>
              <w:rFonts w:hint="eastAsia" w:ascii="宋体" w:hAnsi="宋体" w:eastAsia="宋体" w:cs="宋体"/>
              <w:sz w:val="24"/>
              <w:szCs w:val="24"/>
            </w:rPr>
          </w:pPr>
          <w:r>
            <w:rPr>
              <w:rFonts w:hint="eastAsia" w:ascii="宋体" w:hAnsi="宋体" w:eastAsia="宋体" w:cs="宋体"/>
              <w:kern w:val="11"/>
              <w:sz w:val="24"/>
              <w:szCs w:val="24"/>
            </w:rPr>
            <w:fldChar w:fldCharType="begin"/>
          </w:r>
          <w:r>
            <w:rPr>
              <w:rFonts w:hint="eastAsia" w:ascii="宋体" w:hAnsi="宋体" w:eastAsia="宋体" w:cs="宋体"/>
              <w:kern w:val="11"/>
              <w:sz w:val="24"/>
              <w:szCs w:val="24"/>
            </w:rPr>
            <w:instrText xml:space="preserve"> HYPERLINK \l _Toc8739 </w:instrText>
          </w:r>
          <w:r>
            <w:rPr>
              <w:rFonts w:hint="eastAsia" w:ascii="宋体" w:hAnsi="宋体" w:eastAsia="宋体" w:cs="宋体"/>
              <w:kern w:val="11"/>
              <w:sz w:val="24"/>
              <w:szCs w:val="24"/>
            </w:rPr>
            <w:fldChar w:fldCharType="separate"/>
          </w:r>
          <w:r>
            <w:rPr>
              <w:rFonts w:hint="eastAsia" w:ascii="宋体" w:hAnsi="宋体" w:eastAsia="宋体" w:cs="宋体"/>
              <w:bCs/>
              <w:sz w:val="24"/>
              <w:szCs w:val="24"/>
              <w:highlight w:val="none"/>
              <w:lang w:val="zh-CN"/>
            </w:rPr>
            <w:t>第</w:t>
          </w:r>
          <w:r>
            <w:rPr>
              <w:rFonts w:hint="eastAsia" w:ascii="宋体" w:hAnsi="宋体" w:eastAsia="宋体" w:cs="宋体"/>
              <w:bCs/>
              <w:sz w:val="24"/>
              <w:szCs w:val="24"/>
              <w:highlight w:val="none"/>
              <w:lang w:val="en-US" w:eastAsia="zh-CN"/>
            </w:rPr>
            <w:t>三</w:t>
          </w:r>
          <w:r>
            <w:rPr>
              <w:rFonts w:hint="eastAsia" w:ascii="宋体" w:hAnsi="宋体" w:eastAsia="宋体" w:cs="宋体"/>
              <w:bCs/>
              <w:sz w:val="24"/>
              <w:szCs w:val="24"/>
              <w:highlight w:val="none"/>
              <w:lang w:val="zh-CN"/>
            </w:rPr>
            <w:t>章</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val="zh-CN"/>
            </w:rPr>
            <w:t>评标办法（综合评分法）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_Toc8739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kern w:val="11"/>
              <w:sz w:val="24"/>
              <w:szCs w:val="24"/>
            </w:rPr>
            <w:fldChar w:fldCharType="end"/>
          </w:r>
        </w:p>
        <w:p w14:paraId="500AD74F">
          <w:pPr>
            <w:pStyle w:val="12"/>
            <w:tabs>
              <w:tab w:val="right" w:leader="dot" w:pos="8307"/>
            </w:tabs>
            <w:spacing w:line="360" w:lineRule="auto"/>
            <w:rPr>
              <w:rFonts w:hint="eastAsia" w:ascii="宋体" w:hAnsi="宋体" w:eastAsia="宋体" w:cs="宋体"/>
              <w:sz w:val="24"/>
              <w:szCs w:val="24"/>
            </w:rPr>
          </w:pPr>
          <w:r>
            <w:rPr>
              <w:rFonts w:hint="eastAsia" w:ascii="宋体" w:hAnsi="宋体" w:eastAsia="宋体" w:cs="宋体"/>
              <w:kern w:val="11"/>
              <w:sz w:val="24"/>
              <w:szCs w:val="24"/>
            </w:rPr>
            <w:fldChar w:fldCharType="begin"/>
          </w:r>
          <w:r>
            <w:rPr>
              <w:rFonts w:hint="eastAsia" w:ascii="宋体" w:hAnsi="宋体" w:eastAsia="宋体" w:cs="宋体"/>
              <w:kern w:val="11"/>
              <w:sz w:val="24"/>
              <w:szCs w:val="24"/>
            </w:rPr>
            <w:instrText xml:space="preserve"> HYPERLINK \l _Toc12445 </w:instrText>
          </w:r>
          <w:r>
            <w:rPr>
              <w:rFonts w:hint="eastAsia" w:ascii="宋体" w:hAnsi="宋体" w:eastAsia="宋体" w:cs="宋体"/>
              <w:kern w:val="11"/>
              <w:sz w:val="24"/>
              <w:szCs w:val="24"/>
            </w:rPr>
            <w:fldChar w:fldCharType="separate"/>
          </w:r>
          <w:r>
            <w:rPr>
              <w:rFonts w:hint="eastAsia" w:ascii="宋体" w:hAnsi="宋体" w:eastAsia="宋体" w:cs="宋体"/>
              <w:sz w:val="24"/>
              <w:szCs w:val="24"/>
              <w:lang w:val="en-US" w:eastAsia="zh-CN"/>
            </w:rPr>
            <w:t>第四章</w:t>
          </w:r>
          <w:r>
            <w:rPr>
              <w:rFonts w:hint="eastAsia" w:ascii="宋体" w:hAnsi="宋体" w:eastAsia="宋体" w:cs="宋体"/>
              <w:sz w:val="24"/>
              <w:szCs w:val="24"/>
            </w:rPr>
            <w:t xml:space="preserve">  合同书范本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_Toc12445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kern w:val="11"/>
              <w:sz w:val="24"/>
              <w:szCs w:val="24"/>
            </w:rPr>
            <w:fldChar w:fldCharType="end"/>
          </w:r>
        </w:p>
        <w:p w14:paraId="176BB830">
          <w:pPr>
            <w:pStyle w:val="12"/>
            <w:tabs>
              <w:tab w:val="right" w:leader="dot" w:pos="8307"/>
            </w:tabs>
            <w:spacing w:line="360" w:lineRule="auto"/>
            <w:rPr>
              <w:rFonts w:hint="eastAsia" w:ascii="宋体" w:hAnsi="宋体" w:eastAsia="宋体" w:cs="宋体"/>
              <w:sz w:val="24"/>
              <w:szCs w:val="24"/>
            </w:rPr>
          </w:pPr>
          <w:r>
            <w:rPr>
              <w:rFonts w:hint="eastAsia" w:ascii="宋体" w:hAnsi="宋体" w:eastAsia="宋体" w:cs="宋体"/>
              <w:kern w:val="11"/>
              <w:sz w:val="24"/>
              <w:szCs w:val="24"/>
            </w:rPr>
            <w:fldChar w:fldCharType="begin"/>
          </w:r>
          <w:r>
            <w:rPr>
              <w:rFonts w:hint="eastAsia" w:ascii="宋体" w:hAnsi="宋体" w:eastAsia="宋体" w:cs="宋体"/>
              <w:kern w:val="11"/>
              <w:sz w:val="24"/>
              <w:szCs w:val="24"/>
            </w:rPr>
            <w:instrText xml:space="preserve"> HYPERLINK \l _Toc2447 </w:instrText>
          </w:r>
          <w:r>
            <w:rPr>
              <w:rFonts w:hint="eastAsia" w:ascii="宋体" w:hAnsi="宋体" w:eastAsia="宋体" w:cs="宋体"/>
              <w:kern w:val="11"/>
              <w:sz w:val="24"/>
              <w:szCs w:val="24"/>
            </w:rPr>
            <w:fldChar w:fldCharType="separate"/>
          </w:r>
          <w:r>
            <w:rPr>
              <w:rFonts w:hint="eastAsia" w:ascii="宋体" w:hAnsi="宋体" w:eastAsia="宋体" w:cs="宋体"/>
              <w:sz w:val="24"/>
              <w:szCs w:val="24"/>
            </w:rPr>
            <w:t>第</w:t>
          </w:r>
          <w:r>
            <w:rPr>
              <w:rFonts w:hint="eastAsia" w:ascii="宋体" w:hAnsi="宋体" w:eastAsia="宋体" w:cs="宋体"/>
              <w:sz w:val="24"/>
              <w:szCs w:val="24"/>
              <w:lang w:val="en-US" w:eastAsia="zh-CN"/>
            </w:rPr>
            <w:t>五</w:t>
          </w:r>
          <w:r>
            <w:rPr>
              <w:rFonts w:hint="eastAsia" w:ascii="宋体" w:hAnsi="宋体" w:eastAsia="宋体" w:cs="宋体"/>
              <w:sz w:val="24"/>
              <w:szCs w:val="24"/>
            </w:rPr>
            <w:t>章  服务需求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_Toc2447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kern w:val="11"/>
              <w:sz w:val="24"/>
              <w:szCs w:val="24"/>
            </w:rPr>
            <w:fldChar w:fldCharType="end"/>
          </w:r>
        </w:p>
        <w:p w14:paraId="3A2C6727">
          <w:pPr>
            <w:pStyle w:val="12"/>
            <w:tabs>
              <w:tab w:val="right" w:leader="dot" w:pos="8307"/>
            </w:tabs>
            <w:spacing w:line="360" w:lineRule="auto"/>
            <w:rPr>
              <w:rFonts w:hint="eastAsia" w:ascii="宋体" w:hAnsi="宋体" w:eastAsia="宋体" w:cs="宋体"/>
              <w:sz w:val="24"/>
              <w:szCs w:val="24"/>
            </w:rPr>
          </w:pPr>
          <w:r>
            <w:rPr>
              <w:rFonts w:hint="eastAsia" w:ascii="宋体" w:hAnsi="宋体" w:eastAsia="宋体" w:cs="宋体"/>
              <w:kern w:val="11"/>
              <w:sz w:val="24"/>
              <w:szCs w:val="24"/>
            </w:rPr>
            <w:fldChar w:fldCharType="begin"/>
          </w:r>
          <w:r>
            <w:rPr>
              <w:rFonts w:hint="eastAsia" w:ascii="宋体" w:hAnsi="宋体" w:eastAsia="宋体" w:cs="宋体"/>
              <w:kern w:val="11"/>
              <w:sz w:val="24"/>
              <w:szCs w:val="24"/>
            </w:rPr>
            <w:instrText xml:space="preserve"> HYPERLINK \l _Toc5645 </w:instrText>
          </w:r>
          <w:r>
            <w:rPr>
              <w:rFonts w:hint="eastAsia" w:ascii="宋体" w:hAnsi="宋体" w:eastAsia="宋体" w:cs="宋体"/>
              <w:kern w:val="11"/>
              <w:sz w:val="24"/>
              <w:szCs w:val="24"/>
            </w:rPr>
            <w:fldChar w:fldCharType="separate"/>
          </w:r>
          <w:r>
            <w:rPr>
              <w:rFonts w:hint="eastAsia" w:ascii="宋体" w:hAnsi="宋体" w:eastAsia="宋体" w:cs="宋体"/>
              <w:sz w:val="24"/>
              <w:szCs w:val="24"/>
            </w:rPr>
            <w:t>第</w:t>
          </w:r>
          <w:r>
            <w:rPr>
              <w:rFonts w:hint="eastAsia" w:ascii="宋体" w:hAnsi="宋体" w:eastAsia="宋体" w:cs="宋体"/>
              <w:sz w:val="24"/>
              <w:szCs w:val="24"/>
              <w:lang w:val="en-US" w:eastAsia="zh-CN"/>
            </w:rPr>
            <w:t>六</w:t>
          </w:r>
          <w:r>
            <w:rPr>
              <w:rFonts w:hint="eastAsia" w:ascii="宋体" w:hAnsi="宋体" w:eastAsia="宋体" w:cs="宋体"/>
              <w:sz w:val="24"/>
              <w:szCs w:val="24"/>
            </w:rPr>
            <w:t>章 投标文件构成、要求及格式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_Toc5645 \h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kern w:val="11"/>
              <w:sz w:val="24"/>
              <w:szCs w:val="24"/>
            </w:rPr>
            <w:fldChar w:fldCharType="end"/>
          </w:r>
        </w:p>
        <w:p w14:paraId="0DA1A7D5">
          <w:pPr>
            <w:pStyle w:val="12"/>
            <w:tabs>
              <w:tab w:val="right" w:leader="dot" w:pos="8307"/>
            </w:tabs>
            <w:spacing w:line="360" w:lineRule="auto"/>
            <w:rPr>
              <w:rFonts w:hint="eastAsia" w:ascii="宋体" w:hAnsi="宋体" w:eastAsia="宋体" w:cs="宋体"/>
              <w:sz w:val="24"/>
              <w:szCs w:val="24"/>
            </w:rPr>
          </w:pPr>
          <w:r>
            <w:rPr>
              <w:rFonts w:hint="eastAsia" w:ascii="宋体" w:hAnsi="宋体" w:eastAsia="宋体" w:cs="宋体"/>
              <w:kern w:val="11"/>
              <w:sz w:val="24"/>
              <w:szCs w:val="24"/>
            </w:rPr>
            <w:fldChar w:fldCharType="begin"/>
          </w:r>
          <w:r>
            <w:rPr>
              <w:rFonts w:hint="eastAsia" w:ascii="宋体" w:hAnsi="宋体" w:eastAsia="宋体" w:cs="宋体"/>
              <w:kern w:val="11"/>
              <w:sz w:val="24"/>
              <w:szCs w:val="24"/>
            </w:rPr>
            <w:instrText xml:space="preserve"> HYPERLINK \l _Toc32067 </w:instrText>
          </w:r>
          <w:r>
            <w:rPr>
              <w:rFonts w:hint="eastAsia" w:ascii="宋体" w:hAnsi="宋体" w:eastAsia="宋体" w:cs="宋体"/>
              <w:kern w:val="11"/>
              <w:sz w:val="24"/>
              <w:szCs w:val="24"/>
            </w:rPr>
            <w:fldChar w:fldCharType="separate"/>
          </w:r>
          <w:r>
            <w:rPr>
              <w:rFonts w:hint="eastAsia" w:ascii="宋体" w:hAnsi="宋体" w:eastAsia="宋体" w:cs="宋体"/>
              <w:sz w:val="24"/>
              <w:szCs w:val="24"/>
            </w:rPr>
            <w:t>第</w:t>
          </w:r>
          <w:r>
            <w:rPr>
              <w:rFonts w:hint="eastAsia" w:ascii="宋体" w:hAnsi="宋体" w:eastAsia="宋体" w:cs="宋体"/>
              <w:sz w:val="24"/>
              <w:szCs w:val="24"/>
              <w:lang w:val="en-US" w:eastAsia="zh-CN"/>
            </w:rPr>
            <w:t>七</w:t>
          </w:r>
          <w:r>
            <w:rPr>
              <w:rFonts w:hint="eastAsia" w:ascii="宋体" w:hAnsi="宋体" w:eastAsia="宋体" w:cs="宋体"/>
              <w:sz w:val="24"/>
              <w:szCs w:val="24"/>
            </w:rPr>
            <w:t>章  附件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_Toc32067 \h </w:instrText>
          </w:r>
          <w:r>
            <w:rPr>
              <w:rFonts w:hint="eastAsia" w:ascii="宋体" w:hAnsi="宋体" w:eastAsia="宋体" w:cs="宋体"/>
              <w:sz w:val="24"/>
              <w:szCs w:val="24"/>
            </w:rPr>
            <w:fldChar w:fldCharType="separate"/>
          </w:r>
          <w:r>
            <w:rPr>
              <w:rFonts w:hint="eastAsia" w:ascii="宋体" w:hAnsi="宋体" w:eastAsia="宋体" w:cs="宋体"/>
              <w:sz w:val="24"/>
              <w:szCs w:val="24"/>
            </w:rPr>
            <w:t>73</w:t>
          </w:r>
          <w:r>
            <w:rPr>
              <w:rFonts w:hint="eastAsia" w:ascii="宋体" w:hAnsi="宋体" w:eastAsia="宋体" w:cs="宋体"/>
              <w:sz w:val="24"/>
              <w:szCs w:val="24"/>
            </w:rPr>
            <w:fldChar w:fldCharType="end"/>
          </w:r>
          <w:r>
            <w:rPr>
              <w:rFonts w:hint="eastAsia" w:ascii="宋体" w:hAnsi="宋体" w:eastAsia="宋体" w:cs="宋体"/>
              <w:kern w:val="11"/>
              <w:sz w:val="24"/>
              <w:szCs w:val="24"/>
            </w:rPr>
            <w:fldChar w:fldCharType="end"/>
          </w:r>
        </w:p>
        <w:p w14:paraId="4C080AFF">
          <w:pPr>
            <w:pStyle w:val="2"/>
            <w:spacing w:line="360" w:lineRule="auto"/>
            <w:rPr>
              <w:rFonts w:ascii="Times New Roman" w:hAnsi="Times New Roman" w:eastAsia="宋体" w:cs="Times New Roman"/>
              <w:b/>
              <w:kern w:val="2"/>
              <w:sz w:val="30"/>
              <w:szCs w:val="20"/>
              <w:lang w:val="en-US" w:eastAsia="zh-CN" w:bidi="ar-SA"/>
            </w:rPr>
          </w:pPr>
          <w:r>
            <w:rPr>
              <w:rFonts w:hint="eastAsia" w:ascii="宋体" w:hAnsi="宋体" w:eastAsia="宋体" w:cs="宋体"/>
              <w:kern w:val="11"/>
              <w:sz w:val="24"/>
              <w:szCs w:val="24"/>
            </w:rPr>
            <w:fldChar w:fldCharType="end"/>
          </w:r>
        </w:p>
      </w:sdtContent>
    </w:sdt>
    <w:p w14:paraId="1FA22FC1">
      <w:pPr>
        <w:pStyle w:val="3"/>
      </w:pPr>
    </w:p>
    <w:p w14:paraId="0913C179">
      <w:pPr>
        <w:pStyle w:val="3"/>
      </w:pPr>
    </w:p>
    <w:p w14:paraId="36E62C2B"/>
    <w:p w14:paraId="0C8FB656">
      <w:pPr>
        <w:pStyle w:val="2"/>
      </w:pPr>
    </w:p>
    <w:p w14:paraId="2115D552">
      <w:pPr>
        <w:snapToGrid/>
        <w:spacing w:before="0" w:beforeAutospacing="0" w:after="0" w:afterAutospacing="0" w:line="240" w:lineRule="auto"/>
        <w:jc w:val="left"/>
        <w:textAlignment w:val="baseline"/>
        <w:rPr>
          <w:b w:val="0"/>
          <w:i w:val="0"/>
          <w:caps w:val="0"/>
          <w:spacing w:val="0"/>
          <w:w w:val="100"/>
          <w:sz w:val="36"/>
        </w:rPr>
      </w:pPr>
    </w:p>
    <w:p w14:paraId="2495AE98">
      <w:pPr>
        <w:snapToGrid/>
        <w:spacing w:before="0" w:beforeAutospacing="0" w:after="0" w:afterAutospacing="0" w:line="240" w:lineRule="auto"/>
        <w:jc w:val="left"/>
        <w:textAlignment w:val="baseline"/>
        <w:rPr>
          <w:b w:val="0"/>
          <w:i w:val="0"/>
          <w:caps w:val="0"/>
          <w:spacing w:val="0"/>
          <w:w w:val="100"/>
          <w:sz w:val="36"/>
        </w:rPr>
      </w:pPr>
    </w:p>
    <w:p w14:paraId="78784F8A">
      <w:pPr>
        <w:snapToGrid/>
        <w:spacing w:before="0" w:beforeAutospacing="0" w:after="0" w:afterAutospacing="0" w:line="240" w:lineRule="auto"/>
        <w:jc w:val="left"/>
        <w:textAlignment w:val="baseline"/>
        <w:rPr>
          <w:b w:val="0"/>
          <w:i w:val="0"/>
          <w:caps w:val="0"/>
          <w:spacing w:val="0"/>
          <w:w w:val="100"/>
          <w:sz w:val="36"/>
        </w:rPr>
      </w:pPr>
    </w:p>
    <w:p w14:paraId="0509E9A5">
      <w:pPr>
        <w:snapToGrid/>
        <w:spacing w:before="0" w:beforeAutospacing="0" w:after="0" w:afterAutospacing="0" w:line="240" w:lineRule="auto"/>
        <w:jc w:val="left"/>
        <w:textAlignment w:val="baseline"/>
        <w:rPr>
          <w:b w:val="0"/>
          <w:i w:val="0"/>
          <w:caps w:val="0"/>
          <w:spacing w:val="0"/>
          <w:w w:val="100"/>
          <w:sz w:val="36"/>
        </w:rPr>
      </w:pPr>
    </w:p>
    <w:p w14:paraId="7BD34FC1">
      <w:pPr>
        <w:snapToGrid/>
        <w:spacing w:before="0" w:beforeAutospacing="0" w:after="0" w:afterAutospacing="0" w:line="240" w:lineRule="auto"/>
        <w:jc w:val="left"/>
        <w:textAlignment w:val="baseline"/>
        <w:rPr>
          <w:b w:val="0"/>
          <w:i w:val="0"/>
          <w:caps w:val="0"/>
          <w:spacing w:val="0"/>
          <w:w w:val="100"/>
          <w:sz w:val="36"/>
        </w:rPr>
      </w:pPr>
    </w:p>
    <w:p w14:paraId="3EE490D3">
      <w:pPr>
        <w:snapToGrid/>
        <w:spacing w:before="0" w:beforeAutospacing="0" w:after="0" w:afterAutospacing="0" w:line="240" w:lineRule="auto"/>
        <w:jc w:val="left"/>
        <w:textAlignment w:val="baseline"/>
        <w:rPr>
          <w:b w:val="0"/>
          <w:i w:val="0"/>
          <w:caps w:val="0"/>
          <w:spacing w:val="0"/>
          <w:w w:val="100"/>
          <w:sz w:val="36"/>
        </w:rPr>
      </w:pPr>
    </w:p>
    <w:p w14:paraId="653CBBC4">
      <w:pPr>
        <w:snapToGrid/>
        <w:spacing w:before="0" w:beforeAutospacing="0" w:after="0" w:afterAutospacing="0" w:line="240" w:lineRule="auto"/>
        <w:jc w:val="left"/>
        <w:textAlignment w:val="baseline"/>
        <w:rPr>
          <w:b w:val="0"/>
          <w:i w:val="0"/>
          <w:caps w:val="0"/>
          <w:spacing w:val="0"/>
          <w:w w:val="100"/>
          <w:sz w:val="36"/>
        </w:rPr>
      </w:pPr>
    </w:p>
    <w:p w14:paraId="4F72C47B">
      <w:pPr>
        <w:snapToGrid/>
        <w:spacing w:before="0" w:beforeAutospacing="0" w:after="0" w:afterAutospacing="0" w:line="240" w:lineRule="auto"/>
        <w:jc w:val="left"/>
        <w:textAlignment w:val="baseline"/>
        <w:rPr>
          <w:b w:val="0"/>
          <w:i w:val="0"/>
          <w:caps w:val="0"/>
          <w:spacing w:val="0"/>
          <w:w w:val="100"/>
          <w:sz w:val="36"/>
        </w:rPr>
      </w:pPr>
    </w:p>
    <w:p w14:paraId="0023C523">
      <w:pPr>
        <w:snapToGrid/>
        <w:spacing w:before="0" w:beforeAutospacing="0" w:after="0" w:afterAutospacing="0" w:line="240" w:lineRule="auto"/>
        <w:jc w:val="left"/>
        <w:textAlignment w:val="baseline"/>
        <w:rPr>
          <w:b w:val="0"/>
          <w:i w:val="0"/>
          <w:caps w:val="0"/>
          <w:spacing w:val="0"/>
          <w:w w:val="100"/>
          <w:sz w:val="36"/>
        </w:rPr>
      </w:pPr>
    </w:p>
    <w:p w14:paraId="5E2A7DC4">
      <w:pPr>
        <w:snapToGrid/>
        <w:spacing w:before="0" w:beforeAutospacing="0" w:after="0" w:afterAutospacing="0" w:line="240" w:lineRule="auto"/>
        <w:jc w:val="left"/>
        <w:textAlignment w:val="baseline"/>
        <w:rPr>
          <w:b w:val="0"/>
          <w:i w:val="0"/>
          <w:caps w:val="0"/>
          <w:spacing w:val="0"/>
          <w:w w:val="100"/>
          <w:sz w:val="36"/>
        </w:rPr>
      </w:pPr>
    </w:p>
    <w:p w14:paraId="38F6F4B5">
      <w:pPr>
        <w:snapToGrid/>
        <w:spacing w:before="0" w:beforeAutospacing="0" w:after="0" w:afterAutospacing="0" w:line="240" w:lineRule="auto"/>
        <w:jc w:val="left"/>
        <w:textAlignment w:val="baseline"/>
        <w:rPr>
          <w:b w:val="0"/>
          <w:i w:val="0"/>
          <w:caps w:val="0"/>
          <w:spacing w:val="0"/>
          <w:w w:val="100"/>
          <w:sz w:val="36"/>
        </w:rPr>
      </w:pPr>
    </w:p>
    <w:p w14:paraId="33B6CDEB">
      <w:pPr>
        <w:snapToGrid/>
        <w:spacing w:before="0" w:beforeAutospacing="0" w:after="0" w:afterAutospacing="0" w:line="240" w:lineRule="auto"/>
        <w:jc w:val="left"/>
        <w:textAlignment w:val="baseline"/>
        <w:rPr>
          <w:b w:val="0"/>
          <w:i w:val="0"/>
          <w:caps w:val="0"/>
          <w:spacing w:val="0"/>
          <w:w w:val="100"/>
          <w:sz w:val="36"/>
        </w:rPr>
      </w:pPr>
    </w:p>
    <w:p w14:paraId="28E5C4C5">
      <w:pPr>
        <w:snapToGrid/>
        <w:spacing w:before="0" w:beforeAutospacing="0" w:after="0" w:afterAutospacing="0" w:line="240" w:lineRule="auto"/>
        <w:jc w:val="left"/>
        <w:textAlignment w:val="baseline"/>
        <w:rPr>
          <w:b w:val="0"/>
          <w:i w:val="0"/>
          <w:caps w:val="0"/>
          <w:spacing w:val="0"/>
          <w:w w:val="100"/>
          <w:sz w:val="36"/>
        </w:rPr>
      </w:pPr>
    </w:p>
    <w:p w14:paraId="1247DC7C">
      <w:pPr>
        <w:pStyle w:val="4"/>
        <w:bidi w:val="0"/>
        <w:jc w:val="center"/>
        <w:rPr>
          <w:rFonts w:hint="eastAsia"/>
          <w:lang w:val="en-US" w:eastAsia="zh-CN"/>
        </w:rPr>
      </w:pPr>
      <w:bookmarkStart w:id="0" w:name="_Toc5356"/>
      <w:r>
        <w:rPr>
          <w:rFonts w:hint="eastAsia"/>
          <w:lang w:val="en-US" w:eastAsia="zh-CN"/>
        </w:rPr>
        <w:t>第一章 招标公告</w:t>
      </w:r>
      <w:bookmarkEnd w:id="0"/>
    </w:p>
    <w:p w14:paraId="4AFF7992">
      <w:pPr>
        <w:snapToGrid/>
        <w:spacing w:before="0" w:beforeAutospacing="0" w:after="0" w:afterAutospacing="0" w:line="240" w:lineRule="auto"/>
        <w:jc w:val="center"/>
        <w:textAlignment w:val="baseline"/>
        <w:rPr>
          <w:b w:val="0"/>
          <w:i w:val="0"/>
          <w:caps w:val="0"/>
          <w:spacing w:val="0"/>
          <w:w w:val="100"/>
          <w:sz w:val="32"/>
        </w:rPr>
      </w:pPr>
      <w:r>
        <w:rPr>
          <w:rFonts w:hint="eastAsia"/>
          <w:b w:val="0"/>
          <w:i w:val="0"/>
          <w:caps w:val="0"/>
          <w:spacing w:val="0"/>
          <w:w w:val="100"/>
          <w:sz w:val="32"/>
        </w:rPr>
        <w:t>吉林市船营区中小学生上</w:t>
      </w:r>
      <w:r>
        <w:rPr>
          <w:rFonts w:hint="eastAsia"/>
          <w:b w:val="0"/>
          <w:i w:val="0"/>
          <w:caps w:val="0"/>
          <w:spacing w:val="0"/>
          <w:w w:val="100"/>
          <w:sz w:val="32"/>
          <w:lang w:val="en-US" w:eastAsia="zh-CN"/>
        </w:rPr>
        <w:t>放</w:t>
      </w:r>
      <w:r>
        <w:rPr>
          <w:rFonts w:hint="eastAsia"/>
          <w:b w:val="0"/>
          <w:i w:val="0"/>
          <w:caps w:val="0"/>
          <w:spacing w:val="0"/>
          <w:w w:val="100"/>
          <w:sz w:val="32"/>
        </w:rPr>
        <w:t>学校车接送服务项目</w:t>
      </w:r>
    </w:p>
    <w:p w14:paraId="1CAAC88F">
      <w:pPr>
        <w:snapToGrid/>
        <w:spacing w:before="0" w:beforeAutospacing="0" w:after="0" w:afterAutospacing="0" w:line="240" w:lineRule="auto"/>
        <w:jc w:val="center"/>
        <w:textAlignment w:val="baseline"/>
        <w:rPr>
          <w:rFonts w:hint="eastAsia"/>
          <w:b w:val="0"/>
          <w:i w:val="0"/>
          <w:caps w:val="0"/>
          <w:spacing w:val="0"/>
          <w:w w:val="100"/>
          <w:sz w:val="32"/>
        </w:rPr>
      </w:pPr>
      <w:r>
        <w:rPr>
          <w:rFonts w:hint="eastAsia"/>
          <w:b w:val="0"/>
          <w:i w:val="0"/>
          <w:caps w:val="0"/>
          <w:spacing w:val="0"/>
          <w:w w:val="100"/>
          <w:sz w:val="32"/>
        </w:rPr>
        <w:t>招标公告</w:t>
      </w:r>
    </w:p>
    <w:p w14:paraId="415C08CC">
      <w:pPr>
        <w:autoSpaceDE w:val="0"/>
        <w:autoSpaceDN w:val="0"/>
        <w:adjustRightInd w:val="0"/>
        <w:spacing w:before="120" w:beforeLines="50" w:after="120" w:afterLines="50" w:line="240" w:lineRule="auto"/>
        <w:jc w:val="center"/>
        <w:rPr>
          <w:rFonts w:hint="default" w:ascii="宋体" w:hAnsi="宋体"/>
          <w:color w:val="000000" w:themeColor="text1"/>
          <w:szCs w:val="21"/>
          <w:highlight w:val="none"/>
          <w:lang w:val="en-US"/>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项目编号：采购计划-[2025]-00048号</w:t>
      </w:r>
      <w:r>
        <w:rPr>
          <w:rFonts w:hint="eastAsia" w:ascii="宋体" w:hAnsi="宋体"/>
          <w:color w:val="000000" w:themeColor="text1"/>
          <w:szCs w:val="21"/>
          <w:highlight w:val="none"/>
          <w:lang w:val="zh-CN" w:eastAsia="zh-CN"/>
          <w14:textFill>
            <w14:solidFill>
              <w14:schemeClr w14:val="tx1"/>
            </w14:solidFill>
          </w14:textFill>
        </w:rPr>
        <w:t>-CG0029</w:t>
      </w:r>
    </w:p>
    <w:p w14:paraId="58682F49">
      <w:pPr>
        <w:pBdr>
          <w:top w:val="single" w:color="auto" w:sz="4" w:space="1"/>
          <w:left w:val="single" w:color="auto" w:sz="4" w:space="4"/>
          <w:bottom w:val="single" w:color="auto" w:sz="4" w:space="10"/>
          <w:right w:val="single" w:color="auto" w:sz="4" w:space="4"/>
        </w:pBdr>
        <w:spacing w:line="360" w:lineRule="auto"/>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项目概况</w:t>
      </w:r>
    </w:p>
    <w:p w14:paraId="0D89BD06">
      <w:pPr>
        <w:pBdr>
          <w:top w:val="single" w:color="auto" w:sz="4" w:space="1"/>
          <w:left w:val="single" w:color="auto" w:sz="4" w:space="4"/>
          <w:bottom w:val="single" w:color="auto" w:sz="4" w:space="10"/>
          <w:right w:val="single" w:color="auto" w:sz="4" w:space="4"/>
        </w:pBdr>
        <w:spacing w:line="360" w:lineRule="auto"/>
        <w:ind w:firstLine="480" w:firstLineChars="200"/>
        <w:jc w:val="both"/>
        <w:rPr>
          <w:rFonts w:hint="eastAsia"/>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吉林市船营区中小学生上放学校车接送服务项目</w:t>
      </w:r>
      <w:r>
        <w:rPr>
          <w:rFonts w:hint="eastAsia" w:ascii="宋体" w:hAnsi="宋体" w:eastAsia="宋体" w:cs="宋体"/>
          <w:color w:val="000000" w:themeColor="text1"/>
          <w:sz w:val="24"/>
          <w:szCs w:val="24"/>
          <w:highlight w:val="none"/>
          <w14:textFill>
            <w14:solidFill>
              <w14:schemeClr w14:val="tx1"/>
            </w14:solidFill>
          </w14:textFill>
        </w:rPr>
        <w:t>的潜在投标人应在</w:t>
      </w:r>
      <w:r>
        <w:rPr>
          <w:rFonts w:hint="eastAsia" w:ascii="宋体" w:hAnsi="宋体" w:eastAsia="宋体" w:cs="宋体"/>
          <w:color w:val="000000" w:themeColor="text1"/>
          <w:sz w:val="24"/>
          <w:szCs w:val="24"/>
          <w:highlight w:val="none"/>
          <w:u w:val="single"/>
          <w14:textFill>
            <w14:solidFill>
              <w14:schemeClr w14:val="tx1"/>
            </w14:solidFill>
          </w14:textFill>
        </w:rPr>
        <w:t>政府采购云平台（网址：http://www.zcygov.cn）</w:t>
      </w:r>
      <w:r>
        <w:rPr>
          <w:rFonts w:hint="eastAsia" w:ascii="宋体" w:hAnsi="宋体" w:eastAsia="宋体" w:cs="宋体"/>
          <w:color w:val="000000" w:themeColor="text1"/>
          <w:sz w:val="24"/>
          <w:szCs w:val="24"/>
          <w:highlight w:val="none"/>
          <w14:textFill>
            <w14:solidFill>
              <w14:schemeClr w14:val="tx1"/>
            </w14:solidFill>
          </w14:textFill>
        </w:rPr>
        <w:t>获取招标文件，并于</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2025年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22</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日</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时</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0分</w:t>
      </w:r>
      <w:r>
        <w:rPr>
          <w:rFonts w:hint="eastAsia" w:ascii="宋体" w:hAnsi="宋体" w:eastAsia="宋体" w:cs="宋体"/>
          <w:bCs/>
          <w:color w:val="000000" w:themeColor="text1"/>
          <w:sz w:val="24"/>
          <w:szCs w:val="24"/>
          <w:highlight w:val="none"/>
          <w:u w:val="single"/>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北京时间）前递交投标文件</w:t>
      </w:r>
      <w:r>
        <w:rPr>
          <w:rFonts w:hint="eastAsia" w:ascii="宋体" w:hAnsi="宋体" w:eastAsia="宋体" w:cs="宋体"/>
          <w:color w:val="000000" w:themeColor="text1"/>
          <w:sz w:val="24"/>
          <w:szCs w:val="24"/>
          <w:highlight w:val="none"/>
          <w14:textFill>
            <w14:solidFill>
              <w14:schemeClr w14:val="tx1"/>
            </w14:solidFill>
          </w14:textFill>
        </w:rPr>
        <w:t>。</w:t>
      </w:r>
    </w:p>
    <w:p w14:paraId="247C74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一、项目基本情况</w:t>
      </w:r>
    </w:p>
    <w:p w14:paraId="6A5112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 xml:space="preserve">1.项目编号： </w:t>
      </w:r>
      <w:r>
        <w:rPr>
          <w:rFonts w:hint="eastAsia"/>
          <w:color w:val="000000" w:themeColor="text1"/>
          <w:sz w:val="24"/>
          <w:szCs w:val="32"/>
          <w:lang w:val="zh-CN"/>
          <w14:textFill>
            <w14:solidFill>
              <w14:schemeClr w14:val="tx1"/>
            </w14:solidFill>
          </w14:textFill>
        </w:rPr>
        <w:t>采购计划-[2025]-00048号</w:t>
      </w:r>
      <w:r>
        <w:rPr>
          <w:rFonts w:hint="eastAsia"/>
          <w:color w:val="000000" w:themeColor="text1"/>
          <w:sz w:val="24"/>
          <w:szCs w:val="32"/>
          <w:lang w:val="zh-CN" w:eastAsia="zh-CN"/>
          <w14:textFill>
            <w14:solidFill>
              <w14:schemeClr w14:val="tx1"/>
            </w14:solidFill>
          </w14:textFill>
        </w:rPr>
        <w:t>-CG0029</w:t>
      </w:r>
      <w:r>
        <w:rPr>
          <w:rFonts w:hint="eastAsia"/>
          <w:color w:val="000000" w:themeColor="text1"/>
          <w:sz w:val="24"/>
          <w:szCs w:val="32"/>
          <w14:textFill>
            <w14:solidFill>
              <w14:schemeClr w14:val="tx1"/>
            </w14:solidFill>
          </w14:textFill>
        </w:rPr>
        <w:t xml:space="preserve">                   </w:t>
      </w:r>
    </w:p>
    <w:p w14:paraId="06B4C5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2.项目名称：吉林市船营区中小学生上放学校车接送服务项目；</w:t>
      </w:r>
    </w:p>
    <w:p w14:paraId="1E1B1A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3.采购方式：公开招标；</w:t>
      </w:r>
    </w:p>
    <w:p w14:paraId="537356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4.预算金额：</w:t>
      </w:r>
      <w:r>
        <w:rPr>
          <w:rFonts w:hint="eastAsia"/>
          <w:color w:val="000000" w:themeColor="text1"/>
          <w:sz w:val="24"/>
          <w:szCs w:val="32"/>
          <w:lang w:val="en-US" w:eastAsia="zh-CN"/>
          <w14:textFill>
            <w14:solidFill>
              <w14:schemeClr w14:val="tx1"/>
            </w14:solidFill>
          </w14:textFill>
        </w:rPr>
        <w:t>573.5</w:t>
      </w:r>
      <w:r>
        <w:rPr>
          <w:rFonts w:hint="eastAsia"/>
          <w:color w:val="000000" w:themeColor="text1"/>
          <w:sz w:val="24"/>
          <w:szCs w:val="32"/>
          <w14:textFill>
            <w14:solidFill>
              <w14:schemeClr w14:val="tx1"/>
            </w14:solidFill>
          </w14:textFill>
        </w:rPr>
        <w:t>万元/年；</w:t>
      </w:r>
    </w:p>
    <w:p w14:paraId="74990B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5.资金来源：学生乘车收费</w:t>
      </w:r>
      <w:r>
        <w:rPr>
          <w:rFonts w:hint="eastAsia"/>
          <w:color w:val="000000" w:themeColor="text1"/>
          <w:sz w:val="24"/>
          <w:szCs w:val="32"/>
          <w:lang w:eastAsia="zh-CN"/>
          <w14:textFill>
            <w14:solidFill>
              <w14:schemeClr w14:val="tx1"/>
            </w14:solidFill>
          </w14:textFill>
        </w:rPr>
        <w:t>、区级资金拨付</w:t>
      </w:r>
      <w:r>
        <w:rPr>
          <w:rFonts w:hint="eastAsia"/>
          <w:color w:val="000000" w:themeColor="text1"/>
          <w:sz w:val="24"/>
          <w:szCs w:val="32"/>
          <w14:textFill>
            <w14:solidFill>
              <w14:schemeClr w14:val="tx1"/>
            </w14:solidFill>
          </w14:textFill>
        </w:rPr>
        <w:t>；</w:t>
      </w:r>
    </w:p>
    <w:p w14:paraId="4AD437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6.服务需求：具体</w:t>
      </w:r>
      <w:r>
        <w:rPr>
          <w:rFonts w:hint="eastAsia"/>
          <w:color w:val="000000" w:themeColor="text1"/>
          <w:sz w:val="24"/>
          <w:szCs w:val="32"/>
          <w:lang w:val="en-US" w:eastAsia="zh-CN"/>
          <w14:textFill>
            <w14:solidFill>
              <w14:schemeClr w14:val="tx1"/>
            </w14:solidFill>
          </w14:textFill>
        </w:rPr>
        <w:t>服务</w:t>
      </w:r>
      <w:r>
        <w:rPr>
          <w:rFonts w:hint="eastAsia"/>
          <w:color w:val="000000" w:themeColor="text1"/>
          <w:sz w:val="24"/>
          <w:szCs w:val="32"/>
          <w14:textFill>
            <w14:solidFill>
              <w14:schemeClr w14:val="tx1"/>
            </w14:solidFill>
          </w14:textFill>
        </w:rPr>
        <w:t>需求详见招标文件；</w:t>
      </w:r>
    </w:p>
    <w:p w14:paraId="789C87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7.质量标准：符合现行国家、行业、地方或者其他相关标准的合格要求；</w:t>
      </w:r>
    </w:p>
    <w:p w14:paraId="6F656D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8.服务期限：合同签订后3年；</w:t>
      </w:r>
    </w:p>
    <w:p w14:paraId="00F4A9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9.服务地点：</w:t>
      </w:r>
      <w:r>
        <w:rPr>
          <w:rFonts w:hint="eastAsia"/>
          <w:color w:val="000000" w:themeColor="text1"/>
          <w:sz w:val="24"/>
          <w:szCs w:val="32"/>
          <w:lang w:val="en-US" w:eastAsia="zh-CN"/>
          <w14:textFill>
            <w14:solidFill>
              <w14:schemeClr w14:val="tx1"/>
            </w14:solidFill>
          </w14:textFill>
        </w:rPr>
        <w:t>招标人指定地点</w:t>
      </w:r>
      <w:r>
        <w:rPr>
          <w:rFonts w:hint="eastAsia"/>
          <w:color w:val="000000" w:themeColor="text1"/>
          <w:sz w:val="24"/>
          <w:szCs w:val="32"/>
          <w14:textFill>
            <w14:solidFill>
              <w14:schemeClr w14:val="tx1"/>
            </w14:solidFill>
          </w14:textFill>
        </w:rPr>
        <w:t>；</w:t>
      </w:r>
    </w:p>
    <w:p w14:paraId="29D6E5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10.合同履行期限：自合同签订之日起至合同履行完毕；</w:t>
      </w:r>
    </w:p>
    <w:p w14:paraId="79A148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11.资格审查方式：资格后审；</w:t>
      </w:r>
    </w:p>
    <w:p w14:paraId="4FC3F7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12.本项目不接受联合体。</w:t>
      </w:r>
    </w:p>
    <w:p w14:paraId="65FEF1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二、申请人的资格要求</w:t>
      </w:r>
    </w:p>
    <w:p w14:paraId="26B600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lang w:eastAsia="zh-CN"/>
          <w14:textFill>
            <w14:solidFill>
              <w14:schemeClr w14:val="tx1"/>
            </w14:solidFill>
          </w14:textFill>
        </w:rPr>
      </w:pPr>
      <w:r>
        <w:rPr>
          <w:rFonts w:hint="eastAsia"/>
          <w:color w:val="000000" w:themeColor="text1"/>
          <w:sz w:val="24"/>
          <w:szCs w:val="32"/>
          <w14:textFill>
            <w14:solidFill>
              <w14:schemeClr w14:val="tx1"/>
            </w14:solidFill>
          </w14:textFill>
        </w:rPr>
        <w:t>1.投标人须满足《中华人民共和国政府采购法》第二十二条规定</w:t>
      </w:r>
      <w:r>
        <w:rPr>
          <w:rFonts w:hint="eastAsia"/>
          <w:color w:val="000000" w:themeColor="text1"/>
          <w:sz w:val="24"/>
          <w:szCs w:val="32"/>
          <w:lang w:eastAsia="zh-CN"/>
          <w14:textFill>
            <w14:solidFill>
              <w14:schemeClr w14:val="tx1"/>
            </w14:solidFill>
          </w14:textFill>
        </w:rPr>
        <w:t>。</w:t>
      </w:r>
    </w:p>
    <w:p w14:paraId="35D3F5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lang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2.</w:t>
      </w:r>
      <w:r>
        <w:rPr>
          <w:rFonts w:hint="eastAsia"/>
          <w:color w:val="000000" w:themeColor="text1"/>
          <w:sz w:val="24"/>
          <w:szCs w:val="32"/>
          <w14:textFill>
            <w14:solidFill>
              <w14:schemeClr w14:val="tx1"/>
            </w14:solidFill>
          </w14:textFill>
        </w:rPr>
        <w:t>落实政府采购政策：</w:t>
      </w:r>
      <w:r>
        <w:rPr>
          <w:rFonts w:hint="eastAsia"/>
          <w:color w:val="000000" w:themeColor="text1"/>
          <w:sz w:val="24"/>
          <w:szCs w:val="32"/>
          <w:lang w:eastAsia="zh-CN"/>
          <w14:textFill>
            <w14:solidFill>
              <w14:schemeClr w14:val="tx1"/>
            </w14:solidFill>
          </w14:textFill>
        </w:rPr>
        <w:t>本项目专门面向中小企业采购（供应商应为中小微企业、监狱企业、残疾人福利性单位)</w:t>
      </w:r>
      <w:r>
        <w:rPr>
          <w:rFonts w:hint="eastAsia"/>
          <w:color w:val="000000" w:themeColor="text1"/>
          <w:sz w:val="24"/>
          <w:szCs w:val="32"/>
          <w14:textFill>
            <w14:solidFill>
              <w14:schemeClr w14:val="tx1"/>
            </w14:solidFill>
          </w14:textFill>
        </w:rPr>
        <w:t>；(1)《政府采购促进中小企业发展管理办法》（财库﹝2020﹞46号）；(2)</w:t>
      </w:r>
      <w:r>
        <w:rPr>
          <w:rFonts w:hint="eastAsia"/>
          <w:color w:val="000000" w:themeColor="text1"/>
          <w:sz w:val="24"/>
          <w:szCs w:val="32"/>
          <w:lang w:val="en-US" w:eastAsia="zh-CN"/>
          <w14:textFill>
            <w14:solidFill>
              <w14:schemeClr w14:val="tx1"/>
            </w14:solidFill>
          </w14:textFill>
        </w:rPr>
        <w:t>《关于进一步加大政府采购支持中小企业力度的通知》（财库[2022]19号）；</w:t>
      </w:r>
      <w:r>
        <w:rPr>
          <w:rFonts w:hint="eastAsia"/>
          <w:color w:val="000000" w:themeColor="text1"/>
          <w:sz w:val="24"/>
          <w:szCs w:val="32"/>
          <w14:textFill>
            <w14:solidFill>
              <w14:schemeClr w14:val="tx1"/>
            </w14:solidFill>
          </w14:textFill>
        </w:rPr>
        <w:t>(</w:t>
      </w:r>
      <w:r>
        <w:rPr>
          <w:rFonts w:hint="eastAsia"/>
          <w:color w:val="000000" w:themeColor="text1"/>
          <w:sz w:val="24"/>
          <w:szCs w:val="32"/>
          <w:lang w:val="en-US" w:eastAsia="zh-CN"/>
          <w14:textFill>
            <w14:solidFill>
              <w14:schemeClr w14:val="tx1"/>
            </w14:solidFill>
          </w14:textFill>
        </w:rPr>
        <w:t>3</w:t>
      </w:r>
      <w:r>
        <w:rPr>
          <w:rFonts w:hint="eastAsia"/>
          <w:color w:val="000000" w:themeColor="text1"/>
          <w:sz w:val="24"/>
          <w:szCs w:val="32"/>
          <w14:textFill>
            <w14:solidFill>
              <w14:schemeClr w14:val="tx1"/>
            </w14:solidFill>
          </w14:textFill>
        </w:rPr>
        <w:t>)《关于政府采购支持监狱企业发展有关问题的通知》(财库〔2014〕68号)；(</w:t>
      </w:r>
      <w:r>
        <w:rPr>
          <w:rFonts w:hint="eastAsia"/>
          <w:color w:val="000000" w:themeColor="text1"/>
          <w:sz w:val="24"/>
          <w:szCs w:val="32"/>
          <w:lang w:val="en-US" w:eastAsia="zh-CN"/>
          <w14:textFill>
            <w14:solidFill>
              <w14:schemeClr w14:val="tx1"/>
            </w14:solidFill>
          </w14:textFill>
        </w:rPr>
        <w:t>4</w:t>
      </w:r>
      <w:r>
        <w:rPr>
          <w:rFonts w:hint="eastAsia"/>
          <w:color w:val="000000" w:themeColor="text1"/>
          <w:sz w:val="24"/>
          <w:szCs w:val="32"/>
          <w14:textFill>
            <w14:solidFill>
              <w14:schemeClr w14:val="tx1"/>
            </w14:solidFill>
          </w14:textFill>
        </w:rPr>
        <w:t>)《关于促进残疾人就业政府采购政策的通知》（财库〔2017〕141号)；(</w:t>
      </w:r>
      <w:r>
        <w:rPr>
          <w:rFonts w:hint="eastAsia"/>
          <w:color w:val="000000" w:themeColor="text1"/>
          <w:sz w:val="24"/>
          <w:szCs w:val="32"/>
          <w:lang w:val="en-US" w:eastAsia="zh-CN"/>
          <w14:textFill>
            <w14:solidFill>
              <w14:schemeClr w14:val="tx1"/>
            </w14:solidFill>
          </w14:textFill>
        </w:rPr>
        <w:t>5</w:t>
      </w:r>
      <w:r>
        <w:rPr>
          <w:rFonts w:hint="eastAsia"/>
          <w:color w:val="000000" w:themeColor="text1"/>
          <w:sz w:val="24"/>
          <w:szCs w:val="32"/>
          <w14:textFill>
            <w14:solidFill>
              <w14:schemeClr w14:val="tx1"/>
            </w14:solidFill>
          </w14:textFill>
        </w:rPr>
        <w:t>)《关于调整优化节能产品、环境标志产品政府采购执行机制的通知》(财库[2019]9号)《无线局域网认证产品政府采购清单》等政府采购最新政策</w:t>
      </w:r>
      <w:r>
        <w:rPr>
          <w:rFonts w:hint="eastAsia"/>
          <w:color w:val="000000" w:themeColor="text1"/>
          <w:sz w:val="24"/>
          <w:szCs w:val="32"/>
          <w:lang w:eastAsia="zh-CN"/>
          <w14:textFill>
            <w14:solidFill>
              <w14:schemeClr w14:val="tx1"/>
            </w14:solidFill>
          </w14:textFill>
        </w:rPr>
        <w:t>。</w:t>
      </w:r>
    </w:p>
    <w:p w14:paraId="6AC18E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注：①中小企业参加政府采购活动（依据《中小企业划型标准规定》中租赁和商务服务业），应当出具《政府采购促进中小企业发展管理办法》规定的《中小企业声明函》。</w:t>
      </w:r>
      <w:r>
        <w:rPr>
          <w:rFonts w:hint="eastAsia"/>
          <w:color w:val="000000" w:themeColor="text1"/>
          <w:sz w:val="24"/>
          <w:szCs w:val="32"/>
          <w:lang w:val="en-US" w:eastAsia="zh-CN"/>
          <w14:textFill>
            <w14:solidFill>
              <w14:schemeClr w14:val="tx1"/>
            </w14:solidFill>
          </w14:textFill>
        </w:rPr>
        <w:t xml:space="preserve"> </w:t>
      </w:r>
      <w:r>
        <w:rPr>
          <w:rFonts w:hint="eastAsia"/>
          <w:color w:val="000000" w:themeColor="text1"/>
          <w:sz w:val="24"/>
          <w:szCs w:val="32"/>
          <w14:textFill>
            <w14:solidFill>
              <w14:schemeClr w14:val="tx1"/>
            </w14:solidFill>
          </w14:textFill>
        </w:rPr>
        <w:t xml:space="preserve">       </w:t>
      </w:r>
    </w:p>
    <w:p w14:paraId="21680A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②监狱企业参加政府采购活动时，应当提供由省级以上监狱管理局、戒毒管理局（含新疆生产建设兵团）出具的属于监狱企业的证明文件。</w:t>
      </w:r>
    </w:p>
    <w:p w14:paraId="4205BB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③残疾人福利性单位在参加政府采购活动时，应当按规定提供《残疾人福利性单位声明函》，并对声明的真实性负责。</w:t>
      </w:r>
    </w:p>
    <w:p w14:paraId="028734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④专门面向中小企业采购的项目或者采购包，不再执行价格评审优惠的扶持政策。</w:t>
      </w:r>
    </w:p>
    <w:p w14:paraId="05ED21A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本项目的特定资格要求：</w:t>
      </w:r>
    </w:p>
    <w:p w14:paraId="0D4030A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(1).供应商参加政府采购活动必须提供下列满足《中华人民共和国政府采购法》第二十二条规定的资格证明材料：1）法人或者其他组织的营业执照等证明文件、自然人的身份证明；2）财务状况报告，依法缴纳税收和社会保障资金的相关材料；3）具备履行合同所必需的设备和专业技术能力的证明材料；4）参加政府采购活动前3年内在经营活动中没有重大违法记录的书面声明；5）具备法律、行政法规规定的其他条件的证明材料；</w:t>
      </w:r>
    </w:p>
    <w:p w14:paraId="08A47E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(2).依法设立的道路旅客运输经营企业、城市公共交通企业或根据县级以上地方人民政府规定设立的校车运营单位；（道路旅客运输企业和城市公共交通企业需提供道路运输经营许可证）；</w:t>
      </w:r>
    </w:p>
    <w:p w14:paraId="388D6D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(3).符合《关于做好政府购买义务教育阶段中小学生校车服务工作的指导意见》（吉财综〔2014〕987号）的相关要求；</w:t>
      </w:r>
    </w:p>
    <w:p w14:paraId="21F1C3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(4).投标单位和个人（指法定代表人）未在“中国裁判文书网”（wenshu.court.gov.cn）上有行贿犯罪行为；</w:t>
      </w:r>
    </w:p>
    <w:p w14:paraId="7F76B5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(5).供应商未被列入“失信被执行人、税收违法黑名单”的记录名单（通过“信用中国”网站(www.creditchina.gov.cn)查询）；</w:t>
      </w:r>
    </w:p>
    <w:p w14:paraId="46A534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(6).供应商未被列入“政府采购严重违法失信行为记录名单”（通过“中国政府采购网”（www.ccgp.gov.cn）查询）；</w:t>
      </w:r>
    </w:p>
    <w:p w14:paraId="11C87D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(7).单位负责人为同一人或者存在直接控股、管理关系的不同供应商，不得参加同一合同项下的政府采购活动，否则，相关投标均无效。</w:t>
      </w:r>
    </w:p>
    <w:p w14:paraId="3CB376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三、获取招标文件</w:t>
      </w:r>
    </w:p>
    <w:p w14:paraId="609CBE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1、</w:t>
      </w:r>
      <w:r>
        <w:rPr>
          <w:rFonts w:hint="eastAsia"/>
          <w:color w:val="000000" w:themeColor="text1"/>
          <w:sz w:val="24"/>
          <w:szCs w:val="32"/>
          <w14:textFill>
            <w14:solidFill>
              <w14:schemeClr w14:val="tx1"/>
            </w14:solidFill>
          </w14:textFill>
        </w:rPr>
        <w:t>时间：2025年</w:t>
      </w:r>
      <w:r>
        <w:rPr>
          <w:rFonts w:hint="eastAsia"/>
          <w:color w:val="000000" w:themeColor="text1"/>
          <w:sz w:val="24"/>
          <w:szCs w:val="32"/>
          <w:lang w:val="en-US" w:eastAsia="zh-CN"/>
          <w14:textFill>
            <w14:solidFill>
              <w14:schemeClr w14:val="tx1"/>
            </w14:solidFill>
          </w14:textFill>
        </w:rPr>
        <w:t>6</w:t>
      </w:r>
      <w:r>
        <w:rPr>
          <w:rFonts w:hint="eastAsia"/>
          <w:color w:val="000000" w:themeColor="text1"/>
          <w:sz w:val="24"/>
          <w:szCs w:val="32"/>
          <w14:textFill>
            <w14:solidFill>
              <w14:schemeClr w14:val="tx1"/>
            </w14:solidFill>
          </w14:textFill>
        </w:rPr>
        <w:t>月</w:t>
      </w:r>
      <w:r>
        <w:rPr>
          <w:rFonts w:hint="eastAsia"/>
          <w:color w:val="000000" w:themeColor="text1"/>
          <w:sz w:val="24"/>
          <w:szCs w:val="32"/>
          <w:lang w:val="en-US" w:eastAsia="zh-CN"/>
          <w14:textFill>
            <w14:solidFill>
              <w14:schemeClr w14:val="tx1"/>
            </w14:solidFill>
          </w14:textFill>
        </w:rPr>
        <w:t>30</w:t>
      </w:r>
      <w:r>
        <w:rPr>
          <w:rFonts w:hint="eastAsia"/>
          <w:color w:val="000000" w:themeColor="text1"/>
          <w:sz w:val="24"/>
          <w:szCs w:val="32"/>
          <w14:textFill>
            <w14:solidFill>
              <w14:schemeClr w14:val="tx1"/>
            </w14:solidFill>
          </w14:textFill>
        </w:rPr>
        <w:t>日至2025年</w:t>
      </w:r>
      <w:r>
        <w:rPr>
          <w:rFonts w:hint="eastAsia"/>
          <w:color w:val="000000" w:themeColor="text1"/>
          <w:sz w:val="24"/>
          <w:szCs w:val="32"/>
          <w:lang w:val="en-US" w:eastAsia="zh-CN"/>
          <w14:textFill>
            <w14:solidFill>
              <w14:schemeClr w14:val="tx1"/>
            </w14:solidFill>
          </w14:textFill>
        </w:rPr>
        <w:t>7</w:t>
      </w:r>
      <w:r>
        <w:rPr>
          <w:rFonts w:hint="eastAsia"/>
          <w:color w:val="000000" w:themeColor="text1"/>
          <w:sz w:val="24"/>
          <w:szCs w:val="32"/>
          <w14:textFill>
            <w14:solidFill>
              <w14:schemeClr w14:val="tx1"/>
            </w14:solidFill>
          </w14:textFill>
        </w:rPr>
        <w:t>月</w:t>
      </w:r>
      <w:r>
        <w:rPr>
          <w:rFonts w:hint="eastAsia"/>
          <w:color w:val="000000" w:themeColor="text1"/>
          <w:sz w:val="24"/>
          <w:szCs w:val="32"/>
          <w:lang w:val="en-US" w:eastAsia="zh-CN"/>
          <w14:textFill>
            <w14:solidFill>
              <w14:schemeClr w14:val="tx1"/>
            </w14:solidFill>
          </w14:textFill>
        </w:rPr>
        <w:t>7</w:t>
      </w:r>
      <w:r>
        <w:rPr>
          <w:rFonts w:hint="eastAsia"/>
          <w:color w:val="000000" w:themeColor="text1"/>
          <w:sz w:val="24"/>
          <w:szCs w:val="32"/>
          <w14:textFill>
            <w14:solidFill>
              <w14:schemeClr w14:val="tx1"/>
            </w14:solidFill>
          </w14:textFill>
        </w:rPr>
        <w:t>日， 每天上午08:00至11:30 ，下午13:00至16:00（北京时间，法定节假日除外）</w:t>
      </w:r>
    </w:p>
    <w:p w14:paraId="5B8776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2、</w:t>
      </w:r>
      <w:r>
        <w:rPr>
          <w:rFonts w:hint="eastAsia"/>
          <w:color w:val="000000" w:themeColor="text1"/>
          <w:sz w:val="24"/>
          <w:szCs w:val="32"/>
          <w14:textFill>
            <w14:solidFill>
              <w14:schemeClr w14:val="tx1"/>
            </w14:solidFill>
          </w14:textFill>
        </w:rPr>
        <w:t>地点：“政采云”平台（http：//www.zcygov.cn）</w:t>
      </w:r>
    </w:p>
    <w:p w14:paraId="1D180A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3、</w:t>
      </w:r>
      <w:r>
        <w:rPr>
          <w:rFonts w:hint="eastAsia"/>
          <w:color w:val="000000" w:themeColor="text1"/>
          <w:sz w:val="24"/>
          <w:szCs w:val="32"/>
          <w14:textFill>
            <w14:solidFill>
              <w14:schemeClr w14:val="tx1"/>
            </w14:solidFill>
          </w14:textFill>
        </w:rPr>
        <w:t>方式：网上下载，投标人可自行在“政采云”平台（http：//www.zcygov.cn）下载</w:t>
      </w:r>
      <w:r>
        <w:rPr>
          <w:rFonts w:hint="eastAsia"/>
          <w:color w:val="000000" w:themeColor="text1"/>
          <w:sz w:val="24"/>
          <w:szCs w:val="32"/>
          <w:lang w:val="en-US" w:eastAsia="zh-CN"/>
          <w14:textFill>
            <w14:solidFill>
              <w14:schemeClr w14:val="tx1"/>
            </w14:solidFill>
          </w14:textFill>
        </w:rPr>
        <w:t>招标</w:t>
      </w:r>
      <w:r>
        <w:rPr>
          <w:rFonts w:hint="eastAsia"/>
          <w:color w:val="000000" w:themeColor="text1"/>
          <w:sz w:val="24"/>
          <w:szCs w:val="32"/>
          <w14:textFill>
            <w14:solidFill>
              <w14:schemeClr w14:val="tx1"/>
            </w14:solidFill>
          </w14:textFill>
        </w:rPr>
        <w:t>文件（操作路径：登录“政采云”平台-项目采购-获取采购文件-找到本项目-点击“申请获取采购文件”），其他途径获取的</w:t>
      </w:r>
      <w:r>
        <w:rPr>
          <w:rFonts w:hint="eastAsia"/>
          <w:color w:val="000000" w:themeColor="text1"/>
          <w:sz w:val="24"/>
          <w:szCs w:val="32"/>
          <w:lang w:val="en-US" w:eastAsia="zh-CN"/>
          <w14:textFill>
            <w14:solidFill>
              <w14:schemeClr w14:val="tx1"/>
            </w14:solidFill>
          </w14:textFill>
        </w:rPr>
        <w:t>招标</w:t>
      </w:r>
      <w:r>
        <w:rPr>
          <w:rFonts w:hint="eastAsia"/>
          <w:color w:val="000000" w:themeColor="text1"/>
          <w:sz w:val="24"/>
          <w:szCs w:val="32"/>
          <w14:textFill>
            <w14:solidFill>
              <w14:schemeClr w14:val="tx1"/>
            </w14:solidFill>
          </w14:textFill>
        </w:rPr>
        <w:t>文件开标时一律按无效投标处理。</w:t>
      </w:r>
    </w:p>
    <w:p w14:paraId="3FEF35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售价：0.00元</w:t>
      </w:r>
    </w:p>
    <w:p w14:paraId="70A948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四、提交投标文件截止时间、开标时间和地点</w:t>
      </w:r>
    </w:p>
    <w:p w14:paraId="1C51F8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1、</w:t>
      </w:r>
      <w:r>
        <w:rPr>
          <w:rFonts w:hint="eastAsia"/>
          <w:color w:val="000000" w:themeColor="text1"/>
          <w:sz w:val="24"/>
          <w:szCs w:val="32"/>
          <w14:textFill>
            <w14:solidFill>
              <w14:schemeClr w14:val="tx1"/>
            </w14:solidFill>
          </w14:textFill>
        </w:rPr>
        <w:t>投标文件截止时间、开标时间：2025年</w:t>
      </w:r>
      <w:r>
        <w:rPr>
          <w:rFonts w:hint="eastAsia"/>
          <w:color w:val="000000" w:themeColor="text1"/>
          <w:sz w:val="24"/>
          <w:szCs w:val="32"/>
          <w:lang w:val="en-US" w:eastAsia="zh-CN"/>
          <w14:textFill>
            <w14:solidFill>
              <w14:schemeClr w14:val="tx1"/>
            </w14:solidFill>
          </w14:textFill>
        </w:rPr>
        <w:t>7</w:t>
      </w:r>
      <w:r>
        <w:rPr>
          <w:rFonts w:hint="eastAsia"/>
          <w:color w:val="000000" w:themeColor="text1"/>
          <w:sz w:val="24"/>
          <w:szCs w:val="32"/>
          <w14:textFill>
            <w14:solidFill>
              <w14:schemeClr w14:val="tx1"/>
            </w14:solidFill>
          </w14:textFill>
        </w:rPr>
        <w:t>月</w:t>
      </w:r>
      <w:r>
        <w:rPr>
          <w:rFonts w:hint="eastAsia"/>
          <w:color w:val="000000" w:themeColor="text1"/>
          <w:sz w:val="24"/>
          <w:szCs w:val="32"/>
          <w:lang w:val="en-US" w:eastAsia="zh-CN"/>
          <w14:textFill>
            <w14:solidFill>
              <w14:schemeClr w14:val="tx1"/>
            </w14:solidFill>
          </w14:textFill>
        </w:rPr>
        <w:t>22</w:t>
      </w:r>
      <w:r>
        <w:rPr>
          <w:rFonts w:hint="eastAsia"/>
          <w:color w:val="000000" w:themeColor="text1"/>
          <w:sz w:val="24"/>
          <w:szCs w:val="32"/>
          <w14:textFill>
            <w14:solidFill>
              <w14:schemeClr w14:val="tx1"/>
            </w14:solidFill>
          </w14:textFill>
        </w:rPr>
        <w:t>日0</w:t>
      </w:r>
      <w:r>
        <w:rPr>
          <w:rFonts w:hint="eastAsia"/>
          <w:color w:val="000000" w:themeColor="text1"/>
          <w:sz w:val="24"/>
          <w:szCs w:val="32"/>
          <w:lang w:val="en-US" w:eastAsia="zh-CN"/>
          <w14:textFill>
            <w14:solidFill>
              <w14:schemeClr w14:val="tx1"/>
            </w14:solidFill>
          </w14:textFill>
        </w:rPr>
        <w:t>9</w:t>
      </w:r>
      <w:r>
        <w:rPr>
          <w:rFonts w:hint="eastAsia"/>
          <w:color w:val="000000" w:themeColor="text1"/>
          <w:sz w:val="24"/>
          <w:szCs w:val="32"/>
          <w14:textFill>
            <w14:solidFill>
              <w14:schemeClr w14:val="tx1"/>
            </w14:solidFill>
          </w14:textFill>
        </w:rPr>
        <w:t>：</w:t>
      </w:r>
      <w:r>
        <w:rPr>
          <w:rFonts w:hint="eastAsia"/>
          <w:color w:val="000000" w:themeColor="text1"/>
          <w:sz w:val="24"/>
          <w:szCs w:val="32"/>
          <w:lang w:val="en-US" w:eastAsia="zh-CN"/>
          <w14:textFill>
            <w14:solidFill>
              <w14:schemeClr w14:val="tx1"/>
            </w14:solidFill>
          </w14:textFill>
        </w:rPr>
        <w:t>3</w:t>
      </w:r>
      <w:r>
        <w:rPr>
          <w:rFonts w:hint="eastAsia"/>
          <w:color w:val="000000" w:themeColor="text1"/>
          <w:sz w:val="24"/>
          <w:szCs w:val="32"/>
          <w14:textFill>
            <w14:solidFill>
              <w14:schemeClr w14:val="tx1"/>
            </w14:solidFill>
          </w14:textFill>
        </w:rPr>
        <w:t>0（北京时间）</w:t>
      </w:r>
    </w:p>
    <w:p w14:paraId="0D2227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2、</w:t>
      </w:r>
      <w:r>
        <w:rPr>
          <w:rFonts w:hint="eastAsia"/>
          <w:color w:val="000000" w:themeColor="text1"/>
          <w:sz w:val="24"/>
          <w:szCs w:val="32"/>
          <w14:textFill>
            <w14:solidFill>
              <w14:schemeClr w14:val="tx1"/>
            </w14:solidFill>
          </w14:textFill>
        </w:rPr>
        <w:t>地点：请登录“政采云”平台(http：//www.zcygov.cn)上传投标，逾期未上传电子响应文件，将不予受理。</w:t>
      </w:r>
    </w:p>
    <w:p w14:paraId="6A0808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五、公告期限</w:t>
      </w:r>
    </w:p>
    <w:p w14:paraId="6D79EB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自本公告发布之日起5个工作日。</w:t>
      </w:r>
    </w:p>
    <w:p w14:paraId="168083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六、其它补充事宜</w:t>
      </w:r>
    </w:p>
    <w:p w14:paraId="0B899E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1、供应商在政府采购云平台网注册入库成为正式供应商后，在平台上按《政府采购项目电子交易管理操作指南-供应商》进行投标操作。投标人须办理数字证书方可参加投标。</w:t>
      </w:r>
    </w:p>
    <w:p w14:paraId="7DCCE0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2、收到CA锁以后在“政采云”登陆界面，点击CA登录-CA驱动下载-下载并安装政采云投标客户端和CA驱动，账号绑定CA后才能进行投标文件制作。</w:t>
      </w:r>
    </w:p>
    <w:p w14:paraId="620442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3、若对项目采购电子交易系统操作有疑问，可登录“政采云”平台，点击右侧咨询小采，获取采小蜜智能服务管家帮助，或拨打政采云服务热线95763获取帮助。</w:t>
      </w:r>
    </w:p>
    <w:p w14:paraId="02C59A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4、有效投标人不足三家时，采购人另行组织招标。</w:t>
      </w:r>
    </w:p>
    <w:p w14:paraId="5D3B24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5、当投标人的有效投标报价超出预算金额的，该投标报价视为无效报价。</w:t>
      </w:r>
    </w:p>
    <w:p w14:paraId="0BBF63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themeColor="text1"/>
          <w:sz w:val="24"/>
          <w:szCs w:val="24"/>
          <w14:textFill>
            <w14:solidFill>
              <w14:schemeClr w14:val="tx1"/>
            </w14:solidFill>
          </w14:textFill>
        </w:rPr>
      </w:pPr>
      <w:r>
        <w:rPr>
          <w:rFonts w:hint="eastAsia"/>
          <w:color w:val="000000" w:themeColor="text1"/>
          <w:sz w:val="24"/>
          <w:szCs w:val="32"/>
          <w14:textFill>
            <w14:solidFill>
              <w14:schemeClr w14:val="tx1"/>
            </w14:solidFill>
          </w14:textFill>
        </w:rPr>
        <w:t>6、</w:t>
      </w:r>
      <w:r>
        <w:rPr>
          <w:rFonts w:hint="eastAsia" w:ascii="宋体" w:hAnsi="宋体" w:eastAsia="宋体" w:cs="宋体"/>
          <w:i w:val="0"/>
          <w:iCs w:val="0"/>
          <w:color w:val="000000" w:themeColor="text1"/>
          <w:sz w:val="24"/>
          <w:szCs w:val="24"/>
          <w14:textFill>
            <w14:solidFill>
              <w14:schemeClr w14:val="tx1"/>
            </w14:solidFill>
          </w14:textFill>
        </w:rPr>
        <w:t>本次招标公告在“政采云”平台（http:// www.zcygov.cn），同步推送到吉林省政府采购网（http://www.ccgp-jilin.gov.cn/）、吉林省公共资源交易服务平台、中国政府采购网，并同时在中国招标投标公共服务平台上发布。</w:t>
      </w:r>
    </w:p>
    <w:p w14:paraId="03FAF3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32"/>
        </w:rPr>
      </w:pPr>
      <w:r>
        <w:rPr>
          <w:rFonts w:hint="eastAsia"/>
          <w:color w:val="auto"/>
          <w:sz w:val="24"/>
          <w:szCs w:val="32"/>
        </w:rPr>
        <w:t>七、对本次招标提出询问，请按以下方式联系</w:t>
      </w:r>
    </w:p>
    <w:p w14:paraId="22896F5A">
      <w:pPr>
        <w:keepNext w:val="0"/>
        <w:keepLines w:val="0"/>
        <w:pageBreakBefore w:val="0"/>
        <w:widowControl/>
        <w:kinsoku/>
        <w:wordWrap/>
        <w:overflowPunct/>
        <w:topLinePunct w:val="0"/>
        <w:autoSpaceDE w:val="0"/>
        <w:autoSpaceDN w:val="0"/>
        <w:bidi w:val="0"/>
        <w:adjustRightInd w:val="0"/>
        <w:snapToGrid w:val="0"/>
        <w:spacing w:line="360" w:lineRule="auto"/>
        <w:ind w:left="420" w:leftChars="200"/>
        <w:textAlignment w:val="auto"/>
        <w:rPr>
          <w:rFonts w:hint="eastAsia" w:ascii="宋体" w:hAnsi="宋体" w:eastAsia="宋体" w:cs="宋体"/>
          <w:i w:val="0"/>
          <w:iCs w:val="0"/>
          <w:color w:val="auto"/>
          <w:kern w:val="0"/>
          <w:sz w:val="24"/>
          <w:szCs w:val="24"/>
          <w:lang w:val="en-US" w:eastAsia="zh-CN"/>
        </w:rPr>
      </w:pPr>
      <w:bookmarkStart w:id="1" w:name="_Toc35393806"/>
      <w:bookmarkStart w:id="2" w:name="_Toc28359019"/>
      <w:bookmarkStart w:id="3" w:name="_Toc28359096"/>
      <w:bookmarkStart w:id="4" w:name="_Toc35393637"/>
      <w:r>
        <w:rPr>
          <w:rFonts w:hint="eastAsia" w:ascii="宋体" w:hAnsi="宋体" w:eastAsia="宋体" w:cs="宋体"/>
          <w:i w:val="0"/>
          <w:iCs w:val="0"/>
          <w:color w:val="auto"/>
          <w:kern w:val="0"/>
          <w:sz w:val="24"/>
          <w:szCs w:val="24"/>
          <w:lang w:val="en-US" w:eastAsia="zh-CN"/>
        </w:rPr>
        <w:t>1.采购人信息</w:t>
      </w:r>
      <w:bookmarkEnd w:id="1"/>
      <w:bookmarkEnd w:id="2"/>
      <w:bookmarkEnd w:id="3"/>
      <w:bookmarkEnd w:id="4"/>
      <w:bookmarkStart w:id="5" w:name="_Toc35393638"/>
      <w:bookmarkStart w:id="6" w:name="_Toc28359097"/>
      <w:bookmarkStart w:id="7" w:name="_Toc28359020"/>
      <w:bookmarkStart w:id="8" w:name="_Toc35393807"/>
    </w:p>
    <w:p w14:paraId="15F87364">
      <w:pPr>
        <w:keepNext w:val="0"/>
        <w:keepLines w:val="0"/>
        <w:pageBreakBefore w:val="0"/>
        <w:widowControl/>
        <w:kinsoku/>
        <w:wordWrap/>
        <w:overflowPunct/>
        <w:topLinePunct w:val="0"/>
        <w:autoSpaceDE w:val="0"/>
        <w:autoSpaceDN w:val="0"/>
        <w:bidi w:val="0"/>
        <w:adjustRightInd w:val="0"/>
        <w:snapToGrid w:val="0"/>
        <w:spacing w:line="360" w:lineRule="auto"/>
        <w:ind w:left="420" w:leftChars="200"/>
        <w:textAlignment w:val="auto"/>
        <w:rPr>
          <w:rFonts w:hint="eastAsia" w:ascii="宋体" w:hAnsi="宋体" w:eastAsia="宋体" w:cs="宋体"/>
          <w:i w:val="0"/>
          <w:iCs w:val="0"/>
          <w:color w:val="auto"/>
          <w:kern w:val="0"/>
          <w:sz w:val="24"/>
          <w:szCs w:val="24"/>
          <w:lang w:val="en-US" w:eastAsia="zh-CN"/>
        </w:rPr>
      </w:pPr>
      <w:r>
        <w:rPr>
          <w:rFonts w:hint="eastAsia" w:ascii="宋体" w:hAnsi="宋体" w:eastAsia="宋体" w:cs="宋体"/>
          <w:i w:val="0"/>
          <w:iCs w:val="0"/>
          <w:color w:val="auto"/>
          <w:kern w:val="0"/>
          <w:sz w:val="24"/>
          <w:szCs w:val="24"/>
          <w:lang w:val="en-US" w:eastAsia="zh-CN"/>
        </w:rPr>
        <w:t>名称：吉林市船营区中小学校后勤管理中心</w:t>
      </w:r>
    </w:p>
    <w:p w14:paraId="6903805F">
      <w:pPr>
        <w:keepNext w:val="0"/>
        <w:keepLines w:val="0"/>
        <w:pageBreakBefore w:val="0"/>
        <w:widowControl/>
        <w:kinsoku/>
        <w:wordWrap/>
        <w:overflowPunct/>
        <w:topLinePunct w:val="0"/>
        <w:autoSpaceDE w:val="0"/>
        <w:autoSpaceDN w:val="0"/>
        <w:bidi w:val="0"/>
        <w:adjustRightInd w:val="0"/>
        <w:snapToGrid w:val="0"/>
        <w:spacing w:line="360" w:lineRule="auto"/>
        <w:ind w:left="420" w:leftChars="200"/>
        <w:textAlignment w:val="auto"/>
        <w:rPr>
          <w:rFonts w:hint="eastAsia" w:ascii="宋体" w:hAnsi="宋体" w:eastAsia="宋体" w:cs="宋体"/>
          <w:i w:val="0"/>
          <w:iCs w:val="0"/>
          <w:color w:val="auto"/>
          <w:kern w:val="0"/>
          <w:sz w:val="24"/>
          <w:szCs w:val="24"/>
          <w:lang w:val="en-US" w:eastAsia="zh-CN"/>
        </w:rPr>
      </w:pPr>
      <w:r>
        <w:rPr>
          <w:rFonts w:hint="eastAsia" w:ascii="宋体" w:hAnsi="宋体" w:eastAsia="宋体" w:cs="宋体"/>
          <w:i w:val="0"/>
          <w:iCs w:val="0"/>
          <w:color w:val="auto"/>
          <w:kern w:val="0"/>
          <w:sz w:val="24"/>
          <w:szCs w:val="24"/>
          <w:lang w:val="en-US" w:eastAsia="zh-CN"/>
        </w:rPr>
        <w:t>地址：吉林市船营区昆明街安长胡同1号教育综合楼</w:t>
      </w:r>
    </w:p>
    <w:p w14:paraId="06928929">
      <w:pPr>
        <w:keepNext w:val="0"/>
        <w:keepLines w:val="0"/>
        <w:pageBreakBefore w:val="0"/>
        <w:widowControl/>
        <w:kinsoku/>
        <w:wordWrap/>
        <w:overflowPunct/>
        <w:topLinePunct w:val="0"/>
        <w:autoSpaceDE w:val="0"/>
        <w:autoSpaceDN w:val="0"/>
        <w:bidi w:val="0"/>
        <w:adjustRightInd w:val="0"/>
        <w:snapToGrid w:val="0"/>
        <w:spacing w:line="360" w:lineRule="auto"/>
        <w:ind w:left="420" w:leftChars="200"/>
        <w:textAlignment w:val="auto"/>
        <w:rPr>
          <w:rFonts w:hint="default" w:ascii="宋体" w:hAnsi="宋体" w:eastAsia="宋体" w:cs="宋体"/>
          <w:i w:val="0"/>
          <w:iCs w:val="0"/>
          <w:color w:val="auto"/>
          <w:kern w:val="0"/>
          <w:sz w:val="24"/>
          <w:szCs w:val="24"/>
          <w:lang w:val="en-US" w:eastAsia="zh-CN"/>
        </w:rPr>
      </w:pPr>
      <w:r>
        <w:rPr>
          <w:rFonts w:hint="eastAsia" w:ascii="宋体" w:hAnsi="宋体" w:eastAsia="宋体" w:cs="宋体"/>
          <w:i w:val="0"/>
          <w:iCs w:val="0"/>
          <w:color w:val="auto"/>
          <w:kern w:val="0"/>
          <w:sz w:val="24"/>
          <w:szCs w:val="24"/>
          <w:lang w:val="en-US" w:eastAsia="zh-CN"/>
        </w:rPr>
        <w:t>联系</w:t>
      </w:r>
      <w:r>
        <w:rPr>
          <w:rFonts w:hint="eastAsia" w:cs="宋体"/>
          <w:i w:val="0"/>
          <w:iCs w:val="0"/>
          <w:color w:val="auto"/>
          <w:kern w:val="0"/>
          <w:sz w:val="24"/>
          <w:szCs w:val="24"/>
          <w:lang w:val="en-US" w:eastAsia="zh-CN"/>
        </w:rPr>
        <w:t>人</w:t>
      </w:r>
      <w:r>
        <w:rPr>
          <w:rFonts w:hint="eastAsia" w:ascii="宋体" w:hAnsi="宋体" w:eastAsia="宋体" w:cs="宋体"/>
          <w:i w:val="0"/>
          <w:iCs w:val="0"/>
          <w:color w:val="auto"/>
          <w:kern w:val="0"/>
          <w:sz w:val="24"/>
          <w:szCs w:val="24"/>
          <w:lang w:val="en-US" w:eastAsia="zh-CN"/>
        </w:rPr>
        <w:t>：赵军</w:t>
      </w:r>
    </w:p>
    <w:p w14:paraId="25080A5F">
      <w:pPr>
        <w:keepNext w:val="0"/>
        <w:keepLines w:val="0"/>
        <w:pageBreakBefore w:val="0"/>
        <w:widowControl/>
        <w:kinsoku/>
        <w:wordWrap/>
        <w:overflowPunct/>
        <w:topLinePunct w:val="0"/>
        <w:autoSpaceDE w:val="0"/>
        <w:autoSpaceDN w:val="0"/>
        <w:bidi w:val="0"/>
        <w:adjustRightInd w:val="0"/>
        <w:snapToGrid w:val="0"/>
        <w:spacing w:line="360" w:lineRule="auto"/>
        <w:ind w:left="420" w:leftChars="200"/>
        <w:textAlignment w:val="auto"/>
        <w:rPr>
          <w:rFonts w:hint="eastAsia" w:ascii="宋体" w:hAnsi="宋体" w:eastAsia="宋体" w:cs="宋体"/>
          <w:i w:val="0"/>
          <w:iCs w:val="0"/>
          <w:color w:val="auto"/>
          <w:kern w:val="0"/>
          <w:sz w:val="24"/>
          <w:szCs w:val="24"/>
          <w:lang w:val="en-US" w:eastAsia="zh-CN"/>
        </w:rPr>
      </w:pPr>
      <w:r>
        <w:rPr>
          <w:rFonts w:hint="eastAsia" w:ascii="宋体" w:hAnsi="宋体" w:eastAsia="宋体" w:cs="宋体"/>
          <w:i w:val="0"/>
          <w:iCs w:val="0"/>
          <w:color w:val="auto"/>
          <w:kern w:val="0"/>
          <w:sz w:val="24"/>
          <w:szCs w:val="24"/>
          <w:lang w:val="en-US" w:eastAsia="zh-CN"/>
        </w:rPr>
        <w:t>联系电话：0432-63323195</w:t>
      </w:r>
    </w:p>
    <w:p w14:paraId="602C1155">
      <w:pPr>
        <w:keepNext w:val="0"/>
        <w:keepLines w:val="0"/>
        <w:pageBreakBefore w:val="0"/>
        <w:widowControl/>
        <w:kinsoku/>
        <w:wordWrap/>
        <w:overflowPunct/>
        <w:topLinePunct w:val="0"/>
        <w:autoSpaceDE w:val="0"/>
        <w:autoSpaceDN w:val="0"/>
        <w:bidi w:val="0"/>
        <w:adjustRightInd w:val="0"/>
        <w:snapToGrid w:val="0"/>
        <w:spacing w:line="360" w:lineRule="auto"/>
        <w:ind w:left="420" w:leftChars="200"/>
        <w:textAlignment w:val="auto"/>
        <w:rPr>
          <w:rFonts w:hint="eastAsia" w:ascii="宋体" w:hAnsi="宋体" w:eastAsia="宋体" w:cs="宋体"/>
          <w:i w:val="0"/>
          <w:iCs w:val="0"/>
          <w:color w:val="auto"/>
          <w:kern w:val="0"/>
          <w:sz w:val="24"/>
          <w:szCs w:val="24"/>
          <w:lang w:val="en-US" w:eastAsia="zh-CN"/>
        </w:rPr>
      </w:pPr>
      <w:r>
        <w:rPr>
          <w:rFonts w:hint="eastAsia" w:ascii="宋体" w:hAnsi="宋体" w:eastAsia="宋体" w:cs="宋体"/>
          <w:i w:val="0"/>
          <w:iCs w:val="0"/>
          <w:color w:val="auto"/>
          <w:kern w:val="0"/>
          <w:sz w:val="24"/>
          <w:szCs w:val="24"/>
          <w:lang w:val="en-US" w:eastAsia="zh-CN"/>
        </w:rPr>
        <w:t>2.采购代理机构信息</w:t>
      </w:r>
      <w:bookmarkEnd w:id="5"/>
      <w:bookmarkEnd w:id="6"/>
      <w:bookmarkEnd w:id="7"/>
      <w:bookmarkEnd w:id="8"/>
    </w:p>
    <w:p w14:paraId="0281D83B">
      <w:pPr>
        <w:keepNext w:val="0"/>
        <w:keepLines w:val="0"/>
        <w:pageBreakBefore w:val="0"/>
        <w:widowControl/>
        <w:kinsoku/>
        <w:wordWrap/>
        <w:overflowPunct/>
        <w:topLinePunct w:val="0"/>
        <w:autoSpaceDE w:val="0"/>
        <w:autoSpaceDN w:val="0"/>
        <w:bidi w:val="0"/>
        <w:adjustRightInd w:val="0"/>
        <w:snapToGrid w:val="0"/>
        <w:spacing w:line="360" w:lineRule="auto"/>
        <w:ind w:left="420" w:leftChars="200"/>
        <w:textAlignment w:val="auto"/>
        <w:rPr>
          <w:rFonts w:hint="eastAsia" w:ascii="宋体" w:hAnsi="宋体" w:eastAsia="宋体" w:cs="宋体"/>
          <w:i w:val="0"/>
          <w:iCs w:val="0"/>
          <w:color w:val="auto"/>
          <w:kern w:val="0"/>
          <w:sz w:val="24"/>
          <w:szCs w:val="24"/>
          <w:lang w:val="en-US" w:eastAsia="zh-CN"/>
        </w:rPr>
      </w:pPr>
      <w:bookmarkStart w:id="9" w:name="_Toc28359021"/>
      <w:bookmarkStart w:id="10" w:name="_Toc35393639"/>
      <w:bookmarkStart w:id="11" w:name="_Toc35393808"/>
      <w:bookmarkStart w:id="12" w:name="_Toc28359098"/>
      <w:r>
        <w:rPr>
          <w:rFonts w:hint="eastAsia" w:ascii="宋体" w:hAnsi="宋体" w:eastAsia="宋体" w:cs="宋体"/>
          <w:i w:val="0"/>
          <w:iCs w:val="0"/>
          <w:color w:val="auto"/>
          <w:kern w:val="0"/>
          <w:sz w:val="24"/>
          <w:szCs w:val="24"/>
          <w:lang w:val="en-US" w:eastAsia="zh-CN"/>
        </w:rPr>
        <w:t>名称：吉林中利项目管理有限公司</w:t>
      </w:r>
    </w:p>
    <w:p w14:paraId="3F953EB8">
      <w:pPr>
        <w:keepNext w:val="0"/>
        <w:keepLines w:val="0"/>
        <w:pageBreakBefore w:val="0"/>
        <w:widowControl/>
        <w:kinsoku/>
        <w:wordWrap/>
        <w:overflowPunct/>
        <w:topLinePunct w:val="0"/>
        <w:autoSpaceDE w:val="0"/>
        <w:autoSpaceDN w:val="0"/>
        <w:bidi w:val="0"/>
        <w:adjustRightInd w:val="0"/>
        <w:snapToGrid w:val="0"/>
        <w:spacing w:line="360" w:lineRule="auto"/>
        <w:ind w:left="420" w:leftChars="200"/>
        <w:textAlignment w:val="auto"/>
        <w:rPr>
          <w:rFonts w:hint="eastAsia" w:ascii="宋体" w:hAnsi="宋体" w:eastAsia="宋体" w:cs="宋体"/>
          <w:i w:val="0"/>
          <w:iCs w:val="0"/>
          <w:color w:val="auto"/>
          <w:kern w:val="0"/>
          <w:sz w:val="24"/>
          <w:szCs w:val="24"/>
          <w:lang w:val="en-US" w:eastAsia="zh-CN"/>
        </w:rPr>
      </w:pPr>
      <w:r>
        <w:rPr>
          <w:rFonts w:hint="eastAsia" w:ascii="宋体" w:hAnsi="宋体" w:eastAsia="宋体" w:cs="宋体"/>
          <w:i w:val="0"/>
          <w:iCs w:val="0"/>
          <w:color w:val="auto"/>
          <w:kern w:val="0"/>
          <w:sz w:val="24"/>
          <w:szCs w:val="24"/>
          <w:lang w:val="en-US" w:eastAsia="zh-CN"/>
        </w:rPr>
        <w:t>地址：吉林市船营区河南街建林胡同6号楼吉源商城G区1号</w:t>
      </w:r>
      <w:r>
        <w:rPr>
          <w:rFonts w:hint="eastAsia" w:ascii="宋体" w:hAnsi="宋体" w:eastAsia="宋体" w:cs="宋体"/>
          <w:i w:val="0"/>
          <w:iCs w:val="0"/>
          <w:color w:val="FF0000"/>
          <w:kern w:val="0"/>
          <w:sz w:val="24"/>
          <w:szCs w:val="24"/>
          <w:lang w:val="en-US" w:eastAsia="zh-CN"/>
        </w:rPr>
        <w:t xml:space="preserve"> </w:t>
      </w:r>
      <w:r>
        <w:rPr>
          <w:rFonts w:hint="eastAsia" w:ascii="宋体" w:hAnsi="宋体" w:eastAsia="宋体" w:cs="宋体"/>
          <w:i w:val="0"/>
          <w:iCs w:val="0"/>
          <w:color w:val="auto"/>
          <w:kern w:val="0"/>
          <w:sz w:val="24"/>
          <w:szCs w:val="24"/>
          <w:lang w:val="en-US" w:eastAsia="zh-CN"/>
        </w:rPr>
        <w:t xml:space="preserve"> </w:t>
      </w:r>
    </w:p>
    <w:p w14:paraId="7C9BCB6A">
      <w:pPr>
        <w:keepNext w:val="0"/>
        <w:keepLines w:val="0"/>
        <w:pageBreakBefore w:val="0"/>
        <w:widowControl/>
        <w:kinsoku/>
        <w:wordWrap/>
        <w:overflowPunct/>
        <w:topLinePunct w:val="0"/>
        <w:autoSpaceDE w:val="0"/>
        <w:autoSpaceDN w:val="0"/>
        <w:bidi w:val="0"/>
        <w:adjustRightInd w:val="0"/>
        <w:snapToGrid w:val="0"/>
        <w:spacing w:line="360" w:lineRule="auto"/>
        <w:ind w:left="420" w:leftChars="200"/>
        <w:textAlignment w:val="auto"/>
        <w:rPr>
          <w:rFonts w:hint="eastAsia" w:ascii="宋体" w:hAnsi="宋体" w:eastAsia="宋体" w:cs="宋体"/>
          <w:i w:val="0"/>
          <w:iCs w:val="0"/>
          <w:color w:val="auto"/>
          <w:kern w:val="0"/>
          <w:sz w:val="24"/>
          <w:szCs w:val="24"/>
          <w:lang w:val="en-US" w:eastAsia="zh-CN"/>
        </w:rPr>
      </w:pPr>
      <w:r>
        <w:rPr>
          <w:rFonts w:hint="eastAsia" w:ascii="宋体" w:hAnsi="宋体" w:eastAsia="宋体" w:cs="宋体"/>
          <w:i w:val="0"/>
          <w:iCs w:val="0"/>
          <w:color w:val="auto"/>
          <w:kern w:val="0"/>
          <w:sz w:val="24"/>
          <w:szCs w:val="24"/>
          <w:lang w:val="en-US" w:eastAsia="zh-CN"/>
        </w:rPr>
        <w:t xml:space="preserve">联系人：盖丽娟        </w:t>
      </w:r>
    </w:p>
    <w:p w14:paraId="7AB8EB76">
      <w:pPr>
        <w:keepNext w:val="0"/>
        <w:keepLines w:val="0"/>
        <w:pageBreakBefore w:val="0"/>
        <w:widowControl/>
        <w:kinsoku/>
        <w:wordWrap/>
        <w:overflowPunct/>
        <w:topLinePunct w:val="0"/>
        <w:autoSpaceDE w:val="0"/>
        <w:autoSpaceDN w:val="0"/>
        <w:bidi w:val="0"/>
        <w:adjustRightInd w:val="0"/>
        <w:snapToGrid w:val="0"/>
        <w:spacing w:line="360" w:lineRule="auto"/>
        <w:ind w:left="420" w:leftChars="200"/>
        <w:textAlignment w:val="auto"/>
        <w:rPr>
          <w:rFonts w:hint="eastAsia" w:ascii="宋体" w:hAnsi="宋体" w:eastAsia="宋体" w:cs="宋体"/>
          <w:i w:val="0"/>
          <w:iCs w:val="0"/>
          <w:color w:val="auto"/>
          <w:kern w:val="0"/>
          <w:sz w:val="24"/>
          <w:szCs w:val="24"/>
          <w:lang w:val="en-US" w:eastAsia="zh-CN"/>
        </w:rPr>
      </w:pPr>
      <w:r>
        <w:rPr>
          <w:rFonts w:hint="eastAsia" w:ascii="宋体" w:hAnsi="宋体" w:eastAsia="宋体" w:cs="宋体"/>
          <w:i w:val="0"/>
          <w:iCs w:val="0"/>
          <w:color w:val="auto"/>
          <w:kern w:val="0"/>
          <w:sz w:val="24"/>
          <w:szCs w:val="24"/>
          <w:lang w:val="en-US" w:eastAsia="zh-CN"/>
        </w:rPr>
        <w:t>联系电话：15044201981</w:t>
      </w:r>
    </w:p>
    <w:p w14:paraId="367B5AE3">
      <w:pPr>
        <w:keepNext w:val="0"/>
        <w:keepLines w:val="0"/>
        <w:pageBreakBefore w:val="0"/>
        <w:widowControl/>
        <w:kinsoku/>
        <w:wordWrap/>
        <w:overflowPunct/>
        <w:topLinePunct w:val="0"/>
        <w:autoSpaceDE w:val="0"/>
        <w:autoSpaceDN w:val="0"/>
        <w:bidi w:val="0"/>
        <w:adjustRightInd w:val="0"/>
        <w:snapToGrid w:val="0"/>
        <w:spacing w:line="360" w:lineRule="auto"/>
        <w:ind w:left="420" w:leftChars="200"/>
        <w:textAlignment w:val="auto"/>
        <w:rPr>
          <w:rFonts w:hint="eastAsia" w:ascii="宋体" w:hAnsi="宋体" w:eastAsia="宋体" w:cs="宋体"/>
          <w:i w:val="0"/>
          <w:iCs w:val="0"/>
          <w:color w:val="auto"/>
          <w:kern w:val="0"/>
          <w:sz w:val="24"/>
          <w:szCs w:val="24"/>
          <w:lang w:val="en-US" w:eastAsia="zh-CN"/>
        </w:rPr>
      </w:pPr>
      <w:r>
        <w:rPr>
          <w:rFonts w:hint="eastAsia" w:ascii="宋体" w:hAnsi="宋体" w:eastAsia="宋体" w:cs="宋体"/>
          <w:i w:val="0"/>
          <w:iCs w:val="0"/>
          <w:color w:val="auto"/>
          <w:kern w:val="0"/>
          <w:sz w:val="24"/>
          <w:szCs w:val="24"/>
          <w:lang w:val="en-US" w:eastAsia="zh-CN"/>
        </w:rPr>
        <w:t>3.项目联系方式</w:t>
      </w:r>
      <w:bookmarkEnd w:id="9"/>
      <w:bookmarkEnd w:id="10"/>
      <w:bookmarkEnd w:id="11"/>
      <w:bookmarkEnd w:id="12"/>
    </w:p>
    <w:p w14:paraId="2E0AC15A">
      <w:pPr>
        <w:keepNext w:val="0"/>
        <w:keepLines w:val="0"/>
        <w:pageBreakBefore w:val="0"/>
        <w:widowControl/>
        <w:kinsoku/>
        <w:wordWrap/>
        <w:overflowPunct/>
        <w:topLinePunct w:val="0"/>
        <w:autoSpaceDE w:val="0"/>
        <w:autoSpaceDN w:val="0"/>
        <w:bidi w:val="0"/>
        <w:adjustRightInd w:val="0"/>
        <w:snapToGrid w:val="0"/>
        <w:spacing w:line="360" w:lineRule="auto"/>
        <w:ind w:left="420" w:leftChars="200"/>
        <w:textAlignment w:val="auto"/>
        <w:rPr>
          <w:rFonts w:hint="eastAsia" w:ascii="宋体" w:hAnsi="宋体" w:eastAsia="宋体" w:cs="宋体"/>
          <w:i w:val="0"/>
          <w:iCs w:val="0"/>
          <w:color w:val="auto"/>
          <w:kern w:val="0"/>
          <w:sz w:val="24"/>
          <w:szCs w:val="24"/>
          <w:lang w:val="en-US" w:eastAsia="zh-CN"/>
        </w:rPr>
      </w:pPr>
      <w:r>
        <w:rPr>
          <w:rFonts w:hint="eastAsia" w:ascii="宋体" w:hAnsi="宋体" w:eastAsia="宋体" w:cs="宋体"/>
          <w:i w:val="0"/>
          <w:iCs w:val="0"/>
          <w:color w:val="auto"/>
          <w:kern w:val="0"/>
          <w:sz w:val="24"/>
          <w:szCs w:val="24"/>
          <w:lang w:val="en-US" w:eastAsia="zh-CN"/>
        </w:rPr>
        <w:t>项目联系人：盖丽娟</w:t>
      </w:r>
    </w:p>
    <w:p w14:paraId="4ED2BD98">
      <w:pPr>
        <w:keepNext w:val="0"/>
        <w:keepLines w:val="0"/>
        <w:pageBreakBefore w:val="0"/>
        <w:widowControl/>
        <w:kinsoku/>
        <w:wordWrap/>
        <w:overflowPunct/>
        <w:topLinePunct w:val="0"/>
        <w:autoSpaceDE w:val="0"/>
        <w:autoSpaceDN w:val="0"/>
        <w:bidi w:val="0"/>
        <w:adjustRightInd w:val="0"/>
        <w:snapToGrid w:val="0"/>
        <w:spacing w:line="360" w:lineRule="auto"/>
        <w:ind w:left="420" w:leftChars="200"/>
        <w:textAlignment w:val="auto"/>
        <w:rPr>
          <w:rFonts w:hint="eastAsia" w:ascii="宋体" w:hAnsi="宋体" w:eastAsia="宋体" w:cs="宋体"/>
          <w:i w:val="0"/>
          <w:iCs w:val="0"/>
          <w:color w:val="auto"/>
          <w:kern w:val="0"/>
          <w:sz w:val="24"/>
          <w:szCs w:val="24"/>
          <w:lang w:val="en-US" w:eastAsia="zh-CN"/>
        </w:rPr>
      </w:pPr>
      <w:r>
        <w:rPr>
          <w:rFonts w:hint="eastAsia" w:cs="宋体"/>
          <w:i w:val="0"/>
          <w:iCs w:val="0"/>
          <w:color w:val="auto"/>
          <w:kern w:val="0"/>
          <w:sz w:val="24"/>
          <w:szCs w:val="24"/>
          <w:lang w:val="en-US" w:eastAsia="zh-CN"/>
        </w:rPr>
        <w:t>联系</w:t>
      </w:r>
      <w:r>
        <w:rPr>
          <w:rFonts w:hint="eastAsia" w:ascii="宋体" w:hAnsi="宋体" w:eastAsia="宋体" w:cs="宋体"/>
          <w:i w:val="0"/>
          <w:iCs w:val="0"/>
          <w:color w:val="auto"/>
          <w:kern w:val="0"/>
          <w:sz w:val="24"/>
          <w:szCs w:val="24"/>
          <w:lang w:val="en-US" w:eastAsia="zh-CN"/>
        </w:rPr>
        <w:t>电话：15044201981</w:t>
      </w:r>
    </w:p>
    <w:p w14:paraId="447F3220">
      <w:pPr>
        <w:keepNext w:val="0"/>
        <w:keepLines w:val="0"/>
        <w:pageBreakBefore w:val="0"/>
        <w:widowControl/>
        <w:kinsoku/>
        <w:wordWrap/>
        <w:overflowPunct/>
        <w:topLinePunct w:val="0"/>
        <w:autoSpaceDE w:val="0"/>
        <w:autoSpaceDN w:val="0"/>
        <w:bidi w:val="0"/>
        <w:adjustRightInd w:val="0"/>
        <w:snapToGrid w:val="0"/>
        <w:spacing w:line="360" w:lineRule="auto"/>
        <w:ind w:left="420" w:leftChars="200"/>
        <w:textAlignment w:val="auto"/>
        <w:rPr>
          <w:rFonts w:hint="eastAsia" w:ascii="宋体" w:hAnsi="宋体" w:eastAsia="宋体" w:cs="宋体"/>
          <w:i w:val="0"/>
          <w:iCs w:val="0"/>
          <w:color w:val="auto"/>
          <w:kern w:val="0"/>
          <w:sz w:val="24"/>
          <w:szCs w:val="24"/>
          <w:lang w:val="en-US" w:eastAsia="zh-CN"/>
        </w:rPr>
      </w:pPr>
      <w:r>
        <w:rPr>
          <w:rFonts w:hint="eastAsia" w:ascii="宋体" w:hAnsi="宋体" w:eastAsia="宋体" w:cs="宋体"/>
          <w:i w:val="0"/>
          <w:iCs w:val="0"/>
          <w:color w:val="auto"/>
          <w:kern w:val="0"/>
          <w:sz w:val="24"/>
          <w:szCs w:val="24"/>
          <w:lang w:val="en-US" w:eastAsia="zh-CN"/>
        </w:rPr>
        <w:t>监督部门：</w:t>
      </w:r>
      <w:r>
        <w:rPr>
          <w:rFonts w:hint="eastAsia" w:ascii="宋体" w:hAnsi="宋体" w:eastAsia="宋体" w:cs="宋体"/>
          <w:i w:val="0"/>
          <w:iCs w:val="0"/>
          <w:caps w:val="0"/>
          <w:color w:val="000000"/>
          <w:spacing w:val="0"/>
          <w:sz w:val="24"/>
          <w:szCs w:val="24"/>
        </w:rPr>
        <w:t>吉林市船营区政府采购办公室</w:t>
      </w:r>
    </w:p>
    <w:p w14:paraId="4F4DB59F">
      <w:pPr>
        <w:snapToGrid/>
        <w:spacing w:before="0" w:beforeAutospacing="0" w:after="0" w:afterAutospacing="0" w:line="240" w:lineRule="auto"/>
        <w:jc w:val="left"/>
        <w:textAlignment w:val="baseline"/>
        <w:rPr>
          <w:b w:val="0"/>
          <w:i w:val="0"/>
          <w:caps w:val="0"/>
          <w:spacing w:val="0"/>
          <w:w w:val="100"/>
          <w:sz w:val="24"/>
        </w:rPr>
      </w:pPr>
    </w:p>
    <w:p w14:paraId="39BC18C9">
      <w:pPr>
        <w:snapToGrid/>
        <w:spacing w:before="0" w:beforeAutospacing="0" w:after="0" w:afterAutospacing="0" w:line="240" w:lineRule="auto"/>
        <w:jc w:val="left"/>
        <w:textAlignment w:val="baseline"/>
        <w:rPr>
          <w:b w:val="0"/>
          <w:i w:val="0"/>
          <w:caps w:val="0"/>
          <w:spacing w:val="0"/>
          <w:w w:val="100"/>
          <w:sz w:val="24"/>
        </w:rPr>
      </w:pPr>
    </w:p>
    <w:p w14:paraId="7CFB4617">
      <w:pPr>
        <w:snapToGrid/>
        <w:spacing w:before="0" w:beforeAutospacing="0" w:after="0" w:afterAutospacing="0" w:line="240" w:lineRule="auto"/>
        <w:jc w:val="left"/>
        <w:textAlignment w:val="baseline"/>
        <w:rPr>
          <w:b w:val="0"/>
          <w:i w:val="0"/>
          <w:caps w:val="0"/>
          <w:spacing w:val="0"/>
          <w:w w:val="100"/>
          <w:sz w:val="24"/>
        </w:rPr>
      </w:pPr>
    </w:p>
    <w:p w14:paraId="18815051">
      <w:pPr>
        <w:pStyle w:val="4"/>
        <w:bidi w:val="0"/>
        <w:spacing w:line="360" w:lineRule="auto"/>
        <w:jc w:val="center"/>
        <w:rPr>
          <w:rFonts w:hint="eastAsia"/>
          <w:highlight w:val="none"/>
        </w:rPr>
      </w:pPr>
      <w:bookmarkStart w:id="13" w:name="_Toc18212"/>
      <w:bookmarkStart w:id="14" w:name="_Toc475360672"/>
    </w:p>
    <w:p w14:paraId="680BDDEE">
      <w:pPr>
        <w:rPr>
          <w:rFonts w:hint="eastAsia"/>
          <w:highlight w:val="none"/>
        </w:rPr>
      </w:pPr>
    </w:p>
    <w:p w14:paraId="13873403">
      <w:pPr>
        <w:rPr>
          <w:rFonts w:hint="eastAsia"/>
          <w:highlight w:val="none"/>
        </w:rPr>
      </w:pPr>
    </w:p>
    <w:p w14:paraId="3A5807D6">
      <w:pPr>
        <w:rPr>
          <w:rFonts w:hint="eastAsia"/>
          <w:highlight w:val="none"/>
        </w:rPr>
      </w:pPr>
    </w:p>
    <w:p w14:paraId="7842B106">
      <w:pPr>
        <w:rPr>
          <w:rFonts w:hint="eastAsia"/>
          <w:highlight w:val="none"/>
        </w:rPr>
      </w:pPr>
    </w:p>
    <w:p w14:paraId="0933A88D">
      <w:pPr>
        <w:rPr>
          <w:rFonts w:hint="eastAsia"/>
          <w:highlight w:val="none"/>
        </w:rPr>
      </w:pPr>
    </w:p>
    <w:p w14:paraId="54B46F48">
      <w:pPr>
        <w:rPr>
          <w:rFonts w:hint="eastAsia"/>
          <w:highlight w:val="none"/>
        </w:rPr>
      </w:pPr>
    </w:p>
    <w:p w14:paraId="686E6B0E">
      <w:pPr>
        <w:rPr>
          <w:rFonts w:hint="eastAsia"/>
          <w:highlight w:val="none"/>
        </w:rPr>
      </w:pPr>
    </w:p>
    <w:p w14:paraId="7EC60B8E">
      <w:pPr>
        <w:rPr>
          <w:rFonts w:hint="eastAsia"/>
          <w:highlight w:val="none"/>
        </w:rPr>
      </w:pPr>
    </w:p>
    <w:p w14:paraId="306B1E4A">
      <w:pPr>
        <w:rPr>
          <w:rFonts w:hint="eastAsia"/>
          <w:highlight w:val="none"/>
        </w:rPr>
      </w:pPr>
    </w:p>
    <w:p w14:paraId="735927A2">
      <w:pPr>
        <w:rPr>
          <w:rFonts w:hint="eastAsia"/>
          <w:highlight w:val="none"/>
        </w:rPr>
      </w:pPr>
    </w:p>
    <w:p w14:paraId="59A053CF">
      <w:pPr>
        <w:rPr>
          <w:rFonts w:hint="eastAsia"/>
          <w:highlight w:val="none"/>
        </w:rPr>
      </w:pPr>
    </w:p>
    <w:p w14:paraId="30F12CF6">
      <w:pPr>
        <w:rPr>
          <w:rFonts w:hint="eastAsia"/>
          <w:highlight w:val="none"/>
        </w:rPr>
      </w:pPr>
    </w:p>
    <w:p w14:paraId="156143B0">
      <w:pPr>
        <w:rPr>
          <w:rFonts w:hint="eastAsia"/>
          <w:highlight w:val="none"/>
        </w:rPr>
      </w:pPr>
    </w:p>
    <w:p w14:paraId="1FF8C327">
      <w:pPr>
        <w:rPr>
          <w:rFonts w:hint="eastAsia"/>
          <w:highlight w:val="none"/>
        </w:rPr>
      </w:pPr>
    </w:p>
    <w:p w14:paraId="7F77EFE7">
      <w:pPr>
        <w:rPr>
          <w:rFonts w:hint="eastAsia"/>
          <w:highlight w:val="none"/>
        </w:rPr>
      </w:pPr>
    </w:p>
    <w:p w14:paraId="210D059F">
      <w:pPr>
        <w:pStyle w:val="4"/>
        <w:bidi w:val="0"/>
        <w:spacing w:line="360" w:lineRule="auto"/>
        <w:jc w:val="center"/>
        <w:rPr>
          <w:rFonts w:hint="eastAsia"/>
          <w:highlight w:val="none"/>
        </w:rPr>
      </w:pPr>
      <w:bookmarkStart w:id="15" w:name="_Toc13478"/>
      <w:r>
        <w:rPr>
          <w:rFonts w:hint="eastAsia"/>
          <w:highlight w:val="none"/>
        </w:rPr>
        <w:t>第二章 投标人须知</w:t>
      </w:r>
      <w:bookmarkEnd w:id="13"/>
      <w:bookmarkEnd w:id="14"/>
      <w:bookmarkEnd w:id="15"/>
    </w:p>
    <w:p w14:paraId="397FEDA4">
      <w:pPr>
        <w:jc w:val="center"/>
        <w:rPr>
          <w:rFonts w:hint="eastAsia" w:ascii="宋体" w:hAnsi="宋体" w:eastAsia="宋体" w:cs="宋体"/>
          <w:b/>
          <w:bCs/>
          <w:color w:val="auto"/>
          <w:sz w:val="24"/>
          <w:szCs w:val="24"/>
          <w:highlight w:val="none"/>
          <w:lang w:val="zh-CN"/>
        </w:rPr>
      </w:pPr>
      <w:bookmarkStart w:id="16" w:name="_Toc222232330"/>
      <w:bookmarkStart w:id="17" w:name="_Toc414607337"/>
      <w:r>
        <w:rPr>
          <w:rFonts w:hint="eastAsia" w:ascii="宋体" w:hAnsi="宋体" w:eastAsia="宋体" w:cs="宋体"/>
          <w:b/>
          <w:color w:val="auto"/>
          <w:sz w:val="24"/>
          <w:szCs w:val="24"/>
          <w:highlight w:val="none"/>
          <w:lang w:val="zh-CN"/>
        </w:rPr>
        <w:t>一、投标人须知前附表</w:t>
      </w:r>
      <w:bookmarkEnd w:id="16"/>
      <w:bookmarkEnd w:id="17"/>
    </w:p>
    <w:tbl>
      <w:tblPr>
        <w:tblStyle w:val="1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1700"/>
        <w:gridCol w:w="6758"/>
      </w:tblGrid>
      <w:tr w14:paraId="664F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1" w:type="dxa"/>
            <w:noWrap w:val="0"/>
            <w:vAlign w:val="center"/>
          </w:tcPr>
          <w:p w14:paraId="220A59B4">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序号</w:t>
            </w:r>
          </w:p>
        </w:tc>
        <w:tc>
          <w:tcPr>
            <w:tcW w:w="1700" w:type="dxa"/>
            <w:noWrap w:val="0"/>
            <w:vAlign w:val="center"/>
          </w:tcPr>
          <w:p w14:paraId="153199CC">
            <w:pPr>
              <w:pStyle w:val="11"/>
              <w:keepNext w:val="0"/>
              <w:keepLines w:val="0"/>
              <w:pageBreakBefore w:val="0"/>
              <w:pBdr>
                <w:bottom w:val="none" w:color="auto" w:sz="0" w:space="0"/>
              </w:pBdr>
              <w:tabs>
                <w:tab w:val="clear" w:pos="4153"/>
                <w:tab w:val="clear" w:pos="8306"/>
              </w:tabs>
              <w:kinsoku/>
              <w:wordWrap/>
              <w:overflowPunct/>
              <w:topLinePunct w:val="0"/>
              <w:autoSpaceDE w:val="0"/>
              <w:autoSpaceDN w:val="0"/>
              <w:bidi w:val="0"/>
              <w:adjustRightInd w:val="0"/>
              <w:spacing w:line="360" w:lineRule="exact"/>
              <w:textAlignment w:val="auto"/>
              <w:rPr>
                <w:rFonts w:hint="eastAsia" w:ascii="宋体" w:hAnsi="宋体" w:eastAsia="宋体" w:cs="宋体"/>
                <w:b w:val="0"/>
                <w:color w:val="auto"/>
                <w:sz w:val="24"/>
                <w:szCs w:val="24"/>
                <w:highlight w:val="none"/>
                <w:lang w:val="zh-CN"/>
              </w:rPr>
            </w:pPr>
            <w:r>
              <w:rPr>
                <w:rFonts w:hint="eastAsia" w:ascii="宋体" w:hAnsi="宋体" w:eastAsia="宋体" w:cs="宋体"/>
                <w:b w:val="0"/>
                <w:color w:val="auto"/>
                <w:sz w:val="24"/>
                <w:szCs w:val="24"/>
                <w:highlight w:val="none"/>
                <w:lang w:val="zh-CN"/>
              </w:rPr>
              <w:t>条 款 名 称</w:t>
            </w:r>
          </w:p>
        </w:tc>
        <w:tc>
          <w:tcPr>
            <w:tcW w:w="6758" w:type="dxa"/>
            <w:noWrap w:val="0"/>
            <w:vAlign w:val="center"/>
          </w:tcPr>
          <w:p w14:paraId="16540139">
            <w:pPr>
              <w:pStyle w:val="11"/>
              <w:keepNext w:val="0"/>
              <w:keepLines w:val="0"/>
              <w:pageBreakBefore w:val="0"/>
              <w:pBdr>
                <w:bottom w:val="none" w:color="auto" w:sz="0" w:space="0"/>
              </w:pBdr>
              <w:tabs>
                <w:tab w:val="clear" w:pos="4153"/>
                <w:tab w:val="clear" w:pos="8306"/>
              </w:tabs>
              <w:kinsoku/>
              <w:wordWrap/>
              <w:overflowPunct/>
              <w:topLinePunct w:val="0"/>
              <w:autoSpaceDE w:val="0"/>
              <w:autoSpaceDN w:val="0"/>
              <w:bidi w:val="0"/>
              <w:adjustRightInd w:val="0"/>
              <w:spacing w:line="360" w:lineRule="exact"/>
              <w:textAlignment w:val="auto"/>
              <w:rPr>
                <w:rFonts w:hint="eastAsia" w:ascii="宋体" w:hAnsi="宋体" w:eastAsia="宋体" w:cs="宋体"/>
                <w:b w:val="0"/>
                <w:color w:val="auto"/>
                <w:sz w:val="24"/>
                <w:szCs w:val="24"/>
                <w:highlight w:val="none"/>
                <w:lang w:val="zh-CN"/>
              </w:rPr>
            </w:pPr>
            <w:r>
              <w:rPr>
                <w:rFonts w:hint="eastAsia" w:ascii="宋体" w:hAnsi="宋体" w:eastAsia="宋体" w:cs="宋体"/>
                <w:b w:val="0"/>
                <w:color w:val="auto"/>
                <w:sz w:val="24"/>
                <w:szCs w:val="24"/>
                <w:highlight w:val="none"/>
                <w:lang w:val="zh-CN"/>
              </w:rPr>
              <w:t>编 列 内 容</w:t>
            </w:r>
          </w:p>
        </w:tc>
      </w:tr>
      <w:tr w14:paraId="24247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1" w:type="dxa"/>
            <w:noWrap w:val="0"/>
            <w:vAlign w:val="center"/>
          </w:tcPr>
          <w:p w14:paraId="52299736">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w:t>
            </w:r>
          </w:p>
        </w:tc>
        <w:tc>
          <w:tcPr>
            <w:tcW w:w="1700" w:type="dxa"/>
            <w:noWrap w:val="0"/>
            <w:vAlign w:val="center"/>
          </w:tcPr>
          <w:p w14:paraId="6A8642E0">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采购人</w:t>
            </w:r>
          </w:p>
        </w:tc>
        <w:tc>
          <w:tcPr>
            <w:tcW w:w="6758" w:type="dxa"/>
            <w:noWrap w:val="0"/>
            <w:vAlign w:val="center"/>
          </w:tcPr>
          <w:p w14:paraId="2C260576">
            <w:pPr>
              <w:keepNext w:val="0"/>
              <w:keepLines w:val="0"/>
              <w:pageBreakBefore w:val="0"/>
              <w:kinsoku/>
              <w:wordWrap/>
              <w:overflowPunct/>
              <w:topLinePunct w:val="0"/>
              <w:bidi w:val="0"/>
              <w:snapToGrid/>
              <w:spacing w:line="360" w:lineRule="exac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名称：吉林市船营区中小学校后勤管理中心</w:t>
            </w:r>
          </w:p>
          <w:p w14:paraId="6162D9BF">
            <w:pPr>
              <w:keepNext w:val="0"/>
              <w:keepLines w:val="0"/>
              <w:pageBreakBefore w:val="0"/>
              <w:kinsoku/>
              <w:wordWrap/>
              <w:overflowPunct/>
              <w:topLinePunct w:val="0"/>
              <w:bidi w:val="0"/>
              <w:snapToGrid/>
              <w:spacing w:line="360" w:lineRule="exact"/>
              <w:textAlignment w:val="auto"/>
              <w:rPr>
                <w:rFonts w:hint="eastAsia" w:ascii="宋体" w:hAnsi="宋体" w:eastAsia="宋体" w:cs="宋体"/>
                <w:i w:val="0"/>
                <w:iCs w:val="0"/>
                <w:color w:val="auto"/>
                <w:kern w:val="0"/>
                <w:sz w:val="24"/>
                <w:szCs w:val="24"/>
                <w:lang w:val="en-US" w:eastAsia="zh-CN"/>
              </w:rPr>
            </w:pPr>
            <w:r>
              <w:rPr>
                <w:rFonts w:hint="eastAsia" w:ascii="宋体" w:hAnsi="宋体" w:eastAsia="宋体" w:cs="宋体"/>
                <w:bCs/>
                <w:color w:val="auto"/>
                <w:sz w:val="24"/>
                <w:szCs w:val="24"/>
                <w:highlight w:val="none"/>
                <w:lang w:val="en-US" w:eastAsia="zh-CN"/>
              </w:rPr>
              <w:t>地址：</w:t>
            </w:r>
            <w:r>
              <w:rPr>
                <w:rFonts w:hint="eastAsia" w:ascii="宋体" w:hAnsi="宋体" w:eastAsia="宋体" w:cs="宋体"/>
                <w:i w:val="0"/>
                <w:iCs w:val="0"/>
                <w:color w:val="auto"/>
                <w:kern w:val="0"/>
                <w:sz w:val="24"/>
                <w:szCs w:val="24"/>
                <w:lang w:val="en-US" w:eastAsia="zh-CN"/>
              </w:rPr>
              <w:t>吉林市船营区昆明街安长胡同1号教育综合楼</w:t>
            </w:r>
          </w:p>
          <w:p w14:paraId="7722D4B9">
            <w:pPr>
              <w:keepNext w:val="0"/>
              <w:keepLines w:val="0"/>
              <w:pageBreakBefore w:val="0"/>
              <w:kinsoku/>
              <w:wordWrap/>
              <w:overflowPunct/>
              <w:topLinePunct w:val="0"/>
              <w:bidi w:val="0"/>
              <w:snapToGrid/>
              <w:spacing w:line="360" w:lineRule="exac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联系人：赵军</w:t>
            </w:r>
          </w:p>
          <w:p w14:paraId="02C161EC">
            <w:pPr>
              <w:keepNext w:val="0"/>
              <w:keepLines w:val="0"/>
              <w:pageBreakBefore w:val="0"/>
              <w:kinsoku/>
              <w:wordWrap/>
              <w:overflowPunct/>
              <w:topLinePunct w:val="0"/>
              <w:bidi w:val="0"/>
              <w:snapToGrid/>
              <w:spacing w:line="360" w:lineRule="exact"/>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eastAsia="zh-CN"/>
              </w:rPr>
              <w:t xml:space="preserve">联系电话： 0432-63323195 </w:t>
            </w:r>
          </w:p>
        </w:tc>
      </w:tr>
      <w:tr w14:paraId="294F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1" w:type="dxa"/>
            <w:noWrap w:val="0"/>
            <w:vAlign w:val="center"/>
          </w:tcPr>
          <w:p w14:paraId="26ADBEBF">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w:t>
            </w:r>
          </w:p>
        </w:tc>
        <w:tc>
          <w:tcPr>
            <w:tcW w:w="1700" w:type="dxa"/>
            <w:noWrap w:val="0"/>
            <w:vAlign w:val="center"/>
          </w:tcPr>
          <w:p w14:paraId="2903C8DF">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采购代理机构</w:t>
            </w:r>
          </w:p>
        </w:tc>
        <w:tc>
          <w:tcPr>
            <w:tcW w:w="6758" w:type="dxa"/>
            <w:noWrap w:val="0"/>
            <w:vAlign w:val="center"/>
          </w:tcPr>
          <w:p w14:paraId="4C390883">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名称：吉林中利项目管理有限公司</w:t>
            </w:r>
          </w:p>
          <w:p w14:paraId="256BB889">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地址：吉林市船营区河南街建林胡同6号楼吉源商城G区1号  </w:t>
            </w:r>
          </w:p>
          <w:p w14:paraId="7995B773">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联系人：盖丽娟        </w:t>
            </w:r>
          </w:p>
          <w:p w14:paraId="36971741">
            <w:pPr>
              <w:keepNext w:val="0"/>
              <w:keepLines w:val="0"/>
              <w:pageBreakBefore w:val="0"/>
              <w:kinsoku/>
              <w:wordWrap/>
              <w:overflowPunct/>
              <w:topLinePunct w:val="0"/>
              <w:bidi w:val="0"/>
              <w:snapToGrid/>
              <w:spacing w:line="36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en-US" w:eastAsia="zh-CN"/>
              </w:rPr>
              <w:t>联系电话：15044201981</w:t>
            </w:r>
            <w:r>
              <w:rPr>
                <w:rFonts w:hint="eastAsia" w:ascii="宋体" w:hAnsi="宋体" w:eastAsia="宋体" w:cs="宋体"/>
                <w:color w:val="auto"/>
                <w:sz w:val="24"/>
                <w:szCs w:val="24"/>
                <w:highlight w:val="none"/>
              </w:rPr>
              <w:t xml:space="preserve"> </w:t>
            </w:r>
          </w:p>
        </w:tc>
      </w:tr>
      <w:tr w14:paraId="3155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1" w:type="dxa"/>
            <w:noWrap w:val="0"/>
            <w:vAlign w:val="center"/>
          </w:tcPr>
          <w:p w14:paraId="08DFF7AA">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w:t>
            </w:r>
          </w:p>
        </w:tc>
        <w:tc>
          <w:tcPr>
            <w:tcW w:w="1700" w:type="dxa"/>
            <w:noWrap w:val="0"/>
            <w:vAlign w:val="center"/>
          </w:tcPr>
          <w:p w14:paraId="19E33D2A">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项目名称及编号</w:t>
            </w:r>
          </w:p>
        </w:tc>
        <w:tc>
          <w:tcPr>
            <w:tcW w:w="6758" w:type="dxa"/>
            <w:noWrap w:val="0"/>
            <w:vAlign w:val="center"/>
          </w:tcPr>
          <w:p w14:paraId="0E807DF0">
            <w:pPr>
              <w:spacing w:line="240" w:lineRule="auto"/>
              <w:jc w:val="left"/>
              <w:rPr>
                <w:rFonts w:hint="eastAsia" w:ascii="宋体" w:hAnsi="宋体" w:eastAsia="宋体" w:cs="Times New Roman"/>
                <w:bCs/>
                <w:color w:val="000000" w:themeColor="text1"/>
                <w:sz w:val="24"/>
                <w:szCs w:val="24"/>
                <w:highlight w:val="none"/>
                <w:lang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eastAsia="zh-CN"/>
                <w14:textFill>
                  <w14:solidFill>
                    <w14:schemeClr w14:val="tx1"/>
                  </w14:solidFill>
                </w14:textFill>
              </w:rPr>
              <w:t>项目名称：吉林市船营区中小学生上</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放</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学校车接送服务项目</w:t>
            </w:r>
          </w:p>
          <w:p w14:paraId="7230BB4C">
            <w:pPr>
              <w:spacing w:line="240" w:lineRule="auto"/>
              <w:jc w:val="left"/>
              <w:rPr>
                <w:rFonts w:hint="eastAsia" w:ascii="宋体" w:hAnsi="宋体" w:eastAsia="宋体" w:cs="Times New Roman"/>
                <w:bCs/>
                <w:kern w:val="2"/>
                <w:sz w:val="24"/>
                <w:szCs w:val="24"/>
                <w:highlight w:val="none"/>
                <w:lang w:val="en-US" w:eastAsia="zh-CN" w:bidi="ar-SA"/>
              </w:rPr>
            </w:pPr>
            <w:r>
              <w:rPr>
                <w:rFonts w:hint="eastAsia" w:ascii="宋体" w:hAnsi="宋体" w:eastAsia="宋体" w:cs="Times New Roman"/>
                <w:bCs/>
                <w:sz w:val="24"/>
                <w:szCs w:val="24"/>
                <w:highlight w:val="none"/>
                <w:lang w:eastAsia="zh-CN"/>
              </w:rPr>
              <w:t>项目编号：</w:t>
            </w:r>
            <w:r>
              <w:rPr>
                <w:rFonts w:hint="eastAsia" w:ascii="宋体" w:hAnsi="宋体" w:eastAsia="宋体" w:cs="Times New Roman"/>
                <w:bCs/>
                <w:sz w:val="24"/>
                <w:szCs w:val="24"/>
                <w:highlight w:val="none"/>
                <w:lang w:val="zh-CN" w:eastAsia="zh-CN"/>
              </w:rPr>
              <w:t>采购计划-[2025]-00048号-CG0029</w:t>
            </w:r>
          </w:p>
        </w:tc>
      </w:tr>
      <w:tr w14:paraId="194EE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1" w:type="dxa"/>
            <w:noWrap w:val="0"/>
            <w:vAlign w:val="center"/>
          </w:tcPr>
          <w:p w14:paraId="489A7504">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1700" w:type="dxa"/>
            <w:noWrap w:val="0"/>
            <w:vAlign w:val="center"/>
          </w:tcPr>
          <w:p w14:paraId="2E0F6A42">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服务</w:t>
            </w:r>
            <w:r>
              <w:rPr>
                <w:rFonts w:hint="eastAsia" w:ascii="宋体" w:hAnsi="宋体" w:eastAsia="宋体" w:cs="宋体"/>
                <w:bCs/>
                <w:color w:val="auto"/>
                <w:sz w:val="24"/>
                <w:szCs w:val="24"/>
                <w:highlight w:val="none"/>
                <w:lang w:val="zh-CN"/>
              </w:rPr>
              <w:t>需求</w:t>
            </w:r>
          </w:p>
        </w:tc>
        <w:tc>
          <w:tcPr>
            <w:tcW w:w="6758" w:type="dxa"/>
            <w:noWrap w:val="0"/>
            <w:vAlign w:val="center"/>
          </w:tcPr>
          <w:p w14:paraId="34412DA1">
            <w:pPr>
              <w:keepNext w:val="0"/>
              <w:keepLines w:val="0"/>
              <w:pageBreakBefore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详见第五章服务需求</w:t>
            </w:r>
          </w:p>
          <w:p w14:paraId="6DF3849C">
            <w:pPr>
              <w:keepNext w:val="0"/>
              <w:keepLines w:val="0"/>
              <w:pageBreakBefore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1、线路：校车服务范围涵盖 9 所中小学保障上学日早、晚安全接送学校学生从乘车站点到学校的往返。</w:t>
            </w:r>
          </w:p>
          <w:p w14:paraId="20F771F1">
            <w:pPr>
              <w:keepNext w:val="0"/>
              <w:keepLines w:val="0"/>
              <w:pageBreakBefore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 所中小学包含：吉林市船营区欢喜乡中心小学校、吉林市船营区越北镇中心小学校、吉林市船营区大绥河镇中心小学校、吉林市船营区搜登站镇中心小学校、吉林市船营区太平小学校、吉林市第二十一中学校、吉林市第二十五中学校、吉林市船营区大绥河镇中学校、吉林市船营区搜登站镇中学校。</w:t>
            </w:r>
          </w:p>
          <w:p w14:paraId="680A0D10">
            <w:pPr>
              <w:keepNext w:val="0"/>
              <w:keepLines w:val="0"/>
              <w:pageBreakBefore w:val="0"/>
              <w:kinsoku/>
              <w:wordWrap/>
              <w:overflowPunct/>
              <w:topLinePunct w:val="0"/>
              <w:autoSpaceDE w:val="0"/>
              <w:autoSpaceDN w:val="0"/>
              <w:bidi w:val="0"/>
              <w:adjustRightInd w:val="0"/>
              <w:snapToGrid w:val="0"/>
              <w:spacing w:line="36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2、每年运营8.5个月。</w:t>
            </w:r>
          </w:p>
        </w:tc>
      </w:tr>
      <w:tr w14:paraId="7C49D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1" w:type="dxa"/>
            <w:noWrap w:val="0"/>
            <w:vAlign w:val="center"/>
          </w:tcPr>
          <w:p w14:paraId="1139389D">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1700" w:type="dxa"/>
            <w:noWrap w:val="0"/>
            <w:vAlign w:val="center"/>
          </w:tcPr>
          <w:p w14:paraId="5EB54FDC">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en-US" w:eastAsia="zh-CN"/>
              </w:rPr>
              <w:t>服务地点</w:t>
            </w:r>
          </w:p>
        </w:tc>
        <w:tc>
          <w:tcPr>
            <w:tcW w:w="6758" w:type="dxa"/>
            <w:noWrap w:val="0"/>
            <w:vAlign w:val="center"/>
          </w:tcPr>
          <w:p w14:paraId="22136ECD">
            <w:pPr>
              <w:keepNext w:val="0"/>
              <w:keepLines w:val="0"/>
              <w:pageBreakBefore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招标人指定地点。</w:t>
            </w:r>
          </w:p>
        </w:tc>
      </w:tr>
      <w:tr w14:paraId="427D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1" w:type="dxa"/>
            <w:noWrap w:val="0"/>
            <w:vAlign w:val="center"/>
          </w:tcPr>
          <w:p w14:paraId="73D340B0">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6</w:t>
            </w:r>
          </w:p>
        </w:tc>
        <w:tc>
          <w:tcPr>
            <w:tcW w:w="1700" w:type="dxa"/>
            <w:noWrap w:val="0"/>
            <w:vAlign w:val="center"/>
          </w:tcPr>
          <w:p w14:paraId="143E89A5">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资金来源</w:t>
            </w:r>
          </w:p>
        </w:tc>
        <w:tc>
          <w:tcPr>
            <w:tcW w:w="6758" w:type="dxa"/>
            <w:noWrap w:val="0"/>
            <w:vAlign w:val="center"/>
          </w:tcPr>
          <w:p w14:paraId="09224523">
            <w:pPr>
              <w:keepNext w:val="0"/>
              <w:keepLines w:val="0"/>
              <w:pageBreakBefore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资金来源：</w:t>
            </w:r>
            <w:r>
              <w:rPr>
                <w:rFonts w:hint="eastAsia"/>
                <w:color w:val="auto"/>
                <w:sz w:val="24"/>
                <w:szCs w:val="32"/>
              </w:rPr>
              <w:t>学生乘车收费</w:t>
            </w:r>
            <w:r>
              <w:rPr>
                <w:rFonts w:hint="eastAsia"/>
                <w:color w:val="auto"/>
                <w:sz w:val="24"/>
                <w:szCs w:val="32"/>
                <w:lang w:eastAsia="zh-CN"/>
              </w:rPr>
              <w:t>、区级资金拨付</w:t>
            </w:r>
          </w:p>
        </w:tc>
      </w:tr>
      <w:tr w14:paraId="30ABD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1" w:type="dxa"/>
            <w:noWrap w:val="0"/>
            <w:vAlign w:val="center"/>
          </w:tcPr>
          <w:p w14:paraId="4394A981">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w:t>
            </w:r>
          </w:p>
        </w:tc>
        <w:tc>
          <w:tcPr>
            <w:tcW w:w="1700" w:type="dxa"/>
            <w:noWrap w:val="0"/>
            <w:vAlign w:val="center"/>
          </w:tcPr>
          <w:p w14:paraId="2C924F48">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sz w:val="24"/>
                <w:szCs w:val="32"/>
              </w:rPr>
              <w:t>服务期限</w:t>
            </w:r>
          </w:p>
        </w:tc>
        <w:tc>
          <w:tcPr>
            <w:tcW w:w="6758" w:type="dxa"/>
            <w:noWrap w:val="0"/>
            <w:vAlign w:val="center"/>
          </w:tcPr>
          <w:p w14:paraId="688D3137">
            <w:pPr>
              <w:keepNext w:val="0"/>
              <w:keepLines w:val="0"/>
              <w:pageBreakBefore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bCs/>
                <w:color w:val="auto"/>
                <w:sz w:val="24"/>
                <w:szCs w:val="24"/>
                <w:highlight w:val="none"/>
                <w:lang w:val="zh-CN" w:eastAsia="zh-CN"/>
              </w:rPr>
            </w:pPr>
            <w:r>
              <w:rPr>
                <w:rFonts w:hint="eastAsia"/>
                <w:sz w:val="24"/>
                <w:szCs w:val="32"/>
              </w:rPr>
              <w:t>合同签订后3年</w:t>
            </w:r>
          </w:p>
        </w:tc>
      </w:tr>
      <w:tr w14:paraId="15B24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1" w:type="dxa"/>
            <w:noWrap w:val="0"/>
            <w:vAlign w:val="center"/>
          </w:tcPr>
          <w:p w14:paraId="64CB1C18">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8</w:t>
            </w:r>
          </w:p>
        </w:tc>
        <w:tc>
          <w:tcPr>
            <w:tcW w:w="1700" w:type="dxa"/>
            <w:noWrap w:val="0"/>
            <w:vAlign w:val="center"/>
          </w:tcPr>
          <w:p w14:paraId="3381FA86">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en-US" w:eastAsia="zh-CN"/>
              </w:rPr>
              <w:t>服务标准</w:t>
            </w:r>
          </w:p>
        </w:tc>
        <w:tc>
          <w:tcPr>
            <w:tcW w:w="6758" w:type="dxa"/>
            <w:noWrap w:val="0"/>
            <w:vAlign w:val="center"/>
          </w:tcPr>
          <w:p w14:paraId="5D93851C">
            <w:pPr>
              <w:keepNext w:val="0"/>
              <w:keepLines w:val="0"/>
              <w:pageBreakBefore w:val="0"/>
              <w:kinsoku/>
              <w:wordWrap/>
              <w:overflowPunct/>
              <w:topLinePunct w:val="0"/>
              <w:autoSpaceDE w:val="0"/>
              <w:autoSpaceDN w:val="0"/>
              <w:bidi w:val="0"/>
              <w:adjustRightInd w:val="0"/>
              <w:snapToGrid w:val="0"/>
              <w:spacing w:line="360" w:lineRule="exact"/>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符合现行国家、行业、地方或者其他相关标准的合格要求。</w:t>
            </w:r>
          </w:p>
        </w:tc>
      </w:tr>
      <w:tr w14:paraId="0CFEE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1" w:type="dxa"/>
            <w:noWrap w:val="0"/>
            <w:vAlign w:val="center"/>
          </w:tcPr>
          <w:p w14:paraId="574C0D40">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9</w:t>
            </w:r>
          </w:p>
        </w:tc>
        <w:tc>
          <w:tcPr>
            <w:tcW w:w="1700" w:type="dxa"/>
            <w:noWrap w:val="0"/>
            <w:vAlign w:val="center"/>
          </w:tcPr>
          <w:p w14:paraId="368E6192">
            <w:pPr>
              <w:keepNext w:val="0"/>
              <w:keepLines w:val="0"/>
              <w:pageBreakBefore w:val="0"/>
              <w:kinsoku/>
              <w:wordWrap/>
              <w:overflowPunct/>
              <w:topLinePunct w:val="0"/>
              <w:bidi w:val="0"/>
              <w:adjustRightInd w:val="0"/>
              <w:snapToGrid w:val="0"/>
              <w:spacing w:line="360" w:lineRule="exact"/>
              <w:ind w:firstLine="10" w:firstLineChars="0"/>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方式</w:t>
            </w:r>
          </w:p>
        </w:tc>
        <w:tc>
          <w:tcPr>
            <w:tcW w:w="6758" w:type="dxa"/>
            <w:noWrap w:val="0"/>
            <w:vAlign w:val="center"/>
          </w:tcPr>
          <w:p w14:paraId="56DDB08E">
            <w:pPr>
              <w:keepNext w:val="0"/>
              <w:keepLines w:val="0"/>
              <w:pageBreakBefore w:val="0"/>
              <w:kinsoku/>
              <w:wordWrap/>
              <w:overflowPunct/>
              <w:topLinePunct w:val="0"/>
              <w:autoSpaceDE w:val="0"/>
              <w:autoSpaceDN w:val="0"/>
              <w:bidi w:val="0"/>
              <w:adjustRightInd w:val="0"/>
              <w:snapToGrid w:val="0"/>
              <w:spacing w:line="360" w:lineRule="exact"/>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公开招标</w:t>
            </w:r>
          </w:p>
        </w:tc>
      </w:tr>
      <w:tr w14:paraId="1864E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1" w:type="dxa"/>
            <w:noWrap w:val="0"/>
            <w:vAlign w:val="center"/>
          </w:tcPr>
          <w:p w14:paraId="2EC4427B">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10</w:t>
            </w:r>
          </w:p>
        </w:tc>
        <w:tc>
          <w:tcPr>
            <w:tcW w:w="1700" w:type="dxa"/>
            <w:noWrap w:val="0"/>
            <w:vAlign w:val="center"/>
          </w:tcPr>
          <w:p w14:paraId="05BB3D9E">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供应商资格条件</w:t>
            </w:r>
          </w:p>
        </w:tc>
        <w:tc>
          <w:tcPr>
            <w:tcW w:w="6758" w:type="dxa"/>
            <w:noWrap w:val="0"/>
            <w:vAlign w:val="center"/>
          </w:tcPr>
          <w:p w14:paraId="3A6CB5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eastAsia="zh-CN"/>
              </w:rPr>
            </w:pPr>
            <w:r>
              <w:rPr>
                <w:rFonts w:hint="eastAsia"/>
                <w:sz w:val="24"/>
                <w:szCs w:val="32"/>
              </w:rPr>
              <w:t>1.投标人须满足《中华人民共和国政府采购法》第二十二条规定</w:t>
            </w:r>
            <w:r>
              <w:rPr>
                <w:rFonts w:hint="eastAsia"/>
                <w:sz w:val="24"/>
                <w:szCs w:val="32"/>
                <w:lang w:eastAsia="zh-CN"/>
              </w:rPr>
              <w:t>。</w:t>
            </w:r>
          </w:p>
          <w:p w14:paraId="145893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eastAsia="zh-CN"/>
              </w:rPr>
            </w:pPr>
            <w:r>
              <w:rPr>
                <w:rFonts w:hint="eastAsia"/>
                <w:sz w:val="24"/>
                <w:szCs w:val="32"/>
                <w:lang w:val="en-US" w:eastAsia="zh-CN"/>
              </w:rPr>
              <w:t>2.</w:t>
            </w:r>
            <w:r>
              <w:rPr>
                <w:rFonts w:hint="eastAsia"/>
                <w:sz w:val="24"/>
                <w:szCs w:val="32"/>
              </w:rPr>
              <w:t>落实政府采购政策：</w:t>
            </w:r>
            <w:r>
              <w:rPr>
                <w:rFonts w:hint="eastAsia"/>
                <w:sz w:val="24"/>
                <w:szCs w:val="32"/>
                <w:lang w:eastAsia="zh-CN"/>
              </w:rPr>
              <w:t>本项目专门面向中小企业采购（供应商应为中小微企业、监狱企业、残疾人福利性单位)</w:t>
            </w:r>
            <w:r>
              <w:rPr>
                <w:rFonts w:hint="eastAsia"/>
                <w:sz w:val="24"/>
                <w:szCs w:val="32"/>
              </w:rPr>
              <w:t>；(1)《政府采购促进中小企业发展管理办法》（财库﹝2020﹞46号）；(2)</w:t>
            </w:r>
            <w:r>
              <w:rPr>
                <w:rFonts w:hint="eastAsia"/>
                <w:sz w:val="24"/>
                <w:szCs w:val="32"/>
                <w:lang w:val="en-US" w:eastAsia="zh-CN"/>
              </w:rPr>
              <w:t>《关于进一步加大政府采购支持中小企业力度的通知》（财库[2022]19号）；</w:t>
            </w:r>
            <w:r>
              <w:rPr>
                <w:rFonts w:hint="eastAsia"/>
                <w:sz w:val="24"/>
                <w:szCs w:val="32"/>
              </w:rPr>
              <w:t>(</w:t>
            </w:r>
            <w:r>
              <w:rPr>
                <w:rFonts w:hint="eastAsia"/>
                <w:sz w:val="24"/>
                <w:szCs w:val="32"/>
                <w:lang w:val="en-US" w:eastAsia="zh-CN"/>
              </w:rPr>
              <w:t>3</w:t>
            </w:r>
            <w:r>
              <w:rPr>
                <w:rFonts w:hint="eastAsia"/>
                <w:sz w:val="24"/>
                <w:szCs w:val="32"/>
              </w:rPr>
              <w:t>)《关于政府采购支持监狱企业发展有关问题的通知》(财库〔2014〕68号)；(</w:t>
            </w:r>
            <w:r>
              <w:rPr>
                <w:rFonts w:hint="eastAsia"/>
                <w:sz w:val="24"/>
                <w:szCs w:val="32"/>
                <w:lang w:val="en-US" w:eastAsia="zh-CN"/>
              </w:rPr>
              <w:t>4</w:t>
            </w:r>
            <w:r>
              <w:rPr>
                <w:rFonts w:hint="eastAsia"/>
                <w:sz w:val="24"/>
                <w:szCs w:val="32"/>
              </w:rPr>
              <w:t>)《关于促进残疾人就业政府采购政策的通知》（财库〔2017〕141号)；(</w:t>
            </w:r>
            <w:r>
              <w:rPr>
                <w:rFonts w:hint="eastAsia"/>
                <w:sz w:val="24"/>
                <w:szCs w:val="32"/>
                <w:lang w:val="en-US" w:eastAsia="zh-CN"/>
              </w:rPr>
              <w:t>5</w:t>
            </w:r>
            <w:r>
              <w:rPr>
                <w:rFonts w:hint="eastAsia"/>
                <w:sz w:val="24"/>
                <w:szCs w:val="32"/>
              </w:rPr>
              <w:t>)《关于调整优化节能产品、环境标志产品政府采购执行机制的通知》(财库[2019]9号)《无线局域网认证产品政府采购清单》等政府采购最新政策</w:t>
            </w:r>
            <w:r>
              <w:rPr>
                <w:rFonts w:hint="eastAsia"/>
                <w:sz w:val="24"/>
                <w:szCs w:val="32"/>
                <w:lang w:eastAsia="zh-CN"/>
              </w:rPr>
              <w:t>。</w:t>
            </w:r>
          </w:p>
          <w:p w14:paraId="736843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xml:space="preserve">注：①中小企业参加政府采购活动（依据《中小企业划型标准规定》中租赁和商务服务业），应当出具《政府采购促进中小企业发展管理办法》规定的《中小企业声明函》。       </w:t>
            </w:r>
          </w:p>
          <w:p w14:paraId="2F5984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②监狱企业参加政府采购活动时，应当提供由省级以上监狱管理局、戒毒管理局（含新疆生产建设兵团）出具的属于监狱企业的证明文件。</w:t>
            </w:r>
          </w:p>
          <w:p w14:paraId="36D7C6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③残疾人福利性单位在参加政府采购活动时，应当按规定提供《残疾人福利性单位声明函》，并对声明的真实性负责。</w:t>
            </w:r>
          </w:p>
          <w:p w14:paraId="6BD4B7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④专门面向中小企业采购的项目或者采购包，不再执行价格评审优惠的扶持政策。</w:t>
            </w:r>
          </w:p>
          <w:p w14:paraId="4D635C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3、本项目的特定资格要求：以下资格证明材料的具体要求详见招标文件</w:t>
            </w:r>
          </w:p>
          <w:p w14:paraId="2D92DF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(1).供应商参加政府采购活动必须提供下列满足《中华人民共和国政府采购法》第二十二条规定的资格证明材料：1）法人或者其他组织的营业执照等证明文件、自然人的身份证明；2）财务状况报告，依法缴纳税收和社会保障资金的相关材料；3）具备履行合同所必需的设备和专业技术能力的证明材料；4）参加政府采购活动前3年内在经营活动中没有重大违法记录的书面声明；5）具备法律、行政法规规定的其他条件的证明材料；</w:t>
            </w:r>
          </w:p>
          <w:p w14:paraId="3D1756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(2).依法设立的道路旅客运输经营企业、城市公共交通企业或根据县级以上地方人民政府规定设立的校车运营单位；（道路旅客运输企业和城市公共交通企业需提供道路运输经营许可证）；</w:t>
            </w:r>
          </w:p>
          <w:p w14:paraId="53C5B3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(3).符合《关于做好政府购买义务教育阶段中小学生校车服务工作的指导意见》（吉财综〔2014〕987号）的相关要求；</w:t>
            </w:r>
          </w:p>
          <w:p w14:paraId="2EEEF8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(4).投标单位和个人（指法定代表人）未在“中国裁判文书网”（wenshu.court.gov.cn）上有行贿犯罪行为；</w:t>
            </w:r>
          </w:p>
          <w:p w14:paraId="0B8D86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(5).供应商未被列入“失信被执行人、税收违法黑名单”的记录名单（通过“信用中国”网站(www.creditchina.gov.cn)查询）；</w:t>
            </w:r>
          </w:p>
          <w:p w14:paraId="10CAFF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(6).供应商未被列入“政府采购严重违法失信行为记录名单”（通过“中国政府采购网”（www.ccgp.gov.cn）查询）；</w:t>
            </w:r>
          </w:p>
          <w:p w14:paraId="018F1FA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sz w:val="24"/>
                <w:szCs w:val="24"/>
                <w:highlight w:val="none"/>
                <w:lang w:val="en-US" w:eastAsia="zh-CN"/>
              </w:rPr>
            </w:pPr>
            <w:r>
              <w:rPr>
                <w:rFonts w:hint="eastAsia"/>
                <w:sz w:val="24"/>
                <w:szCs w:val="32"/>
              </w:rPr>
              <w:t>(7).单位负责人为同一人或者存在直接控股、管理关系的不同供应商，不得参加同一合同项下的政府采购活动，否则，相关投标均无效。</w:t>
            </w:r>
          </w:p>
        </w:tc>
      </w:tr>
      <w:tr w14:paraId="3B7FC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1" w:type="dxa"/>
            <w:noWrap w:val="0"/>
            <w:vAlign w:val="center"/>
          </w:tcPr>
          <w:p w14:paraId="7A3405F7">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w:t>
            </w:r>
          </w:p>
        </w:tc>
        <w:tc>
          <w:tcPr>
            <w:tcW w:w="1700" w:type="dxa"/>
            <w:noWrap w:val="0"/>
            <w:vAlign w:val="center"/>
          </w:tcPr>
          <w:p w14:paraId="3F0A95DD">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投标预备会</w:t>
            </w:r>
          </w:p>
        </w:tc>
        <w:tc>
          <w:tcPr>
            <w:tcW w:w="6758" w:type="dxa"/>
            <w:noWrap w:val="0"/>
            <w:vAlign w:val="center"/>
          </w:tcPr>
          <w:p w14:paraId="2F5194AE">
            <w:pPr>
              <w:keepNext w:val="0"/>
              <w:keepLines w:val="0"/>
              <w:pageBreakBefore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b/>
                <w:color w:val="auto"/>
                <w:kern w:val="15"/>
                <w:sz w:val="24"/>
                <w:szCs w:val="24"/>
                <w:highlight w:val="none"/>
              </w:rPr>
            </w:pPr>
            <w:r>
              <w:rPr>
                <w:rFonts w:hint="eastAsia" w:ascii="宋体" w:hAnsi="宋体" w:eastAsia="宋体" w:cs="宋体"/>
                <w:bCs/>
                <w:color w:val="auto"/>
                <w:sz w:val="24"/>
                <w:szCs w:val="24"/>
                <w:highlight w:val="none"/>
                <w:lang w:val="zh-CN"/>
              </w:rPr>
              <w:t>不召开</w:t>
            </w:r>
          </w:p>
        </w:tc>
      </w:tr>
      <w:tr w14:paraId="4191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1" w:type="dxa"/>
            <w:noWrap w:val="0"/>
            <w:vAlign w:val="center"/>
          </w:tcPr>
          <w:p w14:paraId="2F823EA8">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12</w:t>
            </w:r>
          </w:p>
        </w:tc>
        <w:tc>
          <w:tcPr>
            <w:tcW w:w="1700" w:type="dxa"/>
            <w:noWrap w:val="0"/>
            <w:vAlign w:val="center"/>
          </w:tcPr>
          <w:p w14:paraId="3DE1E5EA">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招标文件的</w:t>
            </w:r>
            <w:r>
              <w:rPr>
                <w:rFonts w:hint="eastAsia" w:ascii="宋体" w:hAnsi="宋体" w:eastAsia="宋体" w:cs="宋体"/>
                <w:bCs/>
                <w:color w:val="auto"/>
                <w:sz w:val="24"/>
                <w:szCs w:val="24"/>
                <w:highlight w:val="none"/>
                <w:lang w:val="en-US" w:eastAsia="zh-CN"/>
              </w:rPr>
              <w:t>澄清、</w:t>
            </w:r>
            <w:r>
              <w:rPr>
                <w:rFonts w:hint="eastAsia" w:ascii="宋体" w:hAnsi="宋体" w:eastAsia="宋体" w:cs="宋体"/>
                <w:bCs/>
                <w:color w:val="auto"/>
                <w:sz w:val="24"/>
                <w:szCs w:val="24"/>
                <w:highlight w:val="none"/>
                <w:lang w:val="zh-CN"/>
              </w:rPr>
              <w:t>修改</w:t>
            </w:r>
          </w:p>
        </w:tc>
        <w:tc>
          <w:tcPr>
            <w:tcW w:w="6758" w:type="dxa"/>
            <w:noWrap w:val="0"/>
            <w:vAlign w:val="center"/>
          </w:tcPr>
          <w:p w14:paraId="08FF83B0">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在投标截止时间前1</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lang w:val="zh-CN"/>
              </w:rPr>
              <w:t>日，采购</w:t>
            </w:r>
            <w:r>
              <w:rPr>
                <w:rFonts w:hint="eastAsia" w:ascii="宋体" w:hAnsi="宋体" w:eastAsia="宋体" w:cs="宋体"/>
                <w:bCs/>
                <w:color w:val="auto"/>
                <w:sz w:val="24"/>
                <w:szCs w:val="24"/>
                <w:highlight w:val="none"/>
                <w:lang w:val="en-US" w:eastAsia="zh-CN"/>
              </w:rPr>
              <w:t>代理</w:t>
            </w:r>
            <w:r>
              <w:rPr>
                <w:rFonts w:hint="eastAsia" w:ascii="宋体" w:hAnsi="宋体" w:eastAsia="宋体" w:cs="宋体"/>
                <w:bCs/>
                <w:color w:val="auto"/>
                <w:sz w:val="24"/>
                <w:szCs w:val="24"/>
                <w:highlight w:val="none"/>
                <w:lang w:val="zh-CN"/>
              </w:rPr>
              <w:t>机构可根据需要和（或）依据投标人要求澄清的问题而修改招标文件，请投标人在参与本项目</w:t>
            </w:r>
            <w:r>
              <w:rPr>
                <w:rFonts w:hint="eastAsia" w:ascii="宋体" w:hAnsi="宋体" w:eastAsia="宋体" w:cs="宋体"/>
                <w:bCs/>
                <w:color w:val="auto"/>
                <w:sz w:val="24"/>
                <w:szCs w:val="24"/>
                <w:highlight w:val="none"/>
                <w:lang w:val="en-US" w:eastAsia="zh-CN"/>
              </w:rPr>
              <w:t>招标活动</w:t>
            </w:r>
            <w:r>
              <w:rPr>
                <w:rFonts w:hint="eastAsia" w:ascii="宋体" w:hAnsi="宋体" w:eastAsia="宋体" w:cs="宋体"/>
                <w:bCs/>
                <w:color w:val="auto"/>
                <w:sz w:val="24"/>
                <w:szCs w:val="24"/>
                <w:highlight w:val="none"/>
                <w:lang w:val="zh-CN"/>
              </w:rPr>
              <w:t>期间关注</w:t>
            </w:r>
            <w:r>
              <w:rPr>
                <w:rFonts w:hint="eastAsia" w:ascii="宋体" w:hAnsi="宋体" w:eastAsia="宋体" w:cs="宋体"/>
                <w:bCs/>
                <w:color w:val="auto"/>
                <w:sz w:val="24"/>
                <w:szCs w:val="24"/>
                <w:highlight w:val="none"/>
                <w:lang w:val="en-US" w:eastAsia="zh-CN"/>
              </w:rPr>
              <w:t>“政采云”平台（https://www.zcygov.cn/）内发布</w:t>
            </w:r>
            <w:r>
              <w:rPr>
                <w:rFonts w:hint="eastAsia" w:ascii="宋体" w:hAnsi="宋体" w:eastAsia="宋体" w:cs="宋体"/>
                <w:bCs/>
                <w:color w:val="auto"/>
                <w:sz w:val="24"/>
                <w:szCs w:val="24"/>
                <w:highlight w:val="none"/>
                <w:lang w:val="zh-CN"/>
              </w:rPr>
              <w:t>信息，</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lang w:val="zh-CN"/>
              </w:rPr>
              <w:t>自行查询，无需书面回复。</w:t>
            </w:r>
          </w:p>
        </w:tc>
      </w:tr>
      <w:tr w14:paraId="4966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1" w:type="dxa"/>
            <w:noWrap w:val="0"/>
            <w:vAlign w:val="center"/>
          </w:tcPr>
          <w:p w14:paraId="356A9495">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13</w:t>
            </w:r>
          </w:p>
        </w:tc>
        <w:tc>
          <w:tcPr>
            <w:tcW w:w="1700" w:type="dxa"/>
            <w:noWrap w:val="0"/>
            <w:vAlign w:val="center"/>
          </w:tcPr>
          <w:p w14:paraId="34E6EE16">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构成投标文件的其他材料</w:t>
            </w:r>
          </w:p>
        </w:tc>
        <w:tc>
          <w:tcPr>
            <w:tcW w:w="6758" w:type="dxa"/>
            <w:noWrap w:val="0"/>
            <w:vAlign w:val="center"/>
          </w:tcPr>
          <w:p w14:paraId="6CFB526C">
            <w:pPr>
              <w:keepNext w:val="0"/>
              <w:keepLines w:val="0"/>
              <w:pageBreakBefore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招标文件及招标文件评标办法认为有必要提供的其他</w:t>
            </w:r>
            <w:r>
              <w:rPr>
                <w:rFonts w:hint="eastAsia" w:ascii="宋体" w:hAnsi="宋体" w:eastAsia="宋体" w:cs="宋体"/>
                <w:color w:val="auto"/>
                <w:sz w:val="24"/>
                <w:szCs w:val="24"/>
                <w:highlight w:val="none"/>
                <w:lang w:val="en-US" w:eastAsia="zh-CN"/>
              </w:rPr>
              <w:t>材料</w:t>
            </w:r>
            <w:r>
              <w:rPr>
                <w:rFonts w:hint="eastAsia" w:ascii="宋体" w:hAnsi="宋体" w:eastAsia="宋体" w:cs="宋体"/>
                <w:color w:val="auto"/>
                <w:sz w:val="24"/>
                <w:szCs w:val="24"/>
                <w:highlight w:val="none"/>
              </w:rPr>
              <w:t>。</w:t>
            </w:r>
          </w:p>
        </w:tc>
      </w:tr>
      <w:tr w14:paraId="138E6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1" w:type="dxa"/>
            <w:noWrap w:val="0"/>
            <w:vAlign w:val="center"/>
          </w:tcPr>
          <w:p w14:paraId="02381967">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14</w:t>
            </w:r>
          </w:p>
        </w:tc>
        <w:tc>
          <w:tcPr>
            <w:tcW w:w="1700" w:type="dxa"/>
            <w:noWrap w:val="0"/>
            <w:vAlign w:val="center"/>
          </w:tcPr>
          <w:p w14:paraId="3338902C">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踏勘现场</w:t>
            </w:r>
          </w:p>
        </w:tc>
        <w:tc>
          <w:tcPr>
            <w:tcW w:w="6758" w:type="dxa"/>
            <w:noWrap w:val="0"/>
            <w:vAlign w:val="center"/>
          </w:tcPr>
          <w:p w14:paraId="463B1873">
            <w:pPr>
              <w:keepNext w:val="0"/>
              <w:keepLines w:val="0"/>
              <w:pageBreakBefore w:val="0"/>
              <w:kinsoku/>
              <w:wordWrap/>
              <w:overflowPunct/>
              <w:topLinePunct w:val="0"/>
              <w:bidi w:val="0"/>
              <w:spacing w:line="360" w:lineRule="exact"/>
              <w:textAlignment w:val="auto"/>
              <w:rPr>
                <w:rFonts w:hint="eastAsia" w:ascii="宋体" w:hAnsi="宋体" w:eastAsia="宋体" w:cs="宋体"/>
                <w:b/>
                <w:color w:val="auto"/>
                <w:kern w:val="15"/>
                <w:sz w:val="24"/>
                <w:szCs w:val="24"/>
                <w:highlight w:val="none"/>
                <w:lang w:eastAsia="zh-CN"/>
              </w:rPr>
            </w:pPr>
            <w:r>
              <w:rPr>
                <w:rFonts w:hint="eastAsia" w:ascii="宋体" w:hAnsi="宋体" w:eastAsia="宋体" w:cs="宋体"/>
                <w:color w:val="auto"/>
                <w:sz w:val="24"/>
                <w:szCs w:val="24"/>
                <w:highlight w:val="none"/>
                <w:lang w:eastAsia="zh-CN"/>
              </w:rPr>
              <w:t>不组织</w:t>
            </w:r>
          </w:p>
        </w:tc>
      </w:tr>
      <w:tr w14:paraId="4F38C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1" w:type="dxa"/>
            <w:noWrap w:val="0"/>
            <w:vAlign w:val="center"/>
          </w:tcPr>
          <w:p w14:paraId="7B5B2C5F">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en-US" w:eastAsia="zh-CN"/>
              </w:rPr>
              <w:t>15</w:t>
            </w:r>
          </w:p>
        </w:tc>
        <w:tc>
          <w:tcPr>
            <w:tcW w:w="1700" w:type="dxa"/>
            <w:noWrap w:val="0"/>
            <w:vAlign w:val="center"/>
          </w:tcPr>
          <w:p w14:paraId="53B12613">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lang w:val="zh-CN"/>
              </w:rPr>
              <w:t>有效期</w:t>
            </w:r>
          </w:p>
        </w:tc>
        <w:tc>
          <w:tcPr>
            <w:tcW w:w="6758" w:type="dxa"/>
            <w:noWrap w:val="0"/>
            <w:vAlign w:val="center"/>
          </w:tcPr>
          <w:p w14:paraId="5B38EBDC">
            <w:pPr>
              <w:keepNext w:val="0"/>
              <w:keepLines w:val="0"/>
              <w:pageBreakBefore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kern w:val="15"/>
                <w:sz w:val="24"/>
                <w:szCs w:val="24"/>
                <w:highlight w:val="none"/>
                <w:lang w:eastAsia="zh-CN"/>
              </w:rPr>
              <w:t>提交投标文件的截止之日起90天（日历天）</w:t>
            </w:r>
          </w:p>
        </w:tc>
      </w:tr>
      <w:tr w14:paraId="3250A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1" w:type="dxa"/>
            <w:noWrap w:val="0"/>
            <w:vAlign w:val="center"/>
          </w:tcPr>
          <w:p w14:paraId="5F49054F">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zh-CN"/>
              </w:rPr>
              <w:t>1</w:t>
            </w:r>
            <w:r>
              <w:rPr>
                <w:rFonts w:hint="eastAsia" w:ascii="宋体" w:hAnsi="宋体" w:eastAsia="宋体" w:cs="宋体"/>
                <w:bCs/>
                <w:color w:val="auto"/>
                <w:sz w:val="24"/>
                <w:szCs w:val="24"/>
                <w:highlight w:val="none"/>
              </w:rPr>
              <w:t>6</w:t>
            </w:r>
          </w:p>
        </w:tc>
        <w:tc>
          <w:tcPr>
            <w:tcW w:w="1700" w:type="dxa"/>
            <w:noWrap w:val="0"/>
            <w:vAlign w:val="center"/>
          </w:tcPr>
          <w:p w14:paraId="43D5E7F5">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lang w:val="zh-CN"/>
              </w:rPr>
              <w:t>保证金</w:t>
            </w:r>
          </w:p>
        </w:tc>
        <w:tc>
          <w:tcPr>
            <w:tcW w:w="6758" w:type="dxa"/>
            <w:noWrap w:val="0"/>
            <w:vAlign w:val="center"/>
          </w:tcPr>
          <w:p w14:paraId="7ACF5B3D">
            <w:pPr>
              <w:tabs>
                <w:tab w:val="center" w:pos="2530"/>
              </w:tabs>
              <w:rPr>
                <w:rFonts w:hint="eastAsia" w:ascii="宋体" w:hAnsi="宋体" w:cs="宋体"/>
                <w:bCs/>
                <w:kern w:val="2"/>
                <w:sz w:val="24"/>
                <w:szCs w:val="24"/>
                <w:highlight w:val="none"/>
                <w:lang w:val="zh-CN" w:eastAsia="zh-CN" w:bidi="ar-SA"/>
              </w:rPr>
            </w:pPr>
            <w:r>
              <w:rPr>
                <w:rFonts w:hint="eastAsia" w:ascii="宋体" w:hAnsi="宋体" w:cs="宋体"/>
                <w:bCs/>
                <w:kern w:val="2"/>
                <w:sz w:val="24"/>
                <w:szCs w:val="24"/>
                <w:highlight w:val="none"/>
                <w:lang w:val="zh-CN" w:eastAsia="zh-CN" w:bidi="ar-SA"/>
              </w:rPr>
              <w:t>保证金应当采用支票、汇票、本票、网上银行支付或者金融机构、担保机构出具的保函等非现金形式交纳。</w:t>
            </w:r>
          </w:p>
          <w:p w14:paraId="4A832057">
            <w:pPr>
              <w:tabs>
                <w:tab w:val="center" w:pos="2530"/>
              </w:tabs>
              <w:rPr>
                <w:rFonts w:hint="eastAsia" w:ascii="宋体" w:hAnsi="宋体" w:cs="宋体"/>
                <w:bCs/>
                <w:color w:val="000000" w:themeColor="text1"/>
                <w:kern w:val="2"/>
                <w:sz w:val="24"/>
                <w:szCs w:val="24"/>
                <w:highlight w:val="none"/>
                <w:lang w:val="zh-CN" w:eastAsia="zh-CN" w:bidi="ar-SA"/>
                <w14:textFill>
                  <w14:solidFill>
                    <w14:schemeClr w14:val="tx1"/>
                  </w14:solidFill>
                </w14:textFill>
              </w:rPr>
            </w:pPr>
            <w:r>
              <w:rPr>
                <w:rFonts w:hint="eastAsia" w:ascii="宋体" w:hAnsi="宋体" w:cs="宋体"/>
                <w:bCs/>
                <w:kern w:val="2"/>
                <w:sz w:val="24"/>
                <w:szCs w:val="24"/>
                <w:highlight w:val="none"/>
                <w:lang w:val="zh-CN" w:eastAsia="zh-CN" w:bidi="ar-SA"/>
              </w:rPr>
              <w:t>投标保证金的金额：</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11.47万</w:t>
            </w:r>
            <w:r>
              <w:rPr>
                <w:rFonts w:hint="eastAsia" w:ascii="宋体" w:hAnsi="宋体" w:cs="宋体"/>
                <w:bCs/>
                <w:color w:val="000000" w:themeColor="text1"/>
                <w:kern w:val="2"/>
                <w:sz w:val="24"/>
                <w:szCs w:val="24"/>
                <w:highlight w:val="none"/>
                <w:lang w:val="zh-CN" w:eastAsia="zh-CN" w:bidi="ar-SA"/>
                <w14:textFill>
                  <w14:solidFill>
                    <w14:schemeClr w14:val="tx1"/>
                  </w14:solidFill>
                </w14:textFill>
              </w:rPr>
              <w:t>元。</w:t>
            </w:r>
          </w:p>
          <w:p w14:paraId="49FDE582">
            <w:pPr>
              <w:tabs>
                <w:tab w:val="center" w:pos="2530"/>
              </w:tabs>
              <w:rPr>
                <w:rFonts w:hint="eastAsia" w:ascii="宋体" w:hAnsi="宋体" w:cs="宋体"/>
                <w:bCs/>
                <w:color w:val="000000" w:themeColor="text1"/>
                <w:kern w:val="2"/>
                <w:sz w:val="24"/>
                <w:szCs w:val="24"/>
                <w:highlight w:val="none"/>
                <w:lang w:val="zh-CN" w:eastAsia="zh-CN" w:bidi="ar-SA"/>
                <w14:textFill>
                  <w14:solidFill>
                    <w14:schemeClr w14:val="tx1"/>
                  </w14:solidFill>
                </w14:textFill>
              </w:rPr>
            </w:pPr>
            <w:r>
              <w:rPr>
                <w:rFonts w:hint="eastAsia" w:ascii="宋体" w:hAnsi="宋体" w:cs="宋体"/>
                <w:bCs/>
                <w:color w:val="000000" w:themeColor="text1"/>
                <w:kern w:val="2"/>
                <w:sz w:val="24"/>
                <w:szCs w:val="24"/>
                <w:highlight w:val="none"/>
                <w:lang w:val="zh-CN" w:eastAsia="zh-CN" w:bidi="ar-SA"/>
                <w14:textFill>
                  <w14:solidFill>
                    <w14:schemeClr w14:val="tx1"/>
                  </w14:solidFill>
                </w14:textFill>
              </w:rPr>
              <w:t>递交方式：供应商提交</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投标</w:t>
            </w:r>
            <w:r>
              <w:rPr>
                <w:rFonts w:hint="eastAsia" w:ascii="宋体" w:hAnsi="宋体" w:cs="宋体"/>
                <w:bCs/>
                <w:color w:val="000000" w:themeColor="text1"/>
                <w:kern w:val="2"/>
                <w:sz w:val="24"/>
                <w:szCs w:val="24"/>
                <w:highlight w:val="none"/>
                <w:lang w:val="zh-CN" w:eastAsia="zh-CN" w:bidi="ar-SA"/>
                <w14:textFill>
                  <w14:solidFill>
                    <w14:schemeClr w14:val="tx1"/>
                  </w14:solidFill>
                </w14:textFill>
              </w:rPr>
              <w:t>保证金应当从供应商基本账户转出，</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投标</w:t>
            </w:r>
            <w:r>
              <w:rPr>
                <w:rFonts w:hint="eastAsia" w:ascii="宋体" w:hAnsi="宋体" w:cs="宋体"/>
                <w:bCs/>
                <w:color w:val="000000" w:themeColor="text1"/>
                <w:kern w:val="2"/>
                <w:sz w:val="24"/>
                <w:szCs w:val="24"/>
                <w:highlight w:val="none"/>
                <w:lang w:val="zh-CN" w:eastAsia="zh-CN" w:bidi="ar-SA"/>
                <w14:textFill>
                  <w14:solidFill>
                    <w14:schemeClr w14:val="tx1"/>
                  </w14:solidFill>
                </w14:textFill>
              </w:rPr>
              <w:t>保证金存入招标代理机构指定账户，银行进账单或电汇凭证等凭证上应明确用途、投标项目名称、投标人名称、联系人及电话，以便核对查实。</w:t>
            </w:r>
          </w:p>
          <w:p w14:paraId="4868D694">
            <w:pPr>
              <w:tabs>
                <w:tab w:val="center" w:pos="2530"/>
              </w:tabs>
              <w:rPr>
                <w:rFonts w:hint="eastAsia" w:ascii="宋体" w:hAnsi="宋体" w:cs="宋体"/>
                <w:bCs/>
                <w:color w:val="000000" w:themeColor="text1"/>
                <w:kern w:val="2"/>
                <w:sz w:val="24"/>
                <w:szCs w:val="24"/>
                <w:highlight w:val="none"/>
                <w:lang w:val="zh-CN" w:eastAsia="zh-CN" w:bidi="ar-SA"/>
                <w14:textFill>
                  <w14:solidFill>
                    <w14:schemeClr w14:val="tx1"/>
                  </w14:solidFill>
                </w14:textFill>
              </w:rPr>
            </w:pPr>
            <w:r>
              <w:rPr>
                <w:rFonts w:hint="eastAsia" w:ascii="宋体" w:hAnsi="宋体" w:cs="宋体"/>
                <w:bCs/>
                <w:color w:val="000000" w:themeColor="text1"/>
                <w:kern w:val="2"/>
                <w:sz w:val="24"/>
                <w:szCs w:val="24"/>
                <w:highlight w:val="none"/>
                <w:lang w:val="zh-CN" w:eastAsia="zh-CN" w:bidi="ar-SA"/>
                <w14:textFill>
                  <w14:solidFill>
                    <w14:schemeClr w14:val="tx1"/>
                  </w14:solidFill>
                </w14:textFill>
              </w:rPr>
              <w:t>其他要求：</w:t>
            </w:r>
          </w:p>
          <w:p w14:paraId="51193B72">
            <w:pPr>
              <w:tabs>
                <w:tab w:val="center" w:pos="2530"/>
              </w:tabs>
              <w:rPr>
                <w:rFonts w:hint="eastAsia" w:ascii="宋体" w:hAnsi="宋体" w:cs="宋体"/>
                <w:bCs/>
                <w:color w:val="000000" w:themeColor="text1"/>
                <w:kern w:val="2"/>
                <w:sz w:val="24"/>
                <w:szCs w:val="24"/>
                <w:highlight w:val="none"/>
                <w:lang w:val="zh-CN" w:eastAsia="zh-CN" w:bidi="ar-SA"/>
                <w14:textFill>
                  <w14:solidFill>
                    <w14:schemeClr w14:val="tx1"/>
                  </w14:solidFill>
                </w14:textFill>
              </w:rPr>
            </w:pPr>
            <w:r>
              <w:rPr>
                <w:rFonts w:hint="eastAsia" w:ascii="宋体" w:hAnsi="宋体" w:cs="宋体"/>
                <w:bCs/>
                <w:color w:val="000000" w:themeColor="text1"/>
                <w:kern w:val="2"/>
                <w:sz w:val="24"/>
                <w:szCs w:val="24"/>
                <w:highlight w:val="none"/>
                <w:lang w:val="zh-CN" w:eastAsia="zh-CN" w:bidi="ar-SA"/>
                <w14:textFill>
                  <w14:solidFill>
                    <w14:schemeClr w14:val="tx1"/>
                  </w14:solidFill>
                </w14:textFill>
              </w:rPr>
              <w:t>递交时间：202</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5</w:t>
            </w:r>
            <w:r>
              <w:rPr>
                <w:rFonts w:hint="eastAsia" w:ascii="宋体" w:hAnsi="宋体" w:cs="宋体"/>
                <w:bCs/>
                <w:color w:val="000000" w:themeColor="text1"/>
                <w:kern w:val="2"/>
                <w:sz w:val="24"/>
                <w:szCs w:val="24"/>
                <w:highlight w:val="none"/>
                <w:lang w:val="zh-CN" w:eastAsia="zh-CN" w:bidi="ar-SA"/>
                <w14:textFill>
                  <w14:solidFill>
                    <w14:schemeClr w14:val="tx1"/>
                  </w14:solidFill>
                </w14:textFill>
              </w:rPr>
              <w:t>年</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7</w:t>
            </w:r>
            <w:r>
              <w:rPr>
                <w:rFonts w:hint="eastAsia" w:ascii="宋体" w:hAnsi="宋体" w:cs="宋体"/>
                <w:bCs/>
                <w:color w:val="000000" w:themeColor="text1"/>
                <w:kern w:val="2"/>
                <w:sz w:val="24"/>
                <w:szCs w:val="24"/>
                <w:highlight w:val="none"/>
                <w:lang w:val="zh-CN" w:eastAsia="zh-CN" w:bidi="ar-SA"/>
                <w14:textFill>
                  <w14:solidFill>
                    <w14:schemeClr w14:val="tx1"/>
                  </w14:solidFill>
                </w14:textFill>
              </w:rPr>
              <w:t>月</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22</w:t>
            </w:r>
            <w:r>
              <w:rPr>
                <w:rFonts w:hint="eastAsia" w:ascii="宋体" w:hAnsi="宋体" w:cs="宋体"/>
                <w:bCs/>
                <w:color w:val="000000" w:themeColor="text1"/>
                <w:kern w:val="2"/>
                <w:sz w:val="24"/>
                <w:szCs w:val="24"/>
                <w:highlight w:val="none"/>
                <w:lang w:val="zh-CN" w:eastAsia="zh-CN" w:bidi="ar-SA"/>
                <w14:textFill>
                  <w14:solidFill>
                    <w14:schemeClr w14:val="tx1"/>
                  </w14:solidFill>
                </w14:textFill>
              </w:rPr>
              <w:t>日09：30时前。</w:t>
            </w:r>
          </w:p>
          <w:p w14:paraId="647F9150">
            <w:pPr>
              <w:tabs>
                <w:tab w:val="center" w:pos="2530"/>
              </w:tabs>
              <w:rPr>
                <w:rFonts w:hint="eastAsia" w:ascii="宋体" w:hAnsi="宋体" w:cs="宋体"/>
                <w:bCs/>
                <w:kern w:val="2"/>
                <w:sz w:val="24"/>
                <w:szCs w:val="24"/>
                <w:highlight w:val="none"/>
                <w:lang w:val="zh-CN" w:eastAsia="zh-CN" w:bidi="ar-SA"/>
              </w:rPr>
            </w:pPr>
            <w:r>
              <w:rPr>
                <w:rFonts w:hint="eastAsia" w:ascii="宋体" w:hAnsi="宋体" w:cs="宋体"/>
                <w:bCs/>
                <w:kern w:val="2"/>
                <w:sz w:val="24"/>
                <w:szCs w:val="24"/>
                <w:highlight w:val="none"/>
                <w:lang w:val="zh-CN" w:eastAsia="zh-CN" w:bidi="ar-SA"/>
              </w:rPr>
              <w:t>收款单位：吉林中利项目管理有限公司</w:t>
            </w:r>
          </w:p>
          <w:p w14:paraId="2FF21620">
            <w:pPr>
              <w:tabs>
                <w:tab w:val="center" w:pos="2530"/>
              </w:tabs>
              <w:rPr>
                <w:rFonts w:hint="eastAsia" w:ascii="宋体" w:hAnsi="宋体" w:cs="宋体"/>
                <w:bCs/>
                <w:kern w:val="2"/>
                <w:sz w:val="24"/>
                <w:szCs w:val="24"/>
                <w:highlight w:val="none"/>
                <w:lang w:val="zh-CN" w:eastAsia="zh-CN" w:bidi="ar-SA"/>
              </w:rPr>
            </w:pPr>
            <w:r>
              <w:rPr>
                <w:rFonts w:hint="eastAsia" w:ascii="宋体" w:hAnsi="宋体" w:cs="宋体"/>
                <w:bCs/>
                <w:kern w:val="2"/>
                <w:sz w:val="24"/>
                <w:szCs w:val="24"/>
                <w:highlight w:val="none"/>
                <w:lang w:val="zh-CN" w:eastAsia="zh-CN" w:bidi="ar-SA"/>
              </w:rPr>
              <w:t>开户行：吉林环城农村商业银行股份有限公司河南街支行，账号：0720602011015200007282，行号：314242000084。</w:t>
            </w:r>
          </w:p>
          <w:p w14:paraId="6477AA04">
            <w:pPr>
              <w:tabs>
                <w:tab w:val="center" w:pos="2530"/>
              </w:tabs>
              <w:rPr>
                <w:rFonts w:hint="eastAsia" w:ascii="宋体" w:hAnsi="宋体" w:cs="宋体"/>
                <w:bCs/>
                <w:kern w:val="2"/>
                <w:sz w:val="24"/>
                <w:szCs w:val="24"/>
                <w:highlight w:val="none"/>
                <w:lang w:val="zh-CN" w:eastAsia="zh-CN" w:bidi="ar-SA"/>
              </w:rPr>
            </w:pPr>
            <w:r>
              <w:rPr>
                <w:rFonts w:hint="eastAsia" w:ascii="宋体" w:hAnsi="宋体" w:cs="宋体"/>
                <w:bCs/>
                <w:kern w:val="2"/>
                <w:sz w:val="24"/>
                <w:szCs w:val="24"/>
                <w:highlight w:val="none"/>
                <w:lang w:val="zh-CN" w:eastAsia="zh-CN" w:bidi="ar-SA"/>
              </w:rPr>
              <w:t xml:space="preserve">联系人：盖丽娟  </w:t>
            </w:r>
          </w:p>
          <w:p w14:paraId="77E89D21">
            <w:pPr>
              <w:tabs>
                <w:tab w:val="center" w:pos="2530"/>
              </w:tabs>
              <w:rPr>
                <w:rFonts w:hint="eastAsia" w:ascii="宋体" w:hAnsi="宋体" w:cs="宋体"/>
                <w:bCs/>
                <w:kern w:val="2"/>
                <w:sz w:val="24"/>
                <w:szCs w:val="24"/>
                <w:highlight w:val="none"/>
                <w:lang w:val="zh-CN" w:eastAsia="zh-CN" w:bidi="ar-SA"/>
              </w:rPr>
            </w:pPr>
            <w:r>
              <w:rPr>
                <w:rFonts w:hint="eastAsia" w:ascii="宋体" w:hAnsi="宋体" w:cs="宋体"/>
                <w:bCs/>
                <w:kern w:val="2"/>
                <w:sz w:val="24"/>
                <w:szCs w:val="24"/>
                <w:highlight w:val="none"/>
                <w:lang w:val="zh-CN" w:eastAsia="zh-CN" w:bidi="ar-SA"/>
              </w:rPr>
              <w:t xml:space="preserve">联系电话：15044201981。  </w:t>
            </w:r>
          </w:p>
          <w:p w14:paraId="0ECD9D8B">
            <w:pPr>
              <w:tabs>
                <w:tab w:val="center" w:pos="2530"/>
              </w:tabs>
              <w:rPr>
                <w:rFonts w:hint="eastAsia" w:ascii="宋体" w:hAnsi="宋体" w:cs="宋体"/>
                <w:bCs/>
                <w:kern w:val="2"/>
                <w:sz w:val="24"/>
                <w:szCs w:val="24"/>
                <w:highlight w:val="none"/>
                <w:lang w:val="zh-CN" w:eastAsia="zh-CN" w:bidi="ar-SA"/>
              </w:rPr>
            </w:pPr>
            <w:r>
              <w:rPr>
                <w:rFonts w:hint="eastAsia" w:ascii="宋体" w:hAnsi="宋体" w:cs="宋体"/>
                <w:bCs/>
                <w:kern w:val="2"/>
                <w:sz w:val="24"/>
                <w:szCs w:val="24"/>
                <w:highlight w:val="none"/>
                <w:lang w:val="zh-CN" w:eastAsia="zh-CN" w:bidi="ar-SA"/>
              </w:rPr>
              <w:t>投标保证金的确认以最终到账日期为准，否则响应文件无效。</w:t>
            </w:r>
          </w:p>
          <w:p w14:paraId="407BCE3D">
            <w:pPr>
              <w:tabs>
                <w:tab w:val="center" w:pos="2530"/>
              </w:tabs>
              <w:rPr>
                <w:rFonts w:hint="eastAsia" w:ascii="宋体" w:hAnsi="宋体" w:cs="宋体"/>
                <w:bCs/>
                <w:kern w:val="2"/>
                <w:sz w:val="24"/>
                <w:szCs w:val="24"/>
                <w:highlight w:val="none"/>
                <w:lang w:val="zh-CN" w:eastAsia="zh-CN" w:bidi="ar-SA"/>
              </w:rPr>
            </w:pPr>
            <w:r>
              <w:rPr>
                <w:rFonts w:hint="eastAsia" w:ascii="宋体" w:hAnsi="宋体" w:cs="宋体"/>
                <w:bCs/>
                <w:kern w:val="2"/>
                <w:sz w:val="24"/>
                <w:szCs w:val="24"/>
                <w:highlight w:val="none"/>
                <w:lang w:val="zh-CN" w:eastAsia="zh-CN" w:bidi="ar-SA"/>
              </w:rPr>
              <w:t>若采用保函方式递交的，并将保函扫描件在保证金递交截止时间前发送至714809346@qq.com邮箱。</w:t>
            </w:r>
          </w:p>
          <w:p w14:paraId="3A23EA46">
            <w:pPr>
              <w:tabs>
                <w:tab w:val="center" w:pos="2530"/>
              </w:tabs>
              <w:rPr>
                <w:rFonts w:hint="eastAsia" w:ascii="宋体" w:hAnsi="宋体" w:cs="宋体"/>
                <w:bCs/>
                <w:kern w:val="2"/>
                <w:sz w:val="24"/>
                <w:szCs w:val="24"/>
                <w:highlight w:val="none"/>
                <w:lang w:val="zh-CN" w:eastAsia="zh-CN" w:bidi="ar-SA"/>
              </w:rPr>
            </w:pPr>
            <w:r>
              <w:rPr>
                <w:rFonts w:hint="eastAsia" w:ascii="宋体" w:hAnsi="宋体" w:cs="宋体"/>
                <w:bCs/>
                <w:kern w:val="2"/>
                <w:sz w:val="24"/>
                <w:szCs w:val="24"/>
                <w:highlight w:val="none"/>
                <w:lang w:val="zh-CN" w:eastAsia="zh-CN" w:bidi="ar-SA"/>
              </w:rPr>
              <w:t>未按以上要求缴纳的保证金将不被视为本次投标使用。保函必须提供查询渠道及主要查询信息，且保证招标代理机构在不通过任何授权的情况下可以从公开的公众平台或网络查询到此保函的真伪。</w:t>
            </w:r>
          </w:p>
          <w:p w14:paraId="487A1BD1">
            <w:pPr>
              <w:tabs>
                <w:tab w:val="center" w:pos="2530"/>
              </w:tabs>
              <w:rPr>
                <w:rFonts w:hint="eastAsia" w:ascii="宋体" w:hAnsi="宋体" w:cs="宋体"/>
                <w:bCs/>
                <w:kern w:val="2"/>
                <w:sz w:val="24"/>
                <w:szCs w:val="24"/>
                <w:highlight w:val="none"/>
                <w:lang w:val="zh-CN" w:eastAsia="zh-CN" w:bidi="ar-SA"/>
              </w:rPr>
            </w:pPr>
            <w:r>
              <w:rPr>
                <w:rFonts w:hint="eastAsia" w:ascii="宋体" w:hAnsi="宋体" w:cs="宋体"/>
                <w:bCs/>
                <w:kern w:val="2"/>
                <w:sz w:val="24"/>
                <w:szCs w:val="24"/>
                <w:highlight w:val="none"/>
                <w:lang w:val="zh-CN" w:eastAsia="zh-CN" w:bidi="ar-SA"/>
              </w:rPr>
              <w:t>未按以上要求缴纳的保证金将不被视为本次投标使用。</w:t>
            </w:r>
          </w:p>
        </w:tc>
      </w:tr>
      <w:tr w14:paraId="2673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1" w:type="dxa"/>
            <w:noWrap w:val="0"/>
            <w:vAlign w:val="center"/>
          </w:tcPr>
          <w:p w14:paraId="1B87A26E">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rPr>
              <w:t>17</w:t>
            </w:r>
          </w:p>
        </w:tc>
        <w:tc>
          <w:tcPr>
            <w:tcW w:w="1700" w:type="dxa"/>
            <w:noWrap w:val="0"/>
            <w:vAlign w:val="center"/>
          </w:tcPr>
          <w:p w14:paraId="111645D8">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近年发生的诉讼及仲裁情况</w:t>
            </w:r>
          </w:p>
        </w:tc>
        <w:tc>
          <w:tcPr>
            <w:tcW w:w="6758" w:type="dxa"/>
            <w:noWrap w:val="0"/>
            <w:vAlign w:val="center"/>
          </w:tcPr>
          <w:p w14:paraId="6A9164A1">
            <w:pPr>
              <w:keepNext w:val="0"/>
              <w:keepLines w:val="0"/>
              <w:pageBreakBefore w:val="0"/>
              <w:kinsoku/>
              <w:wordWrap/>
              <w:overflowPunct/>
              <w:topLinePunct w:val="0"/>
              <w:bidi w:val="0"/>
              <w:snapToGrid/>
              <w:spacing w:line="360" w:lineRule="exac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color w:val="auto"/>
                <w:sz w:val="24"/>
                <w:szCs w:val="24"/>
                <w:highlight w:val="none"/>
                <w:lang w:eastAsia="zh-CN"/>
              </w:rPr>
              <w:t>2022年1月1日至今</w:t>
            </w:r>
            <w:r>
              <w:rPr>
                <w:rFonts w:hint="eastAsia" w:ascii="宋体" w:hAnsi="宋体" w:eastAsia="宋体" w:cs="宋体"/>
                <w:color w:val="auto"/>
                <w:sz w:val="24"/>
                <w:szCs w:val="24"/>
                <w:highlight w:val="none"/>
              </w:rPr>
              <w:t>。</w:t>
            </w:r>
          </w:p>
        </w:tc>
      </w:tr>
      <w:tr w14:paraId="0D2C6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1" w:type="dxa"/>
            <w:noWrap w:val="0"/>
            <w:vAlign w:val="center"/>
          </w:tcPr>
          <w:p w14:paraId="59020EA2">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rPr>
              <w:t>18</w:t>
            </w:r>
          </w:p>
        </w:tc>
        <w:tc>
          <w:tcPr>
            <w:tcW w:w="1700" w:type="dxa"/>
            <w:noWrap w:val="0"/>
            <w:vAlign w:val="center"/>
          </w:tcPr>
          <w:p w14:paraId="35528288">
            <w:pPr>
              <w:keepNext w:val="0"/>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近年完成的类似</w:t>
            </w:r>
          </w:p>
          <w:p w14:paraId="5E597B38">
            <w:pPr>
              <w:keepNext w:val="0"/>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项目的年份要求</w:t>
            </w:r>
          </w:p>
        </w:tc>
        <w:tc>
          <w:tcPr>
            <w:tcW w:w="6758" w:type="dxa"/>
            <w:noWrap w:val="0"/>
            <w:vAlign w:val="center"/>
          </w:tcPr>
          <w:p w14:paraId="042DCA4B">
            <w:pPr>
              <w:keepNext w:val="0"/>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eastAsia="zh-CN"/>
              </w:rPr>
              <w:t>2022年1月1日至今</w:t>
            </w:r>
            <w:r>
              <w:rPr>
                <w:rFonts w:hint="eastAsia" w:ascii="宋体" w:hAnsi="宋体" w:eastAsia="宋体" w:cs="宋体"/>
                <w:color w:val="auto"/>
                <w:sz w:val="24"/>
                <w:szCs w:val="24"/>
                <w:highlight w:val="none"/>
              </w:rPr>
              <w:t>。</w:t>
            </w:r>
          </w:p>
        </w:tc>
      </w:tr>
      <w:tr w14:paraId="2B130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1" w:type="dxa"/>
            <w:noWrap w:val="0"/>
            <w:vAlign w:val="center"/>
          </w:tcPr>
          <w:p w14:paraId="26F67DEB">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rPr>
              <w:t>19</w:t>
            </w:r>
          </w:p>
        </w:tc>
        <w:tc>
          <w:tcPr>
            <w:tcW w:w="1700" w:type="dxa"/>
            <w:noWrap w:val="0"/>
            <w:vAlign w:val="center"/>
          </w:tcPr>
          <w:p w14:paraId="0BEAB01E">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投标文件数量</w:t>
            </w:r>
          </w:p>
        </w:tc>
        <w:tc>
          <w:tcPr>
            <w:tcW w:w="6758" w:type="dxa"/>
            <w:noWrap w:val="0"/>
            <w:vAlign w:val="center"/>
          </w:tcPr>
          <w:p w14:paraId="70F448C6">
            <w:pPr>
              <w:keepNext w:val="0"/>
              <w:keepLines w:val="0"/>
              <w:pageBreakBefore w:val="0"/>
              <w:kinsoku/>
              <w:wordWrap/>
              <w:overflowPunct/>
              <w:topLinePunct w:val="0"/>
              <w:bidi w:val="0"/>
              <w:snapToGrid/>
              <w:spacing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供应商应在投标文件递交截止时间前上传电子投标文件。各供应商使用 CA 锁制作的投标文件符合网上开标要求才可进入评审阶段，“政采云”平台（https://www.zcygov.cn/）支持投标文件远程解密，供应商应提前确认好CA锁及电脑等设备使用正常。逾期上传的或因供应商原因未能进行解密的电子投标文件，平台将予以拒收，其响应无效。</w:t>
            </w:r>
          </w:p>
        </w:tc>
      </w:tr>
      <w:tr w14:paraId="122C2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1" w:type="dxa"/>
            <w:noWrap w:val="0"/>
            <w:vAlign w:val="center"/>
          </w:tcPr>
          <w:p w14:paraId="317970E4">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20</w:t>
            </w:r>
          </w:p>
        </w:tc>
        <w:tc>
          <w:tcPr>
            <w:tcW w:w="1700" w:type="dxa"/>
            <w:noWrap w:val="0"/>
            <w:vAlign w:val="center"/>
          </w:tcPr>
          <w:p w14:paraId="189EDF82">
            <w:pPr>
              <w:keepNext w:val="0"/>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开标时间和地点</w:t>
            </w:r>
          </w:p>
        </w:tc>
        <w:tc>
          <w:tcPr>
            <w:tcW w:w="6758" w:type="dxa"/>
            <w:noWrap w:val="0"/>
            <w:vAlign w:val="center"/>
          </w:tcPr>
          <w:p w14:paraId="3DAB66D1">
            <w:pPr>
              <w:keepNext w:val="0"/>
              <w:keepLines w:val="0"/>
              <w:pageBreakBefore w:val="0"/>
              <w:kinsoku/>
              <w:wordWrap/>
              <w:overflowPunct/>
              <w:topLinePunct w:val="0"/>
              <w:bidi w:val="0"/>
              <w:adjustRightInd w:val="0"/>
              <w:snapToGrid w:val="0"/>
              <w:spacing w:line="36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时间：</w:t>
            </w:r>
            <w:r>
              <w:rPr>
                <w:rFonts w:hint="eastAsia" w:ascii="宋体" w:hAnsi="宋体" w:eastAsia="宋体" w:cs="宋体"/>
                <w:bCs/>
                <w:color w:val="000000" w:themeColor="text1"/>
                <w:sz w:val="24"/>
                <w:szCs w:val="24"/>
                <w:highlight w:val="none"/>
                <w:lang w:eastAsia="zh-CN"/>
                <w14:textFill>
                  <w14:solidFill>
                    <w14:schemeClr w14:val="tx1"/>
                  </w14:solidFill>
                </w14:textFill>
              </w:rPr>
              <w:t>2025年</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Cs/>
                <w:color w:val="000000" w:themeColor="text1"/>
                <w:sz w:val="24"/>
                <w:szCs w:val="24"/>
                <w:highlight w:val="none"/>
                <w:lang w:eastAsia="zh-CN"/>
                <w14:textFill>
                  <w14:solidFill>
                    <w14:schemeClr w14:val="tx1"/>
                  </w14:solidFill>
                </w14:textFill>
              </w:rPr>
              <w:t>月</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22</w:t>
            </w:r>
            <w:r>
              <w:rPr>
                <w:rFonts w:hint="eastAsia" w:ascii="宋体" w:hAnsi="宋体" w:eastAsia="宋体" w:cs="宋体"/>
                <w:bCs/>
                <w:color w:val="000000" w:themeColor="text1"/>
                <w:sz w:val="24"/>
                <w:szCs w:val="24"/>
                <w:highlight w:val="none"/>
                <w:lang w:eastAsia="zh-CN"/>
                <w14:textFill>
                  <w14:solidFill>
                    <w14:schemeClr w14:val="tx1"/>
                  </w14:solidFill>
                </w14:textFill>
              </w:rPr>
              <w:t>日</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Cs/>
                <w:color w:val="000000" w:themeColor="text1"/>
                <w:sz w:val="24"/>
                <w:szCs w:val="24"/>
                <w:highlight w:val="none"/>
                <w:lang w:eastAsia="zh-CN"/>
                <w14:textFill>
                  <w14:solidFill>
                    <w14:schemeClr w14:val="tx1"/>
                  </w14:solidFill>
                </w14:textFill>
              </w:rPr>
              <w:t>时</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bCs/>
                <w:color w:val="000000" w:themeColor="text1"/>
                <w:sz w:val="24"/>
                <w:szCs w:val="24"/>
                <w:highlight w:val="none"/>
                <w:lang w:eastAsia="zh-CN"/>
                <w14:textFill>
                  <w14:solidFill>
                    <w14:schemeClr w14:val="tx1"/>
                  </w14:solidFill>
                </w14:textFill>
              </w:rPr>
              <w:t>分</w:t>
            </w:r>
            <w:r>
              <w:rPr>
                <w:rFonts w:hint="eastAsia" w:ascii="宋体" w:hAnsi="宋体" w:eastAsia="宋体" w:cs="宋体"/>
                <w:bCs/>
                <w:color w:val="000000" w:themeColor="text1"/>
                <w:sz w:val="24"/>
                <w:szCs w:val="24"/>
                <w:highlight w:val="none"/>
                <w14:textFill>
                  <w14:solidFill>
                    <w14:schemeClr w14:val="tx1"/>
                  </w14:solidFill>
                </w14:textFill>
              </w:rPr>
              <w:t>（北京时间）</w:t>
            </w:r>
          </w:p>
          <w:p w14:paraId="128FACE3">
            <w:pPr>
              <w:keepNext w:val="0"/>
              <w:keepLines w:val="0"/>
              <w:pageBreakBefore w:val="0"/>
              <w:kinsoku/>
              <w:wordWrap/>
              <w:overflowPunct/>
              <w:topLinePunct w:val="0"/>
              <w:bidi w:val="0"/>
              <w:adjustRightInd w:val="0"/>
              <w:snapToGrid w:val="0"/>
              <w:spacing w:line="360" w:lineRule="exact"/>
              <w:jc w:val="left"/>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地点：</w:t>
            </w:r>
            <w:r>
              <w:rPr>
                <w:rFonts w:hint="eastAsia" w:ascii="宋体" w:hAnsi="宋体" w:eastAsia="宋体" w:cs="宋体"/>
                <w:sz w:val="24"/>
                <w:szCs w:val="24"/>
                <w:highlight w:val="none"/>
                <w:lang w:val="en-US" w:eastAsia="zh-CN"/>
              </w:rPr>
              <w:t>“政采云”平台（https://www.zcygov.cn/）</w:t>
            </w:r>
          </w:p>
        </w:tc>
      </w:tr>
      <w:tr w14:paraId="0D1EA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1" w:type="dxa"/>
            <w:noWrap w:val="0"/>
            <w:vAlign w:val="center"/>
          </w:tcPr>
          <w:p w14:paraId="59840BFB">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21</w:t>
            </w:r>
          </w:p>
        </w:tc>
        <w:tc>
          <w:tcPr>
            <w:tcW w:w="1700" w:type="dxa"/>
            <w:noWrap w:val="0"/>
            <w:vAlign w:val="center"/>
          </w:tcPr>
          <w:p w14:paraId="5F41002A">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评标委员会</w:t>
            </w:r>
            <w:r>
              <w:rPr>
                <w:rFonts w:hint="eastAsia" w:ascii="宋体" w:hAnsi="宋体" w:eastAsia="宋体" w:cs="宋体"/>
                <w:bCs/>
                <w:color w:val="auto"/>
                <w:sz w:val="24"/>
                <w:szCs w:val="24"/>
                <w:highlight w:val="none"/>
              </w:rPr>
              <w:t>的构成</w:t>
            </w:r>
          </w:p>
        </w:tc>
        <w:tc>
          <w:tcPr>
            <w:tcW w:w="6758" w:type="dxa"/>
            <w:noWrap w:val="0"/>
            <w:vAlign w:val="top"/>
          </w:tcPr>
          <w:p w14:paraId="35BAE5BC">
            <w:pPr>
              <w:keepNext w:val="0"/>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spacing w:val="-4"/>
                <w:sz w:val="24"/>
                <w:szCs w:val="24"/>
                <w:highlight w:val="none"/>
                <w:lang w:val="zh-CN"/>
              </w:rPr>
            </w:pPr>
            <w:r>
              <w:rPr>
                <w:rFonts w:hint="eastAsia" w:ascii="宋体" w:hAnsi="宋体" w:eastAsia="宋体" w:cs="宋体"/>
                <w:bCs/>
                <w:color w:val="auto"/>
                <w:sz w:val="24"/>
                <w:szCs w:val="24"/>
                <w:highlight w:val="none"/>
                <w:lang w:val="zh-CN" w:eastAsia="zh-CN"/>
              </w:rPr>
              <w:t>评标委员会</w:t>
            </w:r>
            <w:r>
              <w:rPr>
                <w:rFonts w:hint="eastAsia" w:ascii="宋体" w:hAnsi="宋体" w:eastAsia="宋体" w:cs="宋体"/>
                <w:bCs/>
                <w:color w:val="auto"/>
                <w:sz w:val="24"/>
                <w:szCs w:val="24"/>
                <w:highlight w:val="none"/>
                <w:lang w:val="zh-CN"/>
              </w:rPr>
              <w:t>构成：</w:t>
            </w:r>
            <w:r>
              <w:rPr>
                <w:rFonts w:hint="eastAsia" w:ascii="宋体" w:hAnsi="宋体" w:eastAsia="宋体" w:cs="宋体"/>
                <w:b w:val="0"/>
                <w:bCs w:val="0"/>
                <w:color w:val="auto"/>
                <w:spacing w:val="-4"/>
                <w:sz w:val="24"/>
                <w:szCs w:val="24"/>
                <w:highlight w:val="none"/>
                <w:lang w:val="zh-CN"/>
              </w:rPr>
              <w:t>由有关技术、经济等方面的专家，共</w:t>
            </w:r>
            <w:r>
              <w:rPr>
                <w:rFonts w:hint="eastAsia" w:ascii="宋体" w:hAnsi="宋体" w:eastAsia="宋体" w:cs="宋体"/>
                <w:b w:val="0"/>
                <w:bCs w:val="0"/>
                <w:color w:val="auto"/>
                <w:spacing w:val="-4"/>
                <w:sz w:val="24"/>
                <w:szCs w:val="24"/>
                <w:highlight w:val="none"/>
                <w:lang w:val="en-US" w:eastAsia="zh-CN"/>
              </w:rPr>
              <w:t>5</w:t>
            </w:r>
            <w:r>
              <w:rPr>
                <w:rFonts w:hint="eastAsia" w:ascii="宋体" w:hAnsi="宋体" w:eastAsia="宋体" w:cs="宋体"/>
                <w:b w:val="0"/>
                <w:bCs w:val="0"/>
                <w:color w:val="auto"/>
                <w:spacing w:val="-4"/>
                <w:sz w:val="24"/>
                <w:szCs w:val="24"/>
                <w:highlight w:val="none"/>
                <w:lang w:val="zh-CN"/>
              </w:rPr>
              <w:t>人组成。</w:t>
            </w:r>
          </w:p>
          <w:p w14:paraId="21154E85">
            <w:pPr>
              <w:keepNext w:val="0"/>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 w:val="0"/>
                <w:bCs w:val="0"/>
                <w:color w:val="auto"/>
                <w:spacing w:val="-4"/>
                <w:sz w:val="24"/>
                <w:szCs w:val="24"/>
                <w:highlight w:val="none"/>
                <w:lang w:val="zh-CN"/>
              </w:rPr>
              <w:t>评标专家确定方式：按专业配置要求，在</w:t>
            </w:r>
            <w:r>
              <w:rPr>
                <w:rFonts w:hint="eastAsia" w:ascii="宋体" w:hAnsi="宋体" w:eastAsia="宋体" w:cs="宋体"/>
                <w:b w:val="0"/>
                <w:bCs w:val="0"/>
                <w:color w:val="auto"/>
                <w:spacing w:val="-4"/>
                <w:sz w:val="24"/>
                <w:szCs w:val="24"/>
                <w:highlight w:val="none"/>
                <w:lang w:val="en-US" w:eastAsia="zh-CN"/>
              </w:rPr>
              <w:t>政府采购云平台中</w:t>
            </w:r>
            <w:r>
              <w:rPr>
                <w:rFonts w:hint="eastAsia" w:ascii="宋体" w:hAnsi="宋体" w:eastAsia="宋体" w:cs="宋体"/>
                <w:b w:val="0"/>
                <w:bCs w:val="0"/>
                <w:color w:val="auto"/>
                <w:spacing w:val="-4"/>
                <w:sz w:val="24"/>
                <w:szCs w:val="24"/>
                <w:highlight w:val="none"/>
                <w:lang w:val="zh-CN"/>
              </w:rPr>
              <w:t>随机抽取。</w:t>
            </w:r>
          </w:p>
        </w:tc>
      </w:tr>
      <w:tr w14:paraId="5AC8E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1" w:type="dxa"/>
            <w:noWrap w:val="0"/>
            <w:vAlign w:val="center"/>
          </w:tcPr>
          <w:p w14:paraId="4FCEFAE3">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22</w:t>
            </w:r>
          </w:p>
        </w:tc>
        <w:tc>
          <w:tcPr>
            <w:tcW w:w="1700" w:type="dxa"/>
            <w:noWrap w:val="0"/>
            <w:vAlign w:val="center"/>
          </w:tcPr>
          <w:p w14:paraId="1627C44F">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是否授权</w:t>
            </w:r>
            <w:r>
              <w:rPr>
                <w:rFonts w:hint="eastAsia" w:ascii="宋体" w:hAnsi="宋体" w:eastAsia="宋体" w:cs="宋体"/>
                <w:bCs/>
                <w:color w:val="auto"/>
                <w:sz w:val="24"/>
                <w:szCs w:val="24"/>
                <w:highlight w:val="none"/>
                <w:lang w:val="en-US" w:eastAsia="zh-CN"/>
              </w:rPr>
              <w:t>评标委员会</w:t>
            </w:r>
            <w:r>
              <w:rPr>
                <w:rFonts w:hint="eastAsia" w:ascii="宋体" w:hAnsi="宋体" w:eastAsia="宋体" w:cs="宋体"/>
                <w:color w:val="auto"/>
                <w:sz w:val="24"/>
                <w:szCs w:val="24"/>
                <w:highlight w:val="none"/>
                <w:lang w:val="zh-CN"/>
              </w:rPr>
              <w:t>确定中标供应商</w:t>
            </w:r>
          </w:p>
        </w:tc>
        <w:tc>
          <w:tcPr>
            <w:tcW w:w="6758" w:type="dxa"/>
            <w:noWrap w:val="0"/>
            <w:vAlign w:val="center"/>
          </w:tcPr>
          <w:p w14:paraId="36FE19EA">
            <w:pPr>
              <w:keepNext w:val="0"/>
              <w:keepLines w:val="0"/>
              <w:pageBreakBefore w:val="0"/>
              <w:kinsoku/>
              <w:wordWrap/>
              <w:overflowPunct/>
              <w:topLinePunct w:val="0"/>
              <w:bidi w:val="0"/>
              <w:spacing w:line="36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否</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zh-CN" w:eastAsia="zh-CN"/>
              </w:rPr>
              <w:t>评标委员会</w:t>
            </w:r>
            <w:r>
              <w:rPr>
                <w:rFonts w:hint="eastAsia" w:ascii="宋体" w:hAnsi="宋体" w:eastAsia="宋体" w:cs="宋体"/>
                <w:color w:val="auto"/>
                <w:sz w:val="24"/>
                <w:szCs w:val="24"/>
                <w:highlight w:val="none"/>
              </w:rPr>
              <w:t>应当根据综合评分情况，按照评审得分由高到低顺序推荐</w:t>
            </w:r>
            <w:r>
              <w:rPr>
                <w:rFonts w:hint="eastAsia" w:ascii="宋体" w:hAnsi="宋体" w:eastAsia="宋体" w:cs="宋体"/>
                <w:color w:val="auto"/>
                <w:sz w:val="24"/>
                <w:szCs w:val="24"/>
                <w:highlight w:val="none"/>
                <w:lang w:val="en-US" w:eastAsia="zh-CN"/>
              </w:rPr>
              <w:t>三名</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val="en-US" w:eastAsia="zh-CN"/>
              </w:rPr>
              <w:t>候选</w:t>
            </w:r>
            <w:r>
              <w:rPr>
                <w:rFonts w:hint="eastAsia" w:ascii="宋体" w:hAnsi="宋体" w:eastAsia="宋体" w:cs="宋体"/>
                <w:color w:val="auto"/>
                <w:sz w:val="24"/>
                <w:szCs w:val="24"/>
                <w:highlight w:val="none"/>
              </w:rPr>
              <w:t>人。</w:t>
            </w:r>
          </w:p>
        </w:tc>
      </w:tr>
      <w:tr w14:paraId="4CA45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1" w:type="dxa"/>
            <w:noWrap w:val="0"/>
            <w:vAlign w:val="center"/>
          </w:tcPr>
          <w:p w14:paraId="501E71B9">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23</w:t>
            </w:r>
          </w:p>
        </w:tc>
        <w:tc>
          <w:tcPr>
            <w:tcW w:w="1700" w:type="dxa"/>
            <w:noWrap w:val="0"/>
            <w:vAlign w:val="center"/>
          </w:tcPr>
          <w:p w14:paraId="0D43C3D3">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评审方法</w:t>
            </w:r>
          </w:p>
        </w:tc>
        <w:tc>
          <w:tcPr>
            <w:tcW w:w="6758" w:type="dxa"/>
            <w:noWrap w:val="0"/>
            <w:vAlign w:val="center"/>
          </w:tcPr>
          <w:p w14:paraId="076B0066">
            <w:pPr>
              <w:keepNext w:val="0"/>
              <w:keepLines w:val="0"/>
              <w:pageBreakBefore w:val="0"/>
              <w:kinsoku/>
              <w:wordWrap/>
              <w:overflowPunct/>
              <w:topLinePunct w:val="0"/>
              <w:bidi w:val="0"/>
              <w:spacing w:line="36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综合评分法</w:t>
            </w:r>
          </w:p>
        </w:tc>
      </w:tr>
      <w:tr w14:paraId="556F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1" w:type="dxa"/>
            <w:noWrap w:val="0"/>
            <w:vAlign w:val="center"/>
          </w:tcPr>
          <w:p w14:paraId="78F77BF5">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24</w:t>
            </w:r>
          </w:p>
        </w:tc>
        <w:tc>
          <w:tcPr>
            <w:tcW w:w="1700" w:type="dxa"/>
            <w:noWrap w:val="0"/>
            <w:vAlign w:val="center"/>
          </w:tcPr>
          <w:p w14:paraId="29C33CD6">
            <w:pPr>
              <w:keepNext w:val="0"/>
              <w:keepLines w:val="0"/>
              <w:pageBreakBefore w:val="0"/>
              <w:kinsoku/>
              <w:wordWrap/>
              <w:overflowPunct/>
              <w:topLinePunct w:val="0"/>
              <w:bidi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履约保证金</w:t>
            </w:r>
          </w:p>
        </w:tc>
        <w:tc>
          <w:tcPr>
            <w:tcW w:w="6758" w:type="dxa"/>
            <w:noWrap w:val="0"/>
            <w:vAlign w:val="center"/>
          </w:tcPr>
          <w:p w14:paraId="63E8C280">
            <w:pPr>
              <w:keepNext w:val="0"/>
              <w:keepLines w:val="0"/>
              <w:pageBreakBefore w:val="0"/>
              <w:kinsoku/>
              <w:wordWrap/>
              <w:overflowPunct/>
              <w:topLinePunct w:val="0"/>
              <w:bidi w:val="0"/>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w:t>
            </w:r>
          </w:p>
        </w:tc>
      </w:tr>
      <w:tr w14:paraId="64DE0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1" w:type="dxa"/>
            <w:noWrap w:val="0"/>
            <w:vAlign w:val="center"/>
          </w:tcPr>
          <w:p w14:paraId="442B96FD">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25</w:t>
            </w:r>
          </w:p>
        </w:tc>
        <w:tc>
          <w:tcPr>
            <w:tcW w:w="1700" w:type="dxa"/>
            <w:noWrap w:val="0"/>
            <w:vAlign w:val="center"/>
          </w:tcPr>
          <w:p w14:paraId="12890EFE">
            <w:pPr>
              <w:keepNext w:val="0"/>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报价方式</w:t>
            </w:r>
          </w:p>
        </w:tc>
        <w:tc>
          <w:tcPr>
            <w:tcW w:w="6758" w:type="dxa"/>
            <w:noWrap w:val="0"/>
            <w:vAlign w:val="center"/>
          </w:tcPr>
          <w:p w14:paraId="3EB42EC7">
            <w:pPr>
              <w:pStyle w:val="32"/>
              <w:spacing w:line="320" w:lineRule="exact"/>
              <w:ind w:left="-40" w:leftChars="-34" w:hanging="31" w:hangingChars="13"/>
              <w:jc w:val="both"/>
              <w:rPr>
                <w:rFonts w:hint="default" w:hAnsi="宋体" w:eastAsia="宋体"/>
                <w:color w:val="auto"/>
                <w:sz w:val="24"/>
                <w:szCs w:val="24"/>
                <w:highlight w:val="none"/>
                <w:lang w:val="en-US" w:eastAsia="zh-CN"/>
              </w:rPr>
            </w:pPr>
            <w:r>
              <w:rPr>
                <w:rFonts w:hint="eastAsia" w:hAnsi="宋体"/>
                <w:color w:val="auto"/>
                <w:sz w:val="24"/>
                <w:szCs w:val="24"/>
                <w:highlight w:val="none"/>
                <w:lang w:val="en-US" w:eastAsia="zh-CN"/>
              </w:rPr>
              <w:t>最高限价</w:t>
            </w:r>
            <w:r>
              <w:rPr>
                <w:rFonts w:hint="eastAsia" w:hAnsi="宋体"/>
                <w:color w:val="auto"/>
                <w:sz w:val="24"/>
                <w:szCs w:val="24"/>
                <w:highlight w:val="none"/>
              </w:rPr>
              <w:t>：</w:t>
            </w:r>
            <w:r>
              <w:rPr>
                <w:rFonts w:hint="eastAsia" w:hAnsi="宋体"/>
                <w:color w:val="auto"/>
                <w:sz w:val="24"/>
                <w:szCs w:val="24"/>
                <w:highlight w:val="none"/>
                <w:lang w:val="en-US" w:eastAsia="zh-CN"/>
              </w:rPr>
              <w:t>573.5万</w:t>
            </w:r>
            <w:r>
              <w:rPr>
                <w:rFonts w:hint="eastAsia" w:hAnsi="宋体"/>
                <w:color w:val="auto"/>
                <w:sz w:val="24"/>
                <w:szCs w:val="24"/>
                <w:highlight w:val="none"/>
              </w:rPr>
              <w:t>元</w:t>
            </w:r>
            <w:r>
              <w:rPr>
                <w:rFonts w:hint="eastAsia" w:hAnsi="宋体"/>
                <w:color w:val="auto"/>
                <w:sz w:val="24"/>
                <w:szCs w:val="24"/>
                <w:highlight w:val="none"/>
                <w:lang w:val="en-US" w:eastAsia="zh-CN"/>
              </w:rPr>
              <w:t>/年</w:t>
            </w:r>
          </w:p>
          <w:p w14:paraId="2A2FDF63">
            <w:pPr>
              <w:pStyle w:val="32"/>
              <w:spacing w:line="320" w:lineRule="exact"/>
              <w:ind w:left="-40" w:leftChars="-34" w:hanging="31" w:hangingChars="13"/>
              <w:jc w:val="both"/>
              <w:rPr>
                <w:rFonts w:hint="default" w:ascii="宋体" w:hAnsi="宋体" w:eastAsia="宋体" w:cs="宋体"/>
                <w:color w:val="000000"/>
                <w:sz w:val="24"/>
                <w:szCs w:val="24"/>
                <w:highlight w:val="none"/>
                <w:lang w:val="en-US" w:eastAsia="zh-CN" w:bidi="ar-SA"/>
              </w:rPr>
            </w:pPr>
            <w:r>
              <w:rPr>
                <w:rFonts w:hint="eastAsia" w:hAnsi="宋体"/>
                <w:color w:val="auto"/>
                <w:sz w:val="24"/>
                <w:szCs w:val="24"/>
                <w:highlight w:val="none"/>
              </w:rPr>
              <w:t>本项目只允许有唯一报价，且不超过</w:t>
            </w:r>
            <w:r>
              <w:rPr>
                <w:rFonts w:hint="eastAsia"/>
                <w:sz w:val="24"/>
                <w:szCs w:val="32"/>
              </w:rPr>
              <w:t>预算金额</w:t>
            </w:r>
            <w:r>
              <w:rPr>
                <w:rFonts w:hint="eastAsia" w:hAnsi="宋体"/>
                <w:color w:val="auto"/>
                <w:sz w:val="24"/>
                <w:szCs w:val="24"/>
                <w:highlight w:val="none"/>
              </w:rPr>
              <w:t>。</w:t>
            </w:r>
          </w:p>
        </w:tc>
      </w:tr>
      <w:tr w14:paraId="78E2E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1" w:type="dxa"/>
            <w:noWrap w:val="0"/>
            <w:vAlign w:val="center"/>
          </w:tcPr>
          <w:p w14:paraId="2D323ACE">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26</w:t>
            </w:r>
          </w:p>
        </w:tc>
        <w:tc>
          <w:tcPr>
            <w:tcW w:w="1700" w:type="dxa"/>
            <w:noWrap w:val="0"/>
            <w:vAlign w:val="center"/>
          </w:tcPr>
          <w:p w14:paraId="6F45F057">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rPr>
              <w:t>付款方式</w:t>
            </w:r>
          </w:p>
        </w:tc>
        <w:tc>
          <w:tcPr>
            <w:tcW w:w="6758" w:type="dxa"/>
            <w:noWrap w:val="0"/>
            <w:vAlign w:val="center"/>
          </w:tcPr>
          <w:p w14:paraId="004BA919">
            <w:pPr>
              <w:spacing w:line="240" w:lineRule="auto"/>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按合同约定执行</w:t>
            </w:r>
          </w:p>
        </w:tc>
      </w:tr>
      <w:tr w14:paraId="49FB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1" w:type="dxa"/>
            <w:noWrap w:val="0"/>
            <w:vAlign w:val="center"/>
          </w:tcPr>
          <w:p w14:paraId="646DC3FB">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27</w:t>
            </w:r>
          </w:p>
        </w:tc>
        <w:tc>
          <w:tcPr>
            <w:tcW w:w="1700" w:type="dxa"/>
            <w:noWrap w:val="0"/>
            <w:vAlign w:val="center"/>
          </w:tcPr>
          <w:p w14:paraId="10E6A48E">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投标文件签字或盖章要求</w:t>
            </w:r>
          </w:p>
        </w:tc>
        <w:tc>
          <w:tcPr>
            <w:tcW w:w="6758" w:type="dxa"/>
            <w:noWrap w:val="0"/>
            <w:vAlign w:val="center"/>
          </w:tcPr>
          <w:p w14:paraId="4FE68491">
            <w:pPr>
              <w:keepNext w:val="0"/>
              <w:keepLines w:val="0"/>
              <w:pageBreakBefore w:val="0"/>
              <w:kinsoku/>
              <w:wordWrap/>
              <w:overflowPunct/>
              <w:topLinePunct w:val="0"/>
              <w:bidi w:val="0"/>
              <w:spacing w:line="36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投标文件封面、投标函等均应加盖投标人公章并经法定代表人或其委托代理人签字或盖章。</w:t>
            </w:r>
          </w:p>
        </w:tc>
      </w:tr>
      <w:tr w14:paraId="606C7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1" w:type="dxa"/>
            <w:noWrap w:val="0"/>
            <w:vAlign w:val="center"/>
          </w:tcPr>
          <w:p w14:paraId="1CC7AB9F">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28</w:t>
            </w:r>
          </w:p>
        </w:tc>
        <w:tc>
          <w:tcPr>
            <w:tcW w:w="1700" w:type="dxa"/>
            <w:noWrap w:val="0"/>
            <w:vAlign w:val="center"/>
          </w:tcPr>
          <w:p w14:paraId="4C512CCC">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sz w:val="24"/>
                <w:szCs w:val="24"/>
                <w:highlight w:val="none"/>
              </w:rPr>
              <w:t>合同备案管理</w:t>
            </w:r>
          </w:p>
        </w:tc>
        <w:tc>
          <w:tcPr>
            <w:tcW w:w="6758" w:type="dxa"/>
            <w:noWrap w:val="0"/>
            <w:vAlign w:val="center"/>
          </w:tcPr>
          <w:p w14:paraId="16B76718">
            <w:pPr>
              <w:spacing w:line="240" w:lineRule="auto"/>
              <w:jc w:val="left"/>
              <w:rPr>
                <w:rFonts w:hint="eastAsia" w:ascii="宋体" w:hAnsi="宋体" w:eastAsia="宋体" w:cs="宋体"/>
                <w:color w:val="auto"/>
                <w:sz w:val="24"/>
                <w:szCs w:val="24"/>
                <w:highlight w:val="none"/>
              </w:rPr>
            </w:pPr>
            <w:r>
              <w:rPr>
                <w:rFonts w:hint="eastAsia" w:ascii="宋体" w:hAnsi="宋体"/>
                <w:sz w:val="24"/>
                <w:szCs w:val="24"/>
                <w:highlight w:val="none"/>
              </w:rPr>
              <w:t>中标（</w:t>
            </w:r>
            <w:r>
              <w:rPr>
                <w:rFonts w:ascii="宋体" w:hAnsi="宋体"/>
                <w:sz w:val="24"/>
                <w:szCs w:val="24"/>
                <w:highlight w:val="none"/>
              </w:rPr>
              <w:t>成交）</w:t>
            </w:r>
            <w:r>
              <w:rPr>
                <w:rFonts w:hint="eastAsia" w:ascii="宋体" w:hAnsi="宋体"/>
                <w:sz w:val="24"/>
                <w:szCs w:val="24"/>
                <w:highlight w:val="none"/>
              </w:rPr>
              <w:t>单位与采购人签订合同后2日内，将合同扫描件交于采购代理机构，采购代理机构协助采购人，将政府采购合同在指定的媒体上公布（政府采购合同中涉及国家秘密、商业秘密的内容除外）。</w:t>
            </w:r>
          </w:p>
        </w:tc>
      </w:tr>
      <w:tr w14:paraId="2B2E1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1" w:type="dxa"/>
            <w:noWrap w:val="0"/>
            <w:vAlign w:val="center"/>
          </w:tcPr>
          <w:p w14:paraId="69A0D383">
            <w:pPr>
              <w:keepNext w:val="0"/>
              <w:keepLines w:val="0"/>
              <w:pageBreakBefore w:val="0"/>
              <w:kinsoku/>
              <w:wordWrap/>
              <w:overflowPunct/>
              <w:topLinePunct w:val="0"/>
              <w:bidi w:val="0"/>
              <w:snapToGrid/>
              <w:spacing w:line="36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29</w:t>
            </w:r>
          </w:p>
        </w:tc>
        <w:tc>
          <w:tcPr>
            <w:tcW w:w="8458" w:type="dxa"/>
            <w:gridSpan w:val="2"/>
            <w:noWrap w:val="0"/>
            <w:vAlign w:val="center"/>
          </w:tcPr>
          <w:p w14:paraId="6841504C">
            <w:pPr>
              <w:keepNext w:val="0"/>
              <w:keepLines w:val="0"/>
              <w:pageBreakBefore w:val="0"/>
              <w:widowControl w:val="0"/>
              <w:kinsoku/>
              <w:wordWrap/>
              <w:overflowPunct/>
              <w:topLinePunct w:val="0"/>
              <w:bidi w:val="0"/>
              <w:snapToGrid/>
              <w:spacing w:line="360" w:lineRule="exact"/>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执行《国家发展改革委关于进一步放开建设项目专业服务价格的通知》（发改办价格[2015]299号）文件规定，向中标人收取招标代理服务费。</w:t>
            </w:r>
            <w:r>
              <w:rPr>
                <w:rFonts w:hint="eastAsia" w:ascii="宋体" w:hAnsi="宋体" w:eastAsia="宋体" w:cs="宋体"/>
                <w:color w:val="auto"/>
                <w:sz w:val="24"/>
                <w:szCs w:val="24"/>
                <w:highlight w:val="none"/>
                <w:lang w:val="en-US" w:eastAsia="zh-CN"/>
              </w:rPr>
              <w:t>按中标金额的0.3%收取</w:t>
            </w:r>
          </w:p>
        </w:tc>
      </w:tr>
      <w:tr w14:paraId="3DB5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1" w:type="dxa"/>
            <w:noWrap w:val="0"/>
            <w:vAlign w:val="center"/>
          </w:tcPr>
          <w:p w14:paraId="60854D2E">
            <w:pPr>
              <w:keepNext w:val="0"/>
              <w:keepLines w:val="0"/>
              <w:pageBreakBefore w:val="0"/>
              <w:kinsoku/>
              <w:wordWrap/>
              <w:overflowPunct/>
              <w:topLinePunct w:val="0"/>
              <w:bidi w:val="0"/>
              <w:snapToGrid/>
              <w:spacing w:line="36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31</w:t>
            </w:r>
          </w:p>
        </w:tc>
        <w:tc>
          <w:tcPr>
            <w:tcW w:w="8458" w:type="dxa"/>
            <w:gridSpan w:val="2"/>
            <w:noWrap w:val="0"/>
            <w:vAlign w:val="center"/>
          </w:tcPr>
          <w:p w14:paraId="570EB3A2">
            <w:pPr>
              <w:keepNext w:val="0"/>
              <w:keepLines w:val="0"/>
              <w:pageBreakBefore w:val="0"/>
              <w:kinsoku/>
              <w:wordWrap/>
              <w:overflowPunct/>
              <w:topLinePunct w:val="0"/>
              <w:bidi w:val="0"/>
              <w:spacing w:line="360" w:lineRule="exact"/>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1.对供应商信用信息的查询：</w:t>
            </w:r>
          </w:p>
          <w:p w14:paraId="1533A677">
            <w:pPr>
              <w:keepNext w:val="0"/>
              <w:keepLines w:val="0"/>
              <w:pageBreakBefore w:val="0"/>
              <w:kinsoku/>
              <w:wordWrap/>
              <w:overflowPunct/>
              <w:topLinePunct w:val="0"/>
              <w:bidi w:val="0"/>
              <w:spacing w:line="360" w:lineRule="exact"/>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查询渠道：</w:t>
            </w:r>
          </w:p>
          <w:p w14:paraId="26FB3D79">
            <w:pPr>
              <w:keepNext w:val="0"/>
              <w:keepLines w:val="0"/>
              <w:pageBreakBefore w:val="0"/>
              <w:kinsoku/>
              <w:wordWrap/>
              <w:overflowPunct/>
              <w:topLinePunct w:val="0"/>
              <w:bidi w:val="0"/>
              <w:spacing w:line="360" w:lineRule="exact"/>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①“信用中国”网站（www.creditchina.gov.cn）：失信被执行人、重大税收违法案件当事人名单。</w:t>
            </w:r>
          </w:p>
          <w:p w14:paraId="3F242CF7">
            <w:pPr>
              <w:keepNext w:val="0"/>
              <w:keepLines w:val="0"/>
              <w:pageBreakBefore w:val="0"/>
              <w:kinsoku/>
              <w:wordWrap/>
              <w:overflowPunct/>
              <w:topLinePunct w:val="0"/>
              <w:bidi w:val="0"/>
              <w:spacing w:line="360" w:lineRule="exact"/>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②中国政府采购网(www.ccgp.gov.cn)：政府采购严重违法失信行为信息记录。</w:t>
            </w:r>
          </w:p>
          <w:p w14:paraId="7467D907">
            <w:pPr>
              <w:keepNext w:val="0"/>
              <w:keepLines w:val="0"/>
              <w:pageBreakBefore w:val="0"/>
              <w:kinsoku/>
              <w:wordWrap/>
              <w:overflowPunct/>
              <w:topLinePunct w:val="0"/>
              <w:bidi w:val="0"/>
              <w:spacing w:line="360" w:lineRule="exact"/>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查询截止时点：开启后评审前</w:t>
            </w:r>
          </w:p>
          <w:p w14:paraId="1EF7E3E9">
            <w:pPr>
              <w:keepNext w:val="0"/>
              <w:keepLines w:val="0"/>
              <w:pageBreakBefore w:val="0"/>
              <w:kinsoku/>
              <w:wordWrap/>
              <w:overflowPunct/>
              <w:topLinePunct w:val="0"/>
              <w:bidi w:val="0"/>
              <w:spacing w:line="360" w:lineRule="exact"/>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信用信息的使用规则：</w:t>
            </w:r>
          </w:p>
          <w:p w14:paraId="15A87DEA">
            <w:pPr>
              <w:keepNext w:val="0"/>
              <w:keepLines w:val="0"/>
              <w:pageBreakBefore w:val="0"/>
              <w:kinsoku/>
              <w:wordWrap/>
              <w:overflowPunct/>
              <w:topLinePunct w:val="0"/>
              <w:bidi w:val="0"/>
              <w:spacing w:line="360" w:lineRule="exact"/>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采购人或采购代理机构按查询截止时点对所有供应商的信用信息进行查询，查询记录将作为评标委员会审查投标文件的依据，对列入失信被执行人、重大税收违法案件当事人名单、政府采购严重违法失信行为记录名单的供应商，投标文件作无效处理。</w:t>
            </w:r>
          </w:p>
        </w:tc>
      </w:tr>
      <w:tr w14:paraId="290D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1" w:type="dxa"/>
            <w:noWrap w:val="0"/>
            <w:vAlign w:val="center"/>
          </w:tcPr>
          <w:p w14:paraId="05F7A071">
            <w:pPr>
              <w:keepNext w:val="0"/>
              <w:keepLines w:val="0"/>
              <w:pageBreakBefore w:val="0"/>
              <w:kinsoku/>
              <w:wordWrap/>
              <w:overflowPunct/>
              <w:topLinePunct w:val="0"/>
              <w:bidi w:val="0"/>
              <w:snapToGrid/>
              <w:spacing w:line="36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32</w:t>
            </w:r>
          </w:p>
        </w:tc>
        <w:tc>
          <w:tcPr>
            <w:tcW w:w="8458" w:type="dxa"/>
            <w:gridSpan w:val="2"/>
            <w:noWrap w:val="0"/>
            <w:vAlign w:val="center"/>
          </w:tcPr>
          <w:p w14:paraId="5948E6E4">
            <w:pPr>
              <w:keepNext w:val="0"/>
              <w:keepLines w:val="0"/>
              <w:pageBreakBefore w:val="0"/>
              <w:kinsoku/>
              <w:wordWrap/>
              <w:overflowPunct/>
              <w:topLinePunct w:val="0"/>
              <w:bidi w:val="0"/>
              <w:spacing w:line="360" w:lineRule="exact"/>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若投标人未按规定提交投标疑问，则视为其无疑问，招标文件未列明事宜可电话询问代理机构，但以电话询问的方式不做为有效的投标疑问、质疑依据。根据《政府采购质疑和投诉办法》第十条：供应商认为采购文件、采购过程、中标或者成交结果使自己的权益受到损害的，可以在知道或者应知其权益受到损害之日起7个工作日内，以书面形式向采购人、采购代理机构提出质疑。供应商在法定质疑期内一次性提出针对同一采购程序环节的质疑。第十一条：提出质疑的供应商（以下简称质疑供应商）应当是参与所质疑项目采购活动的供应商。潜在供应商已依法获取其可质疑的采购文件的，可以对该文件提出质疑。对采购文件提出质疑的，应当在获取采购文件或者采购文件公告期限届满之日起7个工作日内提出。</w:t>
            </w:r>
          </w:p>
          <w:p w14:paraId="11824A32">
            <w:pPr>
              <w:keepNext w:val="0"/>
              <w:keepLines w:val="0"/>
              <w:pageBreakBefore w:val="0"/>
              <w:kinsoku/>
              <w:wordWrap/>
              <w:overflowPunct/>
              <w:topLinePunct w:val="0"/>
              <w:bidi w:val="0"/>
              <w:spacing w:line="360" w:lineRule="exact"/>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接收质疑函的方式、联系部门、联系电话和通讯地址：</w:t>
            </w:r>
          </w:p>
          <w:p w14:paraId="0580D767">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名称：吉林中利项目管理有限公司</w:t>
            </w:r>
          </w:p>
          <w:p w14:paraId="1BE32DDE">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地址：吉林市船营区河南街建林胡同6号楼吉源商城G区1号  </w:t>
            </w:r>
          </w:p>
          <w:p w14:paraId="637FDE0B">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联系人：盖丽娟        </w:t>
            </w:r>
          </w:p>
          <w:p w14:paraId="300E02CD">
            <w:pPr>
              <w:keepNext w:val="0"/>
              <w:keepLines w:val="0"/>
              <w:pageBreakBefore w:val="0"/>
              <w:kinsoku/>
              <w:wordWrap/>
              <w:overflowPunct/>
              <w:topLinePunct w:val="0"/>
              <w:bidi w:val="0"/>
              <w:spacing w:line="360" w:lineRule="exact"/>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color w:val="auto"/>
                <w:sz w:val="24"/>
                <w:szCs w:val="24"/>
                <w:highlight w:val="none"/>
                <w:lang w:val="en-US" w:eastAsia="zh-CN"/>
              </w:rPr>
              <w:t>联系电话：15044201981</w:t>
            </w:r>
            <w:r>
              <w:rPr>
                <w:rFonts w:hint="eastAsia" w:ascii="宋体" w:hAnsi="宋体" w:eastAsia="宋体" w:cs="宋体"/>
                <w:color w:val="auto"/>
                <w:sz w:val="24"/>
                <w:szCs w:val="24"/>
                <w:highlight w:val="none"/>
              </w:rPr>
              <w:t xml:space="preserve"> </w:t>
            </w:r>
          </w:p>
        </w:tc>
      </w:tr>
      <w:tr w14:paraId="5DEDD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1" w:type="dxa"/>
            <w:noWrap w:val="0"/>
            <w:vAlign w:val="center"/>
          </w:tcPr>
          <w:p w14:paraId="1C1D4DCB">
            <w:pPr>
              <w:keepNext w:val="0"/>
              <w:keepLines w:val="0"/>
              <w:pageBreakBefore w:val="0"/>
              <w:kinsoku/>
              <w:wordWrap/>
              <w:overflowPunct/>
              <w:topLinePunct w:val="0"/>
              <w:bidi w:val="0"/>
              <w:snapToGrid/>
              <w:spacing w:line="36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33</w:t>
            </w:r>
          </w:p>
        </w:tc>
        <w:tc>
          <w:tcPr>
            <w:tcW w:w="8458" w:type="dxa"/>
            <w:gridSpan w:val="2"/>
            <w:noWrap w:val="0"/>
            <w:vAlign w:val="center"/>
          </w:tcPr>
          <w:p w14:paraId="3094842E">
            <w:pPr>
              <w:keepNext w:val="0"/>
              <w:keepLines w:val="0"/>
              <w:pageBreakBefore w:val="0"/>
              <w:kinsoku/>
              <w:wordWrap/>
              <w:overflowPunct/>
              <w:topLinePunct w:val="0"/>
              <w:bidi w:val="0"/>
              <w:snapToGrid/>
              <w:spacing w:line="360" w:lineRule="exact"/>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正式投入营运的车辆必须与乙方投标承诺投入车辆相一致，否则招标人有权终止合同。</w:t>
            </w:r>
          </w:p>
        </w:tc>
      </w:tr>
      <w:tr w14:paraId="1441F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1" w:type="dxa"/>
            <w:noWrap w:val="0"/>
            <w:vAlign w:val="center"/>
          </w:tcPr>
          <w:p w14:paraId="441DF65C">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34</w:t>
            </w:r>
          </w:p>
        </w:tc>
        <w:tc>
          <w:tcPr>
            <w:tcW w:w="8458" w:type="dxa"/>
            <w:gridSpan w:val="2"/>
            <w:noWrap w:val="0"/>
            <w:vAlign w:val="center"/>
          </w:tcPr>
          <w:p w14:paraId="15F8BBDB">
            <w:pPr>
              <w:keepNext w:val="0"/>
              <w:keepLines w:val="0"/>
              <w:pageBreakBefore w:val="0"/>
              <w:kinsoku/>
              <w:wordWrap/>
              <w:overflowPunct/>
              <w:topLinePunct w:val="0"/>
              <w:bidi w:val="0"/>
              <w:snapToGrid/>
              <w:spacing w:line="360" w:lineRule="exact"/>
              <w:textAlignment w:val="auto"/>
              <w:rPr>
                <w:rFonts w:hint="eastAsia" w:ascii="宋体" w:hAnsi="宋体" w:eastAsia="宋体" w:cs="宋体"/>
                <w:bCs/>
                <w:color w:val="auto"/>
                <w:spacing w:val="-4"/>
                <w:sz w:val="24"/>
                <w:szCs w:val="24"/>
                <w:highlight w:val="none"/>
                <w:lang w:val="zh-CN"/>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eastAsia="zh-CN"/>
              </w:rPr>
              <w:t>招标公告</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投标人须知内容有不符之处，以本</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投标人须知内容为准。</w:t>
            </w:r>
          </w:p>
        </w:tc>
      </w:tr>
    </w:tbl>
    <w:p w14:paraId="7B94E2C3">
      <w:pPr>
        <w:snapToGrid/>
        <w:spacing w:before="0" w:beforeAutospacing="0" w:after="0" w:afterAutospacing="0" w:line="240" w:lineRule="auto"/>
        <w:jc w:val="center"/>
        <w:textAlignment w:val="baseline"/>
        <w:rPr>
          <w:b w:val="0"/>
          <w:i w:val="0"/>
          <w:caps w:val="0"/>
          <w:spacing w:val="0"/>
          <w:w w:val="100"/>
          <w:sz w:val="24"/>
          <w:szCs w:val="24"/>
        </w:rPr>
      </w:pPr>
    </w:p>
    <w:p w14:paraId="1E9A07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rPr>
      </w:pPr>
      <w:r>
        <w:rPr>
          <w:rFonts w:hint="eastAsia"/>
          <w:sz w:val="24"/>
          <w:szCs w:val="32"/>
          <w:lang w:val="en-US" w:eastAsia="zh-CN"/>
        </w:rPr>
        <w:t>二、</w:t>
      </w:r>
      <w:r>
        <w:rPr>
          <w:rFonts w:hint="eastAsia"/>
          <w:sz w:val="24"/>
          <w:szCs w:val="32"/>
        </w:rPr>
        <w:t>总       则</w:t>
      </w:r>
    </w:p>
    <w:p w14:paraId="561CFC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适用法律</w:t>
      </w:r>
    </w:p>
    <w:p w14:paraId="06374A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本次招标适用法律法规为《中华人民共和国招投标法》、《中华人民共和国政府采购法》《校车安全管理条例》及其他相关法规。</w:t>
      </w:r>
    </w:p>
    <w:p w14:paraId="18D776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定义</w:t>
      </w:r>
    </w:p>
    <w:p w14:paraId="4446C20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32"/>
          <w:lang w:val="en-US" w:eastAsia="zh-CN"/>
        </w:rPr>
      </w:pPr>
      <w:r>
        <w:rPr>
          <w:rFonts w:hint="eastAsia"/>
          <w:sz w:val="24"/>
          <w:szCs w:val="32"/>
        </w:rPr>
        <w:t>2.1“招标代理机构”指</w:t>
      </w:r>
      <w:r>
        <w:rPr>
          <w:rFonts w:hint="eastAsia"/>
          <w:sz w:val="24"/>
          <w:szCs w:val="32"/>
          <w:lang w:val="en-US" w:eastAsia="zh-CN"/>
        </w:rPr>
        <w:t>吉林中利项目管理有限公司</w:t>
      </w:r>
    </w:p>
    <w:p w14:paraId="3C476F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32"/>
        </w:rPr>
      </w:pPr>
      <w:r>
        <w:rPr>
          <w:rFonts w:hint="eastAsia"/>
          <w:sz w:val="24"/>
          <w:szCs w:val="32"/>
        </w:rPr>
        <w:t>2.2“</w:t>
      </w:r>
      <w:r>
        <w:rPr>
          <w:rFonts w:hint="eastAsia"/>
          <w:color w:val="auto"/>
          <w:sz w:val="24"/>
          <w:szCs w:val="32"/>
        </w:rPr>
        <w:t>采购人”指</w:t>
      </w:r>
      <w:r>
        <w:rPr>
          <w:rFonts w:hint="eastAsia"/>
          <w:color w:val="auto"/>
          <w:sz w:val="24"/>
          <w:szCs w:val="32"/>
          <w:lang w:val="en-US" w:eastAsia="zh-CN"/>
        </w:rPr>
        <w:t>吉林市船营区中小学校后勤管理中心</w:t>
      </w:r>
    </w:p>
    <w:p w14:paraId="6DDA09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采购人负责采购项目的整体规划、采购需求设计和可行性论证，作为合同的需方，承担质疑答复，合同履行、验收、评价等义务。</w:t>
      </w:r>
    </w:p>
    <w:p w14:paraId="31DAF6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2.3“招标内容”详见第</w:t>
      </w:r>
      <w:r>
        <w:rPr>
          <w:rFonts w:hint="eastAsia"/>
          <w:sz w:val="24"/>
          <w:szCs w:val="32"/>
          <w:lang w:val="en-US" w:eastAsia="zh-CN"/>
        </w:rPr>
        <w:t>五</w:t>
      </w:r>
      <w:r>
        <w:rPr>
          <w:rFonts w:hint="eastAsia"/>
          <w:sz w:val="24"/>
          <w:szCs w:val="32"/>
        </w:rPr>
        <w:t>章《</w:t>
      </w:r>
      <w:r>
        <w:rPr>
          <w:rFonts w:hint="eastAsia"/>
          <w:sz w:val="24"/>
          <w:szCs w:val="32"/>
          <w:lang w:val="en-US" w:eastAsia="zh-CN"/>
        </w:rPr>
        <w:t>服务</w:t>
      </w:r>
      <w:r>
        <w:rPr>
          <w:rFonts w:hint="eastAsia"/>
          <w:sz w:val="24"/>
          <w:szCs w:val="32"/>
        </w:rPr>
        <w:t>需求》</w:t>
      </w:r>
    </w:p>
    <w:p w14:paraId="1B7BC0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2.4“潜在投标人”指符合条件的购买了招标文件的供应商。</w:t>
      </w:r>
    </w:p>
    <w:p w14:paraId="0E9761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2.5“投标人”指响应本招标文件参加投标的供应商</w:t>
      </w:r>
    </w:p>
    <w:p w14:paraId="00F142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4"/>
          <w:szCs w:val="32"/>
          <w:lang w:eastAsia="zh-CN"/>
        </w:rPr>
      </w:pPr>
      <w:r>
        <w:rPr>
          <w:rFonts w:hint="eastAsia"/>
          <w:sz w:val="24"/>
          <w:szCs w:val="32"/>
        </w:rPr>
        <w:t>2.6“项目名称”见须知前附表</w:t>
      </w:r>
      <w:r>
        <w:rPr>
          <w:rFonts w:hint="eastAsia"/>
          <w:sz w:val="24"/>
          <w:szCs w:val="32"/>
          <w:lang w:eastAsia="zh-CN"/>
        </w:rPr>
        <w:t>。</w:t>
      </w:r>
    </w:p>
    <w:p w14:paraId="7836C3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2.7货物和服务：必须全新的货物，国产的货物及其有关服务必须符合中华人民共和国的设计和制造生产或行业标准。进口的货物及其有关服务必须符合原产地和中华人民共和国的设计和制造生产或行业标准。进口的货物必须是具有合法的进口手续和途径，并通过了中华人民共和国商检部门检验的现货。</w:t>
      </w:r>
    </w:p>
    <w:p w14:paraId="420225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投标人保证，买方在中华人民共和国使用该货物的任何一部分时，免受第三方提供出的侵犯其专利权、商业权或工业设计权起诉。否则一切后果由投标人承担。</w:t>
      </w:r>
    </w:p>
    <w:p w14:paraId="5B2641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lang w:val="en-US" w:eastAsia="zh-CN"/>
        </w:rPr>
        <w:t>3.</w:t>
      </w:r>
      <w:r>
        <w:rPr>
          <w:rFonts w:hint="eastAsia"/>
          <w:sz w:val="24"/>
          <w:szCs w:val="32"/>
        </w:rPr>
        <w:t>合格投标人资格条件要求</w:t>
      </w:r>
    </w:p>
    <w:p w14:paraId="3E1D2B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3.1在中国境内依法登记注册并仍有效续存的供应商，具有独立承担民事责任的能力；具有良好的商业信誉和健全的财务会计制度；具有履行合同所必需的设备和专业技术及管理能力；具有依法缴纳税收和社会保障资金的良好记录；参加此项采购活动前三年内，在经营活动中没有重大违法记录。</w:t>
      </w:r>
    </w:p>
    <w:p w14:paraId="19EC22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3.2具备国家有关主管部门批准的提供本项目服务标的的合法资格。</w:t>
      </w:r>
    </w:p>
    <w:p w14:paraId="28A6FF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3.3企业名称不同但法定代表人为同一个自然人的两个或者两个以上的供应商不得参加同一采购项目的报价。如果出现上述情况，相关供应商的报价均将被拒绝。</w:t>
      </w:r>
    </w:p>
    <w:p w14:paraId="477B69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3.4本项目不接受联合体投标</w:t>
      </w:r>
    </w:p>
    <w:p w14:paraId="5E0EDF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32"/>
        </w:rPr>
      </w:pPr>
      <w:r>
        <w:rPr>
          <w:rFonts w:hint="eastAsia"/>
          <w:sz w:val="24"/>
          <w:szCs w:val="32"/>
        </w:rPr>
        <w:t>以上各款关于合格投标人资格条件的要求均须提供中文文本，否则无效，投标人</w:t>
      </w:r>
      <w:r>
        <w:rPr>
          <w:rFonts w:hint="eastAsia"/>
          <w:color w:val="auto"/>
          <w:sz w:val="24"/>
          <w:szCs w:val="32"/>
        </w:rPr>
        <w:t>应按第六章《投标文件构成、要求及格式》的相关规定提交。</w:t>
      </w:r>
    </w:p>
    <w:p w14:paraId="30241C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32"/>
        </w:rPr>
      </w:pPr>
      <w:r>
        <w:rPr>
          <w:rFonts w:hint="eastAsia"/>
          <w:color w:val="auto"/>
          <w:sz w:val="24"/>
          <w:szCs w:val="32"/>
          <w:lang w:val="en-US" w:eastAsia="zh-CN"/>
        </w:rPr>
        <w:t>4.</w:t>
      </w:r>
      <w:r>
        <w:rPr>
          <w:rFonts w:hint="eastAsia"/>
          <w:color w:val="auto"/>
          <w:sz w:val="24"/>
          <w:szCs w:val="32"/>
        </w:rPr>
        <w:t>项目答疑会</w:t>
      </w:r>
      <w:r>
        <w:rPr>
          <w:rFonts w:hint="eastAsia"/>
          <w:color w:val="auto"/>
          <w:sz w:val="24"/>
          <w:szCs w:val="32"/>
          <w:lang w:eastAsia="zh-CN"/>
        </w:rPr>
        <w:t>：</w:t>
      </w:r>
      <w:r>
        <w:rPr>
          <w:rFonts w:hint="eastAsia"/>
          <w:color w:val="auto"/>
          <w:sz w:val="24"/>
          <w:szCs w:val="32"/>
        </w:rPr>
        <w:t>见须知前附表。</w:t>
      </w:r>
    </w:p>
    <w:p w14:paraId="59F5A7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color w:val="auto"/>
          <w:sz w:val="24"/>
          <w:szCs w:val="32"/>
          <w:lang w:eastAsia="zh-CN"/>
        </w:rPr>
      </w:pPr>
      <w:r>
        <w:rPr>
          <w:rFonts w:hint="eastAsia"/>
          <w:color w:val="auto"/>
          <w:sz w:val="24"/>
          <w:szCs w:val="32"/>
          <w:lang w:val="en-US" w:eastAsia="zh-CN"/>
        </w:rPr>
        <w:t>5.</w:t>
      </w:r>
      <w:r>
        <w:rPr>
          <w:rFonts w:hint="eastAsia"/>
          <w:color w:val="auto"/>
          <w:sz w:val="24"/>
          <w:szCs w:val="32"/>
        </w:rPr>
        <w:t>投标费用</w:t>
      </w:r>
      <w:r>
        <w:rPr>
          <w:rFonts w:hint="eastAsia"/>
          <w:color w:val="auto"/>
          <w:sz w:val="24"/>
          <w:szCs w:val="32"/>
          <w:lang w:eastAsia="zh-CN"/>
        </w:rPr>
        <w:t>：</w:t>
      </w:r>
    </w:p>
    <w:p w14:paraId="6CC9E1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color w:val="auto"/>
          <w:sz w:val="24"/>
          <w:szCs w:val="32"/>
        </w:rPr>
        <w:t>投标人应自行承担参与</w:t>
      </w:r>
      <w:r>
        <w:rPr>
          <w:rFonts w:hint="eastAsia"/>
          <w:sz w:val="24"/>
          <w:szCs w:val="32"/>
        </w:rPr>
        <w:t>投标（包括报名、购买招标文件、编写和提交投标文件等所有事项）的所有费用，无论投标的结果如何，招标代理机构和采购人在任何情况下均无义务和责任承担这些费用。</w:t>
      </w:r>
    </w:p>
    <w:p w14:paraId="1DA25F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6招标文件</w:t>
      </w:r>
    </w:p>
    <w:p w14:paraId="7A156B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6.1招标文件的构成</w:t>
      </w:r>
    </w:p>
    <w:p w14:paraId="06E816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第一章  招标公告</w:t>
      </w:r>
    </w:p>
    <w:p w14:paraId="431EBE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第二章  投标人须知</w:t>
      </w:r>
    </w:p>
    <w:p w14:paraId="18C9C6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rPr>
        <w:t xml:space="preserve">第三章  </w:t>
      </w:r>
      <w:r>
        <w:rPr>
          <w:rFonts w:hint="eastAsia"/>
          <w:sz w:val="24"/>
          <w:szCs w:val="32"/>
          <w:lang w:val="en-US" w:eastAsia="zh-CN"/>
        </w:rPr>
        <w:t>评标办法</w:t>
      </w:r>
    </w:p>
    <w:p w14:paraId="1298FE9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32"/>
          <w:lang w:val="en-US" w:eastAsia="zh-CN"/>
        </w:rPr>
      </w:pPr>
      <w:r>
        <w:rPr>
          <w:rFonts w:hint="eastAsia"/>
          <w:sz w:val="24"/>
          <w:szCs w:val="32"/>
        </w:rPr>
        <w:t>第四章  合同书格式</w:t>
      </w:r>
    </w:p>
    <w:p w14:paraId="14E475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rPr>
        <w:t xml:space="preserve">第五章  </w:t>
      </w:r>
      <w:r>
        <w:rPr>
          <w:rFonts w:hint="eastAsia"/>
          <w:sz w:val="24"/>
          <w:szCs w:val="32"/>
          <w:lang w:val="en-US" w:eastAsia="zh-CN"/>
        </w:rPr>
        <w:t>服务需求</w:t>
      </w:r>
    </w:p>
    <w:p w14:paraId="39E95B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lang w:val="en-US" w:eastAsia="zh-CN"/>
        </w:rPr>
        <w:t xml:space="preserve">第六章  </w:t>
      </w:r>
      <w:r>
        <w:rPr>
          <w:rFonts w:hint="eastAsia"/>
          <w:sz w:val="24"/>
          <w:szCs w:val="32"/>
        </w:rPr>
        <w:t>投标文件构成、要求及格式</w:t>
      </w:r>
    </w:p>
    <w:p w14:paraId="0878A9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第</w:t>
      </w:r>
      <w:r>
        <w:rPr>
          <w:rFonts w:hint="eastAsia"/>
          <w:sz w:val="24"/>
          <w:szCs w:val="32"/>
          <w:lang w:val="en-US" w:eastAsia="zh-CN"/>
        </w:rPr>
        <w:t>七</w:t>
      </w:r>
      <w:r>
        <w:rPr>
          <w:rFonts w:hint="eastAsia"/>
          <w:sz w:val="24"/>
          <w:szCs w:val="32"/>
        </w:rPr>
        <w:t>章  附件</w:t>
      </w:r>
    </w:p>
    <w:p w14:paraId="780A32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6.2投标人应认真阅读招标文件中所有事项、格式、条款和规范等要求。如果投标人没有按照招标文件要求提交全部文件资料或投标文件没有对招标文件在各方面都做出实质性响应，是投标人的风险。</w:t>
      </w:r>
    </w:p>
    <w:p w14:paraId="519971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4"/>
          <w:szCs w:val="32"/>
          <w:lang w:eastAsia="zh-CN"/>
        </w:rPr>
      </w:pPr>
      <w:r>
        <w:rPr>
          <w:rFonts w:hint="eastAsia"/>
          <w:sz w:val="24"/>
          <w:szCs w:val="32"/>
        </w:rPr>
        <w:t>7.招标文件的澄清和修改</w:t>
      </w:r>
      <w:r>
        <w:rPr>
          <w:rFonts w:hint="eastAsia"/>
          <w:sz w:val="24"/>
          <w:szCs w:val="32"/>
          <w:lang w:eastAsia="zh-CN"/>
        </w:rPr>
        <w:t>（本项目的澄清、修改、补充说明文件（如有）。注：采购代理机构将上述内容以带有编号的补遗文件发送到“政采云”平台(http：//www.zcygov.cn)答疑文件中，各供应商登录“政采云”平台(http：//www.zcygov.cn)答疑文件处自行下载。如果供应商未在上述答疑文件中收到相应文件，请及时与采购代理机构联系，否则采购人和采购代理机构不承担任何责任。）</w:t>
      </w:r>
    </w:p>
    <w:p w14:paraId="738564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7.1任何要求对招标文件进行澄清或对招标文件质疑的投标人，均应在投标截止时间1</w:t>
      </w:r>
      <w:r>
        <w:rPr>
          <w:rFonts w:hint="eastAsia"/>
          <w:sz w:val="24"/>
          <w:szCs w:val="32"/>
          <w:lang w:val="en-US" w:eastAsia="zh-CN"/>
        </w:rPr>
        <w:t>0</w:t>
      </w:r>
      <w:r>
        <w:rPr>
          <w:rFonts w:hint="eastAsia"/>
          <w:sz w:val="24"/>
          <w:szCs w:val="32"/>
        </w:rPr>
        <w:t>日前（含）以</w:t>
      </w:r>
      <w:r>
        <w:rPr>
          <w:rFonts w:hint="eastAsia"/>
          <w:sz w:val="24"/>
          <w:szCs w:val="32"/>
          <w:lang w:val="en-US" w:eastAsia="zh-CN"/>
        </w:rPr>
        <w:t>政采云平台</w:t>
      </w:r>
      <w:r>
        <w:rPr>
          <w:rFonts w:hint="eastAsia"/>
          <w:sz w:val="24"/>
          <w:szCs w:val="32"/>
        </w:rPr>
        <w:t>提交给招标代理机构，超过这个规定期限提出的澄清要求或质疑将不予受</w:t>
      </w:r>
      <w:r>
        <w:rPr>
          <w:rFonts w:hint="eastAsia"/>
          <w:sz w:val="24"/>
          <w:szCs w:val="32"/>
          <w:lang w:val="en-US" w:eastAsia="zh-CN"/>
        </w:rPr>
        <w:t>理</w:t>
      </w:r>
      <w:r>
        <w:rPr>
          <w:rFonts w:hint="eastAsia"/>
          <w:sz w:val="24"/>
          <w:szCs w:val="32"/>
        </w:rPr>
        <w:t>。招标代理机构对收到的澄清要求将视所提问题的具体情况以书面形式予以答复澄清，并以</w:t>
      </w:r>
      <w:r>
        <w:rPr>
          <w:rFonts w:hint="eastAsia"/>
          <w:sz w:val="24"/>
          <w:szCs w:val="32"/>
          <w:lang w:val="en-US" w:eastAsia="zh-CN"/>
        </w:rPr>
        <w:t>政采云平台</w:t>
      </w:r>
      <w:r>
        <w:rPr>
          <w:rFonts w:hint="eastAsia"/>
          <w:sz w:val="24"/>
          <w:szCs w:val="32"/>
        </w:rPr>
        <w:t>方式向潜在投标人发出。答复中可以包括所提的问题，但不包括问题的来源。</w:t>
      </w:r>
    </w:p>
    <w:p w14:paraId="07E7CE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7.2采购人可在投标截止时间1</w:t>
      </w:r>
      <w:r>
        <w:rPr>
          <w:rFonts w:hint="eastAsia"/>
          <w:sz w:val="24"/>
          <w:szCs w:val="32"/>
          <w:lang w:val="en-US" w:eastAsia="zh-CN"/>
        </w:rPr>
        <w:t>0</w:t>
      </w:r>
      <w:r>
        <w:rPr>
          <w:rFonts w:hint="eastAsia"/>
          <w:sz w:val="24"/>
          <w:szCs w:val="32"/>
        </w:rPr>
        <w:t>日前（含）对招标文件进行修改、补充。招标文件的修改、补充文件将以</w:t>
      </w:r>
      <w:r>
        <w:rPr>
          <w:rFonts w:hint="eastAsia"/>
          <w:sz w:val="24"/>
          <w:szCs w:val="32"/>
          <w:lang w:val="en-US" w:eastAsia="zh-CN"/>
        </w:rPr>
        <w:t>政采云平台</w:t>
      </w:r>
      <w:r>
        <w:rPr>
          <w:rFonts w:hint="eastAsia"/>
          <w:sz w:val="24"/>
          <w:szCs w:val="32"/>
        </w:rPr>
        <w:t>的方式向潜在投标人发出。</w:t>
      </w:r>
    </w:p>
    <w:p w14:paraId="7406B5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7.3招标文件的澄清、修改、补充文件均构成招标文件的组成部分，对所有投标人具有约束力，而无论其是否已经实际收到该澄清、修改、补充文件（包括答疑会纪要）。投标人若收到该澄清、修改、补充文件，则应立即以书面形式回复确认已收到。</w:t>
      </w:r>
    </w:p>
    <w:p w14:paraId="78E41D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7.4为使投标人有充分的时间对招标文件的澄清、修改、补充部分进行研究，采购人可在投标截止时间前</w:t>
      </w:r>
      <w:r>
        <w:rPr>
          <w:rFonts w:hint="eastAsia"/>
          <w:sz w:val="24"/>
          <w:szCs w:val="32"/>
          <w:lang w:val="en-US" w:eastAsia="zh-CN"/>
        </w:rPr>
        <w:t>10</w:t>
      </w:r>
      <w:r>
        <w:rPr>
          <w:rFonts w:hint="eastAsia"/>
          <w:sz w:val="24"/>
          <w:szCs w:val="32"/>
        </w:rPr>
        <w:t>日自行决定酌情延长投标截止时间，延长投标截止时间的公告将以</w:t>
      </w:r>
      <w:r>
        <w:rPr>
          <w:rFonts w:hint="eastAsia"/>
          <w:sz w:val="24"/>
          <w:szCs w:val="32"/>
          <w:lang w:val="en-US" w:eastAsia="zh-CN"/>
        </w:rPr>
        <w:t>政采云平台</w:t>
      </w:r>
      <w:r>
        <w:rPr>
          <w:rFonts w:hint="eastAsia"/>
          <w:sz w:val="24"/>
          <w:szCs w:val="32"/>
        </w:rPr>
        <w:t>的方式向所有潜在投标人发出。在这种情况下，招标代理机构和投标人受投标截止时间制约的所有权利和义务均相应延长至新的投标截止时间。</w:t>
      </w:r>
    </w:p>
    <w:p w14:paraId="0DBE44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8.投标文件构成：</w:t>
      </w:r>
    </w:p>
    <w:p w14:paraId="724241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8.1投标文件分为商务部分和技术部分，商务部分是投标人提交的证明其具有合格的投标资格和中标后有能力履行合同的文件。技术部分是能够证明投标人所提供服务的合格性和符合招标文件规定的文件。</w:t>
      </w:r>
    </w:p>
    <w:p w14:paraId="7840CD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8.2投标人应提交本招标文件第六章《投标文件构成、要求及格式》规定的全部商务文件（含资格证明文件）、技术文件及投标文件电子文档，若有缺失、无效或者不符合招标文件要求，将导致其投标被拒绝。</w:t>
      </w:r>
    </w:p>
    <w:p w14:paraId="6C5A0E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8.3第二章《投标人须知》要求提交的投标保证金。</w:t>
      </w:r>
    </w:p>
    <w:p w14:paraId="4B49FA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9.投标文件的编制</w:t>
      </w:r>
    </w:p>
    <w:p w14:paraId="625BC3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9.1投标语言：投标文件以及投标人与招标代理机构有关投标的来往函电均使用中文。</w:t>
      </w:r>
    </w:p>
    <w:p w14:paraId="0112B6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9.2计量单位：中华人民共和国法定计量单位。</w:t>
      </w:r>
    </w:p>
    <w:p w14:paraId="633D94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9.3投标文件规格应采用A4幅面，打印，按照招标文件规定的顺序，统一编目编码装订。为便于评标，技术文件中的各项表格应按照招标文件第</w:t>
      </w:r>
      <w:r>
        <w:rPr>
          <w:rFonts w:hint="eastAsia"/>
          <w:sz w:val="24"/>
          <w:szCs w:val="32"/>
          <w:lang w:val="en-US" w:eastAsia="zh-CN"/>
        </w:rPr>
        <w:t>六</w:t>
      </w:r>
      <w:r>
        <w:rPr>
          <w:rFonts w:hint="eastAsia"/>
          <w:sz w:val="24"/>
          <w:szCs w:val="32"/>
        </w:rPr>
        <w:t>章规定的格式制作。</w:t>
      </w:r>
    </w:p>
    <w:p w14:paraId="26C1A2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9.4投标人在投标文件以及在投标、合同签订、履行过程中所签署的相关文件中所加盖的公章，均须按照招标文件的规定加盖与投标人名称全称相一致的标准公章，否则将被视为无效。</w:t>
      </w:r>
    </w:p>
    <w:p w14:paraId="041775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9.5采购人不接受采用传真方式提交的投标文件。</w:t>
      </w:r>
    </w:p>
    <w:p w14:paraId="73DE75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10.投标报价</w:t>
      </w:r>
    </w:p>
    <w:p w14:paraId="0C27B3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10.1投标货币：所有投标报价均以人民币元为计算单位。</w:t>
      </w:r>
    </w:p>
    <w:p w14:paraId="5AA9EE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14:textFill>
            <w14:gradFill>
              <w14:gsLst>
                <w14:gs w14:pos="51300">
                  <w14:srgbClr w14:val="FE5F4A"/>
                </w14:gs>
                <w14:gs w14:pos="0">
                  <w14:srgbClr w14:val="DF0303"/>
                </w14:gs>
                <w14:gs w14:pos="100000">
                  <w14:srgbClr w14:val="FEA06E"/>
                </w14:gs>
              </w14:gsLst>
              <w14:lin w14:ang="5400000" w14:scaled="1"/>
            </w14:gradFill>
          </w14:textFill>
        </w:rPr>
      </w:pPr>
      <w:r>
        <w:rPr>
          <w:rFonts w:hint="eastAsia"/>
          <w:sz w:val="24"/>
          <w:szCs w:val="32"/>
        </w:rPr>
        <w:t>10.2</w:t>
      </w:r>
      <w:r>
        <w:rPr>
          <w:rFonts w:hint="eastAsia"/>
          <w:color w:val="auto"/>
          <w:sz w:val="24"/>
          <w:szCs w:val="32"/>
        </w:rPr>
        <w:t>投标报价即</w:t>
      </w:r>
      <w:r>
        <w:rPr>
          <w:rFonts w:hint="eastAsia"/>
          <w:color w:val="auto"/>
          <w:sz w:val="24"/>
          <w:szCs w:val="32"/>
          <w:lang w:val="en-US" w:eastAsia="zh-CN"/>
        </w:rPr>
        <w:t>最后报价。</w:t>
      </w:r>
    </w:p>
    <w:p w14:paraId="761700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10.4评标委员会有权要求投标人在限定时间内对其报价作出合法、合理的解释并提供成本分析，如投标人不能按评标委员会要求进行完全响应或其解释理据不充分，并将其视为无效投标。</w:t>
      </w:r>
    </w:p>
    <w:p w14:paraId="63F9D0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10.5投标人应一次性应报出投标项目的</w:t>
      </w:r>
      <w:r>
        <w:rPr>
          <w:rFonts w:hint="eastAsia"/>
          <w:sz w:val="24"/>
          <w:szCs w:val="32"/>
          <w:lang w:val="en-US" w:eastAsia="zh-CN"/>
        </w:rPr>
        <w:t>报价</w:t>
      </w:r>
      <w:r>
        <w:rPr>
          <w:rFonts w:hint="eastAsia"/>
          <w:sz w:val="24"/>
          <w:szCs w:val="32"/>
        </w:rPr>
        <w:t>，</w:t>
      </w:r>
    </w:p>
    <w:p w14:paraId="63E972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10.6投标人报价应包含项目内容的本项目的服务、车辆保险、车辆座位险、年审、检修、路桥、燃油、税费等合同实施过程中的应预见或不可预见费用等。</w:t>
      </w:r>
    </w:p>
    <w:p w14:paraId="6D16F7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11.投标保证金</w:t>
      </w:r>
    </w:p>
    <w:p w14:paraId="52FCC5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xml:space="preserve">  11.1投标人在递交投标文件截止时间前应提交投标保证金，具体要求详见投标人须知前附表。</w:t>
      </w:r>
    </w:p>
    <w:p w14:paraId="1D48C9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xml:space="preserve">  11.2投标保证金是为了弥补采购人因投标人的违规行为而蒙受的损失。采购人在因投标人的违规行为而受到损害时，将不予退还投标人的投标保证金，并作为所受损害的补偿。</w:t>
      </w:r>
    </w:p>
    <w:p w14:paraId="04CDE2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xml:space="preserve">  11.3投标保证金是投标文件的一个组成部分。在开标时，凡没有按规定提交投标保证金的投标，将被视为非响应性投标予以拒绝。</w:t>
      </w:r>
    </w:p>
    <w:p w14:paraId="309921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xml:space="preserve">  11.4未中标人的投标保证金将在中标通知书发出后5个工作日内退还，不计利息。</w:t>
      </w:r>
    </w:p>
    <w:p w14:paraId="29FC77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xml:space="preserve">  11.5未中标投标人的投标保证金退还汇款账户。</w:t>
      </w:r>
    </w:p>
    <w:p w14:paraId="20EFF8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xml:space="preserve">  11.6下列情况之一发生时，投标保证金将不予退还：</w:t>
      </w:r>
    </w:p>
    <w:p w14:paraId="3476C1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xml:space="preserve">   （1）投标人在招标文件规定的投标有效期内撤回其投标；</w:t>
      </w:r>
    </w:p>
    <w:p w14:paraId="2A081F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xml:space="preserve">   （2）中标人在规定期限内未能做到签订合同；       </w:t>
      </w:r>
    </w:p>
    <w:p w14:paraId="4C821F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xml:space="preserve">   （3）招标文件规定不予退还投标保证金的其他情形。</w:t>
      </w:r>
    </w:p>
    <w:p w14:paraId="171B1B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4"/>
          <w:szCs w:val="32"/>
          <w:lang w:eastAsia="zh-CN"/>
        </w:rPr>
      </w:pPr>
      <w:r>
        <w:rPr>
          <w:rFonts w:hint="eastAsia"/>
          <w:sz w:val="24"/>
          <w:szCs w:val="32"/>
        </w:rPr>
        <w:t xml:space="preserve">  11.7为保证投标保证金的及时、准确退还</w:t>
      </w:r>
      <w:r>
        <w:rPr>
          <w:rFonts w:hint="eastAsia"/>
          <w:sz w:val="24"/>
          <w:szCs w:val="32"/>
          <w:lang w:eastAsia="zh-CN"/>
        </w:rPr>
        <w:t>。</w:t>
      </w:r>
    </w:p>
    <w:p w14:paraId="0A86C3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12.投标有效期：</w:t>
      </w:r>
    </w:p>
    <w:p w14:paraId="686BB5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xml:space="preserve">  12.1投标有效期为</w:t>
      </w:r>
      <w:r>
        <w:rPr>
          <w:rFonts w:hint="eastAsia" w:ascii="宋体" w:hAnsi="宋体" w:eastAsia="宋体" w:cs="宋体"/>
          <w:bCs/>
          <w:color w:val="auto"/>
          <w:kern w:val="15"/>
          <w:sz w:val="24"/>
          <w:szCs w:val="24"/>
          <w:highlight w:val="none"/>
          <w:lang w:eastAsia="zh-CN"/>
        </w:rPr>
        <w:t>提交投标文件的截止之日起90天（日历天）</w:t>
      </w:r>
      <w:r>
        <w:rPr>
          <w:rFonts w:hint="eastAsia"/>
          <w:sz w:val="24"/>
          <w:szCs w:val="32"/>
        </w:rPr>
        <w:t>。投标文件在这个规定期限内应保持有效。否则投标将被拒绝。</w:t>
      </w:r>
    </w:p>
    <w:p w14:paraId="31352D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xml:space="preserve">  12.2在特殊情况下，采购人可与投标人协商延长投标有效期。这种要求和答复都应以书面形式进行。投标人可以拒绝接受延期要求而不会被没收投标保证金。同意延长投标有效期的投标人除按照采购人要求修改投标文件的有效期外，不能修改投标文件的其他内容。</w:t>
      </w:r>
    </w:p>
    <w:p w14:paraId="30B056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13.投标文件的样式和签署</w:t>
      </w:r>
    </w:p>
    <w:p w14:paraId="72332A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xml:space="preserve">  13.1投标文件需打印或用不退色墨水书写。第六章《投标文件构成、要求及格式》中凡要求签署、加盖公章的；均需由投标人的法定代表人或其授权代理人手书签字、加盖投标人公章。投标文件由法定代表人签署的，须与其企业法人营业执照相符，由授权代理人签署的，需提交书面形式出具的“法定代表人身份证明” 和“法定代表人授权委托书”（按第六章规定的格式提交）。投标文件中凡是要求签署和加盖公章处必须签署及加盖公章，否则递交的投标文件将被作为非响应性投标予以拒绝。</w:t>
      </w:r>
    </w:p>
    <w:p w14:paraId="767693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xml:space="preserve"> 13.2投标文件中如有修改错漏处，应在修改处加盖投标人公章和由同一签署人签字，否则将被作为非响应性投标予以拒绝。</w:t>
      </w:r>
    </w:p>
    <w:p w14:paraId="099ED1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14. 投标文件的修改和撤回。</w:t>
      </w:r>
    </w:p>
    <w:p w14:paraId="548CA7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xml:space="preserve">  14.1投标人在递交投标文件后，可以修改或撤回其投标文件，但招标代理机构必须在规定的投标截止时间之前收到投标人的修改或撤回的书面通知。</w:t>
      </w:r>
    </w:p>
    <w:p w14:paraId="0FEB00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xml:space="preserve">  14.2投标人的修改或撤回通知书应按对投标文件的规定一样进行编制、密封、标记和递交，并标明“修改”或“撤回”字样。</w:t>
      </w:r>
    </w:p>
    <w:p w14:paraId="38AC56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xml:space="preserve">  14.3在投标截止时间（开标时间）之后，投标人不得对其投标书做任何修改。</w:t>
      </w:r>
    </w:p>
    <w:p w14:paraId="6446C0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xml:space="preserve">  14.4从开标时间起，至投标有效期期满，投标人不得撤回其投标，否则，其投标保证金将不予退还。</w:t>
      </w:r>
    </w:p>
    <w:p w14:paraId="5AAC5A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color w:val="auto"/>
          <w:sz w:val="24"/>
          <w:szCs w:val="32"/>
          <w:lang w:eastAsia="zh-CN"/>
        </w:rPr>
      </w:pPr>
      <w:r>
        <w:rPr>
          <w:rFonts w:hint="eastAsia"/>
          <w:color w:val="auto"/>
          <w:sz w:val="24"/>
          <w:szCs w:val="32"/>
        </w:rPr>
        <w:t>15.投标</w:t>
      </w:r>
      <w:r>
        <w:rPr>
          <w:rFonts w:hint="eastAsia"/>
          <w:color w:val="auto"/>
          <w:sz w:val="24"/>
          <w:szCs w:val="32"/>
          <w:lang w:eastAsia="zh-CN"/>
        </w:rPr>
        <w:t>（</w:t>
      </w:r>
      <w:r>
        <w:rPr>
          <w:rFonts w:hint="eastAsia"/>
          <w:color w:val="auto"/>
          <w:sz w:val="24"/>
          <w:szCs w:val="32"/>
          <w:lang w:val="en-US" w:eastAsia="zh-CN"/>
        </w:rPr>
        <w:t>按政采云不见面开标执行</w:t>
      </w:r>
      <w:r>
        <w:rPr>
          <w:rFonts w:hint="eastAsia"/>
          <w:color w:val="auto"/>
          <w:sz w:val="24"/>
          <w:szCs w:val="32"/>
          <w:lang w:eastAsia="zh-CN"/>
        </w:rPr>
        <w:t>）</w:t>
      </w:r>
    </w:p>
    <w:p w14:paraId="3634F6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32"/>
        </w:rPr>
      </w:pPr>
      <w:r>
        <w:rPr>
          <w:rFonts w:hint="eastAsia"/>
          <w:color w:val="auto"/>
          <w:sz w:val="24"/>
          <w:szCs w:val="32"/>
        </w:rPr>
        <w:t xml:space="preserve">  15.1投标人应将投标文件装订成册、密封，在包封上标明招标项目名称、项目编号、投标人名称、地址、联系方式，并在封口处加盖投标人公章，在《招标文件》规定的投标地点和投标截止时间前递交给</w:t>
      </w:r>
      <w:r>
        <w:rPr>
          <w:rFonts w:hint="eastAsia"/>
          <w:color w:val="auto"/>
          <w:sz w:val="24"/>
          <w:szCs w:val="32"/>
          <w:lang w:val="en-US" w:eastAsia="zh-CN"/>
        </w:rPr>
        <w:t>代理公司</w:t>
      </w:r>
      <w:r>
        <w:rPr>
          <w:rFonts w:hint="eastAsia"/>
          <w:color w:val="auto"/>
          <w:sz w:val="24"/>
          <w:szCs w:val="32"/>
        </w:rPr>
        <w:t>。如果投标人没有按照要求密封、标记，采购人对于投标人的误投、错投以及提前拆封概不负责。针对同一技术方案递交两份或多份内容不同的投标文件，未书面声明哪一个有效的投标文件将被拒绝。</w:t>
      </w:r>
    </w:p>
    <w:p w14:paraId="44FAE0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32"/>
        </w:rPr>
      </w:pPr>
      <w:r>
        <w:rPr>
          <w:rFonts w:hint="eastAsia"/>
          <w:color w:val="auto"/>
          <w:sz w:val="24"/>
          <w:szCs w:val="32"/>
        </w:rPr>
        <w:t xml:space="preserve">  15.2投标文件份数：投标人应提交投标文件正本1份、副本4份（副本可以是正本的复印件，但应骑页</w:t>
      </w:r>
      <w:r>
        <w:rPr>
          <w:rFonts w:hint="eastAsia"/>
          <w:sz w:val="24"/>
          <w:szCs w:val="32"/>
        </w:rPr>
        <w:t>加盖投标人公章</w:t>
      </w:r>
      <w:r>
        <w:rPr>
          <w:rFonts w:hint="eastAsia"/>
          <w:color w:val="auto"/>
          <w:sz w:val="24"/>
          <w:szCs w:val="32"/>
        </w:rPr>
        <w:t>），并标明“正本”、“副本”字样，当正本与副本内容不一致时，以正本为准。投标文件电子</w:t>
      </w:r>
      <w:r>
        <w:rPr>
          <w:rFonts w:hint="eastAsia"/>
          <w:color w:val="auto"/>
          <w:sz w:val="24"/>
          <w:szCs w:val="32"/>
          <w:lang w:val="en-US" w:eastAsia="zh-CN"/>
        </w:rPr>
        <w:t>版二</w:t>
      </w:r>
      <w:r>
        <w:rPr>
          <w:rFonts w:hint="eastAsia"/>
          <w:color w:val="auto"/>
          <w:sz w:val="24"/>
          <w:szCs w:val="32"/>
        </w:rPr>
        <w:t>份，载体为u盘。</w:t>
      </w:r>
    </w:p>
    <w:p w14:paraId="55E97E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32"/>
        </w:rPr>
      </w:pPr>
      <w:r>
        <w:rPr>
          <w:rFonts w:hint="eastAsia"/>
          <w:color w:val="auto"/>
          <w:sz w:val="24"/>
          <w:szCs w:val="32"/>
        </w:rPr>
        <w:t xml:space="preserve">  15.3投标截止时间结束后，如果递交投标文件的投标人不足三家，将重新招标或者按照法律法规的有关规定处理。</w:t>
      </w:r>
    </w:p>
    <w:p w14:paraId="24F59C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32"/>
        </w:rPr>
      </w:pPr>
      <w:r>
        <w:rPr>
          <w:rFonts w:hint="eastAsia"/>
          <w:color w:val="auto"/>
          <w:sz w:val="24"/>
          <w:szCs w:val="32"/>
        </w:rPr>
        <w:t>16.开标</w:t>
      </w:r>
      <w:r>
        <w:rPr>
          <w:rFonts w:hint="eastAsia"/>
          <w:color w:val="auto"/>
          <w:sz w:val="24"/>
          <w:szCs w:val="32"/>
          <w:lang w:eastAsia="zh-CN"/>
        </w:rPr>
        <w:t>（</w:t>
      </w:r>
      <w:r>
        <w:rPr>
          <w:rFonts w:hint="eastAsia"/>
          <w:color w:val="auto"/>
          <w:sz w:val="24"/>
          <w:szCs w:val="32"/>
          <w:lang w:val="en-US" w:eastAsia="zh-CN"/>
        </w:rPr>
        <w:t>按政采云不见面开标执行</w:t>
      </w:r>
      <w:r>
        <w:rPr>
          <w:rFonts w:hint="eastAsia"/>
          <w:color w:val="auto"/>
          <w:sz w:val="24"/>
          <w:szCs w:val="32"/>
          <w:lang w:eastAsia="zh-CN"/>
        </w:rPr>
        <w:t>）</w:t>
      </w:r>
    </w:p>
    <w:p w14:paraId="4A6DB8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color w:val="auto"/>
          <w:sz w:val="24"/>
          <w:szCs w:val="32"/>
        </w:rPr>
        <w:t xml:space="preserve">  16.1采购人将在招标公告规定的时间和地点公开</w:t>
      </w:r>
      <w:r>
        <w:rPr>
          <w:rFonts w:hint="eastAsia"/>
          <w:sz w:val="24"/>
          <w:szCs w:val="32"/>
        </w:rPr>
        <w:t>开标。</w:t>
      </w:r>
    </w:p>
    <w:p w14:paraId="4DF631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xml:space="preserve">  16.2开标会由招标代理机构组织并主持。</w:t>
      </w:r>
    </w:p>
    <w:p w14:paraId="377908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xml:space="preserve">  16.3开标时，招标代理机构将按照投标人提交的“开标一览表”，当众宣读投标人名称、修改和撤回投标的通知、投标价格及是否提交了投标保证金等内容。</w:t>
      </w:r>
    </w:p>
    <w:p w14:paraId="3BB0FB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xml:space="preserve">  16.</w:t>
      </w:r>
      <w:r>
        <w:rPr>
          <w:rFonts w:hint="eastAsia"/>
          <w:sz w:val="24"/>
          <w:szCs w:val="32"/>
          <w:lang w:val="en-US" w:eastAsia="zh-CN"/>
        </w:rPr>
        <w:t>4</w:t>
      </w:r>
      <w:r>
        <w:rPr>
          <w:rFonts w:hint="eastAsia"/>
          <w:sz w:val="24"/>
          <w:szCs w:val="32"/>
        </w:rPr>
        <w:t>规定在开标时宣读的全部内容。开标记录将在开标后由投标人代表、采购人代表、监督人员签字确认。</w:t>
      </w:r>
    </w:p>
    <w:p w14:paraId="7AAC51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32"/>
        </w:rPr>
      </w:pPr>
      <w:r>
        <w:rPr>
          <w:rFonts w:hint="eastAsia"/>
          <w:color w:val="auto"/>
          <w:sz w:val="24"/>
          <w:szCs w:val="32"/>
        </w:rPr>
        <w:t>16.</w:t>
      </w:r>
      <w:r>
        <w:rPr>
          <w:rFonts w:hint="eastAsia"/>
          <w:color w:val="auto"/>
          <w:sz w:val="24"/>
          <w:szCs w:val="32"/>
          <w:lang w:val="en-US" w:eastAsia="zh-CN"/>
        </w:rPr>
        <w:t>5</w:t>
      </w:r>
      <w:r>
        <w:rPr>
          <w:rFonts w:hint="eastAsia"/>
          <w:color w:val="auto"/>
          <w:sz w:val="24"/>
          <w:szCs w:val="32"/>
        </w:rPr>
        <w:t>开标程序</w:t>
      </w:r>
      <w:r>
        <w:rPr>
          <w:rFonts w:hint="eastAsia"/>
          <w:color w:val="auto"/>
          <w:sz w:val="24"/>
          <w:szCs w:val="32"/>
          <w:lang w:eastAsia="zh-CN"/>
        </w:rPr>
        <w:t>（</w:t>
      </w:r>
      <w:r>
        <w:rPr>
          <w:rFonts w:hint="eastAsia"/>
          <w:color w:val="auto"/>
          <w:sz w:val="24"/>
          <w:szCs w:val="32"/>
          <w:lang w:val="en-US" w:eastAsia="zh-CN"/>
        </w:rPr>
        <w:t>按政采云不见面开标执行</w:t>
      </w:r>
      <w:r>
        <w:rPr>
          <w:rFonts w:hint="eastAsia"/>
          <w:color w:val="auto"/>
          <w:sz w:val="24"/>
          <w:szCs w:val="32"/>
          <w:lang w:eastAsia="zh-CN"/>
        </w:rPr>
        <w:t>）</w:t>
      </w:r>
    </w:p>
    <w:p w14:paraId="2F3C9E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32"/>
        </w:rPr>
      </w:pPr>
      <w:r>
        <w:rPr>
          <w:rFonts w:hint="eastAsia"/>
          <w:color w:val="auto"/>
          <w:sz w:val="24"/>
          <w:szCs w:val="32"/>
        </w:rPr>
        <w:t>主持人按下列程序开标；</w:t>
      </w:r>
    </w:p>
    <w:p w14:paraId="571F5B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32"/>
          <w:lang w:val="en-US" w:eastAsia="zh-CN"/>
        </w:rPr>
      </w:pPr>
      <w:r>
        <w:rPr>
          <w:rFonts w:hint="eastAsia"/>
          <w:color w:val="auto"/>
          <w:sz w:val="24"/>
          <w:szCs w:val="32"/>
          <w:lang w:val="en-US" w:eastAsia="zh-CN"/>
        </w:rPr>
        <w:t>开标由采购人或者采购代理机构主持。开标前，由监督人员或采购代理机构</w:t>
      </w:r>
    </w:p>
    <w:p w14:paraId="406253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32"/>
          <w:lang w:val="en-US" w:eastAsia="zh-CN"/>
        </w:rPr>
      </w:pPr>
      <w:r>
        <w:rPr>
          <w:rFonts w:hint="eastAsia"/>
          <w:color w:val="auto"/>
          <w:sz w:val="24"/>
          <w:szCs w:val="32"/>
          <w:lang w:val="en-US" w:eastAsia="zh-CN"/>
        </w:rPr>
        <w:t>检查投标文件的密封情况并当场宣布检查情况并记录。开标时未宣读的投标价格等实质性内容，评标时不予承认。</w:t>
      </w:r>
    </w:p>
    <w:p w14:paraId="553D0C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32"/>
          <w:lang w:val="en-US" w:eastAsia="zh-CN"/>
        </w:rPr>
      </w:pPr>
      <w:r>
        <w:rPr>
          <w:rFonts w:hint="eastAsia"/>
          <w:color w:val="auto"/>
          <w:sz w:val="24"/>
          <w:szCs w:val="32"/>
          <w:lang w:val="en-US" w:eastAsia="zh-CN"/>
        </w:rPr>
        <w:t>16.6（1）宣布开标纪律；</w:t>
      </w:r>
    </w:p>
    <w:p w14:paraId="7E15A6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32"/>
          <w:lang w:val="en-US" w:eastAsia="zh-CN"/>
        </w:rPr>
      </w:pPr>
      <w:r>
        <w:rPr>
          <w:rFonts w:hint="eastAsia"/>
          <w:color w:val="auto"/>
          <w:sz w:val="24"/>
          <w:szCs w:val="32"/>
          <w:lang w:val="en-US" w:eastAsia="zh-CN"/>
        </w:rPr>
        <w:t>（2）查看并公布投标报名名单；</w:t>
      </w:r>
    </w:p>
    <w:p w14:paraId="361C61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32"/>
          <w:lang w:val="en-US" w:eastAsia="zh-CN"/>
        </w:rPr>
      </w:pPr>
      <w:r>
        <w:rPr>
          <w:rFonts w:hint="eastAsia"/>
          <w:color w:val="auto"/>
          <w:sz w:val="24"/>
          <w:szCs w:val="32"/>
          <w:lang w:val="en-US" w:eastAsia="zh-CN"/>
        </w:rPr>
        <w:t>（3）宣布开标人、唱标人、监标人等有关人员；</w:t>
      </w:r>
    </w:p>
    <w:p w14:paraId="0EECF5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32"/>
          <w:lang w:val="en-US" w:eastAsia="zh-CN"/>
        </w:rPr>
      </w:pPr>
      <w:r>
        <w:rPr>
          <w:rFonts w:hint="eastAsia"/>
          <w:color w:val="auto"/>
          <w:sz w:val="24"/>
          <w:szCs w:val="32"/>
          <w:lang w:val="en-US" w:eastAsia="zh-CN"/>
        </w:rPr>
        <w:t>（4）采购人或者采购代理机构将按照供应商电子投标文件解密后的开标记录，当众宣读供应商名称、修改和撤回投标的通知、投标价格、是否提交了投标保证金等内容；并在开标后由采购人或者监督人员签字确认。</w:t>
      </w:r>
    </w:p>
    <w:p w14:paraId="043ECB18">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color w:val="auto"/>
          <w:sz w:val="24"/>
          <w:szCs w:val="32"/>
          <w:lang w:val="en-US" w:eastAsia="zh-CN"/>
        </w:rPr>
      </w:pPr>
      <w:r>
        <w:rPr>
          <w:rFonts w:hint="eastAsia"/>
          <w:color w:val="auto"/>
          <w:sz w:val="24"/>
          <w:szCs w:val="32"/>
          <w:lang w:val="en-US" w:eastAsia="zh-CN"/>
        </w:rPr>
        <w:t>开标结束。</w:t>
      </w:r>
    </w:p>
    <w:p w14:paraId="28C087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color w:val="auto"/>
          <w:sz w:val="24"/>
          <w:szCs w:val="32"/>
          <w:lang w:val="en-US" w:eastAsia="zh-CN"/>
        </w:rPr>
        <w:t>16.7供应商代表对开标过程和开标记录有异议，以及认为采购人、采购代理机构相关工作人员有需要回避的情形的，应当场提出询问或者回避申请。采购人、采购代理机构对供应商代</w:t>
      </w:r>
      <w:r>
        <w:rPr>
          <w:rFonts w:hint="eastAsia"/>
          <w:sz w:val="24"/>
          <w:szCs w:val="32"/>
          <w:lang w:val="en-US" w:eastAsia="zh-CN"/>
        </w:rPr>
        <w:t>表提出的询问或者回避申请应当及时处理，如当场未提</w:t>
      </w:r>
    </w:p>
    <w:p w14:paraId="4C7069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出，过后不予受理</w:t>
      </w:r>
    </w:p>
    <w:p w14:paraId="39B56D1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16.8开标时有下列情形之一的为无效投标：</w:t>
      </w:r>
    </w:p>
    <w:p w14:paraId="7D3C77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（1）投标文件在规定的投标截止时间以后未上传的；</w:t>
      </w:r>
    </w:p>
    <w:p w14:paraId="57AE6E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（2）未按招标文件的规定提交投标保证金的；</w:t>
      </w:r>
    </w:p>
    <w:p w14:paraId="452B4E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（3）上传的投标文件未按招标文件要求签署、盖章的；</w:t>
      </w:r>
    </w:p>
    <w:p w14:paraId="6F0FB9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（4）上传的投标文件签署、盖章不一致的情形；</w:t>
      </w:r>
    </w:p>
    <w:p w14:paraId="15FC6F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（5）供应商所提交的投标文件无效、缺失或者不符合招标文件的规定；</w:t>
      </w:r>
    </w:p>
    <w:p w14:paraId="482EBE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（6）不具备招标文件中规定的资格要求的；</w:t>
      </w:r>
    </w:p>
    <w:p w14:paraId="7C7612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（7）未实质性响应招标文件要求的其他情形；</w:t>
      </w:r>
    </w:p>
    <w:p w14:paraId="07CEDC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（8）报价超过招标文件中规定的预算金额或者最高限价的；</w:t>
      </w:r>
    </w:p>
    <w:p w14:paraId="660B2E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（9）投标文件含有采购人不能接受的附加条件的；</w:t>
      </w:r>
    </w:p>
    <w:p w14:paraId="5C0340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（10）法律、法规和招标文件规定的其他无效情形。</w:t>
      </w:r>
    </w:p>
    <w:p w14:paraId="234CF6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存在以上任何一种情况，相关供应商的投标无效，做废标处理。</w:t>
      </w:r>
    </w:p>
    <w:p w14:paraId="2954F2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开标时有下列情形之一的，采购人有权宣布本项目废标：</w:t>
      </w:r>
    </w:p>
    <w:p w14:paraId="4F1D41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（1）</w:t>
      </w:r>
      <w:r>
        <w:rPr>
          <w:rFonts w:hint="eastAsia"/>
          <w:sz w:val="24"/>
          <w:szCs w:val="32"/>
          <w:lang w:val="en-US" w:eastAsia="zh-CN"/>
        </w:rPr>
        <w:t>开标</w:t>
      </w:r>
      <w:r>
        <w:rPr>
          <w:rFonts w:hint="eastAsia"/>
          <w:sz w:val="24"/>
          <w:szCs w:val="32"/>
        </w:rPr>
        <w:t>时间符合招标文件要求的供应商不足三家的；</w:t>
      </w:r>
    </w:p>
    <w:p w14:paraId="215142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32"/>
        </w:rPr>
      </w:pPr>
      <w:r>
        <w:rPr>
          <w:rFonts w:hint="eastAsia"/>
          <w:color w:val="auto"/>
          <w:sz w:val="24"/>
          <w:szCs w:val="32"/>
        </w:rPr>
        <w:t>首次招标废标后将重新招标，重新招标仍出现本款情形的，可按本须的规定处理。</w:t>
      </w:r>
    </w:p>
    <w:p w14:paraId="0797A1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32"/>
        </w:rPr>
      </w:pPr>
      <w:r>
        <w:rPr>
          <w:rFonts w:hint="eastAsia"/>
          <w:color w:val="auto"/>
          <w:sz w:val="24"/>
          <w:szCs w:val="32"/>
        </w:rPr>
        <w:t>17.评标过程的保密性：公开开标后，直至向中标的投标人授予合同时止，除按招标文件规定予以公开的评标结果外，凡与审査、澄清、评价和比较投标有关的资料以及授标意见等，均不得向投标人及与评标无关的其他人透露。</w:t>
      </w:r>
    </w:p>
    <w:p w14:paraId="6A6CED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32"/>
        </w:rPr>
      </w:pPr>
      <w:r>
        <w:rPr>
          <w:rFonts w:hint="eastAsia"/>
          <w:color w:val="auto"/>
          <w:sz w:val="24"/>
          <w:szCs w:val="32"/>
        </w:rPr>
        <w:t>18、审查投标人是否具备合格的投标资格：评标委员会将审查每个投标人提交的资格证明文件是否齐全、完整，是否合法、有效，如果投标人没有按照要求提交全部资格证明文件，或者提交的资格证明文件是非法、无效的，则其投标将被拒绝。在评标过程中，评标委员会对投标人资格证明文件进行审查，审查内容包括：营业执照、道路旅客运输经营许可证等相关资格证明文件、投标保证金递交凭证及相关证明企业实力的文件等。如投标人超过国家有关部门批准的经营范围，评标委员会有权认定投标人对标的的经营范围，不具备经营范围的投标文件将作为废标处理。</w:t>
      </w:r>
    </w:p>
    <w:p w14:paraId="4BD592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19、审查是否所有投标人的报价均超过采购预算：根据《中华人民共和国政府采购法》的规定，所有投标人的报价均超过采购预算，采购人不能支付的，招标无效。出现此种情况时，招标人有权决定拒绝所有投标。</w:t>
      </w:r>
    </w:p>
    <w:p w14:paraId="2637C1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20、审查投标人是否存在串通投标行为：评标委员会发现投标人有下列情形之一的，将认定属于串通投标行为，相关投标人的投标应作废标处理。评标结束后，采购人将以书面形式报告采购监督管理部门：</w:t>
      </w:r>
    </w:p>
    <w:p w14:paraId="3DF623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(1)不同投标人的投标文件中错、漏之处相同的；</w:t>
      </w:r>
    </w:p>
    <w:p w14:paraId="1D6605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(2)不同投标人的投标文件相互混装的，或者相互加盖了对方公章的，或者相互出现了对方法定代表人或者授权代理人签名的，或者相互书写了对方名称的；</w:t>
      </w:r>
    </w:p>
    <w:p w14:paraId="6A598B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(3)一家投标人的投标文件中加盖了另一家投标人公章的；</w:t>
      </w:r>
    </w:p>
    <w:p w14:paraId="53158A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(4)不同投标人的投标文件中，项目成员出现同一人的；</w:t>
      </w:r>
    </w:p>
    <w:p w14:paraId="11BCA3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(5)不同投标人的投标文件的制作非正常一致的；</w:t>
      </w:r>
    </w:p>
    <w:p w14:paraId="287A08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(6)不同投标人的投标文件中相关内容的段落、字句、售后服务电话、联系人姓名等非正常一致的；</w:t>
      </w:r>
    </w:p>
    <w:p w14:paraId="240BE1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(7)一家投标人的投标文件中装订了标有另一家投标人名称的文件材料，或者出现了另一家法定代表人或者授权代理人签名的，其投标作废标处理；</w:t>
      </w:r>
    </w:p>
    <w:p w14:paraId="4D8C6A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(8)不同投标人的投标文件由同一投标人或者同一个人编制的；</w:t>
      </w:r>
    </w:p>
    <w:p w14:paraId="28D30D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(9)《关于禁止串通招标投标行为的暂行规定》(国家工商行政管理局令第82号)第三条规定的串通投标行为；</w:t>
      </w:r>
    </w:p>
    <w:p w14:paraId="1F467D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(10)投标人串通投标的其他情形。</w:t>
      </w:r>
    </w:p>
    <w:p w14:paraId="204AE8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21、对投标文件进行符合性进行审查：</w:t>
      </w:r>
    </w:p>
    <w:p w14:paraId="526077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21.1对于经审查确定资格合格的投标人，评标委员会将进行符合性审查，主要审查其投标文件是否对招标文件规定的事项、格式、条款和技术规格等要求都做出了实质性响应。</w:t>
      </w:r>
    </w:p>
    <w:p w14:paraId="5F086F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32"/>
        </w:rPr>
      </w:pPr>
      <w:r>
        <w:rPr>
          <w:rFonts w:hint="eastAsia"/>
          <w:sz w:val="24"/>
          <w:szCs w:val="32"/>
        </w:rPr>
        <w:t>22.2实质性响应的投标是指与招标文件规定的事项、条款、条件和技术规格相符，没</w:t>
      </w:r>
      <w:r>
        <w:rPr>
          <w:rFonts w:hint="eastAsia"/>
          <w:color w:val="auto"/>
          <w:sz w:val="24"/>
          <w:szCs w:val="32"/>
        </w:rPr>
        <w:t>有重大偏离和保留。没有实质性响应招标文件要求的投标将被拒绝。</w:t>
      </w:r>
    </w:p>
    <w:p w14:paraId="52EF1D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32"/>
        </w:rPr>
      </w:pPr>
      <w:r>
        <w:rPr>
          <w:rFonts w:hint="eastAsia"/>
          <w:color w:val="auto"/>
          <w:sz w:val="24"/>
          <w:szCs w:val="32"/>
        </w:rPr>
        <w:t>22.3与招标文件有重大偏离的投标文件将被视为具有非实质响应性的投标文件而被拒绝。重大偏离系指投标货物的供货范围、质量、数量及交货期明显不能满足招标文件的要求或限制了采购方的权力和投标人的义务的规定，而纠正这些偏离将影响到其它提交实质性响应投标的投标人的公平竞争地位。这些偏离不允许在开标后修正。投标人不得通过修正或撤消不符合要求的偏离从而使其投标成为实质上响应的投标。</w:t>
      </w:r>
    </w:p>
    <w:p w14:paraId="34841B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color w:val="auto"/>
          <w:sz w:val="24"/>
          <w:szCs w:val="32"/>
        </w:rPr>
        <w:t>22.4评标委员会将允许修正投标中不构成重大偏离的细微</w:t>
      </w:r>
      <w:r>
        <w:rPr>
          <w:rFonts w:hint="eastAsia"/>
          <w:sz w:val="24"/>
          <w:szCs w:val="32"/>
        </w:rPr>
        <w:t>偏离，但这些修正应不会对其他实质上响应招标文件要求的投标人的竞争地位产生不公正的影响。</w:t>
      </w:r>
    </w:p>
    <w:p w14:paraId="6B68EF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22.5评标委员会对投标文件的判定，只依据投标文件内容本身，不依据任何外来证明。</w:t>
      </w:r>
    </w:p>
    <w:p w14:paraId="1FBDD3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投标人的投标文件无论是否有偏离，都必须按招标文件提供的偏离表格式进行详细填写。</w:t>
      </w:r>
    </w:p>
    <w:p w14:paraId="2D1FE8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投标文件有下列情形之一的属于重大偏离和保留，将作废标处理：</w:t>
      </w:r>
    </w:p>
    <w:p w14:paraId="0F2B0B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(1)投标人未按招标文件规定的内容、格式等提交所要求提交的全部文件或者提交的文件无效或者不符合招标文件的规定；</w:t>
      </w:r>
    </w:p>
    <w:p w14:paraId="5C4EF8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(2)投标文件未按规定有投标人法定代表人或其授权代理人签字及加盖公章的；</w:t>
      </w:r>
    </w:p>
    <w:p w14:paraId="0D8B37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(3)投标文件载明的项目服务期限超过招标文件规定的期限；</w:t>
      </w:r>
    </w:p>
    <w:p w14:paraId="46032D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(4)投标文件是否有招标文件要求的完整的报价表；</w:t>
      </w:r>
    </w:p>
    <w:p w14:paraId="660D6E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(5)投标文件明显不符合招标文件规定的技术规格、技术标准、检验标准和方法要求；</w:t>
      </w:r>
    </w:p>
    <w:p w14:paraId="52866B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(6)投标文件中商务部分、技术部分与招标文件有严重偏离的；</w:t>
      </w:r>
    </w:p>
    <w:p w14:paraId="684FCC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(7)投标文件载明的明显不符合招标文件要求；</w:t>
      </w:r>
    </w:p>
    <w:p w14:paraId="0EE101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(8)投标文件附有采购人不能接受的条件；</w:t>
      </w:r>
    </w:p>
    <w:p w14:paraId="5F5AEA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(9)不符合招标文件规定的其它的实质性要求。</w:t>
      </w:r>
    </w:p>
    <w:p w14:paraId="228CCE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26、投标报价的审查：评标委员会将对商务审查、技术审查合格的投标文件的报价进行审核，如有同一投标文件报有两个或多个价格，未声明哪一个有效的投标文件将被拒绝。投标文件如有计算和累加上的错误，则对投标报价进行修正。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14:paraId="6CBABE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27、澄清：评标委员会对于投标文件实质性响应了招标文件要求，但在个别地方提供了不完整的技术信息和数据，以及同类问题表述不一致或者有明显文字和计算错误等细微偏离问题，将以书面形式(由评标委员会专家签字)要求投标人在规定的时限内(在评标结束前)作出必要的澄清、说明或者补正，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6CA749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28、依法废标：根据政府采购法的规定，出现下列情形之一的，应予废标，并将废标理由通知所有投标人。</w:t>
      </w:r>
    </w:p>
    <w:p w14:paraId="453089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(1)符合专业条件的投标人或者对招标文件作实质性响应的投标人不足三家的；</w:t>
      </w:r>
    </w:p>
    <w:p w14:paraId="02FA59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(2)出现影响政府采购公正的违法、违规行为的；</w:t>
      </w:r>
    </w:p>
    <w:p w14:paraId="230FC0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(3)投标人的报价均超过了采购预算，采购人不能支付的；</w:t>
      </w:r>
    </w:p>
    <w:p w14:paraId="2D32AA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(4)因重大变故，采购任务取消的。</w:t>
      </w:r>
    </w:p>
    <w:p w14:paraId="68C3BB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29、评标方法和标准</w:t>
      </w:r>
    </w:p>
    <w:p w14:paraId="584939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29.1评标委员会</w:t>
      </w:r>
    </w:p>
    <w:p w14:paraId="756CFF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评标工作由招标代理机构负责组织，具体评标工作由采购人依法组建的评标委员会负责。评标委员会由有关的技术、经济方面的专家和采购人代表组成。评标委员会的专家成员由采购人在监督人员监督下从专家库中随机抽取产生。评标委员会根据有关法律法规和招标文件规定的方法和标准进行评标，负责完成评标的全过程直至评定预中标人。</w:t>
      </w:r>
    </w:p>
    <w:p w14:paraId="3CE3C4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29.2评标原则</w:t>
      </w:r>
    </w:p>
    <w:p w14:paraId="69E1FE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(1)评标活动遵循公平、公正、科学、择优的原则；</w:t>
      </w:r>
    </w:p>
    <w:p w14:paraId="2F094B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(2)招标文件及澄清材料、投标文件是评标的首要依据；</w:t>
      </w:r>
    </w:p>
    <w:p w14:paraId="6E763C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(3)评审结论应符合国家有关法律、法规相关规定。</w:t>
      </w:r>
    </w:p>
    <w:p w14:paraId="567124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29.3评标程序</w:t>
      </w:r>
    </w:p>
    <w:p w14:paraId="6C919E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29.3.1评标程序包括：资格审查、符合性审查、综合评审、询标。</w:t>
      </w:r>
    </w:p>
    <w:p w14:paraId="2B0C17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29.3.1.1资格审查：评标委员会对投标人资格进行审查，评审依据投标文件。未通过资格审查的投标人不进入符合性审查。</w:t>
      </w:r>
    </w:p>
    <w:p w14:paraId="36BDA2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29.3.1.2符合性审查：评标委员会依据招标文件符合性评审标准对投标文件进行评审，未通过符合性评审的投标不进入综合评审。</w:t>
      </w:r>
    </w:p>
    <w:p w14:paraId="12220F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29.3.1.3综合评审：</w:t>
      </w:r>
    </w:p>
    <w:p w14:paraId="7D3721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评标委员会按照招标文件确定的综合评分标准，对投标文件价格、技术、信誉、业绩、服务等进行综合评审，由评委依据招标文件和评标办法以及有关法律法规的要求，按照综合得分由高到低顺序推荐前3名投标人作为合格的中标候选人。</w:t>
      </w:r>
    </w:p>
    <w:p w14:paraId="531738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(1)评标委员会将只对资格审查和符合性审查通过的投标人进行综合评审；</w:t>
      </w:r>
    </w:p>
    <w:p w14:paraId="30F7A5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(2)评委对某个合格投标人的评分的算术平均值为该投标人的最终得分；</w:t>
      </w:r>
    </w:p>
    <w:p w14:paraId="4D249B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(3)对所有合格投标人的最终得分进行排序，得分高者为预中标人。</w:t>
      </w:r>
    </w:p>
    <w:p w14:paraId="18303A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4"/>
          <w:szCs w:val="32"/>
          <w:lang w:eastAsia="zh-CN"/>
        </w:rPr>
      </w:pPr>
      <w:r>
        <w:rPr>
          <w:rFonts w:hint="eastAsia"/>
          <w:sz w:val="24"/>
          <w:szCs w:val="32"/>
        </w:rPr>
        <w:t>30、综合评分标准：(计算结果精确到小数点后两位，第三位“四舍五入”</w:t>
      </w:r>
      <w:r>
        <w:rPr>
          <w:rFonts w:hint="eastAsia"/>
          <w:sz w:val="24"/>
          <w:szCs w:val="32"/>
          <w:lang w:eastAsia="zh-CN"/>
        </w:rPr>
        <w:t>）</w:t>
      </w:r>
    </w:p>
    <w:p w14:paraId="7EA98E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31、询标：</w:t>
      </w:r>
    </w:p>
    <w:p w14:paraId="4F47A7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评标委员会对需要澄清的问题，对投标人进行询问，并以书面形式进行记录，记录结果由投标人代表、采购人代表、监标人等有关人员在开标记录上签字确认。</w:t>
      </w:r>
    </w:p>
    <w:p w14:paraId="68848F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32、推荐中标候选人</w:t>
      </w:r>
    </w:p>
    <w:p w14:paraId="56220F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32.1投标人的综合得分由高到低排列，得分最高的为中标候选人。</w:t>
      </w:r>
    </w:p>
    <w:p w14:paraId="3CE26C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32.2综合得分相同时，对比投标报价，投标报价低的为中标候选人；如果报价相同，对比技术因素得分，技术因素得分高的为中标候选人。技术因素得分相同时由采购人确定中标人，采购人不能确定的由评委会确定。</w:t>
      </w:r>
    </w:p>
    <w:p w14:paraId="483EAB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32.3如果排名第一的中标候选人放弃或因不可抗力不能履行合同或未能按照招标文件规定时间提交履约保证金或实际产品功能技术水平不能满足招标项目的技术要求而放弃中标时，采购人可以选择第二名为中标候选人。若第二名因上述原因同样放弃中标的，则第三名为中标候选人。中标候选人截止第三名。</w:t>
      </w:r>
    </w:p>
    <w:p w14:paraId="3B4819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33.4评标中，若发生意见不一致时，经监督人同意，由评标委员会全体成员以无记名投票的方式进行表决。</w:t>
      </w:r>
    </w:p>
    <w:p w14:paraId="5485E6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34、中标公示</w:t>
      </w:r>
    </w:p>
    <w:p w14:paraId="514703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采购代理机构应当在评标结束后 2 个工作日内将评标报告送采购人，采购人应当自收到评标报告之日起 5 个工作日内，在评标报告确定的中标候选人名单中按顺序确定中标供应商，按照供应商须知前附表规定的公告媒介和期限公告中标结果，中标公告期限为 1 个工作日。供应商认为中标、成交结果使自己的权益受到损害的，可以在发布中标、成交结果公告之日起七个工作日内，以书面形式向采购人提出质疑。采购人应当在收到供应商的书面质疑后七个工作日内作出答复。</w:t>
      </w:r>
    </w:p>
    <w:p w14:paraId="25BDF4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35.签订合同</w:t>
      </w:r>
    </w:p>
    <w:p w14:paraId="44246F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35.1采购人将在投标有效期期满之前向中标人发出《中标通知书》。中标通知书是合同的组成部分，对采购人和中标人均具有法律约束力。</w:t>
      </w:r>
    </w:p>
    <w:p w14:paraId="0AB763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35.2中标通知书发出后，采购人改变中标结果的，或者中标人放弃中标项目的，应当依法承担法律责任。</w:t>
      </w:r>
    </w:p>
    <w:p w14:paraId="456A9D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35.3中标人应按中标通知书规定的时间与采购人签订合同。如果中标人不在规定的时间内签署合同，视为自动放弃中标资格，其提交的投标保证金不予退还，列入不良行为记录名单，在一至三年内禁止参加投标活动并予以公告。投标人在被评标委员会评定为预中标人(中标人)之后、中标通知书发出之前放弃中标的，按本条规定处理。</w:t>
      </w:r>
    </w:p>
    <w:p w14:paraId="3A0C60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35.4中标结果将在发布招标公告的媒体上公告，不再以书面方式通知落标人。</w:t>
      </w:r>
    </w:p>
    <w:p w14:paraId="73F2B1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35.5采购人在授予合同时，有权利对“招标文件”中规定的服务内容部分增加和减少。</w:t>
      </w:r>
    </w:p>
    <w:p w14:paraId="4A5CDF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color w:val="auto"/>
          <w:sz w:val="24"/>
          <w:szCs w:val="32"/>
          <w:lang w:eastAsia="zh-CN"/>
        </w:rPr>
      </w:pPr>
      <w:r>
        <w:rPr>
          <w:rFonts w:hint="eastAsia"/>
          <w:color w:val="auto"/>
          <w:sz w:val="24"/>
          <w:szCs w:val="32"/>
        </w:rPr>
        <w:t>36.履约保证金</w:t>
      </w:r>
      <w:r>
        <w:rPr>
          <w:rFonts w:hint="eastAsia"/>
          <w:color w:val="auto"/>
          <w:sz w:val="24"/>
          <w:szCs w:val="32"/>
          <w:lang w:eastAsia="zh-CN"/>
        </w:rPr>
        <w:t>（</w:t>
      </w:r>
      <w:r>
        <w:rPr>
          <w:rFonts w:hint="eastAsia"/>
          <w:color w:val="auto"/>
          <w:sz w:val="24"/>
          <w:szCs w:val="32"/>
          <w:lang w:val="en-US" w:eastAsia="zh-CN"/>
        </w:rPr>
        <w:t>本项目不收取</w:t>
      </w:r>
      <w:r>
        <w:rPr>
          <w:rFonts w:hint="eastAsia"/>
          <w:color w:val="auto"/>
          <w:sz w:val="24"/>
          <w:szCs w:val="32"/>
          <w:lang w:eastAsia="zh-CN"/>
        </w:rPr>
        <w:t>）</w:t>
      </w:r>
    </w:p>
    <w:p w14:paraId="1B104B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36.1以下情况采购人将终止中标人的经营权。</w:t>
      </w:r>
    </w:p>
    <w:p w14:paraId="653647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1)本服务项目不在限定时间内投入使用的。</w:t>
      </w:r>
    </w:p>
    <w:p w14:paraId="03444A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2)擅自转让和倒卖经营权的。</w:t>
      </w:r>
    </w:p>
    <w:p w14:paraId="5BFD6C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3)违反有关管理法规和制度采取非法手段进行经营损害了公众利益的。</w:t>
      </w:r>
    </w:p>
    <w:p w14:paraId="05C57E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37.招标代理服务费</w:t>
      </w:r>
    </w:p>
    <w:p w14:paraId="6180AB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rPr>
        <w:t>招标代理服务费按照国家发展计划委员会计价格[2002]1980号文《招标代理服务费管理暂行办法》及</w:t>
      </w:r>
      <w:r>
        <w:rPr>
          <w:rFonts w:hint="eastAsia"/>
          <w:sz w:val="24"/>
          <w:szCs w:val="32"/>
          <w:lang w:val="en-US" w:eastAsia="zh-CN"/>
        </w:rPr>
        <w:t>按照国家发展计划委员会“发改价格【2015】299号”文要求。</w:t>
      </w:r>
    </w:p>
    <w:p w14:paraId="003A44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32"/>
          <w:lang w:val="en-US" w:eastAsia="zh-CN"/>
        </w:rPr>
      </w:pPr>
      <w:r>
        <w:rPr>
          <w:rFonts w:hint="eastAsia"/>
          <w:color w:val="auto"/>
          <w:sz w:val="24"/>
          <w:szCs w:val="32"/>
          <w:lang w:val="en-US" w:eastAsia="zh-CN"/>
        </w:rPr>
        <w:t>收取对象：中标人</w:t>
      </w:r>
    </w:p>
    <w:p w14:paraId="449239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32"/>
          <w:lang w:val="en-US" w:eastAsia="zh-CN"/>
        </w:rPr>
      </w:pPr>
      <w:r>
        <w:rPr>
          <w:rFonts w:hint="eastAsia"/>
          <w:color w:val="auto"/>
          <w:sz w:val="24"/>
          <w:szCs w:val="32"/>
          <w:lang w:val="en-US" w:eastAsia="zh-CN"/>
        </w:rPr>
        <w:t>收费标准：按照中标金额的0.3%收取</w:t>
      </w:r>
    </w:p>
    <w:p w14:paraId="651470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32"/>
        </w:rPr>
      </w:pPr>
      <w:r>
        <w:rPr>
          <w:rFonts w:hint="eastAsia"/>
          <w:color w:val="auto"/>
          <w:sz w:val="24"/>
          <w:szCs w:val="32"/>
        </w:rPr>
        <w:t>38.保密和披露</w:t>
      </w:r>
    </w:p>
    <w:p w14:paraId="3E5E66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color w:val="auto"/>
          <w:sz w:val="24"/>
          <w:szCs w:val="32"/>
        </w:rPr>
        <w:t>38.1投标人自购买招标文件之</w:t>
      </w:r>
      <w:r>
        <w:rPr>
          <w:rFonts w:hint="eastAsia"/>
          <w:sz w:val="24"/>
          <w:szCs w:val="32"/>
        </w:rPr>
        <w:t>日起，须承诺承担本招标项目下的保密义务，不得将因本次招标获得的信息向第三人外传。</w:t>
      </w:r>
    </w:p>
    <w:p w14:paraId="1992E4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38.2采购人有权将投标人提供的所有资料向其他相关部门负责评审标书的人员或与评标有关的人员披露。</w:t>
      </w:r>
    </w:p>
    <w:p w14:paraId="224A71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38.3在下列情形下：当发布中标公告和其它公告时，当国家机关调查、审查、审计时，以及在其他符合法律规定的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7C98C3AD">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其他说明：见须知前附表。</w:t>
      </w:r>
      <w:bookmarkStart w:id="18" w:name="_Toc18804"/>
    </w:p>
    <w:p w14:paraId="2228A38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Courier New" w:eastAsia="黑体" w:cs="Century"/>
          <w:b/>
          <w:bCs/>
          <w:color w:val="auto"/>
          <w:sz w:val="36"/>
          <w:szCs w:val="36"/>
          <w:highlight w:val="none"/>
          <w:lang w:val="zh-CN"/>
        </w:rPr>
      </w:pPr>
    </w:p>
    <w:p w14:paraId="0EEBA3C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Courier New" w:eastAsia="黑体" w:cs="Century"/>
          <w:b/>
          <w:bCs/>
          <w:color w:val="auto"/>
          <w:sz w:val="36"/>
          <w:szCs w:val="36"/>
          <w:highlight w:val="none"/>
          <w:lang w:val="zh-CN"/>
        </w:rPr>
      </w:pPr>
    </w:p>
    <w:p w14:paraId="108D3A8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Courier New" w:eastAsia="黑体" w:cs="Century"/>
          <w:b/>
          <w:bCs/>
          <w:color w:val="auto"/>
          <w:sz w:val="36"/>
          <w:szCs w:val="36"/>
          <w:highlight w:val="none"/>
          <w:lang w:val="zh-CN"/>
        </w:rPr>
      </w:pPr>
    </w:p>
    <w:p w14:paraId="58ED30E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Courier New" w:eastAsia="黑体" w:cs="Century"/>
          <w:b/>
          <w:bCs/>
          <w:color w:val="auto"/>
          <w:sz w:val="36"/>
          <w:szCs w:val="36"/>
          <w:highlight w:val="none"/>
          <w:lang w:val="zh-CN"/>
        </w:rPr>
      </w:pPr>
    </w:p>
    <w:p w14:paraId="13F1B89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lang w:val="en-US" w:eastAsia="zh-CN"/>
        </w:rPr>
      </w:pPr>
    </w:p>
    <w:p w14:paraId="37FE483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Style w:val="25"/>
          <w:rFonts w:hint="eastAsia"/>
          <w:b/>
          <w:bCs/>
          <w:highlight w:val="none"/>
          <w:lang w:val="zh-CN"/>
        </w:rPr>
      </w:pPr>
    </w:p>
    <w:p w14:paraId="0CA0166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Style w:val="25"/>
          <w:rFonts w:hint="eastAsia"/>
          <w:b/>
          <w:bCs/>
          <w:highlight w:val="none"/>
          <w:lang w:val="zh-CN"/>
        </w:rPr>
      </w:pPr>
    </w:p>
    <w:p w14:paraId="2DE6FEB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Style w:val="25"/>
          <w:rFonts w:hint="eastAsia"/>
          <w:b/>
          <w:bCs/>
          <w:highlight w:val="none"/>
          <w:lang w:val="zh-CN"/>
        </w:rPr>
      </w:pPr>
    </w:p>
    <w:p w14:paraId="30644E5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Style w:val="25"/>
          <w:rFonts w:hint="eastAsia"/>
          <w:b/>
          <w:bCs/>
          <w:highlight w:val="none"/>
          <w:lang w:val="zh-CN"/>
        </w:rPr>
      </w:pPr>
    </w:p>
    <w:p w14:paraId="03E9A6A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Style w:val="25"/>
          <w:rFonts w:hint="eastAsia"/>
          <w:b/>
          <w:bCs/>
          <w:highlight w:val="none"/>
          <w:lang w:val="zh-CN"/>
        </w:rPr>
      </w:pPr>
    </w:p>
    <w:p w14:paraId="71882DA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Courier New" w:eastAsia="黑体" w:cs="Century"/>
          <w:b/>
          <w:bCs/>
          <w:color w:val="auto"/>
          <w:sz w:val="36"/>
          <w:szCs w:val="36"/>
          <w:highlight w:val="none"/>
          <w:lang w:val="zh-CN"/>
        </w:rPr>
      </w:pPr>
      <w:bookmarkStart w:id="19" w:name="_Toc8739"/>
      <w:r>
        <w:rPr>
          <w:rStyle w:val="25"/>
          <w:rFonts w:hint="eastAsia"/>
          <w:b/>
          <w:bCs/>
          <w:highlight w:val="none"/>
          <w:lang w:val="zh-CN"/>
        </w:rPr>
        <w:t>第</w:t>
      </w:r>
      <w:r>
        <w:rPr>
          <w:rStyle w:val="25"/>
          <w:rFonts w:hint="eastAsia"/>
          <w:b/>
          <w:bCs/>
          <w:highlight w:val="none"/>
          <w:lang w:val="en-US" w:eastAsia="zh-CN"/>
        </w:rPr>
        <w:t>三</w:t>
      </w:r>
      <w:r>
        <w:rPr>
          <w:rStyle w:val="25"/>
          <w:rFonts w:hint="eastAsia"/>
          <w:b/>
          <w:bCs/>
          <w:highlight w:val="none"/>
          <w:lang w:val="zh-CN"/>
        </w:rPr>
        <w:t>章</w:t>
      </w:r>
      <w:r>
        <w:rPr>
          <w:rStyle w:val="25"/>
          <w:rFonts w:hint="eastAsia"/>
          <w:b/>
          <w:bCs/>
          <w:highlight w:val="none"/>
          <w:lang w:val="en-US" w:eastAsia="zh-CN"/>
        </w:rPr>
        <w:t xml:space="preserve"> </w:t>
      </w:r>
      <w:r>
        <w:rPr>
          <w:rStyle w:val="25"/>
          <w:rFonts w:hint="eastAsia"/>
          <w:b/>
          <w:bCs/>
          <w:highlight w:val="none"/>
          <w:lang w:val="zh-CN"/>
        </w:rPr>
        <w:t>评标办法（综合评分法）</w:t>
      </w:r>
      <w:bookmarkEnd w:id="18"/>
      <w:bookmarkEnd w:id="19"/>
    </w:p>
    <w:p w14:paraId="4EAF8E6B">
      <w:pPr>
        <w:pageBreakBefore w:val="0"/>
        <w:kinsoku/>
        <w:overflowPunct/>
        <w:topLinePunct w:val="0"/>
        <w:bidi w:val="0"/>
        <w:spacing w:before="156" w:beforeLines="50" w:after="156" w:afterLines="50" w:line="360" w:lineRule="auto"/>
        <w:jc w:val="center"/>
        <w:rPr>
          <w:rFonts w:hint="eastAsia" w:ascii="宋体" w:hAnsi="宋体"/>
          <w:color w:val="auto"/>
          <w:sz w:val="28"/>
          <w:szCs w:val="28"/>
          <w:highlight w:val="none"/>
        </w:rPr>
      </w:pPr>
      <w:r>
        <w:rPr>
          <w:rFonts w:hint="eastAsia" w:ascii="宋体" w:hAnsi="宋体"/>
          <w:b/>
          <w:bCs/>
          <w:color w:val="auto"/>
          <w:sz w:val="28"/>
          <w:szCs w:val="28"/>
          <w:highlight w:val="none"/>
        </w:rPr>
        <w:t>一、评 标 程 序</w:t>
      </w:r>
    </w:p>
    <w:p w14:paraId="38407554">
      <w:pPr>
        <w:pageBreakBefore w:val="0"/>
        <w:kinsoku/>
        <w:overflowPunct/>
        <w:topLinePunct w:val="0"/>
        <w:bidi w:val="0"/>
        <w:spacing w:before="156" w:beforeLines="50" w:after="156" w:afterLines="5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（一）组成评标委员会</w:t>
      </w:r>
    </w:p>
    <w:p w14:paraId="4F79508F">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按照国家有关部委及省、市的相关规定，由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代表从专家库中随机抽取技术、经济等方面的专家</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人组成评标委员会（以下简称“评委会”）。为保证评标工作的顺利进行，推荐一名评委担任评委会主任，负责评标全面工作。</w:t>
      </w:r>
    </w:p>
    <w:p w14:paraId="43985E76">
      <w:pPr>
        <w:pStyle w:val="33"/>
        <w:pageBreakBefore w:val="0"/>
        <w:kinsoku/>
        <w:overflowPunct/>
        <w:topLinePunct w:val="0"/>
        <w:bidi w:val="0"/>
        <w:spacing w:before="156" w:beforeLines="50" w:after="156" w:afterLines="5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）评标工作</w:t>
      </w:r>
    </w:p>
    <w:p w14:paraId="6879F39D">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评标本着客观公正、公平竞争、择优推荐、规范合法的原则进行。评标工作分为资格</w:t>
      </w:r>
      <w:r>
        <w:rPr>
          <w:rFonts w:hint="eastAsia" w:ascii="宋体" w:hAnsi="宋体" w:eastAsia="宋体" w:cs="宋体"/>
          <w:color w:val="auto"/>
          <w:sz w:val="24"/>
          <w:szCs w:val="24"/>
          <w:highlight w:val="none"/>
          <w:lang w:val="en-US" w:eastAsia="zh-CN"/>
        </w:rPr>
        <w:t>性评审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符合性</w:t>
      </w:r>
      <w:r>
        <w:rPr>
          <w:rFonts w:hint="eastAsia" w:ascii="宋体" w:hAnsi="宋体" w:eastAsia="宋体" w:cs="宋体"/>
          <w:color w:val="auto"/>
          <w:sz w:val="24"/>
          <w:szCs w:val="24"/>
          <w:highlight w:val="none"/>
        </w:rPr>
        <w:t>评审和详细评审三个步骤。</w:t>
      </w:r>
    </w:p>
    <w:p w14:paraId="4208ABCF">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w:t>
      </w:r>
      <w:r>
        <w:rPr>
          <w:rFonts w:hint="eastAsia" w:ascii="宋体" w:hAnsi="宋体" w:eastAsia="宋体" w:cs="宋体"/>
          <w:color w:val="auto"/>
          <w:sz w:val="24"/>
          <w:szCs w:val="24"/>
          <w:highlight w:val="none"/>
          <w:lang w:val="en-US" w:eastAsia="zh-CN"/>
        </w:rPr>
        <w:t>性评审</w:t>
      </w:r>
      <w:r>
        <w:rPr>
          <w:rFonts w:hint="eastAsia" w:ascii="宋体" w:hAnsi="宋体" w:eastAsia="宋体" w:cs="宋体"/>
          <w:color w:val="auto"/>
          <w:sz w:val="24"/>
          <w:szCs w:val="24"/>
          <w:highlight w:val="none"/>
        </w:rPr>
        <w:t>。评委会全体成员对各投标人的资格进行审查。资格</w:t>
      </w:r>
      <w:r>
        <w:rPr>
          <w:rFonts w:hint="eastAsia" w:ascii="宋体" w:hAnsi="宋体" w:eastAsia="宋体" w:cs="宋体"/>
          <w:color w:val="auto"/>
          <w:sz w:val="24"/>
          <w:szCs w:val="24"/>
          <w:highlight w:val="none"/>
          <w:lang w:val="en-US" w:eastAsia="zh-CN"/>
        </w:rPr>
        <w:t>性</w:t>
      </w:r>
      <w:r>
        <w:rPr>
          <w:rFonts w:hint="eastAsia" w:ascii="宋体" w:hAnsi="宋体" w:eastAsia="宋体" w:cs="宋体"/>
          <w:color w:val="auto"/>
          <w:sz w:val="24"/>
          <w:szCs w:val="24"/>
          <w:highlight w:val="none"/>
        </w:rPr>
        <w:t>审查合格的投标人方可进入</w:t>
      </w:r>
      <w:r>
        <w:rPr>
          <w:rFonts w:hint="eastAsia" w:ascii="宋体" w:hAnsi="宋体" w:eastAsia="宋体" w:cs="宋体"/>
          <w:color w:val="auto"/>
          <w:sz w:val="24"/>
          <w:szCs w:val="24"/>
          <w:highlight w:val="none"/>
          <w:lang w:val="en-US" w:eastAsia="zh-CN"/>
        </w:rPr>
        <w:t>符合性</w:t>
      </w:r>
      <w:r>
        <w:rPr>
          <w:rFonts w:hint="eastAsia" w:ascii="宋体" w:hAnsi="宋体" w:eastAsia="宋体" w:cs="宋体"/>
          <w:color w:val="auto"/>
          <w:sz w:val="24"/>
          <w:szCs w:val="24"/>
          <w:highlight w:val="none"/>
        </w:rPr>
        <w:t>评审。</w:t>
      </w:r>
    </w:p>
    <w:p w14:paraId="736F001B">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符合性</w:t>
      </w:r>
      <w:r>
        <w:rPr>
          <w:rFonts w:hint="eastAsia" w:ascii="宋体" w:hAnsi="宋体" w:eastAsia="宋体" w:cs="宋体"/>
          <w:color w:val="auto"/>
          <w:sz w:val="24"/>
          <w:szCs w:val="24"/>
          <w:highlight w:val="none"/>
        </w:rPr>
        <w:t>评审。评委会对投标人的投标文件进行符合性鉴定。</w:t>
      </w:r>
      <w:r>
        <w:rPr>
          <w:rFonts w:hint="eastAsia" w:ascii="宋体" w:hAnsi="宋体" w:eastAsia="宋体" w:cs="宋体"/>
          <w:color w:val="auto"/>
          <w:sz w:val="24"/>
          <w:szCs w:val="24"/>
          <w:highlight w:val="none"/>
          <w:lang w:val="en-US" w:eastAsia="zh-CN"/>
        </w:rPr>
        <w:t>符合性</w:t>
      </w:r>
      <w:r>
        <w:rPr>
          <w:rFonts w:hint="eastAsia" w:ascii="宋体" w:hAnsi="宋体" w:eastAsia="宋体" w:cs="宋体"/>
          <w:color w:val="auto"/>
          <w:sz w:val="24"/>
          <w:szCs w:val="24"/>
          <w:highlight w:val="none"/>
        </w:rPr>
        <w:t>评审合格的投标人方可进入详细评审。</w:t>
      </w:r>
    </w:p>
    <w:p w14:paraId="29E30F8F">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3.详细评审。详细评审采用综合评</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法。评委依据评标办法分别对各投标人的投标文件进行评审、赋分。</w:t>
      </w:r>
    </w:p>
    <w:p w14:paraId="11193C7B">
      <w:pPr>
        <w:pageBreakBefore w:val="0"/>
        <w:kinsoku/>
        <w:overflowPunct/>
        <w:topLinePunct w:val="0"/>
        <w:bidi w:val="0"/>
        <w:spacing w:before="156" w:beforeLines="50" w:after="156" w:afterLines="5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）询标（必要时）</w:t>
      </w:r>
    </w:p>
    <w:p w14:paraId="6E6750F4">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评标委员会对投标文件需要澄清的问题，采用集体询标方式进行。</w:t>
      </w:r>
    </w:p>
    <w:p w14:paraId="14429C72">
      <w:pPr>
        <w:pageBreakBefore w:val="0"/>
        <w:kinsoku/>
        <w:overflowPunct/>
        <w:topLinePunct w:val="0"/>
        <w:bidi w:val="0"/>
        <w:spacing w:before="156" w:beforeLines="50" w:after="156" w:afterLines="5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）推荐中标候选人</w:t>
      </w:r>
    </w:p>
    <w:p w14:paraId="14832E71">
      <w:pPr>
        <w:pageBreakBefore w:val="0"/>
        <w:kinsoku/>
        <w:overflowPunct/>
        <w:topLinePunct w:val="0"/>
        <w:bidi w:val="0"/>
        <w:spacing w:before="156" w:beforeLines="50" w:after="156" w:afterLines="50" w:line="360" w:lineRule="auto"/>
        <w:ind w:firstLine="480" w:firstLineChars="200"/>
        <w:rPr>
          <w:rFonts w:hint="eastAsia" w:ascii="宋体" w:hAnsi="宋体"/>
          <w:color w:val="auto"/>
          <w:szCs w:val="21"/>
          <w:highlight w:val="none"/>
        </w:rPr>
      </w:pPr>
      <w:r>
        <w:rPr>
          <w:rFonts w:hint="eastAsia" w:ascii="宋体" w:hAnsi="宋体" w:eastAsia="宋体" w:cs="宋体"/>
          <w:color w:val="auto"/>
          <w:sz w:val="24"/>
          <w:szCs w:val="24"/>
          <w:highlight w:val="none"/>
          <w:lang w:val="en-US" w:eastAsia="zh-CN"/>
        </w:rPr>
        <w:t>按照</w:t>
      </w:r>
      <w:r>
        <w:rPr>
          <w:rFonts w:hint="eastAsia" w:ascii="宋体" w:hAnsi="宋体" w:eastAsia="宋体" w:cs="宋体"/>
          <w:color w:val="auto"/>
          <w:sz w:val="24"/>
          <w:szCs w:val="24"/>
          <w:highlight w:val="none"/>
        </w:rPr>
        <w:t>“能够最大限度地满足招标文件中规定的各项综合评价标准”的原则，根据综合评审结果，</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授权评委会，按照综合得分由高到低的顺序，向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推荐</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名中标候选人。</w:t>
      </w:r>
    </w:p>
    <w:p w14:paraId="3CBE2895">
      <w:pPr>
        <w:pageBreakBefore w:val="0"/>
        <w:kinsoku/>
        <w:overflowPunct/>
        <w:topLinePunct w:val="0"/>
        <w:bidi w:val="0"/>
        <w:spacing w:before="156" w:beforeLines="50" w:after="156" w:afterLines="50" w:line="360"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五</w:t>
      </w:r>
      <w:r>
        <w:rPr>
          <w:rFonts w:hint="eastAsia" w:ascii="宋体" w:hAnsi="宋体"/>
          <w:b/>
          <w:bCs/>
          <w:color w:val="auto"/>
          <w:sz w:val="24"/>
          <w:szCs w:val="24"/>
          <w:highlight w:val="none"/>
        </w:rPr>
        <w:t>）评标报告</w:t>
      </w:r>
    </w:p>
    <w:p w14:paraId="28549076">
      <w:pPr>
        <w:pageBreakBefore w:val="0"/>
        <w:kinsoku/>
        <w:overflowPunct/>
        <w:topLinePunct w:val="0"/>
        <w:bidi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评标工作结束时，评委会将本项目综合评审结果向</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提交“评标报告”，各评委对评标报告内容讨论通过后，在“评标报告”上签字，对评标结果予以确认。</w:t>
      </w:r>
    </w:p>
    <w:p w14:paraId="486D9DAD">
      <w:pPr>
        <w:spacing w:line="520" w:lineRule="exact"/>
        <w:rPr>
          <w:rFonts w:hint="eastAsia" w:ascii="宋体" w:hAnsi="宋体" w:eastAsia="宋体" w:cs="宋体"/>
          <w:bCs/>
          <w:color w:val="auto"/>
          <w:sz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Cs/>
          <w:color w:val="auto"/>
          <w:sz w:val="24"/>
          <w:highlight w:val="none"/>
        </w:rPr>
        <w:t>附表1</w:t>
      </w:r>
    </w:p>
    <w:p w14:paraId="7F7042BD">
      <w:pPr>
        <w:spacing w:line="440" w:lineRule="exact"/>
        <w:jc w:val="center"/>
        <w:rPr>
          <w:rFonts w:hint="default"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资格审查表</w:t>
      </w:r>
    </w:p>
    <w:tbl>
      <w:tblPr>
        <w:tblStyle w:val="17"/>
        <w:tblpPr w:leftFromText="180" w:rightFromText="180" w:vertAnchor="text" w:horzAnchor="page" w:tblpXSpec="center" w:tblpY="61"/>
        <w:tblOverlap w:val="never"/>
        <w:tblW w:w="47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1015"/>
        <w:gridCol w:w="6485"/>
      </w:tblGrid>
      <w:tr w14:paraId="216D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358" w:type="pct"/>
            <w:noWrap w:val="0"/>
            <w:vAlign w:val="center"/>
          </w:tcPr>
          <w:p w14:paraId="498AE15C">
            <w:pPr>
              <w:pStyle w:val="8"/>
              <w:spacing w:line="300" w:lineRule="exact"/>
              <w:rPr>
                <w:rFonts w:hint="eastAsia" w:ascii="宋体" w:hAnsi="宋体" w:eastAsia="宋体" w:cs="宋体"/>
                <w:b/>
                <w:bCs/>
                <w:spacing w:val="-2"/>
                <w:kern w:val="0"/>
                <w:sz w:val="24"/>
                <w:szCs w:val="24"/>
                <w:highlight w:val="none"/>
              </w:rPr>
            </w:pPr>
            <w:r>
              <w:rPr>
                <w:rFonts w:hint="eastAsia" w:ascii="宋体" w:hAnsi="宋体" w:eastAsia="宋体" w:cs="宋体"/>
                <w:b/>
                <w:bCs/>
                <w:spacing w:val="-2"/>
                <w:kern w:val="0"/>
                <w:sz w:val="24"/>
                <w:szCs w:val="24"/>
                <w:highlight w:val="none"/>
              </w:rPr>
              <w:t>序号</w:t>
            </w:r>
          </w:p>
        </w:tc>
        <w:tc>
          <w:tcPr>
            <w:tcW w:w="628" w:type="pct"/>
            <w:noWrap w:val="0"/>
            <w:vAlign w:val="center"/>
          </w:tcPr>
          <w:p w14:paraId="212F48A5">
            <w:pPr>
              <w:widowControl/>
              <w:autoSpaceDE w:val="0"/>
              <w:autoSpaceDN w:val="0"/>
              <w:adjustRightInd w:val="0"/>
              <w:jc w:val="center"/>
              <w:rPr>
                <w:rFonts w:hint="eastAsia" w:ascii="宋体" w:hAnsi="宋体" w:eastAsia="宋体" w:cs="宋体"/>
                <w:b/>
                <w:bCs/>
                <w:spacing w:val="-2"/>
                <w:kern w:val="0"/>
                <w:sz w:val="24"/>
                <w:szCs w:val="24"/>
                <w:highlight w:val="none"/>
              </w:rPr>
            </w:pPr>
            <w:r>
              <w:rPr>
                <w:rFonts w:hint="eastAsia" w:ascii="宋体" w:hAnsi="宋体" w:cs="宋体"/>
                <w:b/>
                <w:bCs/>
                <w:kern w:val="0"/>
                <w:sz w:val="24"/>
                <w:szCs w:val="24"/>
                <w:highlight w:val="none"/>
                <w:lang w:val="zh-CN"/>
              </w:rPr>
              <w:t>评审因素</w:t>
            </w:r>
          </w:p>
        </w:tc>
        <w:tc>
          <w:tcPr>
            <w:tcW w:w="4013" w:type="pct"/>
            <w:noWrap w:val="0"/>
            <w:vAlign w:val="center"/>
          </w:tcPr>
          <w:p w14:paraId="6C657701">
            <w:pPr>
              <w:widowControl/>
              <w:autoSpaceDE w:val="0"/>
              <w:autoSpaceDN w:val="0"/>
              <w:adjustRightInd w:val="0"/>
              <w:jc w:val="center"/>
              <w:rPr>
                <w:rFonts w:hint="eastAsia" w:ascii="宋体" w:hAnsi="宋体" w:eastAsia="宋体" w:cs="宋体"/>
                <w:b/>
                <w:bCs/>
                <w:spacing w:val="-2"/>
                <w:kern w:val="0"/>
                <w:sz w:val="24"/>
                <w:szCs w:val="24"/>
                <w:highlight w:val="none"/>
              </w:rPr>
            </w:pPr>
            <w:r>
              <w:rPr>
                <w:rFonts w:hint="eastAsia" w:ascii="宋体" w:hAnsi="宋体" w:cs="宋体"/>
                <w:b/>
                <w:bCs/>
                <w:kern w:val="0"/>
                <w:sz w:val="24"/>
                <w:szCs w:val="24"/>
                <w:highlight w:val="none"/>
                <w:lang w:val="zh-CN"/>
              </w:rPr>
              <w:t>评审标准</w:t>
            </w:r>
          </w:p>
        </w:tc>
      </w:tr>
      <w:tr w14:paraId="23406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358" w:type="pct"/>
            <w:noWrap w:val="0"/>
            <w:vAlign w:val="center"/>
          </w:tcPr>
          <w:p w14:paraId="150CE4F2">
            <w:pPr>
              <w:pStyle w:val="8"/>
              <w:spacing w:line="300" w:lineRule="exact"/>
              <w:jc w:val="center"/>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rPr>
              <w:t>1</w:t>
            </w:r>
          </w:p>
        </w:tc>
        <w:tc>
          <w:tcPr>
            <w:tcW w:w="628" w:type="pct"/>
            <w:noWrap w:val="0"/>
            <w:vAlign w:val="center"/>
          </w:tcPr>
          <w:p w14:paraId="478CB0BA">
            <w:pPr>
              <w:autoSpaceDE w:val="0"/>
              <w:autoSpaceDN w:val="0"/>
              <w:adjustRightInd w:val="0"/>
              <w:snapToGrid w:val="0"/>
              <w:spacing w:before="36" w:beforeLines="15" w:line="320" w:lineRule="exact"/>
              <w:jc w:val="center"/>
              <w:outlineLvl w:val="9"/>
              <w:rPr>
                <w:rFonts w:hint="eastAsia" w:ascii="宋体" w:hAnsi="宋体" w:eastAsia="宋体" w:cs="宋体"/>
                <w:b w:val="0"/>
                <w:bCs/>
                <w:spacing w:val="-2"/>
                <w:kern w:val="0"/>
                <w:sz w:val="24"/>
                <w:szCs w:val="24"/>
                <w:highlight w:val="none"/>
              </w:rPr>
            </w:pPr>
            <w:r>
              <w:rPr>
                <w:rFonts w:hint="eastAsia" w:ascii="宋体" w:hAnsi="宋体" w:eastAsia="宋体" w:cs="宋体"/>
                <w:bCs/>
                <w:color w:val="auto"/>
                <w:sz w:val="24"/>
                <w:szCs w:val="24"/>
                <w:highlight w:val="none"/>
                <w:lang w:val="zh-CN" w:eastAsia="zh-CN" w:bidi="ar-SA"/>
              </w:rPr>
              <w:t>基本资质</w:t>
            </w:r>
          </w:p>
        </w:tc>
        <w:tc>
          <w:tcPr>
            <w:tcW w:w="4013" w:type="pct"/>
            <w:noWrap w:val="0"/>
            <w:vAlign w:val="center"/>
          </w:tcPr>
          <w:p w14:paraId="4E7CFFFF">
            <w:pPr>
              <w:autoSpaceDE w:val="0"/>
              <w:autoSpaceDN w:val="0"/>
              <w:adjustRightInd w:val="0"/>
              <w:snapToGrid w:val="0"/>
              <w:spacing w:before="36" w:beforeLines="15" w:line="320" w:lineRule="exact"/>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应满足《中华人民共和国政府采购法》第二十二条规定。</w:t>
            </w:r>
          </w:p>
          <w:p w14:paraId="2D18514A">
            <w:pPr>
              <w:autoSpaceDE w:val="0"/>
              <w:autoSpaceDN w:val="0"/>
              <w:adjustRightInd w:val="0"/>
              <w:snapToGrid w:val="0"/>
              <w:spacing w:before="36" w:beforeLines="15" w:line="320" w:lineRule="exact"/>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投标文件</w:t>
            </w:r>
            <w:r>
              <w:rPr>
                <w:rFonts w:hint="eastAsia" w:ascii="宋体" w:hAnsi="宋体" w:eastAsia="宋体" w:cs="宋体"/>
                <w:sz w:val="24"/>
                <w:szCs w:val="24"/>
                <w:highlight w:val="none"/>
              </w:rPr>
              <w:t>中同时附以下材料：</w:t>
            </w:r>
          </w:p>
          <w:p w14:paraId="49ECD4D5">
            <w:pPr>
              <w:autoSpaceDE w:val="0"/>
              <w:autoSpaceDN w:val="0"/>
              <w:adjustRightInd w:val="0"/>
              <w:snapToGrid w:val="0"/>
              <w:spacing w:before="36" w:beforeLines="15" w:line="320" w:lineRule="exact"/>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①营业执照（副本）复印件加盖公章；</w:t>
            </w:r>
          </w:p>
          <w:p w14:paraId="26FF50B0">
            <w:pPr>
              <w:autoSpaceDE w:val="0"/>
              <w:autoSpaceDN w:val="0"/>
              <w:adjustRightInd w:val="0"/>
              <w:snapToGrid w:val="0"/>
              <w:spacing w:before="36" w:beforeLines="15" w:line="320" w:lineRule="exact"/>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②提供反映财务状况、依法缴纳税收和社会保障资金情况的</w:t>
            </w:r>
            <w:r>
              <w:rPr>
                <w:rFonts w:hint="eastAsia" w:ascii="宋体" w:hAnsi="宋体" w:eastAsia="宋体" w:cs="宋体"/>
                <w:sz w:val="24"/>
                <w:szCs w:val="24"/>
                <w:highlight w:val="none"/>
                <w:lang w:val="en-US" w:eastAsia="zh-CN"/>
              </w:rPr>
              <w:t>证明</w:t>
            </w:r>
            <w:r>
              <w:rPr>
                <w:rFonts w:hint="eastAsia" w:ascii="宋体" w:hAnsi="宋体" w:eastAsia="宋体" w:cs="宋体"/>
                <w:sz w:val="24"/>
                <w:szCs w:val="24"/>
                <w:highlight w:val="none"/>
                <w:lang w:eastAsia="zh-CN"/>
              </w:rPr>
              <w:t>；</w:t>
            </w:r>
          </w:p>
          <w:p w14:paraId="1CAB8E4C">
            <w:pPr>
              <w:autoSpaceDE w:val="0"/>
              <w:autoSpaceDN w:val="0"/>
              <w:adjustRightInd w:val="0"/>
              <w:snapToGrid w:val="0"/>
              <w:spacing w:before="36" w:beforeLines="15" w:line="320" w:lineRule="exact"/>
              <w:outlineLvl w:val="9"/>
              <w:rPr>
                <w:rFonts w:hint="eastAsia" w:ascii="宋体" w:hAnsi="宋体" w:eastAsia="宋体" w:cs="宋体"/>
                <w:b w:val="0"/>
                <w:smallCaps w:val="0"/>
                <w:kern w:val="2"/>
                <w:sz w:val="24"/>
                <w:szCs w:val="24"/>
                <w:highlight w:val="none"/>
                <w:lang w:val="en-US" w:eastAsia="zh-CN" w:bidi="ar-SA"/>
              </w:rPr>
            </w:pPr>
            <w:r>
              <w:rPr>
                <w:rFonts w:hint="eastAsia" w:ascii="宋体" w:hAnsi="宋体" w:eastAsia="宋体" w:cs="宋体"/>
                <w:b w:val="0"/>
                <w:smallCaps w:val="0"/>
                <w:kern w:val="2"/>
                <w:sz w:val="24"/>
                <w:szCs w:val="24"/>
                <w:highlight w:val="none"/>
                <w:lang w:val="en-US" w:eastAsia="zh-CN" w:bidi="ar-SA"/>
              </w:rPr>
              <w:t>③具有履行合同所必需的设备和专业技术能力承诺书；</w:t>
            </w:r>
          </w:p>
          <w:p w14:paraId="5D30FA06">
            <w:pPr>
              <w:autoSpaceDE w:val="0"/>
              <w:autoSpaceDN w:val="0"/>
              <w:adjustRightInd w:val="0"/>
              <w:snapToGrid w:val="0"/>
              <w:spacing w:before="36" w:beforeLines="15" w:line="320" w:lineRule="exact"/>
              <w:outlineLvl w:val="9"/>
              <w:rPr>
                <w:rFonts w:hint="eastAsia" w:ascii="宋体" w:hAnsi="宋体" w:eastAsia="宋体" w:cs="宋体"/>
                <w:b w:val="0"/>
                <w:smallCaps w:val="0"/>
                <w:kern w:val="2"/>
                <w:sz w:val="24"/>
                <w:szCs w:val="24"/>
                <w:highlight w:val="none"/>
                <w:lang w:val="en-US" w:eastAsia="zh-CN" w:bidi="ar-SA"/>
              </w:rPr>
            </w:pPr>
            <w:r>
              <w:rPr>
                <w:rFonts w:hint="eastAsia" w:ascii="宋体" w:hAnsi="宋体" w:eastAsia="宋体" w:cs="宋体"/>
                <w:b w:val="0"/>
                <w:smallCaps w:val="0"/>
                <w:kern w:val="2"/>
                <w:sz w:val="24"/>
                <w:szCs w:val="24"/>
                <w:highlight w:val="none"/>
                <w:lang w:val="en-US" w:eastAsia="zh-CN" w:bidi="ar-SA"/>
              </w:rPr>
              <w:t>④参加政府采购活动前三年内，在经营活动中没有重大违法记录承诺书。</w:t>
            </w:r>
          </w:p>
          <w:p w14:paraId="1188C548">
            <w:pPr>
              <w:autoSpaceDE w:val="0"/>
              <w:autoSpaceDN w:val="0"/>
              <w:adjustRightInd w:val="0"/>
              <w:snapToGrid w:val="0"/>
              <w:spacing w:before="36" w:beforeLines="15" w:line="320" w:lineRule="exact"/>
              <w:outlineLvl w:val="9"/>
              <w:rPr>
                <w:rFonts w:hint="eastAsia" w:ascii="宋体" w:hAnsi="宋体" w:eastAsia="宋体" w:cs="宋体"/>
                <w:b w:val="0"/>
                <w:bCs/>
                <w:spacing w:val="-2"/>
                <w:kern w:val="0"/>
                <w:sz w:val="24"/>
                <w:szCs w:val="24"/>
                <w:highlight w:val="none"/>
              </w:rPr>
            </w:pPr>
            <w:r>
              <w:rPr>
                <w:rFonts w:hint="eastAsia" w:ascii="宋体" w:hAnsi="宋体" w:eastAsia="宋体" w:cs="宋体"/>
                <w:b/>
                <w:bCs/>
                <w:sz w:val="24"/>
                <w:szCs w:val="24"/>
                <w:highlight w:val="none"/>
              </w:rPr>
              <w:t>上述承诺书均须由法定代表人或其委托代理人签字并加盖公章。</w:t>
            </w:r>
          </w:p>
        </w:tc>
      </w:tr>
      <w:tr w14:paraId="6345C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358" w:type="pct"/>
            <w:noWrap w:val="0"/>
            <w:vAlign w:val="center"/>
          </w:tcPr>
          <w:p w14:paraId="3CAB23AD">
            <w:pPr>
              <w:spacing w:line="300" w:lineRule="exact"/>
              <w:jc w:val="center"/>
              <w:rPr>
                <w:rFonts w:hint="eastAsia" w:ascii="宋体" w:hAnsi="宋体" w:eastAsia="宋体" w:cs="宋体"/>
                <w:b w:val="0"/>
                <w:bCs/>
                <w:spacing w:val="-2"/>
                <w:sz w:val="24"/>
                <w:szCs w:val="24"/>
                <w:highlight w:val="none"/>
              </w:rPr>
            </w:pPr>
            <w:r>
              <w:rPr>
                <w:rFonts w:hint="eastAsia" w:ascii="宋体" w:hAnsi="宋体" w:eastAsia="宋体" w:cs="宋体"/>
                <w:b w:val="0"/>
                <w:bCs/>
                <w:spacing w:val="-2"/>
                <w:sz w:val="24"/>
                <w:szCs w:val="24"/>
                <w:highlight w:val="none"/>
              </w:rPr>
              <w:t>2</w:t>
            </w:r>
          </w:p>
        </w:tc>
        <w:tc>
          <w:tcPr>
            <w:tcW w:w="628" w:type="pct"/>
            <w:noWrap w:val="0"/>
            <w:vAlign w:val="center"/>
          </w:tcPr>
          <w:p w14:paraId="6F40A95F">
            <w:pPr>
              <w:spacing w:line="300" w:lineRule="exact"/>
              <w:jc w:val="center"/>
              <w:rPr>
                <w:rFonts w:hint="eastAsia" w:ascii="宋体" w:hAnsi="宋体" w:eastAsia="宋体" w:cs="宋体"/>
                <w:b w:val="0"/>
                <w:bCs/>
                <w:spacing w:val="-2"/>
                <w:sz w:val="24"/>
                <w:szCs w:val="24"/>
                <w:highlight w:val="none"/>
                <w:lang w:eastAsia="zh-CN"/>
              </w:rPr>
            </w:pPr>
            <w:r>
              <w:rPr>
                <w:rFonts w:hint="eastAsia" w:ascii="宋体" w:hAnsi="宋体" w:eastAsia="宋体" w:cs="宋体"/>
                <w:b w:val="0"/>
                <w:bCs/>
                <w:spacing w:val="-2"/>
                <w:sz w:val="24"/>
                <w:szCs w:val="24"/>
                <w:highlight w:val="none"/>
                <w:lang w:eastAsia="zh-CN"/>
              </w:rPr>
              <w:t>采购政策</w:t>
            </w:r>
          </w:p>
        </w:tc>
        <w:tc>
          <w:tcPr>
            <w:tcW w:w="4013" w:type="pct"/>
            <w:noWrap w:val="0"/>
            <w:vAlign w:val="center"/>
          </w:tcPr>
          <w:p w14:paraId="36C564D0">
            <w:pPr>
              <w:spacing w:line="300" w:lineRule="exac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rPr>
              <w:t>本项目专门面向中小企业采购（供应商应为中小微企业、监狱企业、残疾人福利性单位)；(1)《政府采购促进中小企业发展管理办法》（财库﹝2020﹞46号）；(2)《关于进一步加大政府采购支持中小企业力度的通知》（财库[2022]19号）；(3)《关于政府采购支持监狱企业发展有关问题的通知》(财库〔2014〕68号)；(4)《关于促进残疾人就业政府采购政策的通知》（财库〔2017〕141号)；(5)《关于调整优化节能产品、环境标志产品政府采购执行机制的通知》(财库[2019]9号)《无线局域网认证产品政府采购清单》等政府采购最新政策；</w:t>
            </w:r>
          </w:p>
          <w:p w14:paraId="1C917E5C">
            <w:pPr>
              <w:spacing w:line="300" w:lineRule="exac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rPr>
              <w:t xml:space="preserve">注：①中小企业参加政府采购活动（依据《中小企业划型标准规定》中租赁和商务服务业），应当出具《政府采购促进中小企业发展管理办法》规定的《中小企业声明函》。       </w:t>
            </w:r>
          </w:p>
          <w:p w14:paraId="3D08E661">
            <w:pPr>
              <w:spacing w:line="300" w:lineRule="exac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rPr>
              <w:t>②监狱企业参加政府采购活动时，应当提供由省级以上监狱管理局、戒毒管理局（含新疆生产建设兵团）出具的属于监狱企业的证明文件。</w:t>
            </w:r>
          </w:p>
          <w:p w14:paraId="37E40CFA">
            <w:pPr>
              <w:spacing w:line="300" w:lineRule="exac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rPr>
              <w:t>③残疾人福利性单位在参加政府采购活动时，应当按规定提供《残疾人福利性单位声明函》，并对声明的真实性负责。</w:t>
            </w:r>
          </w:p>
          <w:p w14:paraId="25E65771">
            <w:pPr>
              <w:spacing w:line="300" w:lineRule="exact"/>
              <w:rPr>
                <w:rFonts w:hint="eastAsia" w:ascii="宋体" w:hAnsi="宋体" w:eastAsia="宋体" w:cs="宋体"/>
                <w:b w:val="0"/>
                <w:bCs/>
                <w:spacing w:val="-2"/>
                <w:kern w:val="0"/>
                <w:sz w:val="24"/>
                <w:szCs w:val="24"/>
                <w:highlight w:val="none"/>
              </w:rPr>
            </w:pPr>
            <w:r>
              <w:rPr>
                <w:rFonts w:hint="eastAsia" w:ascii="宋体" w:hAnsi="宋体" w:eastAsia="宋体" w:cs="宋体"/>
                <w:b w:val="0"/>
                <w:bCs/>
                <w:spacing w:val="-2"/>
                <w:kern w:val="0"/>
                <w:sz w:val="24"/>
                <w:szCs w:val="24"/>
                <w:highlight w:val="none"/>
              </w:rPr>
              <w:t>④</w:t>
            </w:r>
            <w:r>
              <w:rPr>
                <w:rFonts w:hint="eastAsia" w:ascii="宋体" w:hAnsi="宋体" w:eastAsia="宋体" w:cs="宋体"/>
                <w:b w:val="0"/>
                <w:bCs/>
                <w:spacing w:val="-2"/>
                <w:kern w:val="0"/>
                <w:sz w:val="24"/>
                <w:szCs w:val="24"/>
                <w:highlight w:val="none"/>
                <w:lang w:val="en-US" w:eastAsia="zh-CN"/>
              </w:rPr>
              <w:t>本项目是</w:t>
            </w:r>
            <w:r>
              <w:rPr>
                <w:rFonts w:hint="eastAsia" w:ascii="宋体" w:hAnsi="宋体" w:eastAsia="宋体" w:cs="宋体"/>
                <w:b w:val="0"/>
                <w:bCs/>
                <w:spacing w:val="-2"/>
                <w:kern w:val="0"/>
                <w:sz w:val="24"/>
                <w:szCs w:val="24"/>
                <w:highlight w:val="none"/>
              </w:rPr>
              <w:t>专门面向中小企业采购的项目，不再执行价格评审优惠的扶持政策。</w:t>
            </w:r>
          </w:p>
        </w:tc>
      </w:tr>
      <w:tr w14:paraId="1DF75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358" w:type="pct"/>
            <w:noWrap w:val="0"/>
            <w:vAlign w:val="center"/>
          </w:tcPr>
          <w:p w14:paraId="37D0D422">
            <w:pPr>
              <w:spacing w:line="300" w:lineRule="exact"/>
              <w:jc w:val="center"/>
              <w:rPr>
                <w:rFonts w:hint="eastAsia" w:ascii="宋体" w:hAnsi="宋体" w:eastAsia="宋体" w:cs="宋体"/>
                <w:b w:val="0"/>
                <w:bCs/>
                <w:spacing w:val="-2"/>
                <w:sz w:val="24"/>
                <w:szCs w:val="24"/>
                <w:highlight w:val="none"/>
              </w:rPr>
            </w:pPr>
            <w:r>
              <w:rPr>
                <w:rFonts w:hint="eastAsia" w:ascii="宋体" w:hAnsi="宋体" w:eastAsia="宋体" w:cs="宋体"/>
                <w:b w:val="0"/>
                <w:bCs/>
                <w:spacing w:val="-2"/>
                <w:sz w:val="24"/>
                <w:szCs w:val="24"/>
                <w:highlight w:val="none"/>
              </w:rPr>
              <w:t>3</w:t>
            </w:r>
          </w:p>
        </w:tc>
        <w:tc>
          <w:tcPr>
            <w:tcW w:w="628" w:type="pct"/>
            <w:noWrap w:val="0"/>
            <w:vAlign w:val="center"/>
          </w:tcPr>
          <w:p w14:paraId="67899804">
            <w:pPr>
              <w:spacing w:line="300" w:lineRule="exact"/>
              <w:jc w:val="center"/>
              <w:rPr>
                <w:rFonts w:hint="default" w:ascii="宋体" w:hAnsi="宋体" w:eastAsia="宋体" w:cs="宋体"/>
                <w:b w:val="0"/>
                <w:bCs/>
                <w:spacing w:val="-2"/>
                <w:sz w:val="24"/>
                <w:szCs w:val="24"/>
                <w:highlight w:val="none"/>
                <w:lang w:val="en-US" w:eastAsia="zh-CN"/>
              </w:rPr>
            </w:pPr>
            <w:r>
              <w:rPr>
                <w:rFonts w:hint="eastAsia" w:ascii="宋体" w:hAnsi="宋体" w:eastAsia="宋体" w:cs="宋体"/>
                <w:b w:val="0"/>
                <w:bCs/>
                <w:spacing w:val="-2"/>
                <w:sz w:val="24"/>
                <w:szCs w:val="24"/>
                <w:highlight w:val="none"/>
                <w:lang w:val="en-US" w:eastAsia="zh-CN"/>
              </w:rPr>
              <w:t>信誉要求</w:t>
            </w:r>
          </w:p>
        </w:tc>
        <w:tc>
          <w:tcPr>
            <w:tcW w:w="4013" w:type="pct"/>
            <w:noWrap w:val="0"/>
            <w:vAlign w:val="center"/>
          </w:tcPr>
          <w:p w14:paraId="11A53CE7">
            <w:pPr>
              <w:spacing w:line="300" w:lineRule="exact"/>
              <w:rPr>
                <w:rFonts w:hint="eastAsia" w:ascii="宋体" w:hAnsi="宋体"/>
                <w:bCs/>
                <w:color w:val="auto"/>
                <w:sz w:val="24"/>
                <w:szCs w:val="24"/>
                <w:highlight w:val="none"/>
                <w:lang w:eastAsia="zh-CN"/>
              </w:rPr>
            </w:pPr>
            <w:r>
              <w:rPr>
                <w:rFonts w:hint="eastAsia" w:ascii="宋体" w:hAnsi="宋体"/>
                <w:bCs/>
                <w:color w:val="auto"/>
                <w:sz w:val="24"/>
                <w:szCs w:val="24"/>
                <w:highlight w:val="none"/>
              </w:rPr>
              <w:t>按照《财政部关于在政府采购活动中查询及使用信用记录有关问题的通知》（财库〔2016〕125号）的要求，根据提交投标文件截止时间</w:t>
            </w:r>
            <w:r>
              <w:rPr>
                <w:rFonts w:hint="eastAsia" w:ascii="宋体" w:hAnsi="宋体"/>
                <w:bCs/>
                <w:color w:val="auto"/>
                <w:sz w:val="24"/>
                <w:szCs w:val="24"/>
                <w:highlight w:val="none"/>
                <w:lang w:val="en-US" w:eastAsia="zh-CN"/>
              </w:rPr>
              <w:t>前“信用中国”网站（www.creditchina.gov.cn）、中国政府采购网（www.ccgp.gov.cn）</w:t>
            </w:r>
            <w:r>
              <w:rPr>
                <w:rFonts w:hint="eastAsia" w:ascii="宋体" w:hAnsi="宋体"/>
                <w:bCs/>
                <w:color w:val="auto"/>
                <w:sz w:val="24"/>
                <w:szCs w:val="24"/>
                <w:highlight w:val="none"/>
              </w:rPr>
              <w:t>的信息，对列入失信被执行人、重大税收违法案件当事人名单、政府采购严重违法失信行为记录名单及其他不符合《中华人民共和国政府采购法》第二十二条规定条件的供应商，拒绝参与政府采购活动</w:t>
            </w:r>
            <w:r>
              <w:rPr>
                <w:rFonts w:hint="eastAsia" w:ascii="宋体" w:hAnsi="宋体"/>
                <w:bCs/>
                <w:color w:val="auto"/>
                <w:sz w:val="24"/>
                <w:szCs w:val="24"/>
                <w:highlight w:val="none"/>
                <w:lang w:eastAsia="zh-CN"/>
              </w:rPr>
              <w:t>。</w:t>
            </w:r>
          </w:p>
          <w:p w14:paraId="384599EE">
            <w:pPr>
              <w:spacing w:line="300" w:lineRule="exact"/>
              <w:rPr>
                <w:rFonts w:hint="eastAsia" w:ascii="宋体" w:hAnsi="宋体"/>
                <w:bCs/>
                <w:color w:val="auto"/>
                <w:sz w:val="24"/>
                <w:szCs w:val="24"/>
                <w:highlight w:val="none"/>
                <w:lang w:eastAsia="zh-CN"/>
              </w:rPr>
            </w:pPr>
            <w:r>
              <w:rPr>
                <w:rFonts w:hint="eastAsia" w:ascii="宋体" w:hAnsi="宋体"/>
                <w:b/>
                <w:bCs w:val="0"/>
                <w:color w:val="auto"/>
                <w:sz w:val="24"/>
                <w:szCs w:val="24"/>
                <w:highlight w:val="none"/>
                <w:lang w:val="en-US" w:eastAsia="zh-CN"/>
              </w:rPr>
              <w:t>投标文件内</w:t>
            </w:r>
            <w:r>
              <w:rPr>
                <w:rFonts w:hint="eastAsia" w:ascii="宋体" w:hAnsi="宋体"/>
                <w:b/>
                <w:bCs w:val="0"/>
                <w:color w:val="auto"/>
                <w:sz w:val="24"/>
                <w:szCs w:val="24"/>
                <w:highlight w:val="none"/>
                <w:lang w:eastAsia="zh-CN"/>
              </w:rPr>
              <w:t>附由法定代表人或其委托代理人签字并加盖公章的承诺书，且采购代理机构将按查询截止时间对所有供应商的信用信息进行查询，查询记录也将作为评审依据。</w:t>
            </w:r>
          </w:p>
        </w:tc>
      </w:tr>
      <w:tr w14:paraId="4524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5" w:hRule="atLeast"/>
          <w:jc w:val="center"/>
        </w:trPr>
        <w:tc>
          <w:tcPr>
            <w:tcW w:w="358" w:type="pct"/>
            <w:noWrap w:val="0"/>
            <w:vAlign w:val="center"/>
          </w:tcPr>
          <w:p w14:paraId="5845AFBB">
            <w:pPr>
              <w:spacing w:line="300" w:lineRule="exact"/>
              <w:jc w:val="center"/>
              <w:rPr>
                <w:rFonts w:hint="eastAsia" w:ascii="宋体" w:hAnsi="宋体" w:eastAsia="宋体" w:cs="宋体"/>
                <w:b w:val="0"/>
                <w:bCs/>
                <w:spacing w:val="-2"/>
                <w:sz w:val="24"/>
                <w:szCs w:val="24"/>
                <w:highlight w:val="none"/>
              </w:rPr>
            </w:pPr>
            <w:r>
              <w:rPr>
                <w:rFonts w:hint="eastAsia" w:ascii="宋体" w:hAnsi="宋体" w:eastAsia="宋体" w:cs="宋体"/>
                <w:b w:val="0"/>
                <w:bCs/>
                <w:spacing w:val="-2"/>
                <w:sz w:val="24"/>
                <w:szCs w:val="24"/>
                <w:highlight w:val="none"/>
              </w:rPr>
              <w:t>4</w:t>
            </w:r>
          </w:p>
        </w:tc>
        <w:tc>
          <w:tcPr>
            <w:tcW w:w="628" w:type="pct"/>
            <w:noWrap w:val="0"/>
            <w:vAlign w:val="center"/>
          </w:tcPr>
          <w:p w14:paraId="4C32ECA9">
            <w:pPr>
              <w:spacing w:line="300" w:lineRule="exact"/>
              <w:jc w:val="center"/>
              <w:rPr>
                <w:rFonts w:hint="eastAsia" w:ascii="宋体" w:hAnsi="宋体" w:eastAsia="宋体" w:cs="宋体"/>
                <w:b w:val="0"/>
                <w:bCs/>
                <w:spacing w:val="-2"/>
                <w:sz w:val="24"/>
                <w:szCs w:val="24"/>
                <w:highlight w:val="none"/>
              </w:rPr>
            </w:pPr>
            <w:r>
              <w:rPr>
                <w:rFonts w:hint="eastAsia" w:ascii="宋体" w:hAnsi="宋体" w:eastAsia="宋体" w:cs="宋体"/>
                <w:b w:val="0"/>
                <w:bCs/>
                <w:spacing w:val="-2"/>
                <w:sz w:val="24"/>
                <w:szCs w:val="24"/>
                <w:highlight w:val="none"/>
              </w:rPr>
              <w:t>特定资质</w:t>
            </w:r>
          </w:p>
        </w:tc>
        <w:tc>
          <w:tcPr>
            <w:tcW w:w="4013" w:type="pct"/>
            <w:noWrap w:val="0"/>
            <w:vAlign w:val="center"/>
          </w:tcPr>
          <w:p w14:paraId="21B5ED08">
            <w:pPr>
              <w:numPr>
                <w:ilvl w:val="0"/>
                <w:numId w:val="0"/>
              </w:numPr>
              <w:spacing w:line="300" w:lineRule="exact"/>
              <w:rPr>
                <w:rFonts w:hint="eastAsia" w:ascii="宋体" w:hAnsi="宋体" w:eastAsia="宋体" w:cs="宋体"/>
                <w:b w:val="0"/>
                <w:bCs/>
                <w:color w:val="auto"/>
                <w:spacing w:val="-2"/>
                <w:sz w:val="24"/>
                <w:szCs w:val="24"/>
                <w:highlight w:val="none"/>
                <w:lang w:val="en-US" w:eastAsia="zh-CN"/>
              </w:rPr>
            </w:pPr>
            <w:r>
              <w:rPr>
                <w:rFonts w:hint="eastAsia" w:ascii="宋体" w:hAnsi="宋体" w:eastAsia="宋体" w:cs="宋体"/>
                <w:b w:val="0"/>
                <w:bCs/>
                <w:color w:val="auto"/>
                <w:spacing w:val="-2"/>
                <w:sz w:val="24"/>
                <w:szCs w:val="24"/>
                <w:highlight w:val="none"/>
                <w:lang w:val="en-US" w:eastAsia="zh-CN"/>
              </w:rPr>
              <w:t>(1).依法设立的道路旅客运输经营企业、城市公共交通企业或根据县级以上地方人民政府规定设立的校车运营单位；（道路旅客运输企业和城市公共交通企业需提供道路运输经营许可证）；</w:t>
            </w:r>
          </w:p>
          <w:p w14:paraId="0FA2F18E">
            <w:pPr>
              <w:numPr>
                <w:ilvl w:val="0"/>
                <w:numId w:val="0"/>
              </w:numPr>
              <w:spacing w:line="300" w:lineRule="exact"/>
              <w:rPr>
                <w:rFonts w:hint="eastAsia" w:ascii="宋体" w:hAnsi="宋体" w:eastAsia="宋体" w:cs="宋体"/>
                <w:b w:val="0"/>
                <w:bCs/>
                <w:color w:val="auto"/>
                <w:spacing w:val="-2"/>
                <w:sz w:val="24"/>
                <w:szCs w:val="24"/>
                <w:highlight w:val="none"/>
                <w:lang w:val="en-US" w:eastAsia="zh-CN"/>
              </w:rPr>
            </w:pPr>
            <w:r>
              <w:rPr>
                <w:rFonts w:hint="eastAsia" w:ascii="宋体" w:hAnsi="宋体" w:eastAsia="宋体" w:cs="宋体"/>
                <w:b w:val="0"/>
                <w:bCs/>
                <w:color w:val="auto"/>
                <w:spacing w:val="-2"/>
                <w:sz w:val="24"/>
                <w:szCs w:val="24"/>
                <w:highlight w:val="none"/>
                <w:lang w:val="en-US" w:eastAsia="zh-CN"/>
              </w:rPr>
              <w:t>(2).符合《关于做好政府购买义务教育阶段中小学生校车服务工作的指导意见》（吉财综〔2014〕987号）的相关要求；</w:t>
            </w:r>
          </w:p>
          <w:p w14:paraId="48371532">
            <w:pPr>
              <w:numPr>
                <w:ilvl w:val="0"/>
                <w:numId w:val="0"/>
              </w:numPr>
              <w:spacing w:line="300" w:lineRule="exact"/>
              <w:rPr>
                <w:rFonts w:hint="eastAsia" w:ascii="宋体" w:hAnsi="宋体" w:eastAsia="宋体" w:cs="宋体"/>
                <w:b w:val="0"/>
                <w:bCs/>
                <w:color w:val="auto"/>
                <w:spacing w:val="-2"/>
                <w:sz w:val="24"/>
                <w:szCs w:val="24"/>
                <w:highlight w:val="none"/>
                <w:lang w:val="en-US" w:eastAsia="zh-CN"/>
              </w:rPr>
            </w:pPr>
            <w:r>
              <w:rPr>
                <w:rFonts w:hint="eastAsia" w:ascii="宋体" w:hAnsi="宋体" w:eastAsia="宋体" w:cs="宋体"/>
                <w:b w:val="0"/>
                <w:bCs/>
                <w:color w:val="auto"/>
                <w:spacing w:val="-2"/>
                <w:sz w:val="24"/>
                <w:szCs w:val="24"/>
                <w:highlight w:val="none"/>
                <w:lang w:val="en-US" w:eastAsia="zh-CN"/>
              </w:rPr>
              <w:t>(3).投标单位和个人（指法定代表人）未在“中国裁判文书网”（wenshu.court.gov.cn）上有行贿犯罪行为；</w:t>
            </w:r>
          </w:p>
          <w:p w14:paraId="602B1C05">
            <w:pPr>
              <w:numPr>
                <w:ilvl w:val="0"/>
                <w:numId w:val="0"/>
              </w:numPr>
              <w:spacing w:line="300" w:lineRule="exact"/>
              <w:rPr>
                <w:rFonts w:hint="eastAsia" w:ascii="宋体" w:hAnsi="宋体" w:eastAsia="宋体" w:cs="宋体"/>
                <w:b w:val="0"/>
                <w:bCs/>
                <w:color w:val="auto"/>
                <w:spacing w:val="-2"/>
                <w:sz w:val="24"/>
                <w:szCs w:val="24"/>
                <w:highlight w:val="none"/>
                <w:lang w:val="en-US" w:eastAsia="zh-CN"/>
              </w:rPr>
            </w:pPr>
            <w:r>
              <w:rPr>
                <w:rFonts w:hint="eastAsia" w:ascii="宋体" w:hAnsi="宋体" w:eastAsia="宋体" w:cs="宋体"/>
                <w:b w:val="0"/>
                <w:bCs/>
                <w:color w:val="auto"/>
                <w:spacing w:val="-2"/>
                <w:sz w:val="24"/>
                <w:szCs w:val="24"/>
                <w:highlight w:val="none"/>
                <w:lang w:val="en-US" w:eastAsia="zh-CN"/>
              </w:rPr>
              <w:t>(4).供应商未被列入“失信被执行人、税收违法黑名单”的记录名单（通过“信用中国”网站(www.creditchina.gov.cn)查询）；</w:t>
            </w:r>
          </w:p>
          <w:p w14:paraId="7037A721">
            <w:pPr>
              <w:numPr>
                <w:ilvl w:val="0"/>
                <w:numId w:val="0"/>
              </w:numPr>
              <w:spacing w:line="300" w:lineRule="exact"/>
              <w:rPr>
                <w:rFonts w:hint="eastAsia" w:ascii="宋体" w:hAnsi="宋体" w:eastAsia="宋体" w:cs="宋体"/>
                <w:b w:val="0"/>
                <w:bCs/>
                <w:color w:val="auto"/>
                <w:spacing w:val="-2"/>
                <w:sz w:val="24"/>
                <w:szCs w:val="24"/>
                <w:highlight w:val="none"/>
                <w:lang w:val="en-US" w:eastAsia="zh-CN"/>
              </w:rPr>
            </w:pPr>
            <w:r>
              <w:rPr>
                <w:rFonts w:hint="eastAsia" w:ascii="宋体" w:hAnsi="宋体" w:eastAsia="宋体" w:cs="宋体"/>
                <w:b w:val="0"/>
                <w:bCs/>
                <w:color w:val="auto"/>
                <w:spacing w:val="-2"/>
                <w:sz w:val="24"/>
                <w:szCs w:val="24"/>
                <w:highlight w:val="none"/>
                <w:lang w:val="en-US" w:eastAsia="zh-CN"/>
              </w:rPr>
              <w:t>(5).供应商未被列入“政府采购严重违法失信行为记录名单”（通过“中国政府采购网”（www.ccgp.gov.cn）查询）；</w:t>
            </w:r>
          </w:p>
          <w:p w14:paraId="4F7DE336">
            <w:pPr>
              <w:numPr>
                <w:ilvl w:val="0"/>
                <w:numId w:val="0"/>
              </w:numPr>
              <w:spacing w:line="300" w:lineRule="exact"/>
              <w:rPr>
                <w:rFonts w:hint="eastAsia"/>
                <w:color w:val="auto"/>
                <w:sz w:val="24"/>
                <w:szCs w:val="24"/>
                <w:highlight w:val="none"/>
                <w:lang w:eastAsia="zh-CN"/>
              </w:rPr>
            </w:pPr>
            <w:r>
              <w:rPr>
                <w:rFonts w:hint="eastAsia"/>
                <w:b/>
                <w:bCs/>
                <w:color w:val="auto"/>
                <w:sz w:val="24"/>
                <w:szCs w:val="24"/>
                <w:highlight w:val="none"/>
                <w:lang w:eastAsia="zh-CN"/>
              </w:rPr>
              <w:t>投标文件内附由法定代表人或其授权委托人签字并加盖公章的承诺书。</w:t>
            </w:r>
          </w:p>
        </w:tc>
      </w:tr>
      <w:tr w14:paraId="2C64D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358" w:type="pct"/>
            <w:noWrap w:val="0"/>
            <w:vAlign w:val="center"/>
          </w:tcPr>
          <w:p w14:paraId="2FF3591A">
            <w:pPr>
              <w:spacing w:line="300" w:lineRule="exact"/>
              <w:jc w:val="center"/>
              <w:rPr>
                <w:rFonts w:hint="eastAsia" w:ascii="宋体" w:hAnsi="宋体" w:eastAsia="宋体" w:cs="宋体"/>
                <w:b w:val="0"/>
                <w:bCs/>
                <w:spacing w:val="-2"/>
                <w:sz w:val="24"/>
                <w:szCs w:val="24"/>
                <w:highlight w:val="none"/>
              </w:rPr>
            </w:pPr>
            <w:r>
              <w:rPr>
                <w:rFonts w:hint="eastAsia" w:ascii="宋体" w:hAnsi="宋体" w:eastAsia="宋体" w:cs="宋体"/>
                <w:b w:val="0"/>
                <w:bCs/>
                <w:spacing w:val="-2"/>
                <w:sz w:val="24"/>
                <w:szCs w:val="24"/>
                <w:highlight w:val="none"/>
              </w:rPr>
              <w:t>5</w:t>
            </w:r>
          </w:p>
        </w:tc>
        <w:tc>
          <w:tcPr>
            <w:tcW w:w="628" w:type="pct"/>
            <w:noWrap w:val="0"/>
            <w:vAlign w:val="center"/>
          </w:tcPr>
          <w:p w14:paraId="5F319725">
            <w:pPr>
              <w:spacing w:line="300" w:lineRule="exact"/>
              <w:jc w:val="center"/>
              <w:rPr>
                <w:rFonts w:hint="default" w:ascii="宋体" w:hAnsi="宋体" w:eastAsia="宋体" w:cs="宋体"/>
                <w:b w:val="0"/>
                <w:bCs/>
                <w:spacing w:val="-2"/>
                <w:sz w:val="24"/>
                <w:szCs w:val="24"/>
                <w:highlight w:val="none"/>
                <w:lang w:val="en-US" w:eastAsia="zh-CN"/>
              </w:rPr>
            </w:pPr>
            <w:r>
              <w:rPr>
                <w:rFonts w:hint="eastAsia" w:ascii="宋体" w:hAnsi="宋体" w:eastAsia="宋体" w:cs="宋体"/>
                <w:b w:val="0"/>
                <w:bCs/>
                <w:spacing w:val="-2"/>
                <w:sz w:val="24"/>
                <w:szCs w:val="24"/>
                <w:highlight w:val="none"/>
                <w:lang w:val="en-US" w:eastAsia="zh-CN"/>
              </w:rPr>
              <w:t>其他要求</w:t>
            </w:r>
          </w:p>
        </w:tc>
        <w:tc>
          <w:tcPr>
            <w:tcW w:w="4013" w:type="pct"/>
            <w:noWrap w:val="0"/>
            <w:vAlign w:val="center"/>
          </w:tcPr>
          <w:p w14:paraId="38B367B3">
            <w:pPr>
              <w:numPr>
                <w:ilvl w:val="0"/>
                <w:numId w:val="4"/>
              </w:numPr>
              <w:spacing w:line="300" w:lineRule="exact"/>
              <w:rPr>
                <w:rFonts w:hint="eastAsia" w:ascii="宋体" w:hAnsi="宋体" w:eastAsia="宋体" w:cs="宋体"/>
                <w:b w:val="0"/>
                <w:bCs/>
                <w:spacing w:val="-2"/>
                <w:sz w:val="24"/>
                <w:szCs w:val="24"/>
                <w:highlight w:val="none"/>
                <w:lang w:val="en-US" w:eastAsia="zh-CN"/>
              </w:rPr>
            </w:pPr>
            <w:r>
              <w:rPr>
                <w:rFonts w:hint="eastAsia" w:ascii="宋体" w:hAnsi="宋体" w:eastAsia="宋体" w:cs="宋体"/>
                <w:b w:val="0"/>
                <w:bCs/>
                <w:spacing w:val="-2"/>
                <w:sz w:val="24"/>
                <w:szCs w:val="24"/>
                <w:highlight w:val="none"/>
                <w:lang w:val="en-US" w:eastAsia="zh-CN"/>
              </w:rPr>
              <w:t>拒绝列入政府取消投标资格记录期间的企业或个人投标；</w:t>
            </w:r>
          </w:p>
          <w:p w14:paraId="04F57D18">
            <w:pPr>
              <w:numPr>
                <w:ilvl w:val="0"/>
                <w:numId w:val="4"/>
              </w:numPr>
              <w:spacing w:line="300" w:lineRule="exact"/>
              <w:rPr>
                <w:rFonts w:hint="default" w:ascii="宋体" w:hAnsi="宋体" w:eastAsia="宋体" w:cs="宋体"/>
                <w:b w:val="0"/>
                <w:bCs/>
                <w:spacing w:val="-2"/>
                <w:sz w:val="24"/>
                <w:szCs w:val="24"/>
                <w:highlight w:val="none"/>
                <w:lang w:val="en-US" w:eastAsia="zh-CN"/>
              </w:rPr>
            </w:pPr>
            <w:r>
              <w:rPr>
                <w:rFonts w:hint="default" w:ascii="宋体" w:hAnsi="宋体" w:eastAsia="宋体" w:cs="宋体"/>
                <w:b w:val="0"/>
                <w:bCs/>
                <w:spacing w:val="-2"/>
                <w:sz w:val="24"/>
                <w:szCs w:val="24"/>
                <w:highlight w:val="none"/>
                <w:lang w:val="en-US"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b w:val="0"/>
                <w:bCs/>
                <w:spacing w:val="-2"/>
                <w:sz w:val="24"/>
                <w:szCs w:val="24"/>
                <w:highlight w:val="none"/>
                <w:lang w:val="en-US" w:eastAsia="zh-CN"/>
              </w:rPr>
              <w:t>。</w:t>
            </w:r>
          </w:p>
          <w:p w14:paraId="0A4CE059">
            <w:pPr>
              <w:numPr>
                <w:ilvl w:val="0"/>
                <w:numId w:val="0"/>
              </w:numPr>
              <w:spacing w:line="300" w:lineRule="exact"/>
              <w:rPr>
                <w:rFonts w:hint="default" w:ascii="宋体" w:hAnsi="宋体" w:eastAsia="宋体" w:cs="宋体"/>
                <w:b w:val="0"/>
                <w:bCs/>
                <w:spacing w:val="-2"/>
                <w:sz w:val="24"/>
                <w:szCs w:val="24"/>
                <w:highlight w:val="none"/>
                <w:lang w:val="en-US" w:eastAsia="zh-CN"/>
              </w:rPr>
            </w:pPr>
            <w:r>
              <w:rPr>
                <w:rFonts w:hint="eastAsia" w:ascii="宋体" w:cs="宋体"/>
                <w:b/>
                <w:bCs/>
                <w:color w:val="auto"/>
                <w:sz w:val="24"/>
                <w:szCs w:val="24"/>
                <w:highlight w:val="none"/>
                <w:lang w:val="en-US" w:eastAsia="zh-CN" w:bidi="ar-SA"/>
              </w:rPr>
              <w:t>投标文件</w:t>
            </w:r>
            <w:r>
              <w:rPr>
                <w:rFonts w:hint="eastAsia" w:ascii="宋体" w:cs="宋体"/>
                <w:b/>
                <w:bCs/>
                <w:color w:val="auto"/>
                <w:sz w:val="24"/>
                <w:szCs w:val="24"/>
                <w:highlight w:val="none"/>
                <w:lang w:val="zh-CN" w:eastAsia="zh-CN" w:bidi="ar-SA"/>
              </w:rPr>
              <w:t>内附</w:t>
            </w:r>
            <w:r>
              <w:rPr>
                <w:rFonts w:hint="eastAsia" w:ascii="宋体" w:cs="宋体"/>
                <w:b/>
                <w:bCs/>
                <w:color w:val="auto"/>
                <w:sz w:val="24"/>
                <w:szCs w:val="24"/>
                <w:highlight w:val="none"/>
                <w:lang w:val="en-US" w:eastAsia="zh-CN" w:bidi="ar-SA"/>
              </w:rPr>
              <w:t>由</w:t>
            </w:r>
            <w:r>
              <w:rPr>
                <w:rFonts w:hint="eastAsia" w:ascii="宋体" w:cs="宋体"/>
                <w:b/>
                <w:bCs/>
                <w:color w:val="auto"/>
                <w:sz w:val="24"/>
                <w:szCs w:val="24"/>
                <w:highlight w:val="none"/>
                <w:lang w:val="zh-CN" w:eastAsia="zh-CN" w:bidi="ar-SA"/>
              </w:rPr>
              <w:t>法定代表人或其授权委托人签字并加盖公章的承诺书。</w:t>
            </w:r>
          </w:p>
        </w:tc>
      </w:tr>
      <w:tr w14:paraId="6F6EE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358" w:type="pct"/>
            <w:noWrap w:val="0"/>
            <w:vAlign w:val="center"/>
          </w:tcPr>
          <w:p w14:paraId="28F63BF8">
            <w:pPr>
              <w:spacing w:line="300" w:lineRule="exact"/>
              <w:jc w:val="center"/>
              <w:rPr>
                <w:rFonts w:hint="eastAsia" w:ascii="宋体" w:hAnsi="宋体" w:eastAsia="宋体" w:cs="宋体"/>
                <w:b w:val="0"/>
                <w:bCs/>
                <w:spacing w:val="-2"/>
                <w:sz w:val="24"/>
                <w:szCs w:val="24"/>
                <w:highlight w:val="none"/>
                <w:lang w:val="en-US" w:eastAsia="zh-CN"/>
              </w:rPr>
            </w:pPr>
            <w:r>
              <w:rPr>
                <w:rFonts w:hint="eastAsia" w:ascii="宋体" w:hAnsi="宋体" w:eastAsia="宋体" w:cs="宋体"/>
                <w:b w:val="0"/>
                <w:bCs/>
                <w:spacing w:val="-2"/>
                <w:sz w:val="24"/>
                <w:szCs w:val="24"/>
                <w:highlight w:val="none"/>
                <w:lang w:val="en-US" w:eastAsia="zh-CN"/>
              </w:rPr>
              <w:t>6</w:t>
            </w:r>
          </w:p>
        </w:tc>
        <w:tc>
          <w:tcPr>
            <w:tcW w:w="628" w:type="pct"/>
            <w:noWrap w:val="0"/>
            <w:vAlign w:val="center"/>
          </w:tcPr>
          <w:p w14:paraId="4E258B68">
            <w:pPr>
              <w:autoSpaceDE w:val="0"/>
              <w:autoSpaceDN w:val="0"/>
              <w:adjustRightInd w:val="0"/>
              <w:snapToGrid w:val="0"/>
              <w:spacing w:before="60" w:beforeLines="25" w:after="60" w:afterLines="25" w:line="320" w:lineRule="exact"/>
              <w:jc w:val="center"/>
              <w:outlineLvl w:val="9"/>
              <w:rPr>
                <w:rFonts w:hint="eastAsia" w:ascii="宋体" w:hAnsi="宋体" w:eastAsia="宋体" w:cs="宋体"/>
                <w:b w:val="0"/>
                <w:bCs/>
                <w:spacing w:val="-2"/>
                <w:sz w:val="24"/>
                <w:szCs w:val="24"/>
                <w:highlight w:val="none"/>
                <w:lang w:val="en-US" w:eastAsia="zh-CN"/>
              </w:rPr>
            </w:pPr>
            <w:r>
              <w:rPr>
                <w:rFonts w:hint="eastAsia" w:ascii="宋体" w:cs="宋体"/>
                <w:color w:val="auto"/>
                <w:sz w:val="24"/>
                <w:szCs w:val="24"/>
                <w:highlight w:val="none"/>
                <w:lang w:val="zh-CN" w:eastAsia="zh-CN" w:bidi="ar-SA"/>
              </w:rPr>
              <w:t>授权委托书</w:t>
            </w:r>
          </w:p>
        </w:tc>
        <w:tc>
          <w:tcPr>
            <w:tcW w:w="4013" w:type="pct"/>
            <w:noWrap w:val="0"/>
            <w:vAlign w:val="center"/>
          </w:tcPr>
          <w:p w14:paraId="7E2A77F2">
            <w:pPr>
              <w:autoSpaceDE w:val="0"/>
              <w:autoSpaceDN w:val="0"/>
              <w:adjustRightInd w:val="0"/>
              <w:snapToGrid w:val="0"/>
              <w:spacing w:before="60" w:beforeLines="25" w:after="60" w:afterLines="25" w:line="320" w:lineRule="exact"/>
              <w:outlineLvl w:val="9"/>
              <w:rPr>
                <w:rFonts w:hint="eastAsia" w:ascii="宋体" w:cs="宋体"/>
                <w:b/>
                <w:bCs/>
                <w:color w:val="auto"/>
                <w:sz w:val="24"/>
                <w:szCs w:val="24"/>
                <w:highlight w:val="none"/>
                <w:lang w:val="en-US" w:eastAsia="zh-CN" w:bidi="ar-SA"/>
              </w:rPr>
            </w:pPr>
            <w:r>
              <w:rPr>
                <w:rFonts w:hint="eastAsia" w:ascii="宋体" w:cs="宋体"/>
                <w:color w:val="auto"/>
                <w:sz w:val="24"/>
                <w:szCs w:val="24"/>
                <w:highlight w:val="none"/>
                <w:lang w:val="en-US" w:eastAsia="zh-CN" w:bidi="ar-SA"/>
              </w:rPr>
              <w:t>投标文件</w:t>
            </w:r>
            <w:r>
              <w:rPr>
                <w:rFonts w:hint="eastAsia" w:ascii="宋体" w:cs="宋体"/>
                <w:color w:val="auto"/>
                <w:sz w:val="24"/>
                <w:szCs w:val="24"/>
                <w:highlight w:val="none"/>
                <w:lang w:bidi="ar-SA"/>
              </w:rPr>
              <w:t>内附由法定代表人及授权委托人签字并加盖供应商公章的授权委托书。</w:t>
            </w:r>
          </w:p>
        </w:tc>
      </w:tr>
    </w:tbl>
    <w:p w14:paraId="7970E8E9">
      <w:pPr>
        <w:spacing w:line="520" w:lineRule="exact"/>
        <w:rPr>
          <w:rFonts w:hint="eastAsia" w:ascii="宋体" w:hAnsi="宋体" w:eastAsia="宋体" w:cs="宋体"/>
          <w:bCs/>
          <w:color w:val="auto"/>
          <w:sz w:val="21"/>
          <w:szCs w:val="21"/>
          <w:highlight w:val="none"/>
        </w:rPr>
      </w:pPr>
    </w:p>
    <w:p w14:paraId="6120E3AD">
      <w:pPr>
        <w:spacing w:line="520" w:lineRule="exact"/>
        <w:rPr>
          <w:rFonts w:hint="eastAsia" w:ascii="宋体" w:hAnsi="宋体" w:eastAsia="宋体" w:cs="宋体"/>
          <w:bCs/>
          <w:color w:val="auto"/>
          <w:sz w:val="21"/>
          <w:szCs w:val="21"/>
          <w:highlight w:val="none"/>
        </w:rPr>
      </w:pPr>
    </w:p>
    <w:p w14:paraId="36684A93">
      <w:pPr>
        <w:spacing w:line="520" w:lineRule="exact"/>
        <w:rPr>
          <w:rFonts w:hint="eastAsia" w:ascii="宋体" w:hAnsi="宋体" w:eastAsia="宋体" w:cs="宋体"/>
          <w:bCs/>
          <w:color w:val="auto"/>
          <w:sz w:val="21"/>
          <w:szCs w:val="21"/>
          <w:highlight w:val="none"/>
        </w:rPr>
      </w:pPr>
    </w:p>
    <w:p w14:paraId="6FFEF2A0">
      <w:pPr>
        <w:spacing w:line="520" w:lineRule="exact"/>
        <w:rPr>
          <w:rFonts w:hint="eastAsia" w:ascii="宋体" w:hAnsi="宋体" w:eastAsia="宋体" w:cs="宋体"/>
          <w:bCs/>
          <w:color w:val="auto"/>
          <w:sz w:val="24"/>
          <w:szCs w:val="24"/>
          <w:highlight w:val="none"/>
        </w:rPr>
      </w:pPr>
      <w:r>
        <w:rPr>
          <w:rFonts w:hint="eastAsia" w:ascii="宋体" w:hAnsi="宋体" w:eastAsia="宋体" w:cs="宋体"/>
          <w:b/>
          <w:bCs/>
          <w:color w:val="auto"/>
          <w:sz w:val="44"/>
          <w:highlight w:val="none"/>
        </w:rPr>
        <w:br w:type="page"/>
      </w:r>
      <w:r>
        <w:rPr>
          <w:rFonts w:hint="eastAsia" w:ascii="宋体" w:hAnsi="宋体" w:eastAsia="宋体" w:cs="宋体"/>
          <w:bCs/>
          <w:color w:val="auto"/>
          <w:sz w:val="24"/>
          <w:szCs w:val="24"/>
          <w:highlight w:val="none"/>
        </w:rPr>
        <w:t>附表2</w:t>
      </w:r>
    </w:p>
    <w:p w14:paraId="5B722058">
      <w:pPr>
        <w:spacing w:line="520" w:lineRule="exact"/>
        <w:jc w:val="center"/>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lang w:val="en-US" w:eastAsia="zh-CN"/>
        </w:rPr>
        <w:t>符合性</w:t>
      </w:r>
      <w:r>
        <w:rPr>
          <w:rFonts w:hint="eastAsia" w:ascii="宋体" w:hAnsi="宋体" w:eastAsia="宋体" w:cs="宋体"/>
          <w:b/>
          <w:bCs w:val="0"/>
          <w:color w:val="auto"/>
          <w:sz w:val="24"/>
          <w:szCs w:val="24"/>
          <w:highlight w:val="none"/>
        </w:rPr>
        <w:t>评审表</w:t>
      </w:r>
    </w:p>
    <w:tbl>
      <w:tblPr>
        <w:tblStyle w:val="17"/>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1613"/>
        <w:gridCol w:w="6290"/>
      </w:tblGrid>
      <w:tr w14:paraId="4840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359" w:type="pct"/>
            <w:noWrap w:val="0"/>
            <w:vAlign w:val="center"/>
          </w:tcPr>
          <w:p w14:paraId="03D2434B">
            <w:pPr>
              <w:widowControl/>
              <w:autoSpaceDE w:val="0"/>
              <w:autoSpaceDN w:val="0"/>
              <w:adjustRightInd w:val="0"/>
              <w:jc w:val="center"/>
              <w:rPr>
                <w:rFonts w:hint="eastAsia" w:ascii="宋体" w:hAnsi="宋体" w:eastAsia="宋体" w:cs="宋体"/>
                <w:b/>
                <w:bCs/>
                <w:kern w:val="0"/>
                <w:sz w:val="24"/>
                <w:szCs w:val="24"/>
                <w:highlight w:val="none"/>
                <w:lang w:val="zh-CN" w:eastAsia="zh-CN" w:bidi="ar-SA"/>
              </w:rPr>
            </w:pPr>
            <w:r>
              <w:rPr>
                <w:rFonts w:hint="eastAsia" w:ascii="宋体" w:hAnsi="宋体" w:cs="宋体"/>
                <w:b/>
                <w:bCs/>
                <w:kern w:val="0"/>
                <w:sz w:val="24"/>
                <w:szCs w:val="24"/>
                <w:highlight w:val="none"/>
                <w:lang w:val="en-US" w:eastAsia="zh-CN"/>
              </w:rPr>
              <w:t>序号</w:t>
            </w:r>
          </w:p>
        </w:tc>
        <w:tc>
          <w:tcPr>
            <w:tcW w:w="947" w:type="pct"/>
            <w:noWrap w:val="0"/>
            <w:vAlign w:val="center"/>
          </w:tcPr>
          <w:p w14:paraId="77BDD18E">
            <w:pPr>
              <w:widowControl/>
              <w:autoSpaceDE w:val="0"/>
              <w:autoSpaceDN w:val="0"/>
              <w:adjustRightInd w:val="0"/>
              <w:jc w:val="center"/>
              <w:rPr>
                <w:rFonts w:hint="eastAsia" w:ascii="宋体" w:hAnsi="宋体" w:cs="宋体"/>
                <w:b/>
                <w:bCs/>
                <w:kern w:val="0"/>
                <w:sz w:val="24"/>
                <w:szCs w:val="24"/>
                <w:highlight w:val="none"/>
                <w:lang w:val="zh-CN" w:eastAsia="zh-CN" w:bidi="ar-SA"/>
              </w:rPr>
            </w:pPr>
            <w:r>
              <w:rPr>
                <w:rFonts w:hint="eastAsia" w:ascii="宋体" w:hAnsi="宋体" w:cs="宋体"/>
                <w:b/>
                <w:bCs/>
                <w:kern w:val="0"/>
                <w:sz w:val="24"/>
                <w:szCs w:val="24"/>
                <w:highlight w:val="none"/>
                <w:lang w:val="zh-CN"/>
              </w:rPr>
              <w:t>评审因素</w:t>
            </w:r>
          </w:p>
        </w:tc>
        <w:tc>
          <w:tcPr>
            <w:tcW w:w="3693" w:type="pct"/>
            <w:noWrap w:val="0"/>
            <w:vAlign w:val="center"/>
          </w:tcPr>
          <w:p w14:paraId="5A9CC9F7">
            <w:pPr>
              <w:widowControl/>
              <w:autoSpaceDE w:val="0"/>
              <w:autoSpaceDN w:val="0"/>
              <w:adjustRightInd w:val="0"/>
              <w:jc w:val="center"/>
              <w:rPr>
                <w:rFonts w:hint="eastAsia" w:ascii="宋体" w:hAnsi="宋体" w:cs="宋体"/>
                <w:b/>
                <w:bCs/>
                <w:kern w:val="0"/>
                <w:sz w:val="24"/>
                <w:szCs w:val="24"/>
                <w:highlight w:val="none"/>
                <w:lang w:val="zh-CN"/>
              </w:rPr>
            </w:pPr>
            <w:r>
              <w:rPr>
                <w:rFonts w:hint="eastAsia" w:ascii="宋体" w:hAnsi="宋体" w:cs="宋体"/>
                <w:b/>
                <w:bCs/>
                <w:kern w:val="0"/>
                <w:sz w:val="24"/>
                <w:szCs w:val="24"/>
                <w:highlight w:val="none"/>
                <w:lang w:val="zh-CN"/>
              </w:rPr>
              <w:t>评审标准</w:t>
            </w:r>
          </w:p>
        </w:tc>
      </w:tr>
      <w:tr w14:paraId="3B68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359" w:type="pct"/>
            <w:noWrap w:val="0"/>
            <w:vAlign w:val="center"/>
          </w:tcPr>
          <w:p w14:paraId="036AF9B4">
            <w:pPr>
              <w:widowControl/>
              <w:autoSpaceDE w:val="0"/>
              <w:autoSpaceDN w:val="0"/>
              <w:adjustRightInd w:val="0"/>
              <w:snapToGrid w:val="0"/>
              <w:spacing w:line="340" w:lineRule="exact"/>
              <w:jc w:val="center"/>
              <w:rPr>
                <w:rFonts w:hint="eastAsia" w:ascii="宋体" w:hAnsi="宋体" w:eastAsia="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1</w:t>
            </w:r>
          </w:p>
        </w:tc>
        <w:tc>
          <w:tcPr>
            <w:tcW w:w="947" w:type="pct"/>
            <w:noWrap w:val="0"/>
            <w:vAlign w:val="center"/>
          </w:tcPr>
          <w:p w14:paraId="7619CEF4">
            <w:pPr>
              <w:widowControl/>
              <w:autoSpaceDE w:val="0"/>
              <w:autoSpaceDN w:val="0"/>
              <w:adjustRightInd w:val="0"/>
              <w:snapToGrid w:val="0"/>
              <w:spacing w:line="340" w:lineRule="exact"/>
              <w:jc w:val="center"/>
              <w:rPr>
                <w:rFonts w:hint="eastAsia" w:ascii="宋体" w:hAnsi="宋体" w:cs="宋体"/>
                <w:bCs/>
                <w:kern w:val="0"/>
                <w:sz w:val="24"/>
                <w:szCs w:val="24"/>
                <w:highlight w:val="none"/>
              </w:rPr>
            </w:pPr>
            <w:r>
              <w:rPr>
                <w:rFonts w:hint="eastAsia" w:ascii="宋体" w:hAnsi="宋体" w:cs="宋体"/>
                <w:bCs/>
                <w:kern w:val="0"/>
                <w:sz w:val="24"/>
                <w:szCs w:val="24"/>
                <w:highlight w:val="none"/>
              </w:rPr>
              <w:t>投标文件格式</w:t>
            </w:r>
          </w:p>
        </w:tc>
        <w:tc>
          <w:tcPr>
            <w:tcW w:w="3693" w:type="pct"/>
            <w:noWrap w:val="0"/>
            <w:vAlign w:val="center"/>
          </w:tcPr>
          <w:p w14:paraId="1234A8F9">
            <w:pPr>
              <w:widowControl/>
              <w:autoSpaceDE w:val="0"/>
              <w:autoSpaceDN w:val="0"/>
              <w:adjustRightInd w:val="0"/>
              <w:snapToGrid w:val="0"/>
              <w:spacing w:line="340" w:lineRule="exact"/>
              <w:rPr>
                <w:rFonts w:hint="eastAsia" w:ascii="宋体" w:hAnsi="宋体"/>
                <w:sz w:val="24"/>
                <w:szCs w:val="24"/>
                <w:highlight w:val="none"/>
              </w:rPr>
            </w:pPr>
            <w:r>
              <w:rPr>
                <w:rFonts w:hint="eastAsia" w:ascii="宋体" w:hAnsi="宋体"/>
                <w:sz w:val="24"/>
                <w:szCs w:val="24"/>
                <w:highlight w:val="none"/>
              </w:rPr>
              <w:t>符合第六章“投标文件格式”的全部要求。</w:t>
            </w:r>
          </w:p>
        </w:tc>
      </w:tr>
      <w:tr w14:paraId="0C30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59" w:type="pct"/>
            <w:noWrap w:val="0"/>
            <w:vAlign w:val="center"/>
          </w:tcPr>
          <w:p w14:paraId="20593626">
            <w:pPr>
              <w:widowControl/>
              <w:autoSpaceDE w:val="0"/>
              <w:autoSpaceDN w:val="0"/>
              <w:adjustRightInd w:val="0"/>
              <w:snapToGrid w:val="0"/>
              <w:spacing w:line="340" w:lineRule="exact"/>
              <w:jc w:val="center"/>
              <w:rPr>
                <w:rFonts w:hint="eastAsia" w:ascii="宋体" w:hAnsi="宋体" w:eastAsia="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2</w:t>
            </w:r>
          </w:p>
        </w:tc>
        <w:tc>
          <w:tcPr>
            <w:tcW w:w="947" w:type="pct"/>
            <w:noWrap w:val="0"/>
            <w:vAlign w:val="center"/>
          </w:tcPr>
          <w:p w14:paraId="306A2881">
            <w:pPr>
              <w:widowControl/>
              <w:autoSpaceDE w:val="0"/>
              <w:autoSpaceDN w:val="0"/>
              <w:adjustRightInd w:val="0"/>
              <w:snapToGrid w:val="0"/>
              <w:spacing w:line="340" w:lineRule="exact"/>
              <w:jc w:val="center"/>
              <w:rPr>
                <w:rFonts w:hint="eastAsia" w:ascii="宋体" w:hAnsi="宋体" w:cs="宋体"/>
                <w:bCs/>
                <w:kern w:val="0"/>
                <w:sz w:val="24"/>
                <w:szCs w:val="24"/>
                <w:highlight w:val="none"/>
              </w:rPr>
            </w:pPr>
            <w:r>
              <w:rPr>
                <w:rFonts w:hint="eastAsia" w:ascii="宋体" w:hAnsi="宋体" w:cs="宋体"/>
                <w:bCs/>
                <w:kern w:val="0"/>
                <w:sz w:val="24"/>
                <w:szCs w:val="24"/>
                <w:highlight w:val="none"/>
              </w:rPr>
              <w:t>备选投标方案</w:t>
            </w:r>
          </w:p>
        </w:tc>
        <w:tc>
          <w:tcPr>
            <w:tcW w:w="3693" w:type="pct"/>
            <w:noWrap w:val="0"/>
            <w:vAlign w:val="center"/>
          </w:tcPr>
          <w:p w14:paraId="06F2426C">
            <w:pPr>
              <w:widowControl/>
              <w:autoSpaceDE w:val="0"/>
              <w:autoSpaceDN w:val="0"/>
              <w:adjustRightInd w:val="0"/>
              <w:snapToGrid w:val="0"/>
              <w:spacing w:line="340" w:lineRule="exact"/>
              <w:rPr>
                <w:rFonts w:hint="eastAsia" w:ascii="宋体" w:hAnsi="宋体" w:cs="宋体"/>
                <w:bCs/>
                <w:kern w:val="0"/>
                <w:sz w:val="24"/>
                <w:szCs w:val="24"/>
                <w:highlight w:val="none"/>
              </w:rPr>
            </w:pPr>
            <w:r>
              <w:rPr>
                <w:rFonts w:hint="eastAsia" w:ascii="宋体" w:hAnsi="宋体" w:cs="宋体"/>
                <w:bCs/>
                <w:kern w:val="0"/>
                <w:sz w:val="24"/>
                <w:szCs w:val="24"/>
                <w:highlight w:val="none"/>
                <w:lang w:val="en-US" w:eastAsia="zh-CN"/>
              </w:rPr>
              <w:t>不</w:t>
            </w:r>
            <w:r>
              <w:rPr>
                <w:rFonts w:hint="eastAsia" w:ascii="宋体" w:hAnsi="宋体" w:cs="宋体"/>
                <w:bCs/>
                <w:kern w:val="0"/>
                <w:sz w:val="24"/>
                <w:szCs w:val="24"/>
                <w:highlight w:val="none"/>
              </w:rPr>
              <w:t>允许递交备选投标方案。</w:t>
            </w:r>
          </w:p>
        </w:tc>
      </w:tr>
      <w:tr w14:paraId="74A9D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359" w:type="pct"/>
            <w:noWrap w:val="0"/>
            <w:vAlign w:val="center"/>
          </w:tcPr>
          <w:p w14:paraId="480A80DB">
            <w:pPr>
              <w:pStyle w:val="31"/>
              <w:spacing w:line="240" w:lineRule="auto"/>
              <w:jc w:val="center"/>
              <w:rPr>
                <w:rFonts w:hint="default" w:ascii="宋体" w:hAnsi="宋体" w:eastAsia="宋体" w:cs="宋体"/>
                <w:color w:val="000000"/>
                <w:kern w:val="2"/>
                <w:sz w:val="24"/>
                <w:szCs w:val="24"/>
                <w:highlight w:val="none"/>
                <w:lang w:val="en-US" w:eastAsia="zh-CN" w:bidi="zh-CN"/>
              </w:rPr>
            </w:pPr>
            <w:r>
              <w:rPr>
                <w:rFonts w:hint="eastAsia" w:ascii="宋体" w:hAnsi="宋体" w:eastAsia="宋体" w:cs="宋体"/>
                <w:color w:val="000000"/>
                <w:kern w:val="2"/>
                <w:sz w:val="24"/>
                <w:szCs w:val="24"/>
                <w:highlight w:val="none"/>
                <w:lang w:val="en-US" w:eastAsia="zh-CN" w:bidi="zh-CN"/>
              </w:rPr>
              <w:t>3</w:t>
            </w:r>
          </w:p>
        </w:tc>
        <w:tc>
          <w:tcPr>
            <w:tcW w:w="947" w:type="pct"/>
            <w:noWrap w:val="0"/>
            <w:vAlign w:val="center"/>
          </w:tcPr>
          <w:p w14:paraId="50DBD28C">
            <w:pPr>
              <w:pStyle w:val="31"/>
              <w:spacing w:line="240" w:lineRule="auto"/>
              <w:jc w:val="center"/>
              <w:rPr>
                <w:rFonts w:hint="eastAsia" w:ascii="宋体" w:hAnsi="宋体" w:eastAsia="宋体" w:cs="宋体"/>
                <w:color w:val="000000"/>
                <w:kern w:val="2"/>
                <w:sz w:val="24"/>
                <w:szCs w:val="24"/>
                <w:highlight w:val="none"/>
                <w:lang w:val="zh-CN" w:eastAsia="zh-CN" w:bidi="zh-CN"/>
              </w:rPr>
            </w:pPr>
            <w:r>
              <w:rPr>
                <w:rFonts w:hint="eastAsia" w:ascii="宋体" w:hAnsi="宋体" w:eastAsia="宋体" w:cs="宋体"/>
                <w:color w:val="000000"/>
                <w:sz w:val="24"/>
                <w:szCs w:val="24"/>
                <w:highlight w:val="none"/>
                <w:lang w:eastAsia="zh-CN"/>
              </w:rPr>
              <w:t>投标</w:t>
            </w:r>
            <w:r>
              <w:rPr>
                <w:rFonts w:hint="eastAsia" w:ascii="宋体" w:hAnsi="宋体" w:eastAsia="宋体" w:cs="宋体"/>
                <w:color w:val="000000"/>
                <w:sz w:val="24"/>
                <w:szCs w:val="24"/>
                <w:highlight w:val="none"/>
              </w:rPr>
              <w:t>有效期</w:t>
            </w:r>
          </w:p>
        </w:tc>
        <w:tc>
          <w:tcPr>
            <w:tcW w:w="3693" w:type="pct"/>
            <w:noWrap w:val="0"/>
            <w:vAlign w:val="center"/>
          </w:tcPr>
          <w:p w14:paraId="58ADEFA4">
            <w:pPr>
              <w:pStyle w:val="31"/>
              <w:spacing w:line="240" w:lineRule="auto"/>
              <w:jc w:val="both"/>
              <w:rPr>
                <w:rFonts w:hint="eastAsia" w:ascii="宋体" w:hAnsi="宋体" w:eastAsia="宋体" w:cs="宋体"/>
                <w:color w:val="auto"/>
                <w:kern w:val="0"/>
                <w:sz w:val="24"/>
                <w:szCs w:val="24"/>
                <w:highlight w:val="none"/>
              </w:rPr>
            </w:pPr>
            <w:r>
              <w:rPr>
                <w:rFonts w:hint="eastAsia" w:ascii="宋体" w:hAnsi="宋体" w:eastAsia="宋体" w:cs="宋体"/>
                <w:bCs/>
                <w:color w:val="auto"/>
                <w:kern w:val="15"/>
                <w:sz w:val="24"/>
                <w:szCs w:val="24"/>
                <w:highlight w:val="none"/>
                <w:lang w:eastAsia="zh-CN"/>
              </w:rPr>
              <w:t>提交投标文件的截止之日起90天（日历天）</w:t>
            </w:r>
            <w:r>
              <w:rPr>
                <w:rFonts w:hint="eastAsia" w:ascii="宋体" w:hAnsi="宋体" w:eastAsia="宋体" w:cs="宋体"/>
                <w:color w:val="auto"/>
                <w:kern w:val="0"/>
                <w:sz w:val="24"/>
                <w:szCs w:val="24"/>
                <w:highlight w:val="none"/>
                <w:lang w:eastAsia="zh-CN"/>
              </w:rPr>
              <w:t>。</w:t>
            </w:r>
          </w:p>
        </w:tc>
      </w:tr>
      <w:tr w14:paraId="7739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359" w:type="pct"/>
            <w:noWrap w:val="0"/>
            <w:vAlign w:val="center"/>
          </w:tcPr>
          <w:p w14:paraId="29A04D9D">
            <w:pPr>
              <w:widowControl/>
              <w:autoSpaceDE w:val="0"/>
              <w:autoSpaceDN w:val="0"/>
              <w:adjustRightInd w:val="0"/>
              <w:snapToGrid w:val="0"/>
              <w:spacing w:line="340" w:lineRule="exact"/>
              <w:jc w:val="center"/>
              <w:rPr>
                <w:rFonts w:hint="default" w:ascii="宋体" w:hAnsi="宋体" w:cs="宋体"/>
                <w:bCs/>
                <w:kern w:val="0"/>
                <w:sz w:val="24"/>
                <w:szCs w:val="24"/>
                <w:highlight w:val="none"/>
                <w:lang w:val="en-US" w:eastAsia="zh-CN" w:bidi="ar-SA"/>
              </w:rPr>
            </w:pPr>
            <w:r>
              <w:rPr>
                <w:rFonts w:hint="eastAsia" w:ascii="宋体" w:hAnsi="宋体" w:cs="宋体"/>
                <w:bCs/>
                <w:kern w:val="0"/>
                <w:sz w:val="24"/>
                <w:szCs w:val="24"/>
                <w:highlight w:val="none"/>
                <w:lang w:val="en-US" w:eastAsia="zh-CN" w:bidi="ar-SA"/>
              </w:rPr>
              <w:t>4</w:t>
            </w:r>
          </w:p>
        </w:tc>
        <w:tc>
          <w:tcPr>
            <w:tcW w:w="947" w:type="pct"/>
            <w:noWrap w:val="0"/>
            <w:vAlign w:val="center"/>
          </w:tcPr>
          <w:p w14:paraId="12D0307B">
            <w:pPr>
              <w:widowControl/>
              <w:autoSpaceDE w:val="0"/>
              <w:autoSpaceDN w:val="0"/>
              <w:adjustRightInd w:val="0"/>
              <w:snapToGrid w:val="0"/>
              <w:spacing w:line="340" w:lineRule="exact"/>
              <w:jc w:val="center"/>
              <w:rPr>
                <w:rFonts w:hint="eastAsia" w:ascii="宋体" w:hAnsi="宋体" w:cs="宋体"/>
                <w:bCs/>
                <w:kern w:val="0"/>
                <w:sz w:val="24"/>
                <w:szCs w:val="24"/>
                <w:highlight w:val="none"/>
                <w:lang w:val="zh-CN" w:eastAsia="zh-CN" w:bidi="ar-SA"/>
              </w:rPr>
            </w:pPr>
            <w:r>
              <w:rPr>
                <w:rFonts w:hint="eastAsia" w:ascii="宋体" w:hAnsi="宋体" w:cs="宋体"/>
                <w:bCs/>
                <w:kern w:val="0"/>
                <w:sz w:val="24"/>
                <w:szCs w:val="24"/>
                <w:highlight w:val="none"/>
                <w:lang w:val="zh-CN"/>
              </w:rPr>
              <w:t>投标报价</w:t>
            </w:r>
          </w:p>
        </w:tc>
        <w:tc>
          <w:tcPr>
            <w:tcW w:w="3693" w:type="pct"/>
            <w:noWrap w:val="0"/>
            <w:vAlign w:val="center"/>
          </w:tcPr>
          <w:p w14:paraId="6E91B1A3">
            <w:pPr>
              <w:widowControl/>
              <w:autoSpaceDE w:val="0"/>
              <w:autoSpaceDN w:val="0"/>
              <w:adjustRightInd w:val="0"/>
              <w:snapToGrid w:val="0"/>
              <w:spacing w:line="340" w:lineRule="exact"/>
              <w:rPr>
                <w:rFonts w:hint="eastAsia" w:ascii="宋体" w:hAnsi="宋体" w:cs="宋体"/>
                <w:bCs/>
                <w:kern w:val="0"/>
                <w:sz w:val="24"/>
                <w:szCs w:val="24"/>
                <w:highlight w:val="none"/>
                <w:lang w:val="zh-CN"/>
              </w:rPr>
            </w:pPr>
            <w:r>
              <w:rPr>
                <w:rFonts w:hint="eastAsia" w:ascii="宋体" w:hAnsi="宋体" w:cs="宋体"/>
                <w:bCs/>
                <w:kern w:val="0"/>
                <w:sz w:val="24"/>
                <w:szCs w:val="24"/>
                <w:highlight w:val="none"/>
                <w:lang w:val="zh-CN"/>
              </w:rPr>
              <w:t>低于（含等于）本项目</w:t>
            </w:r>
            <w:r>
              <w:rPr>
                <w:rFonts w:hint="eastAsia"/>
                <w:sz w:val="24"/>
                <w:szCs w:val="32"/>
              </w:rPr>
              <w:t>预算金额</w:t>
            </w:r>
            <w:r>
              <w:rPr>
                <w:rFonts w:hint="eastAsia" w:ascii="宋体" w:hAnsi="宋体" w:cs="宋体"/>
                <w:bCs/>
                <w:kern w:val="0"/>
                <w:sz w:val="24"/>
                <w:szCs w:val="24"/>
                <w:highlight w:val="none"/>
                <w:lang w:val="zh-CN"/>
              </w:rPr>
              <w:t>，且只能有一个有效报价。</w:t>
            </w:r>
          </w:p>
        </w:tc>
      </w:tr>
      <w:tr w14:paraId="7A8F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359" w:type="pct"/>
            <w:noWrap w:val="0"/>
            <w:vAlign w:val="center"/>
          </w:tcPr>
          <w:p w14:paraId="7643379D">
            <w:pPr>
              <w:widowControl/>
              <w:autoSpaceDE w:val="0"/>
              <w:autoSpaceDN w:val="0"/>
              <w:adjustRightInd w:val="0"/>
              <w:snapToGrid w:val="0"/>
              <w:spacing w:line="340" w:lineRule="exact"/>
              <w:jc w:val="center"/>
              <w:rPr>
                <w:rFonts w:hint="eastAsia" w:ascii="宋体" w:hAnsi="宋体" w:eastAsia="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5</w:t>
            </w:r>
          </w:p>
        </w:tc>
        <w:tc>
          <w:tcPr>
            <w:tcW w:w="947" w:type="pct"/>
            <w:noWrap w:val="0"/>
            <w:vAlign w:val="center"/>
          </w:tcPr>
          <w:p w14:paraId="4316E3E4">
            <w:pPr>
              <w:widowControl/>
              <w:autoSpaceDE w:val="0"/>
              <w:autoSpaceDN w:val="0"/>
              <w:adjustRightInd w:val="0"/>
              <w:snapToGrid w:val="0"/>
              <w:spacing w:line="340" w:lineRule="exact"/>
              <w:jc w:val="center"/>
              <w:rPr>
                <w:rFonts w:hint="eastAsia" w:ascii="宋体" w:hAnsi="宋体" w:cs="宋体"/>
                <w:bCs/>
                <w:kern w:val="0"/>
                <w:sz w:val="24"/>
                <w:szCs w:val="24"/>
                <w:highlight w:val="none"/>
                <w:lang w:val="zh-CN"/>
              </w:rPr>
            </w:pPr>
            <w:r>
              <w:rPr>
                <w:rFonts w:hint="eastAsia" w:ascii="宋体" w:hAnsi="宋体" w:cs="宋体"/>
                <w:bCs/>
                <w:kern w:val="0"/>
                <w:sz w:val="24"/>
                <w:szCs w:val="24"/>
                <w:highlight w:val="none"/>
                <w:lang w:val="zh-CN"/>
              </w:rPr>
              <w:t>投标内容</w:t>
            </w:r>
          </w:p>
        </w:tc>
        <w:tc>
          <w:tcPr>
            <w:tcW w:w="3693" w:type="pct"/>
            <w:noWrap w:val="0"/>
            <w:vAlign w:val="center"/>
          </w:tcPr>
          <w:p w14:paraId="260B8EB9">
            <w:pPr>
              <w:widowControl/>
              <w:autoSpaceDE w:val="0"/>
              <w:autoSpaceDN w:val="0"/>
              <w:adjustRightInd w:val="0"/>
              <w:snapToGrid w:val="0"/>
              <w:spacing w:line="340" w:lineRule="exact"/>
              <w:rPr>
                <w:rFonts w:hint="eastAsia" w:ascii="宋体" w:hAnsi="宋体" w:cs="宋体"/>
                <w:bCs/>
                <w:kern w:val="0"/>
                <w:sz w:val="24"/>
                <w:szCs w:val="24"/>
                <w:highlight w:val="none"/>
                <w:lang w:val="zh-CN"/>
              </w:rPr>
            </w:pPr>
            <w:r>
              <w:rPr>
                <w:rFonts w:hint="eastAsia" w:ascii="宋体" w:hAnsi="宋体" w:cs="宋体"/>
                <w:bCs/>
                <w:kern w:val="0"/>
                <w:sz w:val="24"/>
                <w:szCs w:val="24"/>
                <w:highlight w:val="none"/>
                <w:lang w:val="zh-CN"/>
              </w:rPr>
              <w:t>符合招标文件全部规定。</w:t>
            </w:r>
          </w:p>
        </w:tc>
      </w:tr>
      <w:tr w14:paraId="11F1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359" w:type="pct"/>
            <w:noWrap w:val="0"/>
            <w:vAlign w:val="center"/>
          </w:tcPr>
          <w:p w14:paraId="6B8AFDC2">
            <w:pPr>
              <w:widowControl/>
              <w:autoSpaceDE w:val="0"/>
              <w:autoSpaceDN w:val="0"/>
              <w:adjustRightInd w:val="0"/>
              <w:snapToGrid w:val="0"/>
              <w:spacing w:line="340" w:lineRule="exact"/>
              <w:jc w:val="center"/>
              <w:rPr>
                <w:rFonts w:hint="eastAsia" w:ascii="宋体" w:hAnsi="宋体" w:eastAsia="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6</w:t>
            </w:r>
          </w:p>
        </w:tc>
        <w:tc>
          <w:tcPr>
            <w:tcW w:w="947" w:type="pct"/>
            <w:noWrap w:val="0"/>
            <w:vAlign w:val="center"/>
          </w:tcPr>
          <w:p w14:paraId="7A15B7A2">
            <w:pPr>
              <w:widowControl/>
              <w:autoSpaceDE w:val="0"/>
              <w:autoSpaceDN w:val="0"/>
              <w:adjustRightInd w:val="0"/>
              <w:snapToGrid w:val="0"/>
              <w:spacing w:line="340" w:lineRule="exact"/>
              <w:jc w:val="center"/>
              <w:rPr>
                <w:rFonts w:hint="eastAsia" w:ascii="宋体" w:hAnsi="宋体" w:cs="宋体"/>
                <w:bCs/>
                <w:kern w:val="0"/>
                <w:sz w:val="24"/>
                <w:szCs w:val="24"/>
                <w:highlight w:val="none"/>
                <w:lang w:val="zh-CN"/>
              </w:rPr>
            </w:pPr>
            <w:r>
              <w:rPr>
                <w:rFonts w:hint="eastAsia"/>
                <w:sz w:val="24"/>
                <w:szCs w:val="32"/>
              </w:rPr>
              <w:t>服务期限</w:t>
            </w:r>
          </w:p>
        </w:tc>
        <w:tc>
          <w:tcPr>
            <w:tcW w:w="3693" w:type="pct"/>
            <w:noWrap w:val="0"/>
            <w:vAlign w:val="center"/>
          </w:tcPr>
          <w:p w14:paraId="0E9410D8">
            <w:pPr>
              <w:widowControl/>
              <w:autoSpaceDE w:val="0"/>
              <w:autoSpaceDN w:val="0"/>
              <w:adjustRightInd w:val="0"/>
              <w:snapToGrid w:val="0"/>
              <w:spacing w:line="340" w:lineRule="exact"/>
              <w:rPr>
                <w:rFonts w:hint="eastAsia" w:ascii="宋体" w:hAnsi="宋体"/>
                <w:bCs/>
                <w:sz w:val="24"/>
                <w:szCs w:val="24"/>
                <w:highlight w:val="none"/>
                <w:lang w:eastAsia="zh-CN"/>
              </w:rPr>
            </w:pPr>
            <w:r>
              <w:rPr>
                <w:rFonts w:hint="eastAsia"/>
                <w:sz w:val="24"/>
                <w:szCs w:val="32"/>
              </w:rPr>
              <w:t>合同签订后3年</w:t>
            </w:r>
          </w:p>
        </w:tc>
      </w:tr>
      <w:tr w14:paraId="087B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59" w:type="pct"/>
            <w:noWrap w:val="0"/>
            <w:vAlign w:val="center"/>
          </w:tcPr>
          <w:p w14:paraId="4EE02BAE">
            <w:pPr>
              <w:widowControl/>
              <w:autoSpaceDE w:val="0"/>
              <w:autoSpaceDN w:val="0"/>
              <w:adjustRightInd w:val="0"/>
              <w:snapToGrid w:val="0"/>
              <w:spacing w:line="340" w:lineRule="exact"/>
              <w:jc w:val="center"/>
              <w:rPr>
                <w:rFonts w:hint="default" w:ascii="宋体" w:hAnsi="宋体" w:eastAsia="宋体"/>
                <w:bCs/>
                <w:sz w:val="24"/>
                <w:szCs w:val="24"/>
                <w:highlight w:val="none"/>
                <w:lang w:val="en-US" w:eastAsia="zh-CN"/>
              </w:rPr>
            </w:pPr>
            <w:r>
              <w:rPr>
                <w:rFonts w:hint="eastAsia" w:ascii="宋体" w:hAnsi="宋体" w:eastAsia="宋体"/>
                <w:bCs/>
                <w:sz w:val="24"/>
                <w:szCs w:val="24"/>
                <w:highlight w:val="none"/>
                <w:lang w:val="en-US" w:eastAsia="zh-CN"/>
              </w:rPr>
              <w:t>7</w:t>
            </w:r>
          </w:p>
        </w:tc>
        <w:tc>
          <w:tcPr>
            <w:tcW w:w="947" w:type="pct"/>
            <w:noWrap w:val="0"/>
            <w:vAlign w:val="center"/>
          </w:tcPr>
          <w:p w14:paraId="2695236D">
            <w:pPr>
              <w:widowControl/>
              <w:autoSpaceDE w:val="0"/>
              <w:autoSpaceDN w:val="0"/>
              <w:adjustRightInd w:val="0"/>
              <w:snapToGrid w:val="0"/>
              <w:spacing w:line="340" w:lineRule="exact"/>
              <w:jc w:val="center"/>
              <w:rPr>
                <w:rFonts w:hint="eastAsia" w:ascii="宋体" w:hAnsi="宋体"/>
                <w:bCs/>
                <w:sz w:val="24"/>
                <w:szCs w:val="24"/>
                <w:highlight w:val="none"/>
                <w:lang w:eastAsia="zh-CN"/>
              </w:rPr>
            </w:pPr>
            <w:r>
              <w:rPr>
                <w:rFonts w:hint="eastAsia" w:ascii="宋体" w:hAnsi="宋体"/>
                <w:bCs/>
                <w:sz w:val="24"/>
                <w:szCs w:val="24"/>
                <w:highlight w:val="none"/>
                <w:lang w:val="en-US" w:eastAsia="zh-CN"/>
              </w:rPr>
              <w:t>服务地点</w:t>
            </w:r>
          </w:p>
        </w:tc>
        <w:tc>
          <w:tcPr>
            <w:tcW w:w="3693" w:type="pct"/>
            <w:noWrap w:val="0"/>
            <w:vAlign w:val="center"/>
          </w:tcPr>
          <w:p w14:paraId="6EEE0922">
            <w:pPr>
              <w:widowControl/>
              <w:autoSpaceDE w:val="0"/>
              <w:autoSpaceDN w:val="0"/>
              <w:adjustRightInd w:val="0"/>
              <w:snapToGrid w:val="0"/>
              <w:spacing w:line="340" w:lineRule="exact"/>
              <w:rPr>
                <w:rFonts w:hint="default" w:ascii="宋体" w:hAnsi="宋体"/>
                <w:bCs/>
                <w:sz w:val="24"/>
                <w:szCs w:val="24"/>
                <w:highlight w:val="none"/>
                <w:lang w:val="en-US" w:eastAsia="zh-CN"/>
              </w:rPr>
            </w:pPr>
            <w:r>
              <w:rPr>
                <w:rFonts w:hint="eastAsia" w:ascii="宋体" w:hAnsi="宋体"/>
                <w:bCs/>
                <w:color w:val="auto"/>
                <w:sz w:val="24"/>
                <w:szCs w:val="24"/>
                <w:highlight w:val="none"/>
                <w:lang w:val="en-US" w:eastAsia="zh-CN"/>
              </w:rPr>
              <w:t>招标人指定地点</w:t>
            </w:r>
          </w:p>
        </w:tc>
      </w:tr>
      <w:tr w14:paraId="15722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359" w:type="pct"/>
            <w:noWrap w:val="0"/>
            <w:vAlign w:val="center"/>
          </w:tcPr>
          <w:p w14:paraId="67B40105">
            <w:pPr>
              <w:widowControl/>
              <w:autoSpaceDE w:val="0"/>
              <w:autoSpaceDN w:val="0"/>
              <w:adjustRightInd w:val="0"/>
              <w:snapToGrid w:val="0"/>
              <w:spacing w:line="340" w:lineRule="exact"/>
              <w:jc w:val="center"/>
              <w:rPr>
                <w:rFonts w:hint="eastAsia" w:ascii="宋体" w:hAnsi="宋体" w:eastAsia="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8</w:t>
            </w:r>
          </w:p>
        </w:tc>
        <w:tc>
          <w:tcPr>
            <w:tcW w:w="947" w:type="pct"/>
            <w:noWrap w:val="0"/>
            <w:vAlign w:val="center"/>
          </w:tcPr>
          <w:p w14:paraId="6312AAEF">
            <w:pPr>
              <w:widowControl/>
              <w:autoSpaceDE w:val="0"/>
              <w:autoSpaceDN w:val="0"/>
              <w:adjustRightInd w:val="0"/>
              <w:snapToGrid w:val="0"/>
              <w:spacing w:line="340" w:lineRule="exact"/>
              <w:jc w:val="center"/>
              <w:rPr>
                <w:rFonts w:hint="eastAsia" w:ascii="宋体" w:hAnsi="宋体" w:cs="宋体"/>
                <w:bCs/>
                <w:kern w:val="0"/>
                <w:sz w:val="24"/>
                <w:szCs w:val="24"/>
                <w:highlight w:val="none"/>
                <w:lang w:val="zh-CN"/>
              </w:rPr>
            </w:pPr>
            <w:r>
              <w:rPr>
                <w:rFonts w:hint="eastAsia"/>
                <w:color w:val="000000" w:themeColor="text1"/>
                <w:sz w:val="24"/>
                <w:szCs w:val="32"/>
                <w14:textFill>
                  <w14:solidFill>
                    <w14:schemeClr w14:val="tx1"/>
                  </w14:solidFill>
                </w14:textFill>
              </w:rPr>
              <w:t>质量标准</w:t>
            </w:r>
          </w:p>
        </w:tc>
        <w:tc>
          <w:tcPr>
            <w:tcW w:w="3693" w:type="pct"/>
            <w:noWrap w:val="0"/>
            <w:vAlign w:val="center"/>
          </w:tcPr>
          <w:p w14:paraId="25C02284">
            <w:pPr>
              <w:widowControl/>
              <w:autoSpaceDE w:val="0"/>
              <w:autoSpaceDN w:val="0"/>
              <w:adjustRightInd w:val="0"/>
              <w:snapToGrid w:val="0"/>
              <w:spacing w:line="340" w:lineRule="exact"/>
              <w:rPr>
                <w:rFonts w:hint="eastAsia" w:ascii="宋体" w:hAnsi="宋体" w:cs="宋体"/>
                <w:bCs/>
                <w:kern w:val="0"/>
                <w:sz w:val="24"/>
                <w:szCs w:val="24"/>
                <w:highlight w:val="none"/>
                <w:lang w:val="zh-CN"/>
              </w:rPr>
            </w:pPr>
            <w:r>
              <w:rPr>
                <w:rFonts w:hint="eastAsia"/>
                <w:color w:val="000000" w:themeColor="text1"/>
                <w:sz w:val="24"/>
                <w:szCs w:val="32"/>
                <w14:textFill>
                  <w14:solidFill>
                    <w14:schemeClr w14:val="tx1"/>
                  </w14:solidFill>
                </w14:textFill>
              </w:rPr>
              <w:t>符合现行国家、行业、地方或者其他相关标准的合格要求；</w:t>
            </w:r>
          </w:p>
        </w:tc>
      </w:tr>
      <w:tr w14:paraId="51722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359" w:type="pct"/>
            <w:noWrap w:val="0"/>
            <w:vAlign w:val="center"/>
          </w:tcPr>
          <w:p w14:paraId="17ABCD38">
            <w:pPr>
              <w:widowControl/>
              <w:autoSpaceDE w:val="0"/>
              <w:autoSpaceDN w:val="0"/>
              <w:adjustRightInd w:val="0"/>
              <w:snapToGrid w:val="0"/>
              <w:spacing w:line="340" w:lineRule="exact"/>
              <w:jc w:val="center"/>
              <w:rPr>
                <w:rFonts w:hint="eastAsia" w:ascii="宋体" w:hAnsi="宋体" w:eastAsia="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9</w:t>
            </w:r>
          </w:p>
        </w:tc>
        <w:tc>
          <w:tcPr>
            <w:tcW w:w="947" w:type="pct"/>
            <w:noWrap w:val="0"/>
            <w:vAlign w:val="center"/>
          </w:tcPr>
          <w:p w14:paraId="54EFC608">
            <w:pPr>
              <w:widowControl/>
              <w:autoSpaceDE w:val="0"/>
              <w:autoSpaceDN w:val="0"/>
              <w:adjustRightInd w:val="0"/>
              <w:snapToGrid w:val="0"/>
              <w:spacing w:line="340" w:lineRule="exact"/>
              <w:jc w:val="center"/>
              <w:rPr>
                <w:rFonts w:hint="eastAsia" w:ascii="宋体" w:hAnsi="宋体" w:cs="宋体"/>
                <w:bCs/>
                <w:kern w:val="0"/>
                <w:sz w:val="24"/>
                <w:szCs w:val="24"/>
                <w:highlight w:val="none"/>
                <w:lang w:val="zh-CN"/>
              </w:rPr>
            </w:pPr>
            <w:r>
              <w:rPr>
                <w:rFonts w:hint="eastAsia" w:ascii="宋体" w:hAnsi="宋体" w:cs="宋体"/>
                <w:bCs/>
                <w:kern w:val="0"/>
                <w:sz w:val="24"/>
                <w:szCs w:val="24"/>
                <w:highlight w:val="none"/>
                <w:lang w:val="zh-CN"/>
              </w:rPr>
              <w:t>投标保证金</w:t>
            </w:r>
          </w:p>
        </w:tc>
        <w:tc>
          <w:tcPr>
            <w:tcW w:w="3693" w:type="pct"/>
            <w:noWrap w:val="0"/>
            <w:vAlign w:val="center"/>
          </w:tcPr>
          <w:p w14:paraId="78FD0BAD">
            <w:pPr>
              <w:widowControl/>
              <w:autoSpaceDE w:val="0"/>
              <w:autoSpaceDN w:val="0"/>
              <w:adjustRightInd w:val="0"/>
              <w:snapToGrid w:val="0"/>
              <w:spacing w:line="340" w:lineRule="exact"/>
              <w:rPr>
                <w:rFonts w:hint="eastAsia" w:ascii="宋体" w:hAnsi="宋体" w:cs="宋体"/>
                <w:bCs/>
                <w:kern w:val="0"/>
                <w:sz w:val="24"/>
                <w:szCs w:val="24"/>
                <w:highlight w:val="none"/>
                <w:lang w:val="zh-CN"/>
              </w:rPr>
            </w:pPr>
            <w:r>
              <w:rPr>
                <w:rFonts w:hint="eastAsia" w:ascii="宋体" w:hAnsi="宋体" w:cs="宋体"/>
                <w:bCs/>
                <w:kern w:val="0"/>
                <w:sz w:val="24"/>
                <w:szCs w:val="24"/>
                <w:highlight w:val="none"/>
                <w:lang w:val="zh-CN"/>
              </w:rPr>
              <w:t>符合第二章“投标人须知”投标保证金相关要求。</w:t>
            </w:r>
          </w:p>
        </w:tc>
      </w:tr>
      <w:tr w14:paraId="49D70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359" w:type="pct"/>
            <w:noWrap w:val="0"/>
            <w:vAlign w:val="center"/>
          </w:tcPr>
          <w:p w14:paraId="7CF40C46">
            <w:pPr>
              <w:widowControl/>
              <w:autoSpaceDE w:val="0"/>
              <w:autoSpaceDN w:val="0"/>
              <w:adjustRightInd w:val="0"/>
              <w:snapToGrid w:val="0"/>
              <w:spacing w:line="340" w:lineRule="exact"/>
              <w:jc w:val="center"/>
              <w:rPr>
                <w:rFonts w:hint="default" w:ascii="宋体" w:hAnsi="宋体" w:eastAsia="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10</w:t>
            </w:r>
          </w:p>
        </w:tc>
        <w:tc>
          <w:tcPr>
            <w:tcW w:w="947" w:type="pct"/>
            <w:noWrap w:val="0"/>
            <w:vAlign w:val="center"/>
          </w:tcPr>
          <w:p w14:paraId="246F2FD3">
            <w:pPr>
              <w:widowControl/>
              <w:autoSpaceDE w:val="0"/>
              <w:autoSpaceDN w:val="0"/>
              <w:adjustRightInd w:val="0"/>
              <w:snapToGrid w:val="0"/>
              <w:spacing w:line="340" w:lineRule="exact"/>
              <w:jc w:val="center"/>
              <w:rPr>
                <w:rFonts w:hint="eastAsia" w:ascii="宋体" w:hAnsi="宋体" w:cs="宋体"/>
                <w:bCs/>
                <w:kern w:val="0"/>
                <w:sz w:val="24"/>
                <w:szCs w:val="24"/>
                <w:highlight w:val="none"/>
                <w:lang w:val="zh-CN"/>
              </w:rPr>
            </w:pPr>
            <w:r>
              <w:rPr>
                <w:rFonts w:hint="eastAsia" w:ascii="宋体" w:hAnsi="宋体" w:cs="宋体"/>
                <w:bCs/>
                <w:kern w:val="0"/>
                <w:sz w:val="24"/>
                <w:szCs w:val="24"/>
                <w:highlight w:val="none"/>
                <w:lang w:val="zh-CN"/>
              </w:rPr>
              <w:t>权利义务</w:t>
            </w:r>
          </w:p>
        </w:tc>
        <w:tc>
          <w:tcPr>
            <w:tcW w:w="3693" w:type="pct"/>
            <w:noWrap w:val="0"/>
            <w:vAlign w:val="center"/>
          </w:tcPr>
          <w:p w14:paraId="2C8EB658">
            <w:pPr>
              <w:widowControl/>
              <w:autoSpaceDE w:val="0"/>
              <w:autoSpaceDN w:val="0"/>
              <w:adjustRightInd w:val="0"/>
              <w:snapToGrid w:val="0"/>
              <w:spacing w:line="340" w:lineRule="exact"/>
              <w:rPr>
                <w:rFonts w:hint="eastAsia" w:ascii="宋体" w:hAnsi="宋体" w:cs="宋体"/>
                <w:bCs/>
                <w:kern w:val="0"/>
                <w:sz w:val="24"/>
                <w:szCs w:val="24"/>
                <w:highlight w:val="none"/>
                <w:lang w:val="zh-CN"/>
              </w:rPr>
            </w:pPr>
            <w:r>
              <w:rPr>
                <w:rFonts w:hint="eastAsia" w:ascii="宋体" w:hAnsi="宋体" w:cs="宋体"/>
                <w:bCs/>
                <w:kern w:val="0"/>
                <w:sz w:val="24"/>
                <w:szCs w:val="24"/>
                <w:highlight w:val="none"/>
                <w:lang w:val="zh-CN"/>
              </w:rPr>
              <w:t>符合第二章“投标人须知”规定和第四章“合同条款”中的实质性要求和条件。</w:t>
            </w:r>
          </w:p>
        </w:tc>
      </w:tr>
      <w:tr w14:paraId="41B2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359" w:type="pct"/>
            <w:noWrap w:val="0"/>
            <w:vAlign w:val="center"/>
          </w:tcPr>
          <w:p w14:paraId="61EAAEE8">
            <w:pPr>
              <w:autoSpaceDE w:val="0"/>
              <w:autoSpaceDN w:val="0"/>
              <w:adjustRightInd w:val="0"/>
              <w:snapToGrid w:val="0"/>
              <w:spacing w:line="340" w:lineRule="exact"/>
              <w:jc w:val="center"/>
              <w:rPr>
                <w:rFonts w:hint="default" w:ascii="宋体" w:hAnsi="宋体" w:eastAsia="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11</w:t>
            </w:r>
          </w:p>
        </w:tc>
        <w:tc>
          <w:tcPr>
            <w:tcW w:w="947" w:type="pct"/>
            <w:noWrap w:val="0"/>
            <w:vAlign w:val="center"/>
          </w:tcPr>
          <w:p w14:paraId="7DF94D14">
            <w:pPr>
              <w:autoSpaceDE w:val="0"/>
              <w:autoSpaceDN w:val="0"/>
              <w:adjustRightInd w:val="0"/>
              <w:snapToGrid w:val="0"/>
              <w:spacing w:line="340" w:lineRule="exact"/>
              <w:jc w:val="center"/>
              <w:rPr>
                <w:rFonts w:hint="eastAsia" w:ascii="宋体" w:hAnsi="宋体" w:cs="宋体"/>
                <w:bCs/>
                <w:kern w:val="0"/>
                <w:sz w:val="24"/>
                <w:szCs w:val="24"/>
                <w:highlight w:val="none"/>
                <w:lang w:val="zh-CN"/>
              </w:rPr>
            </w:pPr>
            <w:r>
              <w:rPr>
                <w:rFonts w:hint="eastAsia" w:ascii="宋体" w:hAnsi="宋体" w:cs="宋体"/>
                <w:bCs/>
                <w:kern w:val="0"/>
                <w:sz w:val="24"/>
                <w:szCs w:val="24"/>
                <w:highlight w:val="none"/>
                <w:lang w:val="zh-CN"/>
              </w:rPr>
              <w:t>其他要求</w:t>
            </w:r>
          </w:p>
        </w:tc>
        <w:tc>
          <w:tcPr>
            <w:tcW w:w="3693" w:type="pct"/>
            <w:noWrap w:val="0"/>
            <w:vAlign w:val="center"/>
          </w:tcPr>
          <w:p w14:paraId="387F19FB">
            <w:pPr>
              <w:autoSpaceDE w:val="0"/>
              <w:autoSpaceDN w:val="0"/>
              <w:adjustRightInd w:val="0"/>
              <w:snapToGrid w:val="0"/>
              <w:spacing w:line="340" w:lineRule="exact"/>
              <w:rPr>
                <w:rFonts w:hint="eastAsia" w:ascii="宋体" w:hAnsi="宋体" w:cs="宋体"/>
                <w:bCs/>
                <w:kern w:val="0"/>
                <w:sz w:val="24"/>
                <w:szCs w:val="24"/>
                <w:highlight w:val="none"/>
                <w:lang w:val="zh-CN"/>
              </w:rPr>
            </w:pPr>
            <w:r>
              <w:rPr>
                <w:rFonts w:hint="eastAsia" w:ascii="宋体" w:hAnsi="宋体" w:cs="宋体"/>
                <w:bCs/>
                <w:kern w:val="0"/>
                <w:sz w:val="24"/>
                <w:szCs w:val="24"/>
                <w:highlight w:val="none"/>
                <w:lang w:val="zh-CN"/>
              </w:rPr>
              <w:t>投标文件满足国家法律、法规规定以及招标文件其他实质性要求。</w:t>
            </w:r>
          </w:p>
        </w:tc>
      </w:tr>
    </w:tbl>
    <w:p w14:paraId="1724E166">
      <w:pPr>
        <w:snapToGrid/>
        <w:spacing w:before="0" w:beforeAutospacing="0" w:after="0" w:afterAutospacing="0" w:line="240" w:lineRule="auto"/>
        <w:jc w:val="left"/>
        <w:textAlignment w:val="baseline"/>
        <w:rPr>
          <w:b w:val="0"/>
          <w:i w:val="0"/>
          <w:caps w:val="0"/>
          <w:spacing w:val="0"/>
          <w:w w:val="100"/>
          <w:sz w:val="24"/>
          <w:szCs w:val="24"/>
        </w:rPr>
      </w:pPr>
    </w:p>
    <w:p w14:paraId="65B60581">
      <w:pPr>
        <w:snapToGrid/>
        <w:spacing w:before="0" w:beforeAutospacing="0" w:after="0" w:afterAutospacing="0" w:line="240" w:lineRule="auto"/>
        <w:jc w:val="left"/>
        <w:textAlignment w:val="baseline"/>
        <w:rPr>
          <w:b w:val="0"/>
          <w:i w:val="0"/>
          <w:caps w:val="0"/>
          <w:spacing w:val="0"/>
          <w:w w:val="100"/>
          <w:sz w:val="24"/>
          <w:szCs w:val="24"/>
        </w:rPr>
      </w:pPr>
    </w:p>
    <w:p w14:paraId="027261E4">
      <w:pPr>
        <w:snapToGrid/>
        <w:spacing w:before="0" w:beforeAutospacing="0" w:after="0" w:afterAutospacing="0" w:line="240" w:lineRule="auto"/>
        <w:jc w:val="left"/>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附表</w:t>
      </w:r>
      <w:r>
        <w:rPr>
          <w:rFonts w:hint="eastAsia" w:ascii="宋体" w:hAnsi="宋体" w:eastAsia="宋体" w:cs="宋体"/>
          <w:bCs/>
          <w:color w:val="auto"/>
          <w:sz w:val="24"/>
          <w:szCs w:val="24"/>
          <w:highlight w:val="none"/>
          <w:lang w:val="en-US" w:eastAsia="zh-CN"/>
        </w:rPr>
        <w:t xml:space="preserve">3                              </w:t>
      </w:r>
    </w:p>
    <w:p w14:paraId="30E43B86">
      <w:pPr>
        <w:snapToGrid/>
        <w:spacing w:before="0" w:beforeAutospacing="0" w:after="0" w:afterAutospacing="0" w:line="240" w:lineRule="auto"/>
        <w:jc w:val="center"/>
        <w:textAlignment w:val="baseline"/>
        <w:rPr>
          <w:b/>
          <w:bCs w:val="0"/>
          <w:i w:val="0"/>
          <w:caps w:val="0"/>
          <w:spacing w:val="0"/>
          <w:w w:val="100"/>
          <w:sz w:val="24"/>
          <w:szCs w:val="24"/>
        </w:rPr>
      </w:pPr>
      <w:r>
        <w:rPr>
          <w:rFonts w:hint="eastAsia" w:ascii="宋体" w:hAnsi="宋体" w:eastAsia="宋体" w:cs="宋体"/>
          <w:b/>
          <w:bCs w:val="0"/>
          <w:color w:val="auto"/>
          <w:sz w:val="24"/>
          <w:szCs w:val="24"/>
          <w:highlight w:val="none"/>
          <w:lang w:val="en-US" w:eastAsia="zh-CN"/>
        </w:rPr>
        <w:t>详细评审表</w:t>
      </w:r>
    </w:p>
    <w:tbl>
      <w:tblPr>
        <w:tblStyle w:val="17"/>
        <w:tblW w:w="8699"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305"/>
        <w:gridCol w:w="6406"/>
      </w:tblGrid>
      <w:tr w14:paraId="7D64158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Merge w:val="restart"/>
            <w:noWrap w:val="0"/>
            <w:vAlign w:val="center"/>
          </w:tcPr>
          <w:p w14:paraId="358469EA">
            <w:pPr>
              <w:keepNext w:val="0"/>
              <w:keepLines w:val="0"/>
              <w:pageBreakBefore w:val="0"/>
              <w:widowControl w:val="0"/>
              <w:kinsoku/>
              <w:wordWrap w:val="0"/>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详细评审表 </w:t>
            </w:r>
            <w:r>
              <w:rPr>
                <w:rFonts w:hint="eastAsia" w:ascii="宋体" w:hAnsi="宋体" w:eastAsia="宋体" w:cs="宋体"/>
                <w:bCs/>
                <w:color w:val="auto"/>
                <w:sz w:val="24"/>
                <w:szCs w:val="24"/>
                <w:highlight w:val="none"/>
              </w:rPr>
              <w:t>商务部分评分标准</w:t>
            </w:r>
          </w:p>
          <w:p w14:paraId="7CEB1387">
            <w:pPr>
              <w:keepNext w:val="0"/>
              <w:keepLines w:val="0"/>
              <w:pageBreakBefore w:val="0"/>
              <w:widowControl w:val="0"/>
              <w:kinsoku/>
              <w:wordWrap w:val="0"/>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55</w:t>
            </w:r>
            <w:r>
              <w:rPr>
                <w:rFonts w:hint="eastAsia" w:ascii="宋体" w:hAnsi="宋体" w:eastAsia="宋体" w:cs="宋体"/>
                <w:bCs/>
                <w:color w:val="auto"/>
                <w:sz w:val="24"/>
                <w:szCs w:val="24"/>
                <w:highlight w:val="none"/>
              </w:rPr>
              <w:t>分）</w:t>
            </w:r>
          </w:p>
        </w:tc>
        <w:tc>
          <w:tcPr>
            <w:tcW w:w="1305" w:type="dxa"/>
            <w:noWrap w:val="0"/>
            <w:vAlign w:val="center"/>
          </w:tcPr>
          <w:p w14:paraId="680C88F4">
            <w:pPr>
              <w:keepNext w:val="0"/>
              <w:keepLines w:val="0"/>
              <w:pageBreakBefore w:val="0"/>
              <w:widowControl w:val="0"/>
              <w:kinsoku/>
              <w:wordWrap w:val="0"/>
              <w:overflowPunct/>
              <w:topLinePunct w:val="0"/>
              <w:autoSpaceDE/>
              <w:autoSpaceDN/>
              <w:bidi w:val="0"/>
              <w:spacing w:line="24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投标报价</w:t>
            </w:r>
          </w:p>
          <w:p w14:paraId="7D814DA0">
            <w:pPr>
              <w:keepNext w:val="0"/>
              <w:keepLines w:val="0"/>
              <w:pageBreakBefore w:val="0"/>
              <w:widowControl w:val="0"/>
              <w:kinsoku/>
              <w:wordWrap w:val="0"/>
              <w:overflowPunct/>
              <w:topLinePunct w:val="0"/>
              <w:autoSpaceDE/>
              <w:autoSpaceDN/>
              <w:bidi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6"/>
                <w:sz w:val="24"/>
                <w:szCs w:val="24"/>
                <w:highlight w:val="none"/>
                <w:lang w:val="en-US" w:eastAsia="zh-CN"/>
              </w:rPr>
              <w:t>10</w:t>
            </w:r>
            <w:r>
              <w:rPr>
                <w:rFonts w:hint="eastAsia" w:ascii="宋体" w:hAnsi="宋体" w:eastAsia="宋体" w:cs="宋体"/>
                <w:color w:val="auto"/>
                <w:spacing w:val="-6"/>
                <w:sz w:val="24"/>
                <w:szCs w:val="24"/>
                <w:highlight w:val="none"/>
              </w:rPr>
              <w:t xml:space="preserve"> 分）</w:t>
            </w:r>
          </w:p>
        </w:tc>
        <w:tc>
          <w:tcPr>
            <w:tcW w:w="6406" w:type="dxa"/>
            <w:noWrap w:val="0"/>
            <w:vAlign w:val="top"/>
          </w:tcPr>
          <w:p w14:paraId="495BADA3">
            <w:pPr>
              <w:keepNext w:val="0"/>
              <w:keepLines w:val="0"/>
              <w:pageBreakBefore w:val="0"/>
              <w:widowControl w:val="0"/>
              <w:kinsoku/>
              <w:wordWrap w:val="0"/>
              <w:overflowPunct/>
              <w:topLinePunct w:val="0"/>
              <w:autoSpaceDE/>
              <w:autoSpaceDN/>
              <w:bidi w:val="0"/>
              <w:spacing w:line="240" w:lineRule="auto"/>
              <w:ind w:left="11" w:leftChars="0" w:right="11" w:rightChars="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综合评分法中的价格分统一采用低价优先法计算，即满足招标文件要求且报价最低的投标人的价格为评标基准价，其价格分为满分。其他投标人的价格分统一按照下列公式计算：</w:t>
            </w:r>
          </w:p>
          <w:p w14:paraId="3F244EAD">
            <w:pPr>
              <w:keepNext w:val="0"/>
              <w:keepLines w:val="0"/>
              <w:pageBreakBefore w:val="0"/>
              <w:widowControl w:val="0"/>
              <w:kinsoku/>
              <w:wordWrap w:val="0"/>
              <w:overflowPunct/>
              <w:topLinePunct w:val="0"/>
              <w:autoSpaceDE/>
              <w:autoSpaceDN/>
              <w:bidi w:val="0"/>
              <w:spacing w:line="240" w:lineRule="auto"/>
              <w:ind w:left="11" w:leftChars="0" w:right="11" w:rightChars="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投标报价得分=（评标基准价/投标报价）×价格权值×100</w:t>
            </w:r>
            <w:r>
              <w:rPr>
                <w:rFonts w:hint="eastAsia" w:ascii="宋体" w:hAnsi="宋体" w:eastAsia="宋体" w:cs="宋体"/>
                <w:bCs/>
                <w:color w:val="auto"/>
                <w:sz w:val="24"/>
                <w:szCs w:val="24"/>
                <w:highlight w:val="none"/>
                <w:lang w:eastAsia="zh-CN"/>
              </w:rPr>
              <w:t>，价格权重为10%</w:t>
            </w:r>
            <w:r>
              <w:rPr>
                <w:rFonts w:hint="eastAsia" w:ascii="宋体" w:hAnsi="宋体" w:eastAsia="宋体" w:cs="宋体"/>
                <w:bCs/>
                <w:color w:val="auto"/>
                <w:sz w:val="24"/>
                <w:szCs w:val="24"/>
                <w:highlight w:val="none"/>
              </w:rPr>
              <w:t>。</w:t>
            </w:r>
          </w:p>
          <w:p w14:paraId="08C10CE1">
            <w:pPr>
              <w:keepNext w:val="0"/>
              <w:keepLines w:val="0"/>
              <w:pageBreakBefore w:val="0"/>
              <w:widowControl w:val="0"/>
              <w:kinsoku/>
              <w:wordWrap w:val="0"/>
              <w:overflowPunct/>
              <w:topLinePunct w:val="0"/>
              <w:autoSpaceDE/>
              <w:autoSpaceDN/>
              <w:bidi w:val="0"/>
              <w:spacing w:line="240" w:lineRule="auto"/>
              <w:ind w:left="11" w:leftChars="0" w:right="11" w:rightChars="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注：投标人投标报价与评分基准价的比值出现小数点时，保留小数点后</w:t>
            </w:r>
            <w:r>
              <w:rPr>
                <w:rFonts w:hint="eastAsia" w:ascii="宋体" w:hAnsi="宋体" w:eastAsia="宋体" w:cs="宋体"/>
                <w:bCs/>
                <w:color w:val="auto"/>
                <w:sz w:val="24"/>
                <w:szCs w:val="24"/>
                <w:highlight w:val="none"/>
                <w:lang w:eastAsia="zh-CN"/>
              </w:rPr>
              <w:t>两</w:t>
            </w:r>
            <w:r>
              <w:rPr>
                <w:rFonts w:hint="eastAsia" w:ascii="宋体" w:hAnsi="宋体" w:eastAsia="宋体" w:cs="宋体"/>
                <w:bCs/>
                <w:color w:val="auto"/>
                <w:sz w:val="24"/>
                <w:szCs w:val="24"/>
                <w:highlight w:val="none"/>
              </w:rPr>
              <w:t>位，第</w:t>
            </w:r>
            <w:r>
              <w:rPr>
                <w:rFonts w:hint="eastAsia" w:ascii="宋体" w:hAnsi="宋体" w:eastAsia="宋体" w:cs="宋体"/>
                <w:bCs/>
                <w:color w:val="auto"/>
                <w:sz w:val="24"/>
                <w:szCs w:val="24"/>
                <w:highlight w:val="none"/>
                <w:lang w:eastAsia="zh-CN"/>
              </w:rPr>
              <w:t>三</w:t>
            </w:r>
            <w:r>
              <w:rPr>
                <w:rFonts w:hint="eastAsia" w:ascii="宋体" w:hAnsi="宋体" w:eastAsia="宋体" w:cs="宋体"/>
                <w:bCs/>
                <w:color w:val="auto"/>
                <w:sz w:val="24"/>
                <w:szCs w:val="24"/>
                <w:highlight w:val="none"/>
              </w:rPr>
              <w:t>位四舍五入。</w:t>
            </w:r>
          </w:p>
        </w:tc>
      </w:tr>
      <w:tr w14:paraId="5A5A4AD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988" w:type="dxa"/>
            <w:vMerge w:val="continue"/>
            <w:noWrap w:val="0"/>
            <w:vAlign w:val="center"/>
          </w:tcPr>
          <w:p w14:paraId="0671FC39">
            <w:pPr>
              <w:keepNext w:val="0"/>
              <w:keepLines w:val="0"/>
              <w:pageBreakBefore w:val="0"/>
              <w:widowControl w:val="0"/>
              <w:kinsoku/>
              <w:wordWrap w:val="0"/>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rPr>
            </w:pPr>
          </w:p>
        </w:tc>
        <w:tc>
          <w:tcPr>
            <w:tcW w:w="1305" w:type="dxa"/>
            <w:noWrap w:val="0"/>
            <w:vAlign w:val="center"/>
          </w:tcPr>
          <w:p w14:paraId="3E3341D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类似业绩</w:t>
            </w:r>
          </w:p>
          <w:p w14:paraId="20987206">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val="en-US" w:eastAsia="zh-CN"/>
              </w:rPr>
              <w:t>5</w:t>
            </w:r>
            <w:r>
              <w:rPr>
                <w:rFonts w:hint="eastAsia" w:ascii="宋体" w:hAnsi="宋体" w:eastAsia="宋体" w:cs="宋体"/>
                <w:color w:val="auto"/>
                <w:spacing w:val="-6"/>
                <w:sz w:val="24"/>
                <w:szCs w:val="24"/>
                <w:highlight w:val="none"/>
              </w:rPr>
              <w:t>分）</w:t>
            </w:r>
          </w:p>
        </w:tc>
        <w:tc>
          <w:tcPr>
            <w:tcW w:w="6406" w:type="dxa"/>
            <w:noWrap w:val="0"/>
            <w:vAlign w:val="center"/>
          </w:tcPr>
          <w:p w14:paraId="04E6B21F">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bidi="ar"/>
              </w:rPr>
              <w:t>近三年具有类似项目业绩，一项得5分，最多得5分。（投标文件内提供合同及中标通知书复印件并加盖公章）</w:t>
            </w:r>
          </w:p>
        </w:tc>
      </w:tr>
      <w:tr w14:paraId="29C25CC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988" w:type="dxa"/>
            <w:vMerge w:val="continue"/>
            <w:noWrap w:val="0"/>
            <w:vAlign w:val="center"/>
          </w:tcPr>
          <w:p w14:paraId="1E8F9822">
            <w:pPr>
              <w:keepNext w:val="0"/>
              <w:keepLines w:val="0"/>
              <w:pageBreakBefore w:val="0"/>
              <w:widowControl w:val="0"/>
              <w:kinsoku/>
              <w:wordWrap w:val="0"/>
              <w:overflowPunct/>
              <w:topLinePunct w:val="0"/>
              <w:autoSpaceDE/>
              <w:autoSpaceDN/>
              <w:bidi w:val="0"/>
              <w:spacing w:line="240" w:lineRule="auto"/>
              <w:ind w:left="11" w:leftChars="0" w:right="11" w:rightChars="0"/>
              <w:rPr>
                <w:rFonts w:hint="eastAsia" w:ascii="宋体" w:hAnsi="宋体" w:eastAsia="宋体" w:cs="宋体"/>
                <w:sz w:val="24"/>
                <w:szCs w:val="24"/>
              </w:rPr>
            </w:pPr>
          </w:p>
        </w:tc>
        <w:tc>
          <w:tcPr>
            <w:tcW w:w="1305" w:type="dxa"/>
            <w:shd w:val="clear" w:color="auto" w:fill="auto"/>
            <w:noWrap w:val="0"/>
            <w:vAlign w:val="center"/>
          </w:tcPr>
          <w:p w14:paraId="5F3C502E">
            <w:pPr>
              <w:keepNext w:val="0"/>
              <w:keepLines w:val="0"/>
              <w:pageBreakBefore w:val="0"/>
              <w:widowControl w:val="0"/>
              <w:kinsoku/>
              <w:wordWrap w:val="0"/>
              <w:overflowPunct/>
              <w:topLinePunct w:val="0"/>
              <w:autoSpaceDE/>
              <w:autoSpaceDN/>
              <w:bidi w:val="0"/>
              <w:spacing w:line="240" w:lineRule="auto"/>
              <w:jc w:val="center"/>
              <w:rPr>
                <w:rFonts w:hint="eastAsia" w:ascii="宋体" w:hAnsi="宋体" w:eastAsia="宋体" w:cs="宋体"/>
                <w:bCs/>
                <w:snapToGrid w:val="0"/>
                <w:color w:val="auto"/>
                <w:kern w:val="0"/>
                <w:sz w:val="24"/>
                <w:szCs w:val="24"/>
                <w:highlight w:val="none"/>
                <w:lang w:val="zh-CN" w:eastAsia="en-US" w:bidi="ar-SA"/>
              </w:rPr>
            </w:pPr>
            <w:r>
              <w:rPr>
                <w:rFonts w:hint="eastAsia" w:ascii="宋体" w:hAnsi="宋体" w:eastAsia="宋体" w:cs="宋体"/>
                <w:spacing w:val="-3"/>
                <w:sz w:val="24"/>
                <w:szCs w:val="24"/>
                <w:highlight w:val="none"/>
                <w:lang w:val="en-US" w:eastAsia="zh-CN"/>
              </w:rPr>
              <w:t>设施设备</w:t>
            </w:r>
            <w:r>
              <w:rPr>
                <w:rFonts w:hint="eastAsia" w:ascii="宋体" w:hAnsi="宋体" w:eastAsia="宋体" w:cs="宋体"/>
                <w:spacing w:val="-3"/>
                <w:sz w:val="24"/>
                <w:szCs w:val="24"/>
                <w:highlight w:val="none"/>
              </w:rPr>
              <w:br w:type="textWrapping"/>
            </w:r>
            <w:r>
              <w:rPr>
                <w:rFonts w:hint="eastAsia" w:ascii="宋体" w:hAnsi="宋体" w:eastAsia="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en-US" w:eastAsia="zh-CN"/>
              </w:rPr>
              <w:t>10分</w:t>
            </w:r>
            <w:r>
              <w:rPr>
                <w:rFonts w:hint="eastAsia" w:ascii="宋体" w:hAnsi="宋体" w:eastAsia="宋体" w:cs="宋体"/>
                <w:bCs/>
                <w:color w:val="auto"/>
                <w:sz w:val="24"/>
                <w:szCs w:val="24"/>
                <w:highlight w:val="none"/>
                <w:lang w:val="zh-CN" w:eastAsia="zh-CN"/>
              </w:rPr>
              <w:t>）</w:t>
            </w:r>
          </w:p>
        </w:tc>
        <w:tc>
          <w:tcPr>
            <w:tcW w:w="6406" w:type="dxa"/>
            <w:shd w:val="clear" w:color="auto" w:fill="auto"/>
            <w:noWrap w:val="0"/>
            <w:vAlign w:val="center"/>
          </w:tcPr>
          <w:p w14:paraId="4927FB04">
            <w:pPr>
              <w:keepNext w:val="0"/>
              <w:keepLines w:val="0"/>
              <w:pageBreakBefore w:val="0"/>
              <w:widowControl w:val="0"/>
              <w:kinsoku/>
              <w:wordWrap w:val="0"/>
              <w:overflowPunct/>
              <w:topLinePunct w:val="0"/>
              <w:autoSpaceDE/>
              <w:autoSpaceDN/>
              <w:bidi w:val="0"/>
              <w:spacing w:line="240" w:lineRule="auto"/>
              <w:ind w:left="11" w:leftChars="0" w:right="11" w:rightChars="0"/>
              <w:jc w:val="left"/>
              <w:rPr>
                <w:rFonts w:hint="eastAsia" w:ascii="宋体" w:hAnsi="宋体" w:eastAsia="宋体" w:cs="宋体"/>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bidi="ar-SA"/>
              </w:rPr>
              <w:t>提供本项目所需校车37辆，需附车辆行驶证、强险、商业险（每车不低于200万）、承运人（每座不低于50万）</w:t>
            </w:r>
            <w:r>
              <w:rPr>
                <w:rFonts w:hint="eastAsia" w:ascii="宋体" w:hAnsi="宋体" w:eastAsia="宋体" w:cs="宋体"/>
                <w:kern w:val="0"/>
                <w:sz w:val="24"/>
                <w:szCs w:val="24"/>
                <w:highlight w:val="none"/>
              </w:rPr>
              <w:t>并在后期签订采购合同时无故不得更换</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 xml:space="preserve">   </w:t>
            </w:r>
          </w:p>
          <w:p w14:paraId="3C78B2FF">
            <w:pPr>
              <w:keepNext w:val="0"/>
              <w:keepLines w:val="0"/>
              <w:pageBreakBefore w:val="0"/>
              <w:widowControl w:val="0"/>
              <w:kinsoku/>
              <w:wordWrap w:val="0"/>
              <w:overflowPunct/>
              <w:topLinePunct w:val="0"/>
              <w:autoSpaceDE/>
              <w:autoSpaceDN/>
              <w:bidi w:val="0"/>
              <w:spacing w:line="240" w:lineRule="auto"/>
              <w:ind w:left="11" w:leftChars="0" w:right="11" w:rightChars="0"/>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提供</w:t>
            </w:r>
            <w:r>
              <w:rPr>
                <w:rFonts w:hint="eastAsia" w:ascii="宋体" w:hAnsi="宋体" w:eastAsia="宋体" w:cs="宋体"/>
                <w:snapToGrid w:val="0"/>
                <w:color w:val="auto"/>
                <w:kern w:val="0"/>
                <w:sz w:val="24"/>
                <w:szCs w:val="24"/>
                <w:highlight w:val="none"/>
                <w:lang w:val="en-US" w:eastAsia="zh-CN" w:bidi="ar-SA"/>
              </w:rPr>
              <w:t>完整得10分，不完整不得分。</w:t>
            </w:r>
          </w:p>
        </w:tc>
      </w:tr>
      <w:tr w14:paraId="4415B84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988" w:type="dxa"/>
            <w:vMerge w:val="continue"/>
            <w:noWrap w:val="0"/>
            <w:vAlign w:val="center"/>
          </w:tcPr>
          <w:p w14:paraId="56B05DD5">
            <w:pPr>
              <w:keepNext w:val="0"/>
              <w:keepLines w:val="0"/>
              <w:pageBreakBefore w:val="0"/>
              <w:widowControl w:val="0"/>
              <w:kinsoku/>
              <w:wordWrap w:val="0"/>
              <w:overflowPunct/>
              <w:topLinePunct w:val="0"/>
              <w:autoSpaceDE/>
              <w:autoSpaceDN/>
              <w:bidi w:val="0"/>
              <w:spacing w:line="240" w:lineRule="auto"/>
              <w:ind w:left="11" w:leftChars="0" w:right="11" w:rightChars="0"/>
              <w:rPr>
                <w:rFonts w:hint="eastAsia" w:ascii="宋体" w:hAnsi="宋体" w:eastAsia="宋体" w:cs="宋体"/>
                <w:sz w:val="24"/>
                <w:szCs w:val="24"/>
              </w:rPr>
            </w:pPr>
          </w:p>
        </w:tc>
        <w:tc>
          <w:tcPr>
            <w:tcW w:w="1305" w:type="dxa"/>
            <w:shd w:val="clear" w:color="auto" w:fill="auto"/>
            <w:noWrap w:val="0"/>
            <w:vAlign w:val="center"/>
          </w:tcPr>
          <w:p w14:paraId="56ABC77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服务</w:t>
            </w:r>
            <w:r>
              <w:rPr>
                <w:rFonts w:hint="eastAsia" w:ascii="宋体" w:hAnsi="宋体" w:eastAsia="宋体" w:cs="宋体"/>
                <w:spacing w:val="-3"/>
                <w:sz w:val="24"/>
                <w:szCs w:val="24"/>
                <w:highlight w:val="none"/>
                <w:lang w:val="en-US" w:eastAsia="zh-CN"/>
              </w:rPr>
              <w:t>团队</w:t>
            </w:r>
            <w:r>
              <w:rPr>
                <w:rFonts w:hint="eastAsia" w:ascii="宋体" w:hAnsi="宋体" w:eastAsia="宋体" w:cs="宋体"/>
                <w:spacing w:val="-3"/>
                <w:sz w:val="24"/>
                <w:szCs w:val="24"/>
                <w:highlight w:val="none"/>
              </w:rPr>
              <w:br w:type="textWrapping"/>
            </w:r>
            <w:r>
              <w:rPr>
                <w:rFonts w:hint="eastAsia" w:ascii="宋体" w:hAnsi="宋体" w:eastAsia="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en-US" w:eastAsia="zh-CN"/>
              </w:rPr>
              <w:t>15分</w:t>
            </w:r>
            <w:r>
              <w:rPr>
                <w:rFonts w:hint="eastAsia" w:ascii="宋体" w:hAnsi="宋体" w:eastAsia="宋体" w:cs="宋体"/>
                <w:bCs/>
                <w:color w:val="auto"/>
                <w:sz w:val="24"/>
                <w:szCs w:val="24"/>
                <w:highlight w:val="none"/>
                <w:lang w:val="zh-CN" w:eastAsia="zh-CN"/>
              </w:rPr>
              <w:t>）</w:t>
            </w:r>
          </w:p>
        </w:tc>
        <w:tc>
          <w:tcPr>
            <w:tcW w:w="6406" w:type="dxa"/>
            <w:shd w:val="clear" w:color="auto" w:fill="auto"/>
            <w:noWrap w:val="0"/>
            <w:vAlign w:val="center"/>
          </w:tcPr>
          <w:p w14:paraId="79572F6F">
            <w:pPr>
              <w:keepNext w:val="0"/>
              <w:keepLines w:val="0"/>
              <w:pageBreakBefore w:val="0"/>
              <w:widowControl w:val="0"/>
              <w:kinsoku/>
              <w:wordWrap w:val="0"/>
              <w:overflowPunct/>
              <w:topLinePunct w:val="0"/>
              <w:autoSpaceDE/>
              <w:autoSpaceDN/>
              <w:bidi w:val="0"/>
              <w:spacing w:line="440" w:lineRule="exact"/>
              <w:ind w:right="11" w:rightChars="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提供本项目所需驾驶员37名，需提供具有校车准驾资格得驾驶证、身份证，并在后期签订采购合同时无故不得更换。</w:t>
            </w:r>
          </w:p>
          <w:p w14:paraId="3D8980B6">
            <w:pPr>
              <w:keepNext w:val="0"/>
              <w:keepLines w:val="0"/>
              <w:pageBreakBefore w:val="0"/>
              <w:widowControl w:val="0"/>
              <w:kinsoku/>
              <w:wordWrap w:val="0"/>
              <w:overflowPunct/>
              <w:topLinePunct w:val="0"/>
              <w:autoSpaceDE/>
              <w:autoSpaceDN/>
              <w:bidi w:val="0"/>
              <w:spacing w:line="440" w:lineRule="exact"/>
              <w:ind w:right="11" w:rightChars="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提供完整得15分，不完整不得分。</w:t>
            </w:r>
          </w:p>
        </w:tc>
      </w:tr>
      <w:tr w14:paraId="6B0DB4D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Merge w:val="continue"/>
            <w:noWrap w:val="0"/>
            <w:vAlign w:val="center"/>
          </w:tcPr>
          <w:p w14:paraId="39E5E6F7">
            <w:pPr>
              <w:keepNext w:val="0"/>
              <w:keepLines w:val="0"/>
              <w:pageBreakBefore w:val="0"/>
              <w:widowControl w:val="0"/>
              <w:kinsoku/>
              <w:wordWrap w:val="0"/>
              <w:overflowPunct/>
              <w:topLinePunct w:val="0"/>
              <w:autoSpaceDE/>
              <w:autoSpaceDN/>
              <w:bidi w:val="0"/>
              <w:spacing w:line="240" w:lineRule="auto"/>
              <w:ind w:left="11" w:leftChars="0" w:right="11" w:rightChars="0"/>
              <w:rPr>
                <w:rFonts w:hint="eastAsia" w:ascii="宋体" w:hAnsi="宋体" w:eastAsia="宋体" w:cs="宋体"/>
                <w:sz w:val="24"/>
                <w:szCs w:val="24"/>
              </w:rPr>
            </w:pPr>
          </w:p>
        </w:tc>
        <w:tc>
          <w:tcPr>
            <w:tcW w:w="1305" w:type="dxa"/>
            <w:shd w:val="clear" w:color="auto" w:fill="auto"/>
            <w:noWrap w:val="0"/>
            <w:vAlign w:val="center"/>
          </w:tcPr>
          <w:p w14:paraId="61B4FC28">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服务</w:t>
            </w:r>
            <w:r>
              <w:rPr>
                <w:rFonts w:hint="eastAsia" w:ascii="宋体" w:hAnsi="宋体" w:eastAsia="宋体" w:cs="宋体"/>
                <w:spacing w:val="-3"/>
                <w:sz w:val="24"/>
                <w:szCs w:val="24"/>
                <w:highlight w:val="none"/>
                <w:lang w:val="en-US" w:eastAsia="zh-CN"/>
              </w:rPr>
              <w:t>团队</w:t>
            </w:r>
            <w:r>
              <w:rPr>
                <w:rFonts w:hint="eastAsia" w:ascii="宋体" w:hAnsi="宋体" w:eastAsia="宋体" w:cs="宋体"/>
                <w:spacing w:val="-3"/>
                <w:sz w:val="24"/>
                <w:szCs w:val="24"/>
                <w:highlight w:val="none"/>
              </w:rPr>
              <w:br w:type="textWrapping"/>
            </w:r>
            <w:r>
              <w:rPr>
                <w:rFonts w:hint="eastAsia" w:ascii="宋体" w:hAnsi="宋体" w:eastAsia="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en-US" w:eastAsia="zh-CN"/>
              </w:rPr>
              <w:t>15分</w:t>
            </w:r>
            <w:r>
              <w:rPr>
                <w:rFonts w:hint="eastAsia" w:ascii="宋体" w:hAnsi="宋体" w:eastAsia="宋体" w:cs="宋体"/>
                <w:bCs/>
                <w:color w:val="auto"/>
                <w:sz w:val="24"/>
                <w:szCs w:val="24"/>
                <w:highlight w:val="none"/>
                <w:lang w:val="zh-CN" w:eastAsia="zh-CN"/>
              </w:rPr>
              <w:t>）</w:t>
            </w:r>
          </w:p>
        </w:tc>
        <w:tc>
          <w:tcPr>
            <w:tcW w:w="6406" w:type="dxa"/>
            <w:shd w:val="clear" w:color="auto" w:fill="auto"/>
            <w:noWrap w:val="0"/>
            <w:vAlign w:val="center"/>
          </w:tcPr>
          <w:p w14:paraId="4C39BBB1">
            <w:pPr>
              <w:keepNext w:val="0"/>
              <w:keepLines w:val="0"/>
              <w:pageBreakBefore w:val="0"/>
              <w:widowControl w:val="0"/>
              <w:kinsoku/>
              <w:wordWrap w:val="0"/>
              <w:overflowPunct/>
              <w:topLinePunct w:val="0"/>
              <w:autoSpaceDE/>
              <w:autoSpaceDN/>
              <w:bidi w:val="0"/>
              <w:spacing w:line="440" w:lineRule="exact"/>
              <w:ind w:right="11" w:rightChars="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供应商应为员工缴纳社会保险，需提供税务机关或保险机构提供的（五险）参保证明材料。</w:t>
            </w:r>
            <w:r>
              <w:rPr>
                <w:rFonts w:hint="eastAsia" w:ascii="宋体" w:hAnsi="宋体" w:cs="宋体"/>
                <w:kern w:val="0"/>
                <w:sz w:val="24"/>
                <w:szCs w:val="24"/>
              </w:rPr>
              <w:t>（代缴社保证明材料不予认可）</w:t>
            </w:r>
            <w:r>
              <w:rPr>
                <w:rFonts w:hint="eastAsia" w:ascii="宋体" w:hAnsi="宋体" w:eastAsia="宋体" w:cs="宋体"/>
                <w:snapToGrid w:val="0"/>
                <w:color w:val="auto"/>
                <w:kern w:val="0"/>
                <w:sz w:val="24"/>
                <w:szCs w:val="24"/>
                <w:highlight w:val="none"/>
                <w:lang w:val="en-US" w:eastAsia="zh-CN" w:bidi="ar-SA"/>
              </w:rPr>
              <w:t>每提供一份得1分，最高15分。</w:t>
            </w:r>
          </w:p>
        </w:tc>
      </w:tr>
      <w:tr w14:paraId="1ED63E0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988" w:type="dxa"/>
            <w:vMerge w:val="restart"/>
            <w:noWrap w:val="0"/>
            <w:vAlign w:val="center"/>
          </w:tcPr>
          <w:p w14:paraId="78F20371">
            <w:pPr>
              <w:keepNext w:val="0"/>
              <w:keepLines w:val="0"/>
              <w:pageBreakBefore w:val="0"/>
              <w:widowControl w:val="0"/>
              <w:kinsoku/>
              <w:wordWrap w:val="0"/>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技术部分评分标准</w:t>
            </w:r>
          </w:p>
          <w:p w14:paraId="7C8B3520">
            <w:pPr>
              <w:keepNext w:val="0"/>
              <w:keepLines w:val="0"/>
              <w:pageBreakBefore w:val="0"/>
              <w:widowControl w:val="0"/>
              <w:kinsoku/>
              <w:wordWrap w:val="0"/>
              <w:overflowPunct/>
              <w:topLinePunct w:val="0"/>
              <w:autoSpaceDE/>
              <w:autoSpaceDN/>
              <w:bidi w:val="0"/>
              <w:spacing w:line="24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分）</w:t>
            </w:r>
          </w:p>
        </w:tc>
        <w:tc>
          <w:tcPr>
            <w:tcW w:w="1305" w:type="dxa"/>
            <w:noWrap w:val="0"/>
            <w:vAlign w:val="center"/>
          </w:tcPr>
          <w:p w14:paraId="77D3DD90">
            <w:pPr>
              <w:keepNext w:val="0"/>
              <w:keepLines w:val="0"/>
              <w:pageBreakBefore w:val="0"/>
              <w:widowControl w:val="0"/>
              <w:kinsoku/>
              <w:wordWrap w:val="0"/>
              <w:overflowPunct/>
              <w:topLinePunct w:val="0"/>
              <w:autoSpaceDE/>
              <w:autoSpaceDN/>
              <w:bidi w:val="0"/>
              <w:spacing w:line="240" w:lineRule="auto"/>
              <w:jc w:val="center"/>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 xml:space="preserve">管理制度 </w:t>
            </w:r>
          </w:p>
          <w:p w14:paraId="6F92C754">
            <w:pPr>
              <w:keepNext w:val="0"/>
              <w:keepLines w:val="0"/>
              <w:pageBreakBefore w:val="0"/>
              <w:widowControl w:val="0"/>
              <w:kinsoku/>
              <w:wordWrap w:val="0"/>
              <w:overflowPunct/>
              <w:topLinePunct w:val="0"/>
              <w:autoSpaceDE/>
              <w:autoSpaceDN/>
              <w:bidi w:val="0"/>
              <w:spacing w:line="24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en-US" w:eastAsia="zh-CN"/>
              </w:rPr>
              <w:t>1</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zh-CN" w:eastAsia="zh-CN"/>
              </w:rPr>
              <w:t>分）</w:t>
            </w:r>
          </w:p>
        </w:tc>
        <w:tc>
          <w:tcPr>
            <w:tcW w:w="6406" w:type="dxa"/>
            <w:noWrap w:val="0"/>
            <w:vAlign w:val="center"/>
          </w:tcPr>
          <w:p w14:paraId="6AD4BD80">
            <w:pPr>
              <w:keepNext w:val="0"/>
              <w:keepLines w:val="0"/>
              <w:pageBreakBefore w:val="0"/>
              <w:widowControl w:val="0"/>
              <w:kinsoku/>
              <w:wordWrap w:val="0"/>
              <w:overflowPunct/>
              <w:topLinePunct w:val="0"/>
              <w:autoSpaceDE/>
              <w:autoSpaceDN/>
              <w:bidi w:val="0"/>
              <w:spacing w:line="240" w:lineRule="auto"/>
              <w:ind w:left="11" w:leftChars="0" w:right="11" w:rightChars="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具有健全的校车运营管理制度</w:t>
            </w:r>
            <w:r>
              <w:rPr>
                <w:rFonts w:hint="eastAsia" w:ascii="宋体" w:hAnsi="宋体" w:eastAsia="宋体" w:cs="宋体"/>
                <w:color w:val="auto"/>
                <w:sz w:val="24"/>
                <w:szCs w:val="24"/>
                <w:highlight w:val="none"/>
                <w:lang w:val="zh-CN" w:eastAsia="zh-CN"/>
              </w:rPr>
              <w:t>：</w:t>
            </w:r>
          </w:p>
          <w:p w14:paraId="34EB46B7">
            <w:pPr>
              <w:keepNext w:val="0"/>
              <w:keepLines w:val="0"/>
              <w:pageBreakBefore w:val="0"/>
              <w:widowControl w:val="0"/>
              <w:kinsoku/>
              <w:wordWrap w:val="0"/>
              <w:overflowPunct/>
              <w:topLinePunct w:val="0"/>
              <w:autoSpaceDE/>
              <w:autoSpaceDN/>
              <w:bidi w:val="0"/>
              <w:spacing w:line="240" w:lineRule="auto"/>
              <w:ind w:left="11" w:leftChars="0" w:right="11"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①企业管理制度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优得</w:t>
            </w:r>
            <w:r>
              <w:rPr>
                <w:rFonts w:hint="eastAsia" w:ascii="宋体" w:hAnsi="宋体" w:cs="宋体"/>
                <w:color w:val="auto"/>
                <w:sz w:val="24"/>
                <w:szCs w:val="24"/>
                <w:highlight w:val="none"/>
                <w:lang w:val="en-US" w:eastAsia="zh-CN"/>
              </w:rPr>
              <w:t>5-4</w:t>
            </w:r>
            <w:r>
              <w:rPr>
                <w:rFonts w:hint="eastAsia" w:ascii="宋体" w:hAnsi="宋体" w:eastAsia="宋体" w:cs="宋体"/>
                <w:color w:val="auto"/>
                <w:sz w:val="24"/>
                <w:szCs w:val="24"/>
                <w:highlight w:val="none"/>
                <w:lang w:val="en-US" w:eastAsia="zh-CN"/>
              </w:rPr>
              <w:t>分，良得</w:t>
            </w:r>
            <w:r>
              <w:rPr>
                <w:rFonts w:hint="eastAsia" w:ascii="宋体" w:hAnsi="宋体" w:cs="宋体"/>
                <w:color w:val="auto"/>
                <w:sz w:val="24"/>
                <w:szCs w:val="24"/>
                <w:highlight w:val="none"/>
                <w:lang w:val="en-US" w:eastAsia="zh-CN"/>
              </w:rPr>
              <w:t>3-2</w:t>
            </w:r>
            <w:r>
              <w:rPr>
                <w:rFonts w:hint="eastAsia" w:ascii="宋体" w:hAnsi="宋体" w:eastAsia="宋体" w:cs="宋体"/>
                <w:color w:val="auto"/>
                <w:sz w:val="24"/>
                <w:szCs w:val="24"/>
                <w:highlight w:val="none"/>
                <w:lang w:val="en-US" w:eastAsia="zh-CN"/>
              </w:rPr>
              <w:t>分，一般得1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分；</w:t>
            </w:r>
          </w:p>
          <w:p w14:paraId="1D156C57">
            <w:pPr>
              <w:keepNext w:val="0"/>
              <w:keepLines w:val="0"/>
              <w:pageBreakBefore w:val="0"/>
              <w:widowControl w:val="0"/>
              <w:kinsoku/>
              <w:wordWrap w:val="0"/>
              <w:overflowPunct/>
              <w:topLinePunct w:val="0"/>
              <w:autoSpaceDE/>
              <w:autoSpaceDN/>
              <w:bidi w:val="0"/>
              <w:spacing w:line="240" w:lineRule="auto"/>
              <w:ind w:left="11" w:leftChars="0" w:right="11"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②安全生产管理制度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优得</w:t>
            </w:r>
            <w:r>
              <w:rPr>
                <w:rFonts w:hint="eastAsia" w:ascii="宋体" w:hAnsi="宋体" w:cs="宋体"/>
                <w:color w:val="auto"/>
                <w:sz w:val="24"/>
                <w:szCs w:val="24"/>
                <w:highlight w:val="none"/>
                <w:lang w:val="en-US" w:eastAsia="zh-CN"/>
              </w:rPr>
              <w:t>5-4</w:t>
            </w:r>
            <w:r>
              <w:rPr>
                <w:rFonts w:hint="eastAsia" w:ascii="宋体" w:hAnsi="宋体" w:eastAsia="宋体" w:cs="宋体"/>
                <w:color w:val="auto"/>
                <w:sz w:val="24"/>
                <w:szCs w:val="24"/>
                <w:highlight w:val="none"/>
                <w:lang w:val="en-US" w:eastAsia="zh-CN"/>
              </w:rPr>
              <w:t>分，良得</w:t>
            </w:r>
            <w:r>
              <w:rPr>
                <w:rFonts w:hint="eastAsia" w:ascii="宋体" w:hAnsi="宋体" w:cs="宋体"/>
                <w:color w:val="auto"/>
                <w:sz w:val="24"/>
                <w:szCs w:val="24"/>
                <w:highlight w:val="none"/>
                <w:lang w:val="en-US" w:eastAsia="zh-CN"/>
              </w:rPr>
              <w:t>3-2</w:t>
            </w:r>
            <w:r>
              <w:rPr>
                <w:rFonts w:hint="eastAsia" w:ascii="宋体" w:hAnsi="宋体" w:eastAsia="宋体" w:cs="宋体"/>
                <w:color w:val="auto"/>
                <w:sz w:val="24"/>
                <w:szCs w:val="24"/>
                <w:highlight w:val="none"/>
                <w:lang w:val="en-US" w:eastAsia="zh-CN"/>
              </w:rPr>
              <w:t>分，一般得1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分；</w:t>
            </w:r>
          </w:p>
          <w:p w14:paraId="4D20B7A3">
            <w:pPr>
              <w:keepNext w:val="0"/>
              <w:keepLines w:val="0"/>
              <w:pageBreakBefore w:val="0"/>
              <w:widowControl w:val="0"/>
              <w:kinsoku/>
              <w:wordWrap w:val="0"/>
              <w:overflowPunct/>
              <w:topLinePunct w:val="0"/>
              <w:autoSpaceDE/>
              <w:autoSpaceDN/>
              <w:bidi w:val="0"/>
              <w:spacing w:line="240" w:lineRule="auto"/>
              <w:ind w:left="11" w:leftChars="0" w:right="11" w:right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③安全生产操作规程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优得</w:t>
            </w:r>
            <w:r>
              <w:rPr>
                <w:rFonts w:hint="eastAsia" w:ascii="宋体" w:hAnsi="宋体" w:cs="宋体"/>
                <w:color w:val="auto"/>
                <w:sz w:val="24"/>
                <w:szCs w:val="24"/>
                <w:highlight w:val="none"/>
                <w:lang w:val="en-US" w:eastAsia="zh-CN"/>
              </w:rPr>
              <w:t>5-4</w:t>
            </w:r>
            <w:r>
              <w:rPr>
                <w:rFonts w:hint="eastAsia" w:ascii="宋体" w:hAnsi="宋体" w:eastAsia="宋体" w:cs="宋体"/>
                <w:color w:val="auto"/>
                <w:sz w:val="24"/>
                <w:szCs w:val="24"/>
                <w:highlight w:val="none"/>
                <w:lang w:val="en-US" w:eastAsia="zh-CN"/>
              </w:rPr>
              <w:t>分，良得</w:t>
            </w:r>
            <w:r>
              <w:rPr>
                <w:rFonts w:hint="eastAsia" w:ascii="宋体" w:hAnsi="宋体" w:cs="宋体"/>
                <w:color w:val="auto"/>
                <w:sz w:val="24"/>
                <w:szCs w:val="24"/>
                <w:highlight w:val="none"/>
                <w:lang w:val="en-US" w:eastAsia="zh-CN"/>
              </w:rPr>
              <w:t>3-2</w:t>
            </w:r>
            <w:r>
              <w:rPr>
                <w:rFonts w:hint="eastAsia" w:ascii="宋体" w:hAnsi="宋体" w:eastAsia="宋体" w:cs="宋体"/>
                <w:color w:val="auto"/>
                <w:sz w:val="24"/>
                <w:szCs w:val="24"/>
                <w:highlight w:val="none"/>
                <w:lang w:val="en-US" w:eastAsia="zh-CN"/>
              </w:rPr>
              <w:t>分，一般得1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分；</w:t>
            </w:r>
          </w:p>
        </w:tc>
      </w:tr>
      <w:tr w14:paraId="0FDACA43">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988" w:type="dxa"/>
            <w:vMerge w:val="continue"/>
            <w:noWrap w:val="0"/>
            <w:vAlign w:val="center"/>
          </w:tcPr>
          <w:p w14:paraId="5F221A83">
            <w:pPr>
              <w:keepNext w:val="0"/>
              <w:keepLines w:val="0"/>
              <w:pageBreakBefore w:val="0"/>
              <w:widowControl w:val="0"/>
              <w:kinsoku/>
              <w:wordWrap w:val="0"/>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rPr>
            </w:pPr>
          </w:p>
        </w:tc>
        <w:tc>
          <w:tcPr>
            <w:tcW w:w="1305" w:type="dxa"/>
            <w:shd w:val="clear" w:color="auto" w:fill="auto"/>
            <w:noWrap w:val="0"/>
            <w:vAlign w:val="center"/>
          </w:tcPr>
          <w:p w14:paraId="2FAC3C15">
            <w:pPr>
              <w:keepNext w:val="0"/>
              <w:keepLines w:val="0"/>
              <w:pageBreakBefore w:val="0"/>
              <w:widowControl w:val="0"/>
              <w:kinsoku/>
              <w:wordWrap w:val="0"/>
              <w:overflowPunct/>
              <w:topLinePunct w:val="0"/>
              <w:autoSpaceDE/>
              <w:autoSpaceDN/>
              <w:bidi w:val="0"/>
              <w:spacing w:line="24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安全技术保障措施、安全应急方案</w:t>
            </w:r>
          </w:p>
          <w:p w14:paraId="03C9B3A6">
            <w:pPr>
              <w:keepNext w:val="0"/>
              <w:keepLines w:val="0"/>
              <w:pageBreakBefore w:val="0"/>
              <w:widowControl w:val="0"/>
              <w:kinsoku/>
              <w:wordWrap w:val="0"/>
              <w:overflowPunct/>
              <w:topLinePunct w:val="0"/>
              <w:autoSpaceDE/>
              <w:autoSpaceDN/>
              <w:bidi w:val="0"/>
              <w:spacing w:line="240" w:lineRule="auto"/>
              <w:jc w:val="center"/>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val="en-US" w:eastAsia="zh-CN"/>
              </w:rPr>
              <w:t xml:space="preserve">分） </w:t>
            </w:r>
          </w:p>
        </w:tc>
        <w:tc>
          <w:tcPr>
            <w:tcW w:w="6406" w:type="dxa"/>
            <w:shd w:val="clear" w:color="auto" w:fill="auto"/>
            <w:noWrap w:val="0"/>
            <w:vAlign w:val="center"/>
          </w:tcPr>
          <w:p w14:paraId="3BE68D9C">
            <w:pPr>
              <w:keepNext w:val="0"/>
              <w:keepLines w:val="0"/>
              <w:pageBreakBefore w:val="0"/>
              <w:widowControl w:val="0"/>
              <w:kinsoku/>
              <w:wordWrap w:val="0"/>
              <w:overflowPunct/>
              <w:topLinePunct w:val="0"/>
              <w:autoSpaceDE/>
              <w:autoSpaceDN/>
              <w:bidi w:val="0"/>
              <w:spacing w:line="240" w:lineRule="auto"/>
              <w:ind w:left="11" w:leftChars="0" w:right="11" w:rightChars="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 xml:space="preserve">安全防范措施齐全、应急处置措施完备、针对突发事件制定合理、有效的应急预案和措施，满足或高于采购人要求，对此部分内容进行横向比较， </w:t>
            </w:r>
            <w:r>
              <w:rPr>
                <w:rFonts w:hint="eastAsia" w:ascii="宋体" w:hAnsi="宋体" w:eastAsia="宋体" w:cs="宋体"/>
                <w:color w:val="auto"/>
                <w:sz w:val="24"/>
                <w:szCs w:val="24"/>
                <w:highlight w:val="none"/>
                <w:lang w:val="en-US" w:eastAsia="zh-CN"/>
              </w:rPr>
              <w:t>优</w:t>
            </w:r>
            <w:r>
              <w:rPr>
                <w:rFonts w:hint="eastAsia" w:ascii="宋体" w:hAnsi="宋体" w:eastAsia="宋体" w:cs="宋体"/>
                <w:color w:val="auto"/>
                <w:sz w:val="24"/>
                <w:szCs w:val="24"/>
                <w:highlight w:val="none"/>
              </w:rPr>
              <w:t xml:space="preserve">得 </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良</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分，未提供不得分；</w:t>
            </w:r>
          </w:p>
        </w:tc>
      </w:tr>
      <w:tr w14:paraId="04989A43">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88" w:type="dxa"/>
            <w:vMerge w:val="continue"/>
            <w:noWrap w:val="0"/>
            <w:vAlign w:val="center"/>
          </w:tcPr>
          <w:p w14:paraId="4F5D5F54">
            <w:pPr>
              <w:keepNext w:val="0"/>
              <w:keepLines w:val="0"/>
              <w:pageBreakBefore w:val="0"/>
              <w:widowControl w:val="0"/>
              <w:kinsoku/>
              <w:wordWrap w:val="0"/>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rPr>
            </w:pPr>
          </w:p>
        </w:tc>
        <w:tc>
          <w:tcPr>
            <w:tcW w:w="1305" w:type="dxa"/>
            <w:shd w:val="clear" w:color="auto" w:fill="auto"/>
            <w:noWrap w:val="0"/>
            <w:vAlign w:val="center"/>
          </w:tcPr>
          <w:p w14:paraId="59670055">
            <w:pPr>
              <w:keepNext w:val="0"/>
              <w:keepLines w:val="0"/>
              <w:pageBreakBefore w:val="0"/>
              <w:widowControl w:val="0"/>
              <w:kinsoku/>
              <w:wordWrap w:val="0"/>
              <w:overflowPunct/>
              <w:topLinePunct w:val="0"/>
              <w:autoSpaceDE/>
              <w:autoSpaceDN/>
              <w:bidi w:val="0"/>
              <w:spacing w:line="240" w:lineRule="auto"/>
              <w:jc w:val="both"/>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车辆运行线路</w:t>
            </w:r>
          </w:p>
          <w:p w14:paraId="3D888604">
            <w:pPr>
              <w:keepNext w:val="0"/>
              <w:keepLines w:val="0"/>
              <w:pageBreakBefore w:val="0"/>
              <w:widowControl w:val="0"/>
              <w:kinsoku/>
              <w:wordWrap w:val="0"/>
              <w:overflowPunct/>
              <w:topLinePunct w:val="0"/>
              <w:autoSpaceDE/>
              <w:autoSpaceDN/>
              <w:bidi w:val="0"/>
              <w:spacing w:line="240" w:lineRule="auto"/>
              <w:jc w:val="both"/>
              <w:rPr>
                <w:rFonts w:hint="eastAsia" w:ascii="宋体" w:hAnsi="宋体" w:eastAsia="宋体" w:cs="宋体"/>
                <w:bCs/>
                <w:color w:val="FF0000"/>
                <w:kern w:val="2"/>
                <w:sz w:val="24"/>
                <w:szCs w:val="24"/>
                <w:highlight w:val="none"/>
                <w:lang w:val="zh-CN" w:eastAsia="zh-CN" w:bidi="ar-SA"/>
              </w:rPr>
            </w:pPr>
            <w:r>
              <w:rPr>
                <w:rFonts w:hint="eastAsia" w:ascii="宋体" w:hAnsi="宋体" w:eastAsia="宋体" w:cs="宋体"/>
                <w:bCs/>
                <w:color w:val="auto"/>
                <w:sz w:val="24"/>
                <w:szCs w:val="24"/>
                <w:highlight w:val="none"/>
                <w:lang w:val="zh-CN" w:eastAsia="zh-CN"/>
              </w:rPr>
              <w:t>（</w:t>
            </w:r>
            <w:r>
              <w:rPr>
                <w:rFonts w:hint="eastAsia" w:ascii="宋体" w:hAnsi="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val="zh-CN" w:eastAsia="zh-CN"/>
              </w:rPr>
              <w:t>分）</w:t>
            </w:r>
          </w:p>
        </w:tc>
        <w:tc>
          <w:tcPr>
            <w:tcW w:w="6406" w:type="dxa"/>
            <w:shd w:val="clear" w:color="auto" w:fill="auto"/>
            <w:noWrap w:val="0"/>
            <w:vAlign w:val="center"/>
          </w:tcPr>
          <w:p w14:paraId="3CA59812">
            <w:pPr>
              <w:keepNext w:val="0"/>
              <w:keepLines w:val="0"/>
              <w:pageBreakBefore w:val="0"/>
              <w:widowControl w:val="0"/>
              <w:kinsoku/>
              <w:wordWrap w:val="0"/>
              <w:overflowPunct/>
              <w:topLinePunct w:val="0"/>
              <w:autoSpaceDE/>
              <w:autoSpaceDN/>
              <w:bidi w:val="0"/>
              <w:spacing w:line="240" w:lineRule="auto"/>
              <w:ind w:right="11" w:rightChars="0"/>
              <w:jc w:val="left"/>
              <w:rPr>
                <w:rFonts w:hint="eastAsia" w:ascii="宋体" w:hAnsi="宋体" w:eastAsia="宋体" w:cs="宋体"/>
                <w:color w:val="FF0000"/>
                <w:kern w:val="2"/>
                <w:sz w:val="24"/>
                <w:szCs w:val="24"/>
                <w:highlight w:val="none"/>
                <w:lang w:val="zh-CN" w:eastAsia="zh-CN" w:bidi="ar-SA"/>
              </w:rPr>
            </w:pPr>
            <w:r>
              <w:rPr>
                <w:rFonts w:hint="eastAsia" w:ascii="宋体" w:hAnsi="宋体" w:eastAsia="宋体" w:cs="宋体"/>
                <w:color w:val="auto"/>
                <w:sz w:val="24"/>
                <w:szCs w:val="24"/>
                <w:highlight w:val="none"/>
                <w:lang w:eastAsia="zh-CN"/>
              </w:rPr>
              <w:t>投标人自行对项目区域进行考察，提出合理的路线规划，科学、严谨、规范</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优</w:t>
            </w:r>
            <w:r>
              <w:rPr>
                <w:rFonts w:hint="eastAsia" w:ascii="宋体" w:hAnsi="宋体" w:eastAsia="宋体" w:cs="宋体"/>
                <w:color w:val="auto"/>
                <w:sz w:val="24"/>
                <w:szCs w:val="24"/>
                <w:highlight w:val="none"/>
              </w:rPr>
              <w:t xml:space="preserve">得 </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良</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分，未提供不得分</w:t>
            </w:r>
            <w:r>
              <w:rPr>
                <w:rFonts w:hint="eastAsia" w:ascii="宋体" w:hAnsi="宋体" w:cs="宋体"/>
                <w:color w:val="auto"/>
                <w:sz w:val="24"/>
                <w:szCs w:val="24"/>
                <w:highlight w:val="none"/>
                <w:lang w:eastAsia="zh-CN"/>
              </w:rPr>
              <w:t>。</w:t>
            </w:r>
          </w:p>
        </w:tc>
      </w:tr>
      <w:tr w14:paraId="280641D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988" w:type="dxa"/>
            <w:vMerge w:val="continue"/>
            <w:shd w:val="clear" w:color="auto" w:fill="auto"/>
            <w:noWrap w:val="0"/>
            <w:vAlign w:val="top"/>
          </w:tcPr>
          <w:p w14:paraId="66560988">
            <w:pPr>
              <w:pStyle w:val="34"/>
              <w:spacing w:before="272" w:line="240" w:lineRule="auto"/>
              <w:ind w:left="272" w:leftChars="0"/>
              <w:rPr>
                <w:rFonts w:hint="eastAsia" w:ascii="宋体" w:hAnsi="宋体" w:eastAsia="宋体" w:cs="宋体"/>
                <w:snapToGrid w:val="0"/>
                <w:color w:val="000000"/>
                <w:kern w:val="0"/>
                <w:sz w:val="24"/>
                <w:szCs w:val="24"/>
                <w:lang w:val="en-US" w:eastAsia="en-US" w:bidi="ar-SA"/>
              </w:rPr>
            </w:pPr>
          </w:p>
        </w:tc>
        <w:tc>
          <w:tcPr>
            <w:tcW w:w="1305" w:type="dxa"/>
            <w:shd w:val="clear" w:color="auto" w:fill="auto"/>
            <w:noWrap w:val="0"/>
            <w:vAlign w:val="top"/>
          </w:tcPr>
          <w:p w14:paraId="31A67315">
            <w:pPr>
              <w:bidi w:val="0"/>
              <w:spacing w:line="240" w:lineRule="auto"/>
              <w:rPr>
                <w:rFonts w:hint="eastAsia"/>
                <w:sz w:val="24"/>
                <w:szCs w:val="24"/>
              </w:rPr>
            </w:pPr>
            <w:r>
              <w:rPr>
                <w:rFonts w:hint="eastAsia"/>
                <w:sz w:val="24"/>
                <w:szCs w:val="24"/>
              </w:rPr>
              <w:t>运营服务方案</w:t>
            </w:r>
          </w:p>
          <w:p w14:paraId="7937E34B">
            <w:pPr>
              <w:bidi w:val="0"/>
              <w:spacing w:line="240" w:lineRule="auto"/>
              <w:rPr>
                <w:rFonts w:hint="eastAsia" w:ascii="宋体" w:hAnsi="宋体" w:eastAsia="宋体" w:cs="宋体"/>
                <w:snapToGrid w:val="0"/>
                <w:color w:val="000000"/>
                <w:kern w:val="0"/>
                <w:sz w:val="24"/>
                <w:szCs w:val="24"/>
                <w:lang w:val="en-US" w:eastAsia="zh-CN" w:bidi="ar-SA"/>
              </w:rPr>
            </w:pPr>
            <w:r>
              <w:rPr>
                <w:rFonts w:hint="eastAsia"/>
                <w:sz w:val="24"/>
                <w:szCs w:val="24"/>
                <w:lang w:eastAsia="zh-CN"/>
              </w:rPr>
              <w:t>（</w:t>
            </w:r>
            <w:r>
              <w:rPr>
                <w:rFonts w:hint="eastAsia"/>
                <w:sz w:val="24"/>
                <w:szCs w:val="24"/>
                <w:lang w:val="en-US" w:eastAsia="zh-CN"/>
              </w:rPr>
              <w:t>10</w:t>
            </w:r>
            <w:r>
              <w:rPr>
                <w:rFonts w:hint="eastAsia"/>
                <w:sz w:val="24"/>
                <w:szCs w:val="24"/>
              </w:rPr>
              <w:t>分</w:t>
            </w:r>
            <w:r>
              <w:rPr>
                <w:rFonts w:hint="eastAsia"/>
                <w:sz w:val="24"/>
                <w:szCs w:val="24"/>
                <w:lang w:eastAsia="zh-CN"/>
              </w:rPr>
              <w:t>）</w:t>
            </w:r>
          </w:p>
        </w:tc>
        <w:tc>
          <w:tcPr>
            <w:tcW w:w="6406" w:type="dxa"/>
            <w:shd w:val="clear" w:color="auto" w:fill="auto"/>
            <w:noWrap w:val="0"/>
            <w:vAlign w:val="top"/>
          </w:tcPr>
          <w:p w14:paraId="1CDCF1A5">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对各</w:t>
            </w:r>
            <w:r>
              <w:rPr>
                <w:rFonts w:hint="eastAsia" w:ascii="宋体" w:hAnsi="宋体" w:eastAsia="宋体" w:cs="宋体"/>
                <w:color w:val="000000"/>
                <w:kern w:val="0"/>
                <w:sz w:val="24"/>
                <w:szCs w:val="24"/>
                <w:highlight w:val="none"/>
                <w:lang w:eastAsia="zh-CN"/>
              </w:rPr>
              <w:t>投标人</w:t>
            </w:r>
            <w:r>
              <w:rPr>
                <w:rFonts w:hint="eastAsia" w:ascii="宋体" w:hAnsi="宋体" w:eastAsia="宋体" w:cs="宋体"/>
                <w:color w:val="000000"/>
                <w:kern w:val="0"/>
                <w:sz w:val="24"/>
                <w:szCs w:val="24"/>
                <w:highlight w:val="none"/>
              </w:rPr>
              <w:t>提供的</w:t>
            </w:r>
            <w:r>
              <w:rPr>
                <w:rFonts w:hint="eastAsia"/>
                <w:sz w:val="24"/>
                <w:szCs w:val="24"/>
              </w:rPr>
              <w:t>运营服务方案</w:t>
            </w:r>
            <w:r>
              <w:rPr>
                <w:rFonts w:hint="eastAsia" w:ascii="宋体" w:hAnsi="宋体" w:eastAsia="宋体" w:cs="宋体"/>
                <w:color w:val="000000"/>
                <w:kern w:val="0"/>
                <w:sz w:val="24"/>
                <w:szCs w:val="24"/>
                <w:highlight w:val="none"/>
              </w:rPr>
              <w:t xml:space="preserve">（包括不限于服务学校接送线路、对突发交通状况的处理等）进行综合评审： </w:t>
            </w:r>
          </w:p>
          <w:p w14:paraId="34D6F870">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（1）</w:t>
            </w:r>
            <w:r>
              <w:rPr>
                <w:rFonts w:hint="eastAsia"/>
                <w:sz w:val="24"/>
                <w:szCs w:val="24"/>
              </w:rPr>
              <w:t>运营服务方案</w:t>
            </w:r>
            <w:r>
              <w:rPr>
                <w:rFonts w:hint="eastAsia" w:ascii="宋体" w:hAnsi="宋体" w:eastAsia="宋体" w:cs="宋体"/>
                <w:color w:val="000000"/>
                <w:kern w:val="0"/>
                <w:sz w:val="24"/>
                <w:szCs w:val="24"/>
                <w:highlight w:val="none"/>
              </w:rPr>
              <w:t>内容非常完整，对于方案内容均有详细的介绍，内容非常清晰，行驶路线清晰完整，对突发交通状况处理灵活的，得</w:t>
            </w:r>
            <w:r>
              <w:rPr>
                <w:rFonts w:hint="eastAsia" w:ascii="宋体" w:hAnsi="宋体" w:cs="宋体"/>
                <w:color w:val="000000"/>
                <w:kern w:val="0"/>
                <w:sz w:val="24"/>
                <w:szCs w:val="24"/>
                <w:highlight w:val="none"/>
                <w:lang w:val="en-US" w:eastAsia="zh-CN"/>
              </w:rPr>
              <w:t>10-7</w:t>
            </w:r>
            <w:r>
              <w:rPr>
                <w:rFonts w:hint="eastAsia" w:ascii="宋体" w:hAnsi="宋体" w:eastAsia="宋体" w:cs="宋体"/>
                <w:color w:val="000000"/>
                <w:kern w:val="0"/>
                <w:sz w:val="24"/>
                <w:szCs w:val="24"/>
                <w:highlight w:val="none"/>
              </w:rPr>
              <w:t>分；</w:t>
            </w:r>
          </w:p>
          <w:p w14:paraId="3E1D37F3">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（2）</w:t>
            </w:r>
            <w:r>
              <w:rPr>
                <w:rFonts w:hint="eastAsia"/>
                <w:sz w:val="24"/>
                <w:szCs w:val="24"/>
              </w:rPr>
              <w:t>运营服务方案</w:t>
            </w:r>
            <w:r>
              <w:rPr>
                <w:rFonts w:hint="eastAsia" w:ascii="宋体" w:hAnsi="宋体" w:eastAsia="宋体" w:cs="宋体"/>
                <w:color w:val="000000"/>
                <w:kern w:val="0"/>
                <w:sz w:val="24"/>
                <w:szCs w:val="24"/>
                <w:highlight w:val="none"/>
              </w:rPr>
              <w:t>内容比较完善，对于方案内容均有一定的介绍，内容详细但不够清晰，行驶路线清晰但不够完整，对突发交通状况处理快捷但不够灵活的，得</w:t>
            </w:r>
            <w:r>
              <w:rPr>
                <w:rFonts w:hint="eastAsia" w:ascii="宋体" w:hAnsi="宋体" w:cs="宋体"/>
                <w:color w:val="000000"/>
                <w:kern w:val="0"/>
                <w:sz w:val="24"/>
                <w:szCs w:val="24"/>
                <w:highlight w:val="none"/>
                <w:lang w:val="en-US" w:eastAsia="zh-CN"/>
              </w:rPr>
              <w:t>6-3</w:t>
            </w:r>
            <w:r>
              <w:rPr>
                <w:rFonts w:hint="eastAsia" w:ascii="宋体" w:hAnsi="宋体" w:eastAsia="宋体" w:cs="宋体"/>
                <w:color w:val="000000"/>
                <w:kern w:val="0"/>
                <w:sz w:val="24"/>
                <w:szCs w:val="24"/>
                <w:highlight w:val="none"/>
              </w:rPr>
              <w:t>分；</w:t>
            </w:r>
          </w:p>
          <w:p w14:paraId="771814FB">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（3）</w:t>
            </w:r>
            <w:r>
              <w:rPr>
                <w:rFonts w:hint="eastAsia"/>
                <w:sz w:val="24"/>
                <w:szCs w:val="24"/>
              </w:rPr>
              <w:t>运营服务方案</w:t>
            </w:r>
            <w:r>
              <w:rPr>
                <w:rFonts w:hint="eastAsia" w:ascii="宋体" w:hAnsi="宋体" w:eastAsia="宋体" w:cs="宋体"/>
                <w:color w:val="000000"/>
                <w:kern w:val="0"/>
                <w:sz w:val="24"/>
                <w:szCs w:val="24"/>
                <w:highlight w:val="none"/>
              </w:rPr>
              <w:t>内容不完整，对方案内容有基本的介绍，但内容不够清晰，行驶路线不够清晰，对突发交通状况处理不够快捷的，得</w:t>
            </w:r>
            <w:r>
              <w:rPr>
                <w:rFonts w:hint="eastAsia" w:ascii="宋体" w:hAnsi="宋体" w:cs="宋体"/>
                <w:color w:val="000000"/>
                <w:kern w:val="0"/>
                <w:sz w:val="24"/>
                <w:szCs w:val="24"/>
                <w:highlight w:val="none"/>
                <w:lang w:val="en-US" w:eastAsia="zh-CN"/>
              </w:rPr>
              <w:t>2-1</w:t>
            </w:r>
            <w:r>
              <w:rPr>
                <w:rFonts w:hint="eastAsia" w:ascii="宋体" w:hAnsi="宋体" w:eastAsia="宋体" w:cs="宋体"/>
                <w:color w:val="000000"/>
                <w:kern w:val="0"/>
                <w:sz w:val="24"/>
                <w:szCs w:val="24"/>
                <w:highlight w:val="none"/>
              </w:rPr>
              <w:t>分；</w:t>
            </w:r>
          </w:p>
          <w:p w14:paraId="2F789DF7">
            <w:pPr>
              <w:bidi w:val="0"/>
              <w:spacing w:line="240" w:lineRule="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方案、条理分析较差或未提供方案，不得分。</w:t>
            </w:r>
          </w:p>
        </w:tc>
      </w:tr>
    </w:tbl>
    <w:p w14:paraId="7F05F587">
      <w:pPr>
        <w:snapToGrid/>
        <w:spacing w:before="0" w:beforeAutospacing="0" w:after="0" w:afterAutospacing="0" w:line="240" w:lineRule="auto"/>
        <w:jc w:val="center"/>
        <w:textAlignment w:val="baseline"/>
        <w:rPr>
          <w:rFonts w:hint="eastAsia"/>
          <w:b w:val="0"/>
          <w:i w:val="0"/>
          <w:caps w:val="0"/>
          <w:spacing w:val="0"/>
          <w:w w:val="100"/>
          <w:sz w:val="48"/>
        </w:rPr>
      </w:pPr>
    </w:p>
    <w:p w14:paraId="1FEFCAED">
      <w:pPr>
        <w:pStyle w:val="13"/>
        <w:spacing w:before="120" w:beforeLines="50" w:after="0" w:line="276" w:lineRule="auto"/>
        <w:jc w:val="left"/>
        <w:rPr>
          <w:rFonts w:hint="eastAsia" w:ascii="宋体" w:hAnsi="宋体" w:eastAsia="宋体" w:cs="宋体"/>
          <w:color w:val="auto"/>
          <w:kern w:val="2"/>
          <w:sz w:val="21"/>
          <w:szCs w:val="18"/>
          <w:highlight w:val="none"/>
        </w:rPr>
      </w:pPr>
      <w:bookmarkStart w:id="20" w:name="_Toc12013"/>
      <w:bookmarkStart w:id="21" w:name="_Toc10370"/>
      <w:bookmarkStart w:id="22" w:name="_Toc508107215"/>
      <w:bookmarkStart w:id="23" w:name="_Toc3517"/>
      <w:bookmarkStart w:id="24" w:name="_Toc9340"/>
      <w:bookmarkStart w:id="25" w:name="_Toc9118"/>
      <w:bookmarkStart w:id="26" w:name="_Toc18788"/>
      <w:bookmarkStart w:id="27" w:name="_Toc26667"/>
      <w:bookmarkStart w:id="28" w:name="_Toc508804033"/>
      <w:bookmarkStart w:id="29" w:name="_Toc25378"/>
      <w:bookmarkStart w:id="30" w:name="_Toc5368"/>
      <w:r>
        <w:rPr>
          <w:rFonts w:hint="eastAsia" w:ascii="宋体" w:hAnsi="宋体" w:eastAsia="宋体" w:cs="宋体"/>
          <w:color w:val="auto"/>
          <w:kern w:val="2"/>
          <w:sz w:val="21"/>
          <w:szCs w:val="18"/>
          <w:highlight w:val="none"/>
        </w:rPr>
        <w:t>1、评标方法</w:t>
      </w:r>
      <w:bookmarkEnd w:id="20"/>
      <w:bookmarkEnd w:id="21"/>
      <w:bookmarkEnd w:id="22"/>
      <w:bookmarkEnd w:id="23"/>
      <w:bookmarkEnd w:id="24"/>
      <w:bookmarkEnd w:id="25"/>
      <w:bookmarkEnd w:id="26"/>
      <w:bookmarkEnd w:id="27"/>
      <w:bookmarkEnd w:id="28"/>
      <w:bookmarkEnd w:id="29"/>
      <w:bookmarkEnd w:id="30"/>
    </w:p>
    <w:p w14:paraId="4E63BCE5">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（1）本次评标采用综合评估法。评标委员会对满足招标文件实质性要求的投标文件，按照本章2.2 款规定的评分标准进行打分，并按得分由高到低顺序推荐中标候选人。综合评分相等时，以技术评分标准得分高的优先。</w:t>
      </w:r>
    </w:p>
    <w:p w14:paraId="15128436">
      <w:pPr>
        <w:spacing w:line="440" w:lineRule="exact"/>
        <w:ind w:firstLine="420" w:firstLineChars="200"/>
        <w:rPr>
          <w:rFonts w:hint="eastAsia" w:ascii="宋体" w:hAnsi="宋体" w:eastAsia="宋体" w:cs="宋体"/>
          <w:color w:val="auto"/>
          <w:szCs w:val="21"/>
          <w:highlight w:val="none"/>
        </w:rPr>
      </w:pPr>
      <w:bookmarkStart w:id="31" w:name="_Toc18206"/>
      <w:bookmarkStart w:id="32" w:name="_Toc29084"/>
      <w:bookmarkStart w:id="33" w:name="_Toc508804034"/>
      <w:bookmarkStart w:id="34" w:name="_Toc14198"/>
      <w:bookmarkStart w:id="35" w:name="_Toc29976"/>
      <w:bookmarkStart w:id="36" w:name="_Toc26305"/>
      <w:r>
        <w:rPr>
          <w:rFonts w:hint="eastAsia" w:ascii="宋体" w:hAnsi="宋体" w:eastAsia="宋体" w:cs="宋体"/>
          <w:color w:val="auto"/>
          <w:szCs w:val="21"/>
          <w:highlight w:val="none"/>
        </w:rPr>
        <w:t>（2）对各项评分进行汇总，将所有评委的打分进行汇总后，将各投标单位的得分的算术平均值为投标单位的最后得分，拟定“得分结果表”，按评分从高到低进行排序。评标委员会向招标人推荐3名中标候选人，确定排名第一中标候选人为中标单位。</w:t>
      </w:r>
    </w:p>
    <w:p w14:paraId="4E7F6C2C">
      <w:pPr>
        <w:pStyle w:val="13"/>
        <w:spacing w:before="120" w:beforeLines="50" w:after="0" w:line="276" w:lineRule="auto"/>
        <w:jc w:val="left"/>
        <w:rPr>
          <w:rFonts w:hint="eastAsia" w:ascii="宋体" w:hAnsi="宋体" w:eastAsia="宋体" w:cs="宋体"/>
          <w:color w:val="auto"/>
          <w:kern w:val="2"/>
          <w:sz w:val="21"/>
          <w:szCs w:val="18"/>
          <w:highlight w:val="none"/>
        </w:rPr>
      </w:pPr>
      <w:bookmarkStart w:id="37" w:name="_Toc4372"/>
      <w:bookmarkStart w:id="38" w:name="_Toc15390"/>
      <w:bookmarkStart w:id="39" w:name="_Toc13905"/>
      <w:bookmarkStart w:id="40" w:name="_Toc21466"/>
      <w:r>
        <w:rPr>
          <w:rFonts w:hint="eastAsia" w:ascii="宋体" w:hAnsi="宋体" w:eastAsia="宋体" w:cs="宋体"/>
          <w:color w:val="auto"/>
          <w:kern w:val="2"/>
          <w:sz w:val="21"/>
          <w:szCs w:val="18"/>
          <w:highlight w:val="none"/>
        </w:rPr>
        <w:t>2、评审标准</w:t>
      </w:r>
      <w:bookmarkEnd w:id="31"/>
      <w:bookmarkEnd w:id="32"/>
      <w:bookmarkEnd w:id="33"/>
      <w:bookmarkEnd w:id="34"/>
      <w:bookmarkEnd w:id="35"/>
      <w:bookmarkEnd w:id="36"/>
      <w:bookmarkEnd w:id="37"/>
      <w:bookmarkEnd w:id="38"/>
      <w:bookmarkEnd w:id="39"/>
      <w:bookmarkEnd w:id="40"/>
    </w:p>
    <w:p w14:paraId="56A539B7">
      <w:pPr>
        <w:pStyle w:val="13"/>
        <w:spacing w:before="120" w:beforeLines="50" w:after="0" w:line="276" w:lineRule="auto"/>
        <w:jc w:val="left"/>
        <w:rPr>
          <w:rFonts w:hint="eastAsia" w:ascii="宋体" w:hAnsi="宋体" w:eastAsia="宋体" w:cs="宋体"/>
          <w:color w:val="auto"/>
          <w:kern w:val="2"/>
          <w:sz w:val="21"/>
          <w:szCs w:val="18"/>
          <w:highlight w:val="none"/>
        </w:rPr>
      </w:pPr>
      <w:bookmarkStart w:id="41" w:name="_Toc21105"/>
      <w:bookmarkStart w:id="42" w:name="_Toc508804035"/>
      <w:bookmarkStart w:id="43" w:name="_Toc12373"/>
      <w:bookmarkStart w:id="44" w:name="_Toc1482"/>
      <w:bookmarkStart w:id="45" w:name="_Toc21692"/>
      <w:bookmarkStart w:id="46" w:name="_Toc1136"/>
      <w:bookmarkStart w:id="47" w:name="_Toc19324"/>
      <w:bookmarkStart w:id="48" w:name="_Toc18342"/>
      <w:bookmarkStart w:id="49" w:name="_Toc20559"/>
      <w:bookmarkStart w:id="50" w:name="_Toc5264"/>
      <w:r>
        <w:rPr>
          <w:rFonts w:hint="eastAsia" w:ascii="宋体" w:hAnsi="宋体" w:eastAsia="宋体" w:cs="宋体"/>
          <w:color w:val="auto"/>
          <w:kern w:val="2"/>
          <w:sz w:val="21"/>
          <w:szCs w:val="18"/>
          <w:highlight w:val="none"/>
        </w:rPr>
        <w:t>2.1 初步评审标准</w:t>
      </w:r>
      <w:bookmarkEnd w:id="41"/>
      <w:bookmarkEnd w:id="42"/>
      <w:bookmarkEnd w:id="43"/>
      <w:bookmarkEnd w:id="44"/>
      <w:bookmarkEnd w:id="45"/>
      <w:bookmarkEnd w:id="46"/>
      <w:bookmarkEnd w:id="47"/>
      <w:bookmarkEnd w:id="48"/>
      <w:bookmarkEnd w:id="49"/>
      <w:bookmarkEnd w:id="50"/>
    </w:p>
    <w:p w14:paraId="05131262">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 形式评审标准：见评标办法前附表。</w:t>
      </w:r>
    </w:p>
    <w:p w14:paraId="524D047C">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 资格评审标准：见评标办法前附表。</w:t>
      </w:r>
    </w:p>
    <w:p w14:paraId="4396437C">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2.1.3 </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性评审标准：见评标办法前附表。</w:t>
      </w:r>
    </w:p>
    <w:p w14:paraId="3AD99A1C">
      <w:pPr>
        <w:pStyle w:val="13"/>
        <w:spacing w:before="120" w:beforeLines="50" w:after="0" w:line="276" w:lineRule="auto"/>
        <w:jc w:val="left"/>
        <w:rPr>
          <w:rFonts w:hint="eastAsia" w:ascii="宋体" w:hAnsi="宋体" w:eastAsia="宋体" w:cs="宋体"/>
          <w:color w:val="auto"/>
          <w:kern w:val="2"/>
          <w:sz w:val="21"/>
          <w:szCs w:val="18"/>
          <w:highlight w:val="none"/>
        </w:rPr>
      </w:pPr>
      <w:bookmarkStart w:id="51" w:name="_Toc508804036"/>
      <w:bookmarkStart w:id="52" w:name="_Toc16570"/>
      <w:bookmarkStart w:id="53" w:name="_Toc17347"/>
      <w:bookmarkStart w:id="54" w:name="_Toc8103"/>
      <w:bookmarkStart w:id="55" w:name="_Toc6748"/>
      <w:bookmarkStart w:id="56" w:name="_Toc5687"/>
      <w:bookmarkStart w:id="57" w:name="_Toc13080"/>
      <w:bookmarkStart w:id="58" w:name="_Toc28755"/>
      <w:bookmarkStart w:id="59" w:name="_Toc158"/>
      <w:bookmarkStart w:id="60" w:name="_Toc4472"/>
      <w:r>
        <w:rPr>
          <w:rFonts w:hint="eastAsia" w:ascii="宋体" w:hAnsi="宋体" w:eastAsia="宋体" w:cs="宋体"/>
          <w:color w:val="auto"/>
          <w:kern w:val="2"/>
          <w:sz w:val="21"/>
          <w:szCs w:val="18"/>
          <w:highlight w:val="none"/>
        </w:rPr>
        <w:t>2.2 分值构成与评分标准</w:t>
      </w:r>
      <w:bookmarkEnd w:id="51"/>
      <w:bookmarkEnd w:id="52"/>
      <w:bookmarkEnd w:id="53"/>
      <w:bookmarkEnd w:id="54"/>
      <w:bookmarkEnd w:id="55"/>
      <w:bookmarkEnd w:id="56"/>
      <w:bookmarkEnd w:id="57"/>
      <w:bookmarkEnd w:id="58"/>
      <w:bookmarkEnd w:id="59"/>
      <w:bookmarkEnd w:id="60"/>
    </w:p>
    <w:p w14:paraId="0ECDCC44">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 分值构成</w:t>
      </w:r>
    </w:p>
    <w:p w14:paraId="6EF422B6">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（1）商务部分：见评标办法前附表；</w:t>
      </w:r>
    </w:p>
    <w:p w14:paraId="5AA64C85">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（2）技术部分：见评标办法前附表；</w:t>
      </w:r>
    </w:p>
    <w:p w14:paraId="7A5DD9FC">
      <w:pPr>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（3）投标报价评分标准：见评标办法前附表。</w:t>
      </w:r>
    </w:p>
    <w:p w14:paraId="4279C1F7">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 评标基准价计算（本项目不适用）</w:t>
      </w:r>
    </w:p>
    <w:p w14:paraId="67BD4C2F">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评标基准价计算方法：见评标办法前附表。</w:t>
      </w:r>
    </w:p>
    <w:p w14:paraId="75E39EAD">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 投标报价的偏差率计算（本项目不适用）</w:t>
      </w:r>
    </w:p>
    <w:p w14:paraId="7F46958E">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投标报价的偏差率计算公式：见评标办法前附表。</w:t>
      </w:r>
    </w:p>
    <w:p w14:paraId="73C93516">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2.2.4 评分标准</w:t>
      </w:r>
    </w:p>
    <w:p w14:paraId="002CD892">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（1）商务评分标准：见评标办法前附表；</w:t>
      </w:r>
    </w:p>
    <w:p w14:paraId="0024041F">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（2）技术评分标准：见评标办法前附表；</w:t>
      </w:r>
    </w:p>
    <w:p w14:paraId="1AC3C5DA">
      <w:pPr>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（3）投标报价评分标准：见评标办法前附表。</w:t>
      </w:r>
    </w:p>
    <w:p w14:paraId="15771CE2">
      <w:pPr>
        <w:pStyle w:val="13"/>
        <w:spacing w:before="120" w:beforeLines="50" w:after="0" w:line="276" w:lineRule="auto"/>
        <w:jc w:val="left"/>
        <w:rPr>
          <w:rFonts w:hint="eastAsia" w:ascii="宋体" w:hAnsi="宋体" w:eastAsia="宋体" w:cs="宋体"/>
          <w:color w:val="auto"/>
          <w:kern w:val="2"/>
          <w:sz w:val="21"/>
          <w:szCs w:val="18"/>
          <w:highlight w:val="none"/>
        </w:rPr>
      </w:pPr>
      <w:bookmarkStart w:id="61" w:name="page43"/>
      <w:bookmarkEnd w:id="61"/>
      <w:bookmarkStart w:id="62" w:name="_Toc508804037"/>
      <w:bookmarkStart w:id="63" w:name="_Toc22160"/>
      <w:bookmarkStart w:id="64" w:name="_Toc4465"/>
      <w:bookmarkStart w:id="65" w:name="_Toc31427"/>
      <w:bookmarkStart w:id="66" w:name="_Toc22657"/>
      <w:bookmarkStart w:id="67" w:name="_Toc11458"/>
      <w:bookmarkStart w:id="68" w:name="_Toc25123"/>
      <w:bookmarkStart w:id="69" w:name="_Toc11831"/>
      <w:bookmarkStart w:id="70" w:name="_Toc30588"/>
      <w:bookmarkStart w:id="71" w:name="_Toc23126"/>
      <w:r>
        <w:rPr>
          <w:rFonts w:hint="eastAsia" w:ascii="宋体" w:hAnsi="宋体" w:eastAsia="宋体" w:cs="宋体"/>
          <w:color w:val="auto"/>
          <w:kern w:val="2"/>
          <w:sz w:val="21"/>
          <w:szCs w:val="18"/>
          <w:highlight w:val="none"/>
        </w:rPr>
        <w:t>3、评标程序</w:t>
      </w:r>
      <w:bookmarkEnd w:id="62"/>
      <w:bookmarkEnd w:id="63"/>
      <w:bookmarkEnd w:id="64"/>
      <w:bookmarkEnd w:id="65"/>
      <w:bookmarkEnd w:id="66"/>
      <w:bookmarkEnd w:id="67"/>
      <w:bookmarkEnd w:id="68"/>
      <w:bookmarkEnd w:id="69"/>
      <w:bookmarkEnd w:id="70"/>
      <w:bookmarkEnd w:id="71"/>
    </w:p>
    <w:p w14:paraId="1E282E6B">
      <w:pPr>
        <w:pStyle w:val="13"/>
        <w:spacing w:before="120" w:beforeLines="50" w:after="0" w:line="276" w:lineRule="auto"/>
        <w:jc w:val="left"/>
        <w:rPr>
          <w:rFonts w:hint="eastAsia" w:ascii="宋体" w:hAnsi="宋体" w:eastAsia="宋体" w:cs="宋体"/>
          <w:color w:val="auto"/>
          <w:kern w:val="2"/>
          <w:sz w:val="21"/>
          <w:szCs w:val="18"/>
          <w:highlight w:val="none"/>
        </w:rPr>
      </w:pPr>
      <w:bookmarkStart w:id="72" w:name="_Toc8827"/>
      <w:bookmarkStart w:id="73" w:name="_Toc21404"/>
      <w:bookmarkStart w:id="74" w:name="_Toc4532"/>
      <w:bookmarkStart w:id="75" w:name="_Toc508804038"/>
      <w:bookmarkStart w:id="76" w:name="_Toc12356"/>
      <w:bookmarkStart w:id="77" w:name="_Toc29679"/>
      <w:bookmarkStart w:id="78" w:name="_Toc7358"/>
      <w:bookmarkStart w:id="79" w:name="_Toc11609"/>
      <w:bookmarkStart w:id="80" w:name="_Toc31773"/>
      <w:bookmarkStart w:id="81" w:name="_Toc1"/>
      <w:r>
        <w:rPr>
          <w:rFonts w:hint="eastAsia" w:ascii="宋体" w:hAnsi="宋体" w:eastAsia="宋体" w:cs="宋体"/>
          <w:color w:val="auto"/>
          <w:kern w:val="2"/>
          <w:sz w:val="21"/>
          <w:szCs w:val="18"/>
          <w:highlight w:val="none"/>
        </w:rPr>
        <w:t>3.1 初步评审</w:t>
      </w:r>
      <w:bookmarkEnd w:id="72"/>
      <w:bookmarkEnd w:id="73"/>
      <w:bookmarkEnd w:id="74"/>
      <w:bookmarkEnd w:id="75"/>
      <w:bookmarkEnd w:id="76"/>
      <w:bookmarkEnd w:id="77"/>
      <w:bookmarkEnd w:id="78"/>
      <w:bookmarkEnd w:id="79"/>
      <w:bookmarkEnd w:id="80"/>
      <w:bookmarkEnd w:id="81"/>
    </w:p>
    <w:p w14:paraId="59463543">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r>
        <w:rPr>
          <w:rFonts w:hint="eastAsia" w:ascii="宋体" w:hAnsi="宋体" w:eastAsia="宋体" w:cs="宋体"/>
          <w:color w:val="auto"/>
          <w:highlight w:val="none"/>
        </w:rPr>
        <w:t>当通过初步评审合格的有效投标人不足三家时，采购人将重新开展招标活动。</w:t>
      </w:r>
    </w:p>
    <w:p w14:paraId="3D16EC05">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 投标人有以下情形之一的，评标委员会应当否决其投标：</w:t>
      </w:r>
    </w:p>
    <w:p w14:paraId="7A6FE6C6">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（1）投标文件没有对招标文件的实质性要求和条件作出</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，或者对招标文件的偏差超出招标文件规定的偏差范围或最高项数；</w:t>
      </w:r>
    </w:p>
    <w:p w14:paraId="6027DD78">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（2）有串通投标、弄虚作假、行贿等违法行为。</w:t>
      </w:r>
    </w:p>
    <w:p w14:paraId="0C35BB48">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3.1.3 投标报价有算术错误及其他错误的，评标委员会按以下原则要求投标人对投标报价进行修正，并要求投标人书面澄清确认。投标人拒不澄清确认的，评标委员会应当否决其投标：</w:t>
      </w:r>
    </w:p>
    <w:p w14:paraId="3B56A7AE">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（1）投标文件中的大写金额与小写金额不一致的，以大写金额为准；</w:t>
      </w:r>
    </w:p>
    <w:p w14:paraId="357EDCB1">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（2）总价金额与单价金额不一致的，以单价金额为准，但单价金额小数点有明显错误的除外；</w:t>
      </w:r>
    </w:p>
    <w:p w14:paraId="4B5DD993">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（3）投标报价为各分项报价金额之和，投标报价与分项报价的合价不一致的，应以各分项合价累计数为准，修正投标报价；</w:t>
      </w:r>
    </w:p>
    <w:p w14:paraId="37F55BE1">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（4）如果分项报价中存在缺漏项，则视为缺漏项价格已包含在其他分项报价之中。</w:t>
      </w:r>
    </w:p>
    <w:p w14:paraId="01867E27">
      <w:pPr>
        <w:pStyle w:val="13"/>
        <w:spacing w:before="120" w:beforeLines="50" w:after="0" w:line="276" w:lineRule="auto"/>
        <w:jc w:val="left"/>
        <w:rPr>
          <w:rFonts w:hint="eastAsia" w:ascii="宋体" w:hAnsi="宋体" w:eastAsia="宋体" w:cs="宋体"/>
          <w:color w:val="auto"/>
          <w:kern w:val="2"/>
          <w:sz w:val="21"/>
          <w:szCs w:val="18"/>
          <w:highlight w:val="none"/>
        </w:rPr>
      </w:pPr>
      <w:bookmarkStart w:id="82" w:name="_Toc10491"/>
      <w:bookmarkStart w:id="83" w:name="_Toc13094"/>
      <w:bookmarkStart w:id="84" w:name="_Toc6280"/>
      <w:bookmarkStart w:id="85" w:name="_Toc15754"/>
      <w:bookmarkStart w:id="86" w:name="_Toc29561"/>
      <w:bookmarkStart w:id="87" w:name="_Toc508804039"/>
      <w:bookmarkStart w:id="88" w:name="_Toc10930"/>
      <w:bookmarkStart w:id="89" w:name="_Toc7184"/>
      <w:bookmarkStart w:id="90" w:name="_Toc31970"/>
      <w:bookmarkStart w:id="91" w:name="_Toc1142"/>
      <w:r>
        <w:rPr>
          <w:rFonts w:hint="eastAsia" w:ascii="宋体" w:hAnsi="宋体" w:eastAsia="宋体" w:cs="宋体"/>
          <w:color w:val="auto"/>
          <w:kern w:val="2"/>
          <w:sz w:val="21"/>
          <w:szCs w:val="18"/>
          <w:highlight w:val="none"/>
        </w:rPr>
        <w:t>3.2 详细评审</w:t>
      </w:r>
      <w:bookmarkEnd w:id="82"/>
      <w:bookmarkEnd w:id="83"/>
      <w:bookmarkEnd w:id="84"/>
      <w:bookmarkEnd w:id="85"/>
      <w:bookmarkEnd w:id="86"/>
      <w:bookmarkEnd w:id="87"/>
      <w:bookmarkEnd w:id="88"/>
      <w:bookmarkEnd w:id="89"/>
      <w:bookmarkEnd w:id="90"/>
      <w:bookmarkEnd w:id="91"/>
    </w:p>
    <w:p w14:paraId="316CE3EF">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 评标委员会按本章第 2.2 款规定的量化因素和分值进行打分，并计算出综合评估得分。</w:t>
      </w:r>
    </w:p>
    <w:p w14:paraId="42637865">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（1）按本章第 2.2.4（1）目规定的评审因素和分值对商务部分计算出得分 A；</w:t>
      </w:r>
    </w:p>
    <w:p w14:paraId="75C4C45D">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（2）按本章第 2.2.4（2）目规定的评审因素和分值对技术部分计算出得分 B；</w:t>
      </w:r>
    </w:p>
    <w:p w14:paraId="2646B26D">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（3）按本章第 2.2.4（3）目规定的评审因素和分值对其他评分计算出得分 C；</w:t>
      </w:r>
    </w:p>
    <w:p w14:paraId="290F4C0D">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 评分分值计算保留小数点后两位，小数点后第三位“四舍五入”。</w:t>
      </w:r>
    </w:p>
    <w:p w14:paraId="3F34D825">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 得分汇总E=A+B+C。</w:t>
      </w:r>
    </w:p>
    <w:p w14:paraId="4F6AAA01">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3.2.4 </w:t>
      </w:r>
      <w:r>
        <w:rPr>
          <w:rFonts w:hint="eastAsia" w:ascii="宋体" w:hAnsi="宋体" w:eastAsia="宋体" w:cs="宋体"/>
          <w:color w:val="auto"/>
          <w:kern w:val="0"/>
          <w:szCs w:val="21"/>
          <w:highlight w:val="none"/>
        </w:rPr>
        <w:t>投标人得分=（E</w:t>
      </w:r>
      <w:r>
        <w:rPr>
          <w:rFonts w:hint="eastAsia" w:ascii="宋体" w:hAnsi="宋体" w:eastAsia="宋体" w:cs="宋体"/>
          <w:color w:val="auto"/>
          <w:kern w:val="0"/>
          <w:szCs w:val="21"/>
          <w:highlight w:val="none"/>
          <w:vertAlign w:val="subscript"/>
        </w:rPr>
        <w:t>1</w:t>
      </w:r>
      <w:r>
        <w:rPr>
          <w:rFonts w:hint="eastAsia" w:ascii="宋体" w:hAnsi="宋体" w:eastAsia="宋体" w:cs="宋体"/>
          <w:color w:val="auto"/>
          <w:kern w:val="0"/>
          <w:szCs w:val="21"/>
          <w:highlight w:val="none"/>
        </w:rPr>
        <w:t>+E</w:t>
      </w:r>
      <w:r>
        <w:rPr>
          <w:rFonts w:hint="eastAsia" w:ascii="宋体" w:hAnsi="宋体" w:eastAsia="宋体" w:cs="宋体"/>
          <w:color w:val="auto"/>
          <w:kern w:val="0"/>
          <w:szCs w:val="21"/>
          <w:highlight w:val="none"/>
          <w:vertAlign w:val="subscript"/>
        </w:rPr>
        <w:t>2</w:t>
      </w:r>
      <w:r>
        <w:rPr>
          <w:rFonts w:hint="eastAsia" w:ascii="宋体" w:hAnsi="宋体" w:eastAsia="宋体" w:cs="宋体"/>
          <w:color w:val="auto"/>
          <w:kern w:val="0"/>
          <w:szCs w:val="21"/>
          <w:highlight w:val="none"/>
        </w:rPr>
        <w:t>+E</w:t>
      </w:r>
      <w:r>
        <w:rPr>
          <w:rFonts w:hint="eastAsia" w:ascii="宋体" w:hAnsi="宋体" w:eastAsia="宋体" w:cs="宋体"/>
          <w:color w:val="auto"/>
          <w:kern w:val="0"/>
          <w:szCs w:val="21"/>
          <w:highlight w:val="none"/>
          <w:vertAlign w:val="subscript"/>
        </w:rPr>
        <w:t>3</w:t>
      </w:r>
      <w:r>
        <w:rPr>
          <w:rFonts w:hint="eastAsia" w:ascii="宋体" w:hAnsi="宋体" w:eastAsia="宋体" w:cs="宋体"/>
          <w:color w:val="auto"/>
          <w:kern w:val="0"/>
          <w:szCs w:val="21"/>
          <w:highlight w:val="none"/>
        </w:rPr>
        <w:t>+E</w:t>
      </w:r>
      <w:r>
        <w:rPr>
          <w:rFonts w:hint="eastAsia" w:ascii="宋体" w:hAnsi="宋体" w:eastAsia="宋体" w:cs="宋体"/>
          <w:color w:val="auto"/>
          <w:kern w:val="0"/>
          <w:szCs w:val="21"/>
          <w:highlight w:val="none"/>
          <w:vertAlign w:val="subscript"/>
        </w:rPr>
        <w:t>4</w:t>
      </w:r>
      <w:r>
        <w:rPr>
          <w:rFonts w:hint="eastAsia" w:ascii="宋体" w:hAnsi="宋体" w:eastAsia="宋体" w:cs="宋体"/>
          <w:color w:val="auto"/>
          <w:kern w:val="0"/>
          <w:szCs w:val="21"/>
          <w:highlight w:val="none"/>
        </w:rPr>
        <w:t>+E</w:t>
      </w:r>
      <w:r>
        <w:rPr>
          <w:rFonts w:hint="eastAsia" w:ascii="宋体" w:hAnsi="宋体" w:eastAsia="宋体" w:cs="宋体"/>
          <w:color w:val="auto"/>
          <w:kern w:val="0"/>
          <w:szCs w:val="21"/>
          <w:highlight w:val="none"/>
          <w:vertAlign w:val="subscript"/>
        </w:rPr>
        <w:t>5</w:t>
      </w:r>
      <w:r>
        <w:rPr>
          <w:rFonts w:hint="eastAsia" w:ascii="宋体" w:hAnsi="宋体" w:eastAsia="宋体" w:cs="宋体"/>
          <w:color w:val="auto"/>
          <w:kern w:val="0"/>
          <w:szCs w:val="21"/>
          <w:highlight w:val="none"/>
        </w:rPr>
        <w:t>）/5</w:t>
      </w:r>
    </w:p>
    <w:p w14:paraId="598EF55F">
      <w:pPr>
        <w:pStyle w:val="13"/>
        <w:spacing w:before="120" w:beforeLines="50" w:after="0" w:line="276" w:lineRule="auto"/>
        <w:jc w:val="left"/>
        <w:rPr>
          <w:rFonts w:hint="eastAsia" w:ascii="宋体" w:hAnsi="宋体" w:eastAsia="宋体" w:cs="宋体"/>
          <w:color w:val="auto"/>
          <w:kern w:val="2"/>
          <w:sz w:val="21"/>
          <w:szCs w:val="18"/>
          <w:highlight w:val="none"/>
        </w:rPr>
      </w:pPr>
      <w:bookmarkStart w:id="92" w:name="page44"/>
      <w:bookmarkEnd w:id="92"/>
      <w:bookmarkStart w:id="93" w:name="_Toc25593"/>
      <w:bookmarkStart w:id="94" w:name="_Toc14449"/>
      <w:bookmarkStart w:id="95" w:name="_Toc18321"/>
      <w:bookmarkStart w:id="96" w:name="_Toc20414"/>
      <w:bookmarkStart w:id="97" w:name="_Toc16331"/>
      <w:bookmarkStart w:id="98" w:name="_Toc12841"/>
      <w:bookmarkStart w:id="99" w:name="_Toc24318"/>
      <w:bookmarkStart w:id="100" w:name="_Toc508804040"/>
      <w:bookmarkStart w:id="101" w:name="_Toc23621"/>
      <w:bookmarkStart w:id="102" w:name="_Toc32021"/>
      <w:r>
        <w:rPr>
          <w:rFonts w:hint="eastAsia" w:ascii="宋体" w:hAnsi="宋体" w:eastAsia="宋体" w:cs="宋体"/>
          <w:color w:val="auto"/>
          <w:kern w:val="2"/>
          <w:sz w:val="21"/>
          <w:szCs w:val="18"/>
          <w:highlight w:val="none"/>
        </w:rPr>
        <w:t>3.3 投标文件的澄清</w:t>
      </w:r>
      <w:bookmarkEnd w:id="93"/>
      <w:bookmarkEnd w:id="94"/>
      <w:bookmarkEnd w:id="95"/>
      <w:bookmarkEnd w:id="96"/>
      <w:bookmarkEnd w:id="97"/>
      <w:bookmarkEnd w:id="98"/>
      <w:bookmarkEnd w:id="99"/>
      <w:bookmarkEnd w:id="100"/>
      <w:bookmarkEnd w:id="101"/>
      <w:bookmarkEnd w:id="102"/>
    </w:p>
    <w:p w14:paraId="63F6BA22">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6B07BF88">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 澄清、说明或补正不得超出投标文件的范围且不得改变投标文件的实质性内容，并构成投标文件的组成部分。</w:t>
      </w:r>
    </w:p>
    <w:p w14:paraId="60564ABB">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 评标委员会对投标人提交的澄清、说明或补正有疑问的，可以要求投标人进一步澄清、说明或补正，直至满足评标委员会的要求。</w:t>
      </w:r>
    </w:p>
    <w:p w14:paraId="1255725D">
      <w:pPr>
        <w:pStyle w:val="13"/>
        <w:spacing w:before="120" w:beforeLines="50" w:after="0" w:line="276" w:lineRule="auto"/>
        <w:jc w:val="left"/>
        <w:rPr>
          <w:rFonts w:hint="eastAsia" w:ascii="宋体" w:hAnsi="宋体" w:eastAsia="宋体" w:cs="宋体"/>
          <w:color w:val="auto"/>
          <w:kern w:val="2"/>
          <w:sz w:val="21"/>
          <w:szCs w:val="18"/>
          <w:highlight w:val="none"/>
        </w:rPr>
      </w:pPr>
      <w:bookmarkStart w:id="103" w:name="_Toc508804041"/>
      <w:bookmarkStart w:id="104" w:name="_Toc6993"/>
      <w:bookmarkStart w:id="105" w:name="_Toc20450"/>
      <w:bookmarkStart w:id="106" w:name="_Toc27134"/>
      <w:bookmarkStart w:id="107" w:name="_Toc30172"/>
      <w:bookmarkStart w:id="108" w:name="_Toc18350"/>
      <w:bookmarkStart w:id="109" w:name="_Toc13280"/>
      <w:bookmarkStart w:id="110" w:name="_Toc7904"/>
      <w:bookmarkStart w:id="111" w:name="_Toc6601"/>
      <w:bookmarkStart w:id="112" w:name="_Toc27667"/>
      <w:r>
        <w:rPr>
          <w:rFonts w:hint="eastAsia" w:ascii="宋体" w:hAnsi="宋体" w:eastAsia="宋体" w:cs="宋体"/>
          <w:color w:val="auto"/>
          <w:kern w:val="2"/>
          <w:sz w:val="21"/>
          <w:szCs w:val="18"/>
          <w:highlight w:val="none"/>
        </w:rPr>
        <w:t>3.4 评标结果</w:t>
      </w:r>
      <w:bookmarkEnd w:id="103"/>
      <w:bookmarkEnd w:id="104"/>
      <w:bookmarkEnd w:id="105"/>
      <w:bookmarkEnd w:id="106"/>
      <w:bookmarkEnd w:id="107"/>
      <w:bookmarkEnd w:id="108"/>
      <w:bookmarkEnd w:id="109"/>
      <w:bookmarkEnd w:id="110"/>
      <w:bookmarkEnd w:id="111"/>
      <w:bookmarkEnd w:id="112"/>
    </w:p>
    <w:p w14:paraId="10DA547A">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 除第二章“投标人须知”前附表授权直接确定中标单位外，评标委员会按照得分由高到低的顺序推荐中标候选人，并标明排序。</w:t>
      </w:r>
    </w:p>
    <w:p w14:paraId="78672C80">
      <w:pPr>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3.4.2依据评标委员会评审结果，评委会推荐按顺序排列的3名中标候选人。</w:t>
      </w:r>
      <w:r>
        <w:rPr>
          <w:rFonts w:hint="eastAsia" w:ascii="宋体" w:hAnsi="宋体" w:eastAsia="宋体" w:cs="宋体"/>
          <w:color w:val="auto"/>
          <w:highlight w:val="none"/>
        </w:rPr>
        <w:t xml:space="preserve">   </w:t>
      </w:r>
    </w:p>
    <w:p w14:paraId="6C695CCE">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3.4.3 评标委员会完成评标后，应当向招标人提交书面评标报告。</w:t>
      </w:r>
    </w:p>
    <w:p w14:paraId="5F8F5381">
      <w:pPr>
        <w:numPr>
          <w:ilvl w:val="0"/>
          <w:numId w:val="0"/>
        </w:numPr>
        <w:snapToGrid/>
        <w:spacing w:before="0" w:beforeAutospacing="0" w:after="0" w:afterAutospacing="0" w:line="240" w:lineRule="auto"/>
        <w:jc w:val="center"/>
        <w:textAlignment w:val="baseline"/>
        <w:rPr>
          <w:rFonts w:hint="eastAsia"/>
          <w:b w:val="0"/>
          <w:i w:val="0"/>
          <w:caps w:val="0"/>
          <w:spacing w:val="0"/>
          <w:w w:val="100"/>
          <w:sz w:val="48"/>
          <w:lang w:val="en-US" w:eastAsia="zh-CN"/>
        </w:rPr>
      </w:pPr>
    </w:p>
    <w:p w14:paraId="284256F3">
      <w:pPr>
        <w:pStyle w:val="4"/>
        <w:bidi w:val="0"/>
        <w:jc w:val="center"/>
        <w:rPr>
          <w:rFonts w:hint="eastAsia"/>
        </w:rPr>
      </w:pPr>
      <w:bookmarkStart w:id="113" w:name="_Toc12445"/>
      <w:r>
        <w:rPr>
          <w:rFonts w:hint="eastAsia"/>
          <w:lang w:val="en-US" w:eastAsia="zh-CN"/>
        </w:rPr>
        <w:t>第四章</w:t>
      </w:r>
      <w:r>
        <w:rPr>
          <w:rFonts w:hint="eastAsia"/>
        </w:rPr>
        <w:t xml:space="preserve">  合同书范本</w:t>
      </w:r>
      <w:bookmarkEnd w:id="113"/>
    </w:p>
    <w:p w14:paraId="710CC64C">
      <w:pPr>
        <w:numPr>
          <w:ilvl w:val="0"/>
          <w:numId w:val="0"/>
        </w:numPr>
        <w:snapToGrid/>
        <w:spacing w:before="0" w:beforeAutospacing="0" w:after="0" w:afterAutospacing="0" w:line="240" w:lineRule="auto"/>
        <w:jc w:val="center"/>
        <w:textAlignment w:val="baseline"/>
        <w:rPr>
          <w:rFonts w:hint="default" w:eastAsiaTheme="minorEastAsia"/>
          <w:b w:val="0"/>
          <w:i w:val="0"/>
          <w:caps w:val="0"/>
          <w:spacing w:val="0"/>
          <w:w w:val="100"/>
          <w:sz w:val="24"/>
          <w:szCs w:val="24"/>
          <w:lang w:val="en-US" w:eastAsia="zh-CN"/>
        </w:rPr>
      </w:pPr>
      <w:r>
        <w:rPr>
          <w:rFonts w:hint="eastAsia"/>
          <w:b w:val="0"/>
          <w:i w:val="0"/>
          <w:caps w:val="0"/>
          <w:spacing w:val="0"/>
          <w:w w:val="100"/>
          <w:sz w:val="24"/>
          <w:szCs w:val="24"/>
          <w:lang w:val="en-US" w:eastAsia="zh-CN"/>
        </w:rPr>
        <w:t>（本合同范本仅供参考，合同双方可根据实际情况签订）</w:t>
      </w:r>
    </w:p>
    <w:p w14:paraId="1DE5BBD6">
      <w:pPr>
        <w:snapToGrid/>
        <w:spacing w:before="0" w:beforeAutospacing="0" w:after="0" w:afterAutospacing="0" w:line="240" w:lineRule="auto"/>
        <w:jc w:val="center"/>
        <w:textAlignment w:val="baseline"/>
        <w:rPr>
          <w:b w:val="0"/>
          <w:i w:val="0"/>
          <w:caps w:val="0"/>
          <w:spacing w:val="0"/>
          <w:w w:val="100"/>
          <w:sz w:val="48"/>
        </w:rPr>
      </w:pPr>
    </w:p>
    <w:p w14:paraId="3540AD48">
      <w:pPr>
        <w:snapToGrid/>
        <w:spacing w:before="0" w:beforeAutospacing="0" w:after="0" w:afterAutospacing="0" w:line="240" w:lineRule="auto"/>
        <w:jc w:val="center"/>
        <w:textAlignment w:val="baseline"/>
        <w:rPr>
          <w:b w:val="0"/>
          <w:i w:val="0"/>
          <w:caps w:val="0"/>
          <w:spacing w:val="0"/>
          <w:w w:val="100"/>
          <w:sz w:val="48"/>
        </w:rPr>
      </w:pPr>
    </w:p>
    <w:p w14:paraId="38F7B923">
      <w:pPr>
        <w:snapToGrid/>
        <w:spacing w:before="0" w:beforeAutospacing="0" w:after="0" w:afterAutospacing="0" w:line="240" w:lineRule="auto"/>
        <w:jc w:val="center"/>
        <w:textAlignment w:val="baseline"/>
        <w:rPr>
          <w:b w:val="0"/>
          <w:i w:val="0"/>
          <w:caps w:val="0"/>
          <w:spacing w:val="0"/>
          <w:w w:val="100"/>
          <w:sz w:val="48"/>
        </w:rPr>
      </w:pPr>
    </w:p>
    <w:p w14:paraId="37F514DD">
      <w:pPr>
        <w:snapToGrid/>
        <w:spacing w:before="0" w:beforeAutospacing="0" w:after="0" w:afterAutospacing="0" w:line="240" w:lineRule="auto"/>
        <w:jc w:val="center"/>
        <w:textAlignment w:val="baseline"/>
        <w:rPr>
          <w:b w:val="0"/>
          <w:i w:val="0"/>
          <w:caps w:val="0"/>
          <w:spacing w:val="0"/>
          <w:w w:val="100"/>
          <w:sz w:val="48"/>
        </w:rPr>
      </w:pPr>
    </w:p>
    <w:p w14:paraId="28C9C766">
      <w:pPr>
        <w:snapToGrid/>
        <w:spacing w:before="0" w:beforeAutospacing="0" w:after="0" w:afterAutospacing="0" w:line="240" w:lineRule="auto"/>
        <w:jc w:val="center"/>
        <w:textAlignment w:val="baseline"/>
        <w:rPr>
          <w:b w:val="0"/>
          <w:i w:val="0"/>
          <w:caps w:val="0"/>
          <w:spacing w:val="0"/>
          <w:w w:val="100"/>
          <w:sz w:val="48"/>
        </w:rPr>
      </w:pPr>
    </w:p>
    <w:p w14:paraId="78B10F45">
      <w:pPr>
        <w:snapToGrid/>
        <w:spacing w:before="0" w:beforeAutospacing="0" w:after="0" w:afterAutospacing="0" w:line="240" w:lineRule="auto"/>
        <w:jc w:val="center"/>
        <w:textAlignment w:val="baseline"/>
        <w:rPr>
          <w:b w:val="0"/>
          <w:i w:val="0"/>
          <w:caps w:val="0"/>
          <w:spacing w:val="0"/>
          <w:w w:val="100"/>
          <w:sz w:val="48"/>
        </w:rPr>
      </w:pPr>
    </w:p>
    <w:p w14:paraId="246450C7">
      <w:pPr>
        <w:snapToGrid/>
        <w:spacing w:before="0" w:beforeAutospacing="0" w:after="0" w:afterAutospacing="0" w:line="240" w:lineRule="auto"/>
        <w:jc w:val="center"/>
        <w:textAlignment w:val="baseline"/>
        <w:rPr>
          <w:b w:val="0"/>
          <w:i w:val="0"/>
          <w:caps w:val="0"/>
          <w:spacing w:val="0"/>
          <w:w w:val="100"/>
          <w:sz w:val="48"/>
        </w:rPr>
      </w:pPr>
    </w:p>
    <w:p w14:paraId="119247EC">
      <w:pPr>
        <w:snapToGrid/>
        <w:spacing w:before="0" w:beforeAutospacing="0" w:after="0" w:afterAutospacing="0" w:line="240" w:lineRule="auto"/>
        <w:jc w:val="center"/>
        <w:textAlignment w:val="baseline"/>
        <w:rPr>
          <w:b w:val="0"/>
          <w:i w:val="0"/>
          <w:caps w:val="0"/>
          <w:spacing w:val="0"/>
          <w:w w:val="100"/>
          <w:sz w:val="48"/>
        </w:rPr>
      </w:pPr>
    </w:p>
    <w:p w14:paraId="6CBA4745">
      <w:pPr>
        <w:snapToGrid/>
        <w:spacing w:before="0" w:beforeAutospacing="0" w:after="0" w:afterAutospacing="0" w:line="240" w:lineRule="auto"/>
        <w:jc w:val="center"/>
        <w:textAlignment w:val="baseline"/>
        <w:rPr>
          <w:b w:val="0"/>
          <w:i w:val="0"/>
          <w:caps w:val="0"/>
          <w:spacing w:val="0"/>
          <w:w w:val="100"/>
          <w:sz w:val="48"/>
        </w:rPr>
      </w:pPr>
    </w:p>
    <w:p w14:paraId="2063D531">
      <w:pPr>
        <w:snapToGrid/>
        <w:spacing w:before="0" w:beforeAutospacing="0" w:after="0" w:afterAutospacing="0" w:line="240" w:lineRule="auto"/>
        <w:jc w:val="center"/>
        <w:textAlignment w:val="baseline"/>
        <w:rPr>
          <w:b w:val="0"/>
          <w:i w:val="0"/>
          <w:caps w:val="0"/>
          <w:spacing w:val="0"/>
          <w:w w:val="100"/>
          <w:sz w:val="48"/>
        </w:rPr>
      </w:pPr>
    </w:p>
    <w:p w14:paraId="2C98461A">
      <w:pPr>
        <w:snapToGrid/>
        <w:spacing w:before="0" w:beforeAutospacing="0" w:after="0" w:afterAutospacing="0" w:line="240" w:lineRule="auto"/>
        <w:jc w:val="center"/>
        <w:textAlignment w:val="baseline"/>
        <w:rPr>
          <w:b w:val="0"/>
          <w:i w:val="0"/>
          <w:caps w:val="0"/>
          <w:spacing w:val="0"/>
          <w:w w:val="100"/>
          <w:sz w:val="48"/>
        </w:rPr>
      </w:pPr>
    </w:p>
    <w:p w14:paraId="73F09484">
      <w:pPr>
        <w:snapToGrid/>
        <w:spacing w:before="0" w:beforeAutospacing="0" w:after="0" w:afterAutospacing="0" w:line="240" w:lineRule="auto"/>
        <w:jc w:val="center"/>
        <w:textAlignment w:val="baseline"/>
        <w:rPr>
          <w:rFonts w:hint="eastAsia"/>
          <w:b w:val="0"/>
          <w:i w:val="0"/>
          <w:caps w:val="0"/>
          <w:spacing w:val="0"/>
          <w:w w:val="100"/>
          <w:sz w:val="48"/>
        </w:rPr>
      </w:pPr>
    </w:p>
    <w:p w14:paraId="1777173F">
      <w:pPr>
        <w:snapToGrid/>
        <w:spacing w:before="0" w:beforeAutospacing="0" w:after="0" w:afterAutospacing="0" w:line="240" w:lineRule="auto"/>
        <w:jc w:val="center"/>
        <w:textAlignment w:val="baseline"/>
        <w:rPr>
          <w:rFonts w:hint="eastAsia"/>
          <w:b w:val="0"/>
          <w:i w:val="0"/>
          <w:caps w:val="0"/>
          <w:spacing w:val="0"/>
          <w:w w:val="100"/>
          <w:sz w:val="48"/>
        </w:rPr>
      </w:pPr>
    </w:p>
    <w:p w14:paraId="6E4D462D">
      <w:pPr>
        <w:snapToGrid/>
        <w:spacing w:before="0" w:beforeAutospacing="0" w:after="0" w:afterAutospacing="0" w:line="240" w:lineRule="auto"/>
        <w:jc w:val="center"/>
        <w:textAlignment w:val="baseline"/>
        <w:rPr>
          <w:rFonts w:hint="eastAsia"/>
          <w:b w:val="0"/>
          <w:i w:val="0"/>
          <w:caps w:val="0"/>
          <w:spacing w:val="0"/>
          <w:w w:val="100"/>
          <w:sz w:val="48"/>
        </w:rPr>
      </w:pPr>
    </w:p>
    <w:p w14:paraId="04CD1A19">
      <w:pPr>
        <w:snapToGrid/>
        <w:spacing w:before="0" w:beforeAutospacing="0" w:after="0" w:afterAutospacing="0" w:line="240" w:lineRule="auto"/>
        <w:jc w:val="center"/>
        <w:textAlignment w:val="baseline"/>
        <w:rPr>
          <w:b w:val="0"/>
          <w:i w:val="0"/>
          <w:caps w:val="0"/>
          <w:spacing w:val="0"/>
          <w:w w:val="100"/>
          <w:sz w:val="48"/>
        </w:rPr>
      </w:pPr>
    </w:p>
    <w:p w14:paraId="67EE8D54">
      <w:pPr>
        <w:snapToGrid/>
        <w:spacing w:before="0" w:beforeAutospacing="0" w:after="0" w:afterAutospacing="0" w:line="240" w:lineRule="auto"/>
        <w:jc w:val="center"/>
        <w:textAlignment w:val="baseline"/>
        <w:rPr>
          <w:b w:val="0"/>
          <w:i w:val="0"/>
          <w:caps w:val="0"/>
          <w:spacing w:val="0"/>
          <w:w w:val="100"/>
          <w:sz w:val="48"/>
        </w:rPr>
      </w:pPr>
    </w:p>
    <w:p w14:paraId="0A668B8B">
      <w:pPr>
        <w:snapToGrid/>
        <w:spacing w:before="0" w:beforeAutospacing="0" w:after="0" w:afterAutospacing="0" w:line="240" w:lineRule="auto"/>
        <w:jc w:val="center"/>
        <w:textAlignment w:val="baseline"/>
        <w:rPr>
          <w:b w:val="0"/>
          <w:i w:val="0"/>
          <w:caps w:val="0"/>
          <w:spacing w:val="0"/>
          <w:w w:val="100"/>
          <w:sz w:val="48"/>
        </w:rPr>
      </w:pPr>
    </w:p>
    <w:p w14:paraId="62C959FE">
      <w:pPr>
        <w:snapToGrid/>
        <w:spacing w:before="0" w:beforeAutospacing="0" w:after="0" w:afterAutospacing="0" w:line="240" w:lineRule="auto"/>
        <w:jc w:val="center"/>
        <w:textAlignment w:val="baseline"/>
        <w:rPr>
          <w:b w:val="0"/>
          <w:i w:val="0"/>
          <w:caps w:val="0"/>
          <w:spacing w:val="0"/>
          <w:w w:val="100"/>
          <w:sz w:val="48"/>
        </w:rPr>
      </w:pPr>
    </w:p>
    <w:p w14:paraId="27A16B7E">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6861CFEC">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7E54D0E3">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甲方：(采购人/用户单位)</w:t>
      </w:r>
    </w:p>
    <w:p w14:paraId="3D54C747">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乙方：(中标人/供应方)</w:t>
      </w:r>
    </w:p>
    <w:p w14:paraId="6CDF4B8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采购代理机构：</w:t>
      </w:r>
    </w:p>
    <w:p w14:paraId="499D915E">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根据《中华人民共和国政府采购法》、《中华人民共和国</w:t>
      </w:r>
      <w:r>
        <w:rPr>
          <w:rFonts w:hint="eastAsia" w:ascii="宋体" w:hAnsi="宋体" w:eastAsia="宋体" w:cs="宋体"/>
          <w:b w:val="0"/>
          <w:bCs w:val="0"/>
          <w:color w:val="auto"/>
          <w:sz w:val="24"/>
          <w:szCs w:val="24"/>
          <w:highlight w:val="none"/>
          <w:lang w:val="en-US" w:eastAsia="zh-CN"/>
        </w:rPr>
        <w:t>民法典</w:t>
      </w:r>
      <w:r>
        <w:rPr>
          <w:rFonts w:hint="eastAsia" w:ascii="宋体" w:hAnsi="宋体" w:eastAsia="宋体" w:cs="宋体"/>
          <w:b w:val="0"/>
          <w:bCs w:val="0"/>
          <w:color w:val="auto"/>
          <w:sz w:val="24"/>
          <w:szCs w:val="24"/>
          <w:highlight w:val="none"/>
        </w:rPr>
        <w:t>》、招标文件的要求，经双方协商，</w:t>
      </w:r>
    </w:p>
    <w:p w14:paraId="5D417BE1">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本着平等互利和诚实信用的原则，一致同意签订本合同如下。</w:t>
      </w:r>
    </w:p>
    <w:p w14:paraId="5E631E45">
      <w:pPr>
        <w:pStyle w:val="33"/>
        <w:pageBreakBefore w:val="0"/>
        <w:numPr>
          <w:ilvl w:val="0"/>
          <w:numId w:val="5"/>
        </w:numPr>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项目名称</w:t>
      </w:r>
    </w:p>
    <w:p w14:paraId="6B133625">
      <w:pPr>
        <w:pStyle w:val="33"/>
        <w:pageBreakBefore w:val="0"/>
        <w:numPr>
          <w:ilvl w:val="0"/>
          <w:numId w:val="0"/>
        </w:numPr>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项目名称：吉林市船营区中小学生上放学校车接送服务项目</w:t>
      </w:r>
    </w:p>
    <w:p w14:paraId="4F6BC306">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项目编号：</w:t>
      </w:r>
    </w:p>
    <w:p w14:paraId="6E15AB1E">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二、合同价格</w:t>
      </w:r>
    </w:p>
    <w:p w14:paraId="1FF15B33">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单价为人民币(大写)：</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万元/车/月，该合同金额是每台车每月服务费用，其中包含车辆保险、车辆座位险、年审、检修、路桥、燃油、税费等一切费用。</w:t>
      </w:r>
    </w:p>
    <w:p w14:paraId="3D6F5F5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三、项目范围</w:t>
      </w:r>
    </w:p>
    <w:p w14:paraId="6C4FA7B1">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签订合同期限</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 xml:space="preserve">年； </w:t>
      </w:r>
    </w:p>
    <w:p w14:paraId="18A97D76">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四、运送方式</w:t>
      </w:r>
    </w:p>
    <w:p w14:paraId="4A1174F1">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乙方必须保证每天派出足够的车辆，负责运送采购人下属各学校的全部需要接送的学生，</w:t>
      </w:r>
    </w:p>
    <w:p w14:paraId="1AB31F9A">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接送时间：为保证学生正常作息时间，所有校车早晨始发时间不得早于早  点，到校时间小学不得晚于</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 xml:space="preserve"> 、中学不得晚于</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 xml:space="preserve"> ；下午放学在学校始发小学不得早于</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 xml:space="preserve">  ，中学不得早</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 xml:space="preserve">  。如遇特殊情况需征得采购人同意。投标方应保证按学期接送学生，如中标方违约将扣服务费、保证金直至解除合同。如有变化，按甲方要求执行。</w:t>
      </w:r>
    </w:p>
    <w:p w14:paraId="1480CC46">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五、租赁期</w:t>
      </w:r>
    </w:p>
    <w:p w14:paraId="039AB87F">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租赁期：签订合同期限 年；(时间由签订合同起计算)。</w:t>
      </w:r>
    </w:p>
    <w:p w14:paraId="07820D07">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六、服务费金额</w:t>
      </w:r>
    </w:p>
    <w:p w14:paraId="5DAE886F">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招标价就是</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年的服务费，上述服务费已包含税金及服务、车辆保险、车辆座位险、年审、检修、路桥、燃油、税费等所有与此项承包内容有关的所有费用，税金由乙方缴纳。</w:t>
      </w:r>
    </w:p>
    <w:p w14:paraId="165E380D">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甲方不再另外支付与此项服务内容有关的任何费用。</w:t>
      </w:r>
    </w:p>
    <w:p w14:paraId="292EB993">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七、付款方式</w:t>
      </w:r>
    </w:p>
    <w:p w14:paraId="42305CCD">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1、服务费结算方式：按月支付中标人。</w:t>
      </w:r>
    </w:p>
    <w:p w14:paraId="763CE196">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八、双方的权利、义务</w:t>
      </w:r>
    </w:p>
    <w:p w14:paraId="6E7359BE">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(一)甲方的权利义务：</w:t>
      </w:r>
    </w:p>
    <w:p w14:paraId="7B8DDFDE">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1、合同期间，中标方不得出租、出售、转包或转让校车的经营权，如有上述行为甲方有权没收履约保证金，解除合同。</w:t>
      </w:r>
    </w:p>
    <w:p w14:paraId="0C09F5E3">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(二)乙方的权利义务：</w:t>
      </w:r>
    </w:p>
    <w:p w14:paraId="3494231A">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1、合同期间，乙方必须保证每天按时接送学生，不得故意拖延时间出车。</w:t>
      </w:r>
    </w:p>
    <w:p w14:paraId="54E6A6A4">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2、如乙方在接送学生途中发生车辆故障且半小时内未能排除故障的，必须委派其他校车或以备用校车运送学生到目的地，由此产生费用的均由乙方承担。</w:t>
      </w:r>
    </w:p>
    <w:p w14:paraId="72B95698">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乙方运送学生要保证专车专用，接送学生途中不得乘载其他乘客，车辆要按指定的路线行驶，运送学生时车速不得超过校车规定最高时速，车辆要按额定载人数，不能超载。保证每日将学生安全地运送到目的地。</w:t>
      </w:r>
    </w:p>
    <w:p w14:paraId="2CE5E0DF">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4、乙方如遇特殊情况部分车辆不能按时出车，乙方要预先请示甲方，并按甲方要求执行；如遇法定不可抗力的原因造成中标人无法正常出车运送学生的，中标人不承担责任。</w:t>
      </w:r>
    </w:p>
    <w:p w14:paraId="224C319C">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乙方提供运送学生的校车，必须是经交通管理部门和交警部门检验合格的校车并符合校车的相关管理规定，并且要按规定将校车送到指定部门进行保养、维修、检验，严禁驾驶检验不合格或带有毛病的校车运送学生。</w:t>
      </w:r>
    </w:p>
    <w:p w14:paraId="13A2B19C">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6、承运学生期间，乙方全部驾驶人员都必须持有合法的、与驾驶校车相符的驾驶证照，身体健康，无不良嗜好，遵守道路交通安全法律、法规，确保运送学生的交通安全。</w:t>
      </w:r>
    </w:p>
    <w:p w14:paraId="108D4D8E">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7、对于驾驶人员要求如下：</w:t>
      </w:r>
    </w:p>
    <w:p w14:paraId="604F6E4F">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取得相应准驾车型驾驶证并具有3年以上驾驶经历，年龄在30周岁以上、不超过60周岁。2)最近连续3个记分周期内没有被记满分记录。3)无致人死亡或者重伤的交通责任记录。4)无饮酒后驾驶或者醉酒驾驶机动车驾驶记录，最近1年内无驾驶客运车辆超员、超速等严重交通违法记录。5)无犯罪记录。6)身体健康无不良嗜好，提交健康证明。</w:t>
      </w:r>
    </w:p>
    <w:p w14:paraId="564FA341">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8、乙方在接送学生的过程中，要负责维持学生的乘车秩序，保证乘车学生的安全。</w:t>
      </w:r>
    </w:p>
    <w:p w14:paraId="669C93BB">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乙方必须对驾驶人员进行交通安全教育，严防道路交通事故发生。合同期间，如有发生交通事故，造成学生伤亡的，由乙方承担全部责任。乙方必须按照国家相关法律、法规的规定作出赔偿。如果由于乙方原因造成重大交通事故的，则甲方有权解除合同。</w:t>
      </w:r>
    </w:p>
    <w:p w14:paraId="2C65E0AE">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10、乙方应保证在合同期内保持优质的服务水平。</w:t>
      </w:r>
    </w:p>
    <w:p w14:paraId="39398AA3">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11、如甲方乘车人员对驾驶人员的服务态度有任何不满，应向乙方提出，经核实后，乙方必须据甲方要求教育或更换驾驶人员，乙方应至少提前一天通知甲方。</w:t>
      </w:r>
    </w:p>
    <w:p w14:paraId="1441B645">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12、乙方驾驶人员的劳动待遇按法定相关标准执行，如用工引起的劳动纠纷问题由乙方负责解决。</w:t>
      </w:r>
    </w:p>
    <w:p w14:paraId="0FCE97B1">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九、违约责任</w:t>
      </w:r>
    </w:p>
    <w:p w14:paraId="651300C1">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1、发生不可抗拒因素，甲方不能按期支付服务费，应及时通知乙方，否则由甲方向乙方支付违约滞纳金(滞纳金=每月定额服务费*贷款市场报价利率(LPR)*超出天数)。</w:t>
      </w:r>
    </w:p>
    <w:p w14:paraId="6AC2B2C9">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2、校车在运行期间如因自然灾害等不可抗力因素而导致的停运，由乙方第一时间通知甲方的校车管理服务中心，不作为违约条款。</w:t>
      </w:r>
    </w:p>
    <w:p w14:paraId="083FE49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3、因出现校车维修、年审、接受定期检查或经甲方认可的合理因素造成的暂停营运时，乙方必须及时用同样规格的符合校车安全的标准校车替代以保证学生按时上下学。否则甲方不给予支付服务费。</w:t>
      </w:r>
    </w:p>
    <w:p w14:paraId="48278471">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十、其他事宜</w:t>
      </w:r>
    </w:p>
    <w:p w14:paraId="2586D4BD">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1、合同执行中如有未尽事宜，需要变更或补充合同条款的，须经甲乙双方协商一致，签订变更或补充协议才生效。双方签订的变更或补充协议是本合同的组成部分，与本同具有同等法律效力。</w:t>
      </w:r>
    </w:p>
    <w:p w14:paraId="4D742DAD">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2、本合同在执行过程中，双方如发生纠纷，双方都应以实事求事的态度协商解决，协商不成的，双方可向有关部门申请调解，也可以向吉林市船营区人民法院提起诉讼。</w:t>
      </w:r>
    </w:p>
    <w:p w14:paraId="747BF0A4">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3、本合同自甲乙双方代表人签字并加盖公章之日起生效。</w:t>
      </w:r>
    </w:p>
    <w:p w14:paraId="17F806EC">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4、本合同一式两份，甲、乙双方各一份。</w:t>
      </w:r>
    </w:p>
    <w:p w14:paraId="1691908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甲方：                 (盖章)                乙方：                  (盖章)</w:t>
      </w:r>
    </w:p>
    <w:p w14:paraId="47AB06D8">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签约代表：                                 签约代表：              </w:t>
      </w:r>
    </w:p>
    <w:p w14:paraId="7F83F3AF">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地址：                                     地址：                  </w:t>
      </w:r>
    </w:p>
    <w:p w14:paraId="3CAFFEC9">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电话：                                     电话：                  </w:t>
      </w:r>
    </w:p>
    <w:p w14:paraId="08676373">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传真：                                     传真：                  </w:t>
      </w:r>
    </w:p>
    <w:p w14:paraId="3ED6B7EC">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签约日期：    年  月  日                 签约日期：    年  月  日</w:t>
      </w:r>
    </w:p>
    <w:p w14:paraId="119F5BC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附注：</w:t>
      </w:r>
    </w:p>
    <w:p w14:paraId="7A3C846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1、本合同所有附件均在签订合同时编制，确立依据为招标文件和乙方的投标文件及相关确认文件；项目重要内容(如：双方权利义务、功能要求说明等)可作为附件</w:t>
      </w:r>
    </w:p>
    <w:p w14:paraId="7F76B63F">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8"/>
          <w:szCs w:val="28"/>
          <w:highlight w:val="none"/>
        </w:rPr>
        <w:t>此合同范本作为参考，待中标后双方协议签订。</w:t>
      </w:r>
    </w:p>
    <w:p w14:paraId="6C233F65">
      <w:pPr>
        <w:snapToGrid/>
        <w:spacing w:before="0" w:beforeAutospacing="0" w:after="0" w:afterAutospacing="0" w:line="240" w:lineRule="auto"/>
        <w:jc w:val="left"/>
        <w:textAlignment w:val="baseline"/>
        <w:rPr>
          <w:b w:val="0"/>
          <w:i w:val="0"/>
          <w:caps w:val="0"/>
          <w:spacing w:val="0"/>
          <w:w w:val="100"/>
          <w:sz w:val="20"/>
        </w:rPr>
      </w:pPr>
    </w:p>
    <w:p w14:paraId="2A63FBC5">
      <w:pPr>
        <w:snapToGrid/>
        <w:spacing w:before="0" w:beforeAutospacing="0" w:after="0" w:afterAutospacing="0" w:line="240" w:lineRule="auto"/>
        <w:jc w:val="left"/>
        <w:textAlignment w:val="baseline"/>
        <w:rPr>
          <w:b w:val="0"/>
          <w:i w:val="0"/>
          <w:caps w:val="0"/>
          <w:spacing w:val="0"/>
          <w:w w:val="100"/>
          <w:sz w:val="20"/>
        </w:rPr>
      </w:pPr>
      <w:bookmarkStart w:id="121" w:name="_GoBack"/>
      <w:bookmarkEnd w:id="121"/>
    </w:p>
    <w:p w14:paraId="21FEF787">
      <w:pPr>
        <w:pStyle w:val="4"/>
        <w:bidi w:val="0"/>
        <w:jc w:val="center"/>
        <w:rPr>
          <w:rFonts w:hint="eastAsia"/>
        </w:rPr>
      </w:pPr>
      <w:bookmarkStart w:id="114" w:name="_Toc2447"/>
      <w:r>
        <w:rPr>
          <w:rFonts w:hint="eastAsia"/>
        </w:rPr>
        <w:t>第</w:t>
      </w:r>
      <w:r>
        <w:rPr>
          <w:rFonts w:hint="eastAsia"/>
          <w:lang w:val="en-US" w:eastAsia="zh-CN"/>
        </w:rPr>
        <w:t>五</w:t>
      </w:r>
      <w:r>
        <w:rPr>
          <w:rFonts w:hint="eastAsia"/>
        </w:rPr>
        <w:t>章  服务需求</w:t>
      </w:r>
      <w:bookmarkEnd w:id="114"/>
    </w:p>
    <w:p w14:paraId="267F2784">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auto"/>
          <w:sz w:val="32"/>
          <w:szCs w:val="32"/>
          <w:lang w:val="en-US" w:eastAsia="zh-CN" w:bidi="ar-SA"/>
        </w:rPr>
      </w:pPr>
      <w:r>
        <w:rPr>
          <w:rFonts w:hint="default" w:ascii="仿宋_GB2312" w:hAnsi="Times New Roman" w:eastAsia="仿宋_GB2312" w:cs="仿宋_GB2312"/>
          <w:color w:val="auto"/>
          <w:sz w:val="32"/>
          <w:szCs w:val="32"/>
          <w:lang w:val="en-US" w:eastAsia="zh-CN" w:bidi="ar-SA"/>
        </w:rPr>
        <w:t>2014年省财政厅、教育厅、公安厅、交通运输厅联合印发了《关于做好政府购买义务教育阶段中小学生校车服务工作的指导意见》</w:t>
      </w:r>
      <w:r>
        <w:rPr>
          <w:rFonts w:hint="eastAsia" w:ascii="仿宋_GB2312" w:hAnsi="Times New Roman" w:eastAsia="仿宋_GB2312" w:cs="仿宋_GB2312"/>
          <w:color w:val="auto"/>
          <w:sz w:val="32"/>
          <w:szCs w:val="32"/>
          <w:lang w:val="en-US" w:eastAsia="zh-CN" w:bidi="ar-SA"/>
        </w:rPr>
        <w:t>，</w:t>
      </w:r>
      <w:r>
        <w:rPr>
          <w:rFonts w:hint="default" w:ascii="仿宋_GB2312" w:hAnsi="Times New Roman" w:eastAsia="仿宋_GB2312" w:cs="仿宋_GB2312"/>
          <w:color w:val="auto"/>
          <w:sz w:val="32"/>
          <w:szCs w:val="32"/>
          <w:lang w:val="en-US" w:eastAsia="zh-CN" w:bidi="ar-SA"/>
        </w:rPr>
        <w:t>要求“大力推进政府购买校车服务，以公司化运营为主的校车服务模式，提升校车服务社会化、专业化”。2019年2月吉林省《校车安全管理条例》实施办法出台，进一步</w:t>
      </w:r>
      <w:r>
        <w:rPr>
          <w:rFonts w:hint="eastAsia" w:ascii="仿宋_GB2312" w:hAnsi="Times New Roman" w:eastAsia="仿宋_GB2312" w:cs="仿宋_GB2312"/>
          <w:color w:val="auto"/>
          <w:sz w:val="32"/>
          <w:szCs w:val="32"/>
          <w:lang w:val="en-US" w:eastAsia="zh-CN" w:bidi="ar-SA"/>
        </w:rPr>
        <w:t>明确</w:t>
      </w:r>
      <w:r>
        <w:rPr>
          <w:rFonts w:hint="default" w:ascii="仿宋_GB2312" w:hAnsi="Times New Roman" w:eastAsia="仿宋_GB2312" w:cs="仿宋_GB2312"/>
          <w:color w:val="auto"/>
          <w:sz w:val="32"/>
          <w:szCs w:val="32"/>
          <w:lang w:val="en-US" w:eastAsia="zh-CN" w:bidi="ar-SA"/>
        </w:rPr>
        <w:t>“政府购买校车公司服务，要求</w:t>
      </w:r>
      <w:r>
        <w:rPr>
          <w:rFonts w:hint="eastAsia" w:ascii="仿宋_GB2312" w:hAnsi="Times New Roman" w:eastAsia="仿宋_GB2312" w:cs="仿宋_GB2312"/>
          <w:color w:val="auto"/>
          <w:sz w:val="32"/>
          <w:szCs w:val="32"/>
          <w:lang w:val="en-US" w:eastAsia="zh-CN" w:bidi="ar-SA"/>
        </w:rPr>
        <w:t>专用</w:t>
      </w:r>
      <w:r>
        <w:rPr>
          <w:rFonts w:hint="default" w:ascii="仿宋_GB2312" w:hAnsi="Times New Roman" w:eastAsia="仿宋_GB2312" w:cs="仿宋_GB2312"/>
          <w:color w:val="auto"/>
          <w:sz w:val="32"/>
          <w:szCs w:val="32"/>
          <w:lang w:val="en-US" w:eastAsia="zh-CN" w:bidi="ar-SA"/>
        </w:rPr>
        <w:t>校车必须符合国家标准”。</w:t>
      </w:r>
    </w:p>
    <w:p w14:paraId="71426949">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黑体" w:eastAsia="黑体" w:cs="Times New Roman"/>
          <w:color w:val="auto"/>
          <w:sz w:val="32"/>
          <w:szCs w:val="32"/>
          <w:lang w:val="en-US" w:eastAsia="zh-CN" w:bidi="ar-SA"/>
        </w:rPr>
      </w:pPr>
      <w:r>
        <w:rPr>
          <w:rFonts w:hint="eastAsia" w:ascii="黑体" w:eastAsia="黑体" w:cs="Times New Roman"/>
          <w:color w:val="auto"/>
          <w:sz w:val="32"/>
          <w:szCs w:val="32"/>
          <w:lang w:val="en-US" w:eastAsia="zh-CN" w:bidi="ar-SA"/>
        </w:rPr>
        <w:t>一、服务要求及工作标准</w:t>
      </w:r>
    </w:p>
    <w:p w14:paraId="1C53856D">
      <w:pPr>
        <w:keepNext w:val="0"/>
        <w:keepLines w:val="0"/>
        <w:pageBreakBefore w:val="0"/>
        <w:widowControl w:val="0"/>
        <w:kinsoku/>
        <w:wordWrap w:val="0"/>
        <w:overflowPunct/>
        <w:topLinePunct w:val="0"/>
        <w:autoSpaceDE/>
        <w:autoSpaceDN/>
        <w:bidi w:val="0"/>
        <w:adjustRightInd/>
        <w:snapToGrid/>
        <w:spacing w:line="560" w:lineRule="exact"/>
        <w:ind w:firstLine="321" w:firstLineChars="100"/>
        <w:textAlignment w:val="auto"/>
        <w:rPr>
          <w:rFonts w:hint="eastAsia" w:ascii="仿宋_GB2312" w:eastAsia="仿宋_GB2312" w:cs="仿宋_GB2312"/>
          <w:b/>
          <w:bCs/>
          <w:color w:val="auto"/>
          <w:sz w:val="32"/>
          <w:szCs w:val="32"/>
          <w:lang w:val="en-US" w:eastAsia="zh-CN" w:bidi="ar-SA"/>
        </w:rPr>
      </w:pPr>
      <w:r>
        <w:rPr>
          <w:rFonts w:hint="eastAsia" w:ascii="仿宋_GB2312" w:eastAsia="仿宋_GB2312" w:cs="仿宋_GB2312"/>
          <w:b/>
          <w:bCs/>
          <w:color w:val="auto"/>
          <w:sz w:val="32"/>
          <w:szCs w:val="32"/>
          <w:lang w:val="en-US" w:eastAsia="zh-CN" w:bidi="ar-SA"/>
        </w:rPr>
        <w:t>（一）对乙方校车公司的基本要求。</w:t>
      </w:r>
    </w:p>
    <w:p w14:paraId="559CF4FE">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校车实行公司化管理，有固定的办公地点和管理人员，落实主体责任。校车公司需提供符合国家《校车安全管理条例》规定的标准校车37台，提供校车服务。</w:t>
      </w:r>
      <w:r>
        <w:rPr>
          <w:rFonts w:hint="eastAsia" w:ascii="仿宋_GB2312" w:hAnsi="Times New Roman" w:eastAsia="仿宋_GB2312" w:cs="仿宋_GB2312"/>
          <w:color w:val="auto"/>
          <w:sz w:val="32"/>
          <w:szCs w:val="32"/>
          <w:lang w:val="en-US" w:eastAsia="zh-CN" w:bidi="ar-SA"/>
        </w:rPr>
        <w:t>应在中标后在当地全资注册校车公司，由该校车公司负责运营，不得出租、出售、转包、挂靠或转让校车的经营权。</w:t>
      </w:r>
      <w:r>
        <w:rPr>
          <w:rFonts w:hint="eastAsia" w:ascii="仿宋_GB2312" w:eastAsia="仿宋_GB2312" w:cs="仿宋_GB2312"/>
          <w:color w:val="auto"/>
          <w:sz w:val="32"/>
          <w:szCs w:val="32"/>
          <w:lang w:val="en-US" w:eastAsia="zh-CN" w:bidi="ar-SA"/>
        </w:rPr>
        <w:t>承担运营期限内所有经济和法律责任。</w:t>
      </w:r>
    </w:p>
    <w:p w14:paraId="140CEBBA">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b/>
          <w:bCs/>
          <w:color w:val="auto"/>
          <w:sz w:val="32"/>
          <w:szCs w:val="32"/>
          <w:lang w:val="en-US" w:eastAsia="zh-CN" w:bidi="ar-SA"/>
        </w:rPr>
      </w:pPr>
      <w:r>
        <w:rPr>
          <w:rFonts w:hint="eastAsia" w:ascii="仿宋_GB2312" w:eastAsia="仿宋_GB2312" w:cs="仿宋_GB2312"/>
          <w:color w:val="auto"/>
          <w:sz w:val="32"/>
          <w:szCs w:val="32"/>
          <w:lang w:val="en-US" w:eastAsia="zh-CN" w:bidi="ar-SA"/>
        </w:rPr>
        <w:t>车辆保险费、燃油费、维修保养费、驾驶人和随车照管员工资等运营费用及其它所有经济、法律责任由校车公司承担。校车驾驶人由校车公司负责招聘，报教育行政主管部门、公安交警部门等相关部门审批通过后方可上岗。在协议运营期内，需自觉接受部门及相关部门的管理和考核。</w:t>
      </w:r>
    </w:p>
    <w:p w14:paraId="17DDCD38">
      <w:pPr>
        <w:keepNext w:val="0"/>
        <w:keepLines w:val="0"/>
        <w:pageBreakBefore w:val="0"/>
        <w:widowControl w:val="0"/>
        <w:numPr>
          <w:ilvl w:val="0"/>
          <w:numId w:val="0"/>
        </w:numPr>
        <w:kinsoku/>
        <w:overflowPunct/>
        <w:topLinePunct w:val="0"/>
        <w:autoSpaceDE/>
        <w:autoSpaceDN/>
        <w:bidi w:val="0"/>
        <w:adjustRightInd/>
        <w:snapToGrid/>
        <w:spacing w:line="560" w:lineRule="exact"/>
        <w:ind w:firstLine="321" w:firstLineChars="100"/>
        <w:textAlignment w:val="auto"/>
        <w:rPr>
          <w:rFonts w:hint="eastAsia" w:ascii="仿宋_GB2312" w:eastAsia="仿宋_GB2312" w:cs="仿宋_GB2312"/>
          <w:b/>
          <w:bCs/>
          <w:color w:val="auto"/>
          <w:sz w:val="32"/>
          <w:szCs w:val="32"/>
          <w:lang w:val="en-US" w:eastAsia="zh-CN" w:bidi="ar-SA"/>
        </w:rPr>
      </w:pPr>
      <w:r>
        <w:rPr>
          <w:rFonts w:hint="eastAsia" w:ascii="仿宋_GB2312" w:eastAsia="仿宋_GB2312" w:cs="仿宋_GB2312"/>
          <w:b/>
          <w:bCs/>
          <w:color w:val="auto"/>
          <w:sz w:val="32"/>
          <w:szCs w:val="32"/>
          <w:lang w:val="en-US" w:eastAsia="zh-CN" w:bidi="ar-SA"/>
        </w:rPr>
        <w:t>（二）乙方提供的接送学生车辆应具备的条件。</w:t>
      </w:r>
    </w:p>
    <w:p w14:paraId="2A193E2E">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1.符合国家《校车安全管理条例》规定的标准校车，专用校车还应当符合专用校车国家标准。</w:t>
      </w:r>
    </w:p>
    <w:p w14:paraId="40F9633D">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2.提供校车服务的标准校车要依照《校车安全管理条例》取得校车使用许可。</w:t>
      </w:r>
    </w:p>
    <w:p w14:paraId="586BE9DA">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3.必须安装或使用具有行驶记录功能的卫星定位装置、画面传输实时监控系统以及逃生锤、干粉灭火器、急救箱等安全设备。车内外5G网络移动视频监控系统、行车记录仪，卫星定位系统和视频监控系统要与教育部门的校园校车监控平台做好对接。</w:t>
      </w:r>
    </w:p>
    <w:p w14:paraId="69E85BB5">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4.依法进行机动车登记，办理校车使用许可，取得校车标牌，定期进行每半年一次的安全技术检验。</w:t>
      </w:r>
    </w:p>
    <w:p w14:paraId="4581D902">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5.要保证接送中小学生上下学车辆运营前，必须投保机动车交通事故强制保险、商业三者险、承运人责任保险和不计免赔险。</w:t>
      </w:r>
    </w:p>
    <w:p w14:paraId="1676CF68">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hAnsi="Times New Roman" w:eastAsia="仿宋_GB2312" w:cs="仿宋_GB2312"/>
          <w:color w:val="auto"/>
          <w:sz w:val="32"/>
          <w:szCs w:val="32"/>
          <w:lang w:val="en-US" w:eastAsia="zh-CN" w:bidi="ar-SA"/>
        </w:rPr>
        <w:t>6.应当储备符合标准的备用校车，用于应急接送工作，备用车辆不负责支付服务费。</w:t>
      </w:r>
      <w:r>
        <w:rPr>
          <w:rFonts w:hint="eastAsia" w:ascii="仿宋_GB2312" w:eastAsia="仿宋_GB2312" w:cs="仿宋_GB2312"/>
          <w:color w:val="auto"/>
          <w:sz w:val="32"/>
          <w:szCs w:val="32"/>
          <w:lang w:val="en-US" w:eastAsia="zh-CN" w:bidi="ar-SA"/>
        </w:rPr>
        <w:t> </w:t>
      </w:r>
    </w:p>
    <w:p w14:paraId="6F5DBCDD">
      <w:pPr>
        <w:keepNext w:val="0"/>
        <w:keepLines w:val="0"/>
        <w:pageBreakBefore w:val="0"/>
        <w:widowControl w:val="0"/>
        <w:numPr>
          <w:ilvl w:val="0"/>
          <w:numId w:val="0"/>
        </w:numPr>
        <w:kinsoku/>
        <w:overflowPunct/>
        <w:topLinePunct w:val="0"/>
        <w:autoSpaceDE/>
        <w:autoSpaceDN/>
        <w:bidi w:val="0"/>
        <w:adjustRightInd/>
        <w:snapToGrid/>
        <w:spacing w:line="560" w:lineRule="exact"/>
        <w:ind w:firstLine="321" w:firstLineChars="100"/>
        <w:textAlignment w:val="auto"/>
        <w:rPr>
          <w:rFonts w:hint="eastAsia" w:ascii="仿宋_GB2312" w:eastAsia="仿宋_GB2312" w:cs="仿宋_GB2312"/>
          <w:b/>
          <w:bCs/>
          <w:color w:val="auto"/>
          <w:sz w:val="32"/>
          <w:szCs w:val="32"/>
          <w:lang w:val="en-US" w:eastAsia="zh-CN" w:bidi="ar-SA"/>
        </w:rPr>
      </w:pPr>
      <w:r>
        <w:rPr>
          <w:rFonts w:hint="eastAsia" w:ascii="仿宋_GB2312" w:eastAsia="仿宋_GB2312" w:cs="仿宋_GB2312"/>
          <w:b/>
          <w:bCs/>
          <w:color w:val="auto"/>
          <w:sz w:val="32"/>
          <w:szCs w:val="32"/>
          <w:lang w:val="en-US" w:eastAsia="zh-CN" w:bidi="ar-SA"/>
        </w:rPr>
        <w:t>（三）乙方聘用的校车服务人员应具备的条件。</w:t>
      </w:r>
    </w:p>
    <w:p w14:paraId="6F32CEF4">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1.所聘用的校车驾驶人员必须符合国务院《校车安全管理条例》（中华人民共和国国务院令第617号）第四章第二十三条的所有规定。</w:t>
      </w:r>
    </w:p>
    <w:p w14:paraId="50983B91">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2.所聘用的校车随车照管员年龄要在22周岁以上，不超过60周岁；具有一定的组织沟通能力；身体健康，无传染性疾病，无癫痫、精神病等可能危及照管安全的疾病病史，无酗酒、吸毒行为记录；无犯罪记录。</w:t>
      </w:r>
    </w:p>
    <w:p w14:paraId="20E3AC6E">
      <w:pPr>
        <w:keepNext w:val="0"/>
        <w:keepLines w:val="0"/>
        <w:pageBreakBefore w:val="0"/>
        <w:widowControl w:val="0"/>
        <w:kinsoku/>
        <w:wordWrap w:val="0"/>
        <w:overflowPunct/>
        <w:topLinePunct w:val="0"/>
        <w:autoSpaceDE/>
        <w:autoSpaceDN/>
        <w:bidi w:val="0"/>
        <w:adjustRightInd/>
        <w:snapToGrid/>
        <w:spacing w:line="560" w:lineRule="exact"/>
        <w:ind w:firstLine="321" w:firstLineChars="100"/>
        <w:textAlignment w:val="auto"/>
        <w:rPr>
          <w:rFonts w:hint="eastAsia" w:ascii="仿宋_GB2312" w:eastAsia="仿宋_GB2312" w:cs="仿宋_GB2312"/>
          <w:b/>
          <w:bCs/>
          <w:color w:val="auto"/>
          <w:sz w:val="32"/>
          <w:szCs w:val="32"/>
          <w:lang w:val="en-US" w:eastAsia="zh-CN" w:bidi="ar-SA"/>
        </w:rPr>
      </w:pPr>
      <w:r>
        <w:rPr>
          <w:rFonts w:hint="eastAsia" w:ascii="仿宋_GB2312" w:eastAsia="仿宋_GB2312" w:cs="仿宋_GB2312"/>
          <w:b/>
          <w:bCs/>
          <w:color w:val="auto"/>
          <w:sz w:val="32"/>
          <w:szCs w:val="32"/>
          <w:lang w:val="en-US" w:eastAsia="zh-CN" w:bidi="ar-SA"/>
        </w:rPr>
        <w:t>（四）乙方提供的校车服务质量应达到的标准。</w:t>
      </w:r>
    </w:p>
    <w:p w14:paraId="2CE2AE23">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1.提供的校车服务要满足船营区行政区域内义务教育阶段学生上下学乘车需求。</w:t>
      </w:r>
    </w:p>
    <w:p w14:paraId="1BD94F20">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2.自觉服从校车领导小组及成员单位、校车安全管理办公室的日常监督和指导。严格按照服务合同履行服务事项，保证服务质量和效果，配合甲方对履行情况进行检查验收。</w:t>
      </w:r>
    </w:p>
    <w:p w14:paraId="1A854CC6">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3.做好校车选购、落籍、申请校车使用许可、保险、安装实时监控系统、服务人员（驾驶员、随车照管员）选聘与培训、组织开展应急演练等工作，实行规范化管理。</w:t>
      </w:r>
    </w:p>
    <w:p w14:paraId="0AA63BC6">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4.编制校车运行线路规划、站点设置，报甲方审核确定，站点由甲方或交通部门安装。</w:t>
      </w:r>
    </w:p>
    <w:p w14:paraId="4177782B">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5.规范校车运营安全管理，做好校车安全维护，建立安全维护档案，保证校车处于良好安全技术状态。如遇特殊情况或校车出现故障，必须及时调度车辆，保证乘车学生按时上下学。接送学生专用校车，未取得相关职能部门批准，不得从事任何形式的社会运营。</w:t>
      </w:r>
    </w:p>
    <w:p w14:paraId="310A0DD3">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6.建立校车运营管理信息平台，安装北斗（GPS）定位系统，录入校车信息、数据、运行记录，保证在车辆运行过程中，调度中心全程监控司机及车辆的运行情况。</w:t>
      </w:r>
    </w:p>
    <w:p w14:paraId="13AA4C6B">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7.保持车内卫生状况良好，定期消毒，避免传染病疫情传播。定期组织上路检查，保证被接送学生乘车途中安全。</w:t>
      </w:r>
    </w:p>
    <w:p w14:paraId="2D86B9D2">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8.建立校车管理档案，实行 “一车一档”、“一人一档”，报甲方备案。</w:t>
      </w:r>
    </w:p>
    <w:p w14:paraId="4E09465F">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9.依据相关规定要求，合理确定各运营线路的收费标准，并报甲方备案。未经校车领导小组同意，不得随意提高或降低收费标准。</w:t>
      </w:r>
    </w:p>
    <w:p w14:paraId="7B7AF70B">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10.负责处理好与校车服务有关的一切信访问题。</w:t>
      </w:r>
    </w:p>
    <w:p w14:paraId="27FA9075">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11.负责妥善处理各类校车安全事故，按责任划分承担赔偿责任。</w:t>
      </w:r>
    </w:p>
    <w:p w14:paraId="6785DA80">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12.负责做好法律法规和各级部门对校车管理及校车服务的各项规定要求。</w:t>
      </w:r>
    </w:p>
    <w:p w14:paraId="7C468196">
      <w:pPr>
        <w:keepNext w:val="0"/>
        <w:keepLines w:val="0"/>
        <w:pageBreakBefore w:val="0"/>
        <w:widowControl w:val="0"/>
        <w:kinsoku/>
        <w:wordWrap w:val="0"/>
        <w:overflowPunct/>
        <w:topLinePunct w:val="0"/>
        <w:autoSpaceDE/>
        <w:autoSpaceDN/>
        <w:bidi w:val="0"/>
        <w:adjustRightInd/>
        <w:snapToGrid/>
        <w:spacing w:line="560" w:lineRule="exact"/>
        <w:ind w:firstLine="321" w:firstLineChars="100"/>
        <w:textAlignment w:val="auto"/>
        <w:rPr>
          <w:rFonts w:hint="eastAsia" w:ascii="仿宋_GB2312" w:eastAsia="仿宋_GB2312" w:cs="仿宋_GB2312"/>
          <w:b/>
          <w:bCs/>
          <w:color w:val="auto"/>
          <w:sz w:val="32"/>
          <w:szCs w:val="32"/>
          <w:lang w:val="en-US" w:eastAsia="zh-CN" w:bidi="ar-SA"/>
        </w:rPr>
      </w:pPr>
      <w:r>
        <w:rPr>
          <w:rFonts w:hint="eastAsia" w:ascii="仿宋_GB2312" w:eastAsia="仿宋_GB2312" w:cs="仿宋_GB2312"/>
          <w:b/>
          <w:bCs/>
          <w:color w:val="auto"/>
          <w:sz w:val="32"/>
          <w:szCs w:val="32"/>
          <w:lang w:val="en-US" w:eastAsia="zh-CN" w:bidi="ar-SA"/>
        </w:rPr>
        <w:t>（五）善后事宜。</w:t>
      </w:r>
    </w:p>
    <w:p w14:paraId="252799F7">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需妥善解决历史遗留问题，原校车公司车辆、司机、照管员要妥善安置，做到无舆情，无上访。</w:t>
      </w:r>
    </w:p>
    <w:p w14:paraId="15E715E6">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黑体" w:eastAsia="黑体" w:cs="Times New Roman"/>
          <w:color w:val="auto"/>
          <w:sz w:val="32"/>
          <w:szCs w:val="32"/>
          <w:lang w:val="en-US" w:eastAsia="zh-CN" w:bidi="ar-SA"/>
        </w:rPr>
      </w:pPr>
      <w:r>
        <w:rPr>
          <w:rFonts w:hint="eastAsia" w:ascii="黑体" w:eastAsia="黑体" w:cs="Times New Roman"/>
          <w:color w:val="auto"/>
          <w:sz w:val="32"/>
          <w:szCs w:val="32"/>
          <w:lang w:val="en-US" w:eastAsia="zh-CN" w:bidi="ar-SA"/>
        </w:rPr>
        <w:t>二、采购标的需满足的服务标准、期限、效率等要求：</w:t>
      </w:r>
    </w:p>
    <w:p w14:paraId="69B3D697">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bidi="ar-SA"/>
        </w:rPr>
      </w:pPr>
      <w:r>
        <w:rPr>
          <w:rFonts w:hint="eastAsia" w:ascii="仿宋_GB2312" w:eastAsia="仿宋_GB2312" w:cs="仿宋_GB2312"/>
          <w:color w:val="auto"/>
          <w:sz w:val="32"/>
          <w:szCs w:val="32"/>
          <w:lang w:bidi="ar-SA"/>
        </w:rPr>
        <w:t>服务期限：合同签订后</w:t>
      </w:r>
      <w:r>
        <w:rPr>
          <w:rFonts w:hint="eastAsia" w:ascii="仿宋_GB2312" w:eastAsia="仿宋_GB2312" w:cs="仿宋_GB2312"/>
          <w:color w:val="auto"/>
          <w:sz w:val="32"/>
          <w:szCs w:val="32"/>
          <w:lang w:val="en-US" w:eastAsia="zh-CN" w:bidi="ar-SA"/>
        </w:rPr>
        <w:t>3</w:t>
      </w:r>
      <w:r>
        <w:rPr>
          <w:rFonts w:hint="eastAsia" w:ascii="仿宋_GB2312" w:eastAsia="仿宋_GB2312" w:cs="仿宋_GB2312"/>
          <w:color w:val="auto"/>
          <w:sz w:val="32"/>
          <w:szCs w:val="32"/>
          <w:lang w:bidi="ar-SA"/>
        </w:rPr>
        <w:t>年。</w:t>
      </w:r>
    </w:p>
    <w:p w14:paraId="2D5BCDA4">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eastAsia="zh-CN" w:bidi="ar-SA"/>
        </w:rPr>
      </w:pPr>
      <w:r>
        <w:rPr>
          <w:rFonts w:hint="eastAsia" w:ascii="仿宋_GB2312" w:eastAsia="仿宋_GB2312" w:cs="仿宋_GB2312"/>
          <w:color w:val="auto"/>
          <w:sz w:val="32"/>
          <w:szCs w:val="32"/>
          <w:lang w:bidi="ar-SA"/>
        </w:rPr>
        <w:t>服务地点：</w:t>
      </w:r>
      <w:r>
        <w:rPr>
          <w:rFonts w:hint="eastAsia" w:ascii="仿宋_GB2312" w:eastAsia="仿宋_GB2312" w:cs="仿宋_GB2312"/>
          <w:color w:val="auto"/>
          <w:sz w:val="32"/>
          <w:szCs w:val="32"/>
          <w:lang w:val="en-US" w:eastAsia="zh-CN" w:bidi="ar-SA"/>
        </w:rPr>
        <w:t>船营区</w:t>
      </w:r>
      <w:r>
        <w:rPr>
          <w:rFonts w:hint="eastAsia" w:ascii="仿宋_GB2312" w:eastAsia="仿宋_GB2312" w:cs="仿宋_GB2312"/>
          <w:color w:val="auto"/>
          <w:sz w:val="32"/>
          <w:szCs w:val="32"/>
          <w:lang w:eastAsia="zh-CN" w:bidi="ar-SA"/>
        </w:rPr>
        <w:t>。</w:t>
      </w:r>
    </w:p>
    <w:p w14:paraId="6E8B642D">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eastAsia="zh-CN" w:bidi="ar-SA"/>
        </w:rPr>
        <w:t>采购标的需执行的国家相关标准、行业标准、地方标准或者其他标准、规范，</w:t>
      </w:r>
      <w:r>
        <w:rPr>
          <w:rFonts w:hint="eastAsia" w:ascii="仿宋_GB2312" w:eastAsia="仿宋_GB2312" w:cs="仿宋_GB2312"/>
          <w:color w:val="auto"/>
          <w:sz w:val="32"/>
          <w:szCs w:val="32"/>
          <w:lang w:val="en-US" w:eastAsia="zh-CN" w:bidi="ar-SA"/>
        </w:rPr>
        <w:t>符合现行国家、行业、地方或者其他相关标准的合格要求，采购标的需满足的质量、安全、技术规格、物理特性等要求。</w:t>
      </w:r>
      <w:bookmarkStart w:id="115" w:name="_Toc5645"/>
    </w:p>
    <w:p w14:paraId="3608120A">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p>
    <w:p w14:paraId="58A027BA">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p>
    <w:p w14:paraId="0B536804">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p>
    <w:p w14:paraId="151A7DE0">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p>
    <w:p w14:paraId="29143968">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p>
    <w:p w14:paraId="648A00A1">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p>
    <w:p w14:paraId="3CA511AD">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p>
    <w:p w14:paraId="46D82467">
      <w:pPr>
        <w:pStyle w:val="4"/>
        <w:bidi w:val="0"/>
        <w:jc w:val="center"/>
        <w:rPr>
          <w:rFonts w:hint="eastAsia"/>
        </w:rPr>
      </w:pPr>
      <w:r>
        <w:rPr>
          <w:rFonts w:hint="eastAsia"/>
        </w:rPr>
        <w:t>第</w:t>
      </w:r>
      <w:r>
        <w:rPr>
          <w:rFonts w:hint="eastAsia"/>
          <w:lang w:val="en-US" w:eastAsia="zh-CN"/>
        </w:rPr>
        <w:t>六</w:t>
      </w:r>
      <w:r>
        <w:rPr>
          <w:rFonts w:hint="eastAsia"/>
        </w:rPr>
        <w:t>章 投标文件构成、要求及格式</w:t>
      </w:r>
      <w:bookmarkEnd w:id="115"/>
    </w:p>
    <w:p w14:paraId="6C08981B">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特别声明：</w:t>
      </w:r>
    </w:p>
    <w:p w14:paraId="2796DB98">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238FDA82">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1、投标人必须按照招标文件的规定提交所要求提交的的投标文件正本1份、副本4份、电子版</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份，若有缺失、无效或者不符合招标文件要求，将导致其投标被拒绝。</w:t>
      </w:r>
    </w:p>
    <w:p w14:paraId="48EC090F">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2、投标人提交的全部文件均须统一装订在投标文件中。投标人提交的文件材料均不予退还。</w:t>
      </w:r>
    </w:p>
    <w:p w14:paraId="49B547CE">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3、如果要求提交的资格证明文件需要进行年检，但在投标时因当地有关管理部门尚未开展年检工作，使投标人不能提交经年检的资格文件，投标人应提交当地相关管理机关出具的有效证明文件。</w:t>
      </w:r>
    </w:p>
    <w:p w14:paraId="629CCCB2">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4、投标人提交的全部文件均须按招标文件的规定进行有效签署和加盖公章。</w:t>
      </w:r>
    </w:p>
    <w:p w14:paraId="0817AC7A">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5、评标委员会将根据投标人提交的文件资料和判断，决定投标人履行合同的合格性及能力。</w:t>
      </w:r>
    </w:p>
    <w:p w14:paraId="269258ED">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6、投标人在投标前应自行检查要求提交的文件是否已完整提交和签章，若有缺失或无效，将导致其投标被拒绝。</w:t>
      </w:r>
    </w:p>
    <w:p w14:paraId="66423D69">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7、投标人应编制投标文件目录及页码并编排在投标文件首页。</w:t>
      </w:r>
    </w:p>
    <w:p w14:paraId="7AE8F2D4">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8、投标人提交投标文件的内容应与招标文件格式一致。</w:t>
      </w:r>
    </w:p>
    <w:p w14:paraId="7B115853">
      <w:pPr>
        <w:pStyle w:val="33"/>
        <w:pageBreakBefore w:val="0"/>
        <w:kinsoku/>
        <w:overflowPunct/>
        <w:topLinePunct w:val="0"/>
        <w:bidi w:val="0"/>
        <w:spacing w:before="156" w:beforeLines="50" w:after="156" w:afterLines="50" w:line="360" w:lineRule="auto"/>
        <w:ind w:firstLine="482" w:firstLineChars="200"/>
        <w:rPr>
          <w:rFonts w:hint="eastAsia" w:ascii="宋体" w:hAnsi="宋体" w:eastAsia="宋体" w:cs="宋体"/>
          <w:b/>
          <w:bCs/>
          <w:color w:val="auto"/>
          <w:sz w:val="24"/>
          <w:szCs w:val="24"/>
          <w:highlight w:val="none"/>
        </w:rPr>
      </w:pPr>
    </w:p>
    <w:p w14:paraId="17546EA4">
      <w:pPr>
        <w:snapToGrid/>
        <w:spacing w:before="0" w:beforeAutospacing="0" w:after="0" w:afterAutospacing="0" w:line="240" w:lineRule="auto"/>
        <w:jc w:val="left"/>
        <w:textAlignment w:val="baseline"/>
        <w:rPr>
          <w:b w:val="0"/>
          <w:i w:val="0"/>
          <w:caps w:val="0"/>
          <w:spacing w:val="0"/>
          <w:w w:val="100"/>
          <w:sz w:val="20"/>
        </w:rPr>
      </w:pPr>
    </w:p>
    <w:p w14:paraId="25105438">
      <w:pPr>
        <w:snapToGrid/>
        <w:spacing w:before="0" w:beforeAutospacing="0" w:after="0" w:afterAutospacing="0" w:line="240" w:lineRule="auto"/>
        <w:jc w:val="left"/>
        <w:textAlignment w:val="baseline"/>
        <w:rPr>
          <w:b w:val="0"/>
          <w:i w:val="0"/>
          <w:caps w:val="0"/>
          <w:spacing w:val="0"/>
          <w:w w:val="100"/>
          <w:sz w:val="20"/>
        </w:rPr>
      </w:pPr>
    </w:p>
    <w:p w14:paraId="5E0D43A3">
      <w:pPr>
        <w:snapToGrid/>
        <w:spacing w:before="0" w:beforeAutospacing="0" w:after="0" w:afterAutospacing="0" w:line="240" w:lineRule="auto"/>
        <w:jc w:val="center"/>
        <w:textAlignment w:val="baseline"/>
        <w:rPr>
          <w:rFonts w:hint="eastAsia"/>
          <w:b w:val="0"/>
          <w:i w:val="0"/>
          <w:caps w:val="0"/>
          <w:spacing w:val="0"/>
          <w:w w:val="100"/>
          <w:sz w:val="56"/>
        </w:rPr>
      </w:pPr>
    </w:p>
    <w:p w14:paraId="6026483C">
      <w:pPr>
        <w:snapToGrid/>
        <w:spacing w:before="0" w:beforeAutospacing="0" w:after="0" w:afterAutospacing="0" w:line="240" w:lineRule="auto"/>
        <w:jc w:val="center"/>
        <w:textAlignment w:val="baseline"/>
        <w:rPr>
          <w:rFonts w:hint="eastAsia"/>
          <w:b w:val="0"/>
          <w:i w:val="0"/>
          <w:caps w:val="0"/>
          <w:spacing w:val="0"/>
          <w:w w:val="100"/>
          <w:sz w:val="56"/>
        </w:rPr>
      </w:pPr>
    </w:p>
    <w:p w14:paraId="2720DB6B">
      <w:pPr>
        <w:snapToGrid/>
        <w:spacing w:before="0" w:beforeAutospacing="0" w:after="0" w:afterAutospacing="0" w:line="240" w:lineRule="auto"/>
        <w:jc w:val="center"/>
        <w:textAlignment w:val="baseline"/>
        <w:rPr>
          <w:b w:val="0"/>
          <w:i w:val="0"/>
          <w:caps w:val="0"/>
          <w:spacing w:val="0"/>
          <w:w w:val="100"/>
          <w:sz w:val="56"/>
        </w:rPr>
      </w:pPr>
      <w:r>
        <w:rPr>
          <w:rFonts w:hint="eastAsia"/>
          <w:b w:val="0"/>
          <w:i w:val="0"/>
          <w:caps w:val="0"/>
          <w:spacing w:val="0"/>
          <w:w w:val="100"/>
          <w:sz w:val="56"/>
        </w:rPr>
        <w:t>吉林市船营区中小学生上</w:t>
      </w:r>
      <w:r>
        <w:rPr>
          <w:rFonts w:hint="eastAsia"/>
          <w:b w:val="0"/>
          <w:i w:val="0"/>
          <w:caps w:val="0"/>
          <w:spacing w:val="0"/>
          <w:w w:val="100"/>
          <w:sz w:val="56"/>
          <w:lang w:val="en-US" w:eastAsia="zh-CN"/>
        </w:rPr>
        <w:t>放</w:t>
      </w:r>
      <w:r>
        <w:rPr>
          <w:rFonts w:hint="eastAsia"/>
          <w:b w:val="0"/>
          <w:i w:val="0"/>
          <w:caps w:val="0"/>
          <w:spacing w:val="0"/>
          <w:w w:val="100"/>
          <w:sz w:val="56"/>
        </w:rPr>
        <w:t>学校</w:t>
      </w:r>
      <w:r>
        <w:rPr>
          <w:rFonts w:hint="eastAsia"/>
          <w:b w:val="0"/>
          <w:i w:val="0"/>
          <w:caps w:val="0"/>
          <w:color w:val="auto"/>
          <w:spacing w:val="0"/>
          <w:w w:val="100"/>
          <w:sz w:val="56"/>
        </w:rPr>
        <w:t>车接送服务项目</w:t>
      </w:r>
    </w:p>
    <w:p w14:paraId="4902C309">
      <w:pPr>
        <w:snapToGrid/>
        <w:spacing w:before="0" w:beforeAutospacing="0" w:after="0" w:afterAutospacing="0" w:line="240" w:lineRule="auto"/>
        <w:jc w:val="center"/>
        <w:textAlignment w:val="baseline"/>
        <w:rPr>
          <w:b w:val="0"/>
          <w:i w:val="0"/>
          <w:caps w:val="0"/>
          <w:spacing w:val="0"/>
          <w:w w:val="100"/>
          <w:sz w:val="24"/>
        </w:rPr>
      </w:pPr>
    </w:p>
    <w:p w14:paraId="59DD5A6F">
      <w:pPr>
        <w:snapToGrid/>
        <w:spacing w:before="0" w:beforeAutospacing="0" w:after="0" w:afterAutospacing="0" w:line="240" w:lineRule="auto"/>
        <w:jc w:val="center"/>
        <w:textAlignment w:val="baseline"/>
        <w:rPr>
          <w:b w:val="0"/>
          <w:i w:val="0"/>
          <w:caps w:val="0"/>
          <w:spacing w:val="0"/>
          <w:w w:val="100"/>
          <w:sz w:val="24"/>
        </w:rPr>
      </w:pPr>
      <w:r>
        <w:rPr>
          <w:rFonts w:hint="eastAsia"/>
          <w:sz w:val="24"/>
          <w:szCs w:val="32"/>
        </w:rPr>
        <w:t>项目编号</w:t>
      </w:r>
      <w:r>
        <w:rPr>
          <w:rFonts w:hint="eastAsia"/>
          <w:b w:val="0"/>
          <w:i w:val="0"/>
          <w:caps w:val="0"/>
          <w:spacing w:val="0"/>
          <w:w w:val="100"/>
          <w:sz w:val="24"/>
        </w:rPr>
        <w:t>：</w:t>
      </w:r>
    </w:p>
    <w:p w14:paraId="13F1AD99">
      <w:pPr>
        <w:snapToGrid/>
        <w:spacing w:before="0" w:beforeAutospacing="0" w:after="0" w:afterAutospacing="0" w:line="240" w:lineRule="auto"/>
        <w:jc w:val="center"/>
        <w:textAlignment w:val="baseline"/>
        <w:rPr>
          <w:b w:val="0"/>
          <w:i w:val="0"/>
          <w:caps w:val="0"/>
          <w:spacing w:val="0"/>
          <w:w w:val="100"/>
          <w:sz w:val="24"/>
        </w:rPr>
      </w:pPr>
    </w:p>
    <w:p w14:paraId="36CDAA18">
      <w:pPr>
        <w:snapToGrid/>
        <w:spacing w:before="0" w:beforeAutospacing="0" w:after="0" w:afterAutospacing="0" w:line="240" w:lineRule="auto"/>
        <w:jc w:val="center"/>
        <w:textAlignment w:val="baseline"/>
        <w:rPr>
          <w:b w:val="0"/>
          <w:i w:val="0"/>
          <w:caps w:val="0"/>
          <w:spacing w:val="0"/>
          <w:w w:val="100"/>
          <w:sz w:val="24"/>
        </w:rPr>
      </w:pPr>
    </w:p>
    <w:p w14:paraId="0267A1F3">
      <w:pPr>
        <w:snapToGrid/>
        <w:spacing w:before="0" w:beforeAutospacing="0" w:after="0" w:afterAutospacing="0" w:line="240" w:lineRule="auto"/>
        <w:jc w:val="center"/>
        <w:textAlignment w:val="baseline"/>
        <w:rPr>
          <w:b w:val="0"/>
          <w:i w:val="0"/>
          <w:caps w:val="0"/>
          <w:spacing w:val="0"/>
          <w:w w:val="100"/>
          <w:sz w:val="24"/>
        </w:rPr>
      </w:pPr>
    </w:p>
    <w:p w14:paraId="37A13408">
      <w:pPr>
        <w:snapToGrid/>
        <w:spacing w:before="0" w:beforeAutospacing="0" w:after="0" w:afterAutospacing="0" w:line="240" w:lineRule="auto"/>
        <w:jc w:val="center"/>
        <w:textAlignment w:val="baseline"/>
        <w:rPr>
          <w:b w:val="0"/>
          <w:i w:val="0"/>
          <w:caps w:val="0"/>
          <w:spacing w:val="0"/>
          <w:w w:val="100"/>
          <w:sz w:val="24"/>
        </w:rPr>
      </w:pPr>
    </w:p>
    <w:p w14:paraId="6BDA6C4F">
      <w:pPr>
        <w:snapToGrid/>
        <w:spacing w:before="0" w:beforeAutospacing="0" w:after="0" w:afterAutospacing="0" w:line="240" w:lineRule="auto"/>
        <w:jc w:val="center"/>
        <w:textAlignment w:val="baseline"/>
        <w:rPr>
          <w:b w:val="0"/>
          <w:i w:val="0"/>
          <w:caps w:val="0"/>
          <w:spacing w:val="0"/>
          <w:w w:val="100"/>
          <w:sz w:val="72"/>
        </w:rPr>
      </w:pPr>
      <w:r>
        <w:rPr>
          <w:rFonts w:hint="eastAsia"/>
          <w:b w:val="0"/>
          <w:i w:val="0"/>
          <w:caps w:val="0"/>
          <w:spacing w:val="0"/>
          <w:w w:val="100"/>
          <w:sz w:val="72"/>
        </w:rPr>
        <w:t>投 标 文 件</w:t>
      </w:r>
    </w:p>
    <w:p w14:paraId="46C7DEE5">
      <w:pPr>
        <w:snapToGrid/>
        <w:spacing w:before="0" w:beforeAutospacing="0" w:after="0" w:afterAutospacing="0" w:line="240" w:lineRule="auto"/>
        <w:jc w:val="center"/>
        <w:textAlignment w:val="baseline"/>
        <w:rPr>
          <w:b w:val="0"/>
          <w:i w:val="0"/>
          <w:caps w:val="0"/>
          <w:spacing w:val="0"/>
          <w:w w:val="100"/>
          <w:sz w:val="72"/>
        </w:rPr>
      </w:pPr>
    </w:p>
    <w:p w14:paraId="6087CBCE">
      <w:pPr>
        <w:snapToGrid/>
        <w:spacing w:before="0" w:beforeAutospacing="0" w:after="0" w:afterAutospacing="0" w:line="240" w:lineRule="auto"/>
        <w:jc w:val="center"/>
        <w:textAlignment w:val="baseline"/>
        <w:rPr>
          <w:b w:val="0"/>
          <w:i w:val="0"/>
          <w:caps w:val="0"/>
          <w:spacing w:val="0"/>
          <w:w w:val="100"/>
          <w:sz w:val="72"/>
        </w:rPr>
      </w:pPr>
    </w:p>
    <w:p w14:paraId="1E17C547">
      <w:pPr>
        <w:snapToGrid/>
        <w:spacing w:before="0" w:beforeAutospacing="0" w:after="0" w:afterAutospacing="0" w:line="240" w:lineRule="auto"/>
        <w:jc w:val="center"/>
        <w:textAlignment w:val="baseline"/>
        <w:rPr>
          <w:b w:val="0"/>
          <w:i w:val="0"/>
          <w:caps w:val="0"/>
          <w:spacing w:val="0"/>
          <w:w w:val="100"/>
          <w:sz w:val="72"/>
        </w:rPr>
      </w:pPr>
    </w:p>
    <w:p w14:paraId="4E216878">
      <w:pPr>
        <w:snapToGrid/>
        <w:spacing w:before="0" w:beforeAutospacing="0" w:after="0" w:afterAutospacing="0" w:line="240" w:lineRule="auto"/>
        <w:jc w:val="center"/>
        <w:textAlignment w:val="baseline"/>
        <w:rPr>
          <w:b w:val="0"/>
          <w:i w:val="0"/>
          <w:caps w:val="0"/>
          <w:spacing w:val="0"/>
          <w:w w:val="100"/>
          <w:sz w:val="72"/>
        </w:rPr>
      </w:pPr>
    </w:p>
    <w:p w14:paraId="1752AF8C">
      <w:pPr>
        <w:snapToGrid/>
        <w:spacing w:before="0" w:beforeAutospacing="0" w:after="0" w:afterAutospacing="0" w:line="240" w:lineRule="auto"/>
        <w:jc w:val="center"/>
        <w:textAlignment w:val="baseline"/>
        <w:rPr>
          <w:b w:val="0"/>
          <w:i w:val="0"/>
          <w:caps w:val="0"/>
          <w:spacing w:val="0"/>
          <w:w w:val="100"/>
          <w:sz w:val="72"/>
        </w:rPr>
      </w:pPr>
    </w:p>
    <w:p w14:paraId="1EDDF4CB">
      <w:pPr>
        <w:snapToGrid/>
        <w:spacing w:before="0" w:beforeAutospacing="0" w:after="0" w:afterAutospacing="0" w:line="240" w:lineRule="auto"/>
        <w:jc w:val="center"/>
        <w:textAlignment w:val="baseline"/>
        <w:rPr>
          <w:b w:val="0"/>
          <w:i w:val="0"/>
          <w:caps w:val="0"/>
          <w:spacing w:val="0"/>
          <w:w w:val="100"/>
          <w:sz w:val="72"/>
        </w:rPr>
      </w:pPr>
    </w:p>
    <w:p w14:paraId="1EFE8423">
      <w:pPr>
        <w:snapToGrid/>
        <w:spacing w:before="0" w:beforeAutospacing="0" w:after="0" w:afterAutospacing="0" w:line="240" w:lineRule="auto"/>
        <w:jc w:val="both"/>
        <w:textAlignment w:val="baseline"/>
        <w:rPr>
          <w:b w:val="0"/>
          <w:i w:val="0"/>
          <w:caps w:val="0"/>
          <w:spacing w:val="0"/>
          <w:w w:val="100"/>
          <w:sz w:val="72"/>
        </w:rPr>
      </w:pPr>
    </w:p>
    <w:p w14:paraId="2AFCCF50">
      <w:pPr>
        <w:snapToGrid/>
        <w:spacing w:before="0" w:beforeAutospacing="0" w:after="0" w:afterAutospacing="0" w:line="240" w:lineRule="auto"/>
        <w:jc w:val="left"/>
        <w:textAlignment w:val="baseline"/>
        <w:rPr>
          <w:b w:val="0"/>
          <w:i w:val="0"/>
          <w:caps w:val="0"/>
          <w:spacing w:val="0"/>
          <w:w w:val="100"/>
          <w:sz w:val="20"/>
        </w:rPr>
      </w:pPr>
      <w:r>
        <w:rPr>
          <w:rFonts w:hint="eastAsia"/>
          <w:b w:val="0"/>
          <w:i w:val="0"/>
          <w:caps w:val="0"/>
          <w:spacing w:val="0"/>
          <w:w w:val="100"/>
          <w:sz w:val="21"/>
        </w:rPr>
        <w:t>投标人：</w:t>
      </w:r>
      <w:r>
        <w:rPr>
          <w:rFonts w:hint="eastAsia"/>
          <w:b w:val="0"/>
          <w:i w:val="0"/>
          <w:caps w:val="0"/>
          <w:spacing w:val="0"/>
          <w:w w:val="100"/>
          <w:sz w:val="21"/>
          <w:u w:val="single" w:color="000000"/>
        </w:rPr>
        <w:t xml:space="preserve">                                                 (盖单位章)</w:t>
      </w:r>
    </w:p>
    <w:p w14:paraId="003327E7">
      <w:pPr>
        <w:snapToGrid/>
        <w:spacing w:before="0" w:beforeAutospacing="0" w:after="0" w:afterAutospacing="0" w:line="240" w:lineRule="auto"/>
        <w:jc w:val="left"/>
        <w:textAlignment w:val="baseline"/>
        <w:rPr>
          <w:b w:val="0"/>
          <w:i w:val="0"/>
          <w:caps w:val="0"/>
          <w:spacing w:val="0"/>
          <w:w w:val="100"/>
          <w:sz w:val="20"/>
        </w:rPr>
      </w:pPr>
    </w:p>
    <w:p w14:paraId="35BCCB97">
      <w:pPr>
        <w:snapToGrid/>
        <w:spacing w:before="0" w:beforeAutospacing="0" w:after="0" w:afterAutospacing="0" w:line="240" w:lineRule="auto"/>
        <w:jc w:val="left"/>
        <w:textAlignment w:val="baseline"/>
        <w:rPr>
          <w:b w:val="0"/>
          <w:i w:val="0"/>
          <w:caps w:val="0"/>
          <w:spacing w:val="0"/>
          <w:w w:val="100"/>
          <w:sz w:val="20"/>
        </w:rPr>
      </w:pPr>
      <w:r>
        <w:rPr>
          <w:rFonts w:hint="eastAsia"/>
          <w:b w:val="0"/>
          <w:i w:val="0"/>
          <w:caps w:val="0"/>
          <w:spacing w:val="0"/>
          <w:w w:val="100"/>
          <w:sz w:val="21"/>
        </w:rPr>
        <w:t>法定代表人或其委托代理人：</w:t>
      </w:r>
      <w:r>
        <w:rPr>
          <w:rFonts w:hint="eastAsia"/>
          <w:b w:val="0"/>
          <w:i w:val="0"/>
          <w:caps w:val="0"/>
          <w:spacing w:val="0"/>
          <w:w w:val="100"/>
          <w:sz w:val="21"/>
          <w:u w:val="single" w:color="000000"/>
        </w:rPr>
        <w:t xml:space="preserve">                             (签字)</w:t>
      </w:r>
    </w:p>
    <w:p w14:paraId="7F17717C">
      <w:pPr>
        <w:snapToGrid/>
        <w:spacing w:before="0" w:beforeAutospacing="0" w:after="0" w:afterAutospacing="0" w:line="240" w:lineRule="auto"/>
        <w:ind w:firstLine="2940" w:firstLineChars="1400"/>
        <w:jc w:val="both"/>
        <w:textAlignment w:val="baseline"/>
        <w:rPr>
          <w:b w:val="0"/>
          <w:i w:val="0"/>
          <w:caps w:val="0"/>
          <w:spacing w:val="0"/>
          <w:w w:val="100"/>
          <w:sz w:val="20"/>
        </w:rPr>
      </w:pPr>
      <w:r>
        <w:rPr>
          <w:rFonts w:hint="eastAsia"/>
          <w:b w:val="0"/>
          <w:i w:val="0"/>
          <w:caps w:val="0"/>
          <w:spacing w:val="0"/>
          <w:w w:val="100"/>
          <w:sz w:val="21"/>
          <w:u w:val="single" w:color="000000"/>
        </w:rPr>
        <w:t xml:space="preserve">        </w:t>
      </w:r>
      <w:r>
        <w:rPr>
          <w:rFonts w:hint="eastAsia"/>
          <w:b w:val="0"/>
          <w:i w:val="0"/>
          <w:caps w:val="0"/>
          <w:spacing w:val="0"/>
          <w:w w:val="100"/>
          <w:sz w:val="21"/>
        </w:rPr>
        <w:t>年</w:t>
      </w:r>
      <w:r>
        <w:rPr>
          <w:rFonts w:hint="eastAsia"/>
          <w:b w:val="0"/>
          <w:i w:val="0"/>
          <w:caps w:val="0"/>
          <w:spacing w:val="0"/>
          <w:w w:val="100"/>
          <w:sz w:val="21"/>
          <w:u w:val="single" w:color="000000"/>
        </w:rPr>
        <w:t xml:space="preserve">    </w:t>
      </w:r>
      <w:r>
        <w:rPr>
          <w:rFonts w:hint="eastAsia"/>
          <w:b w:val="0"/>
          <w:i w:val="0"/>
          <w:caps w:val="0"/>
          <w:spacing w:val="0"/>
          <w:w w:val="100"/>
          <w:sz w:val="21"/>
        </w:rPr>
        <w:t>月</w:t>
      </w:r>
      <w:r>
        <w:rPr>
          <w:rFonts w:hint="eastAsia"/>
          <w:b w:val="0"/>
          <w:i w:val="0"/>
          <w:caps w:val="0"/>
          <w:spacing w:val="0"/>
          <w:w w:val="100"/>
          <w:sz w:val="21"/>
          <w:u w:val="single" w:color="000000"/>
        </w:rPr>
        <w:t xml:space="preserve">    </w:t>
      </w:r>
      <w:r>
        <w:rPr>
          <w:rFonts w:hint="eastAsia"/>
          <w:b w:val="0"/>
          <w:i w:val="0"/>
          <w:caps w:val="0"/>
          <w:spacing w:val="0"/>
          <w:w w:val="100"/>
          <w:sz w:val="21"/>
        </w:rPr>
        <w:t>日</w:t>
      </w:r>
    </w:p>
    <w:p w14:paraId="34B61ED1">
      <w:pPr>
        <w:snapToGrid/>
        <w:spacing w:before="0" w:beforeAutospacing="0" w:after="0" w:afterAutospacing="0" w:line="240" w:lineRule="auto"/>
        <w:jc w:val="center"/>
        <w:textAlignment w:val="baseline"/>
        <w:rPr>
          <w:rFonts w:hint="eastAsia"/>
          <w:b/>
          <w:i w:val="0"/>
          <w:caps w:val="0"/>
          <w:spacing w:val="0"/>
          <w:w w:val="100"/>
          <w:sz w:val="48"/>
        </w:rPr>
      </w:pPr>
    </w:p>
    <w:p w14:paraId="440C0048">
      <w:pPr>
        <w:pStyle w:val="33"/>
        <w:pageBreakBefore w:val="0"/>
        <w:kinsoku/>
        <w:overflowPunct/>
        <w:topLinePunct w:val="0"/>
        <w:bidi w:val="0"/>
        <w:spacing w:before="156" w:beforeLines="50" w:after="156" w:afterLines="50" w:line="360" w:lineRule="auto"/>
        <w:ind w:firstLine="643" w:firstLineChars="200"/>
        <w:jc w:val="center"/>
        <w:rPr>
          <w:rFonts w:hint="eastAsia" w:ascii="宋体" w:hAnsi="宋体" w:eastAsia="宋体" w:cs="宋体"/>
          <w:b/>
          <w:bCs/>
          <w:color w:val="auto"/>
          <w:sz w:val="32"/>
          <w:szCs w:val="32"/>
          <w:highlight w:val="none"/>
        </w:rPr>
      </w:pPr>
    </w:p>
    <w:p w14:paraId="2BB677AC">
      <w:pPr>
        <w:pStyle w:val="33"/>
        <w:pageBreakBefore w:val="0"/>
        <w:kinsoku/>
        <w:overflowPunct/>
        <w:topLinePunct w:val="0"/>
        <w:bidi w:val="0"/>
        <w:spacing w:before="156" w:beforeLines="50" w:after="156" w:afterLines="50" w:line="360" w:lineRule="auto"/>
        <w:ind w:firstLine="643" w:firstLineChars="200"/>
        <w:jc w:val="center"/>
        <w:rPr>
          <w:rFonts w:hint="eastAsia" w:ascii="宋体" w:hAnsi="宋体" w:eastAsia="宋体" w:cs="宋体"/>
          <w:b/>
          <w:bCs/>
          <w:color w:val="auto"/>
          <w:sz w:val="32"/>
          <w:szCs w:val="32"/>
          <w:highlight w:val="none"/>
        </w:rPr>
      </w:pPr>
    </w:p>
    <w:p w14:paraId="73E8EBF7">
      <w:pPr>
        <w:pStyle w:val="33"/>
        <w:pageBreakBefore w:val="0"/>
        <w:kinsoku/>
        <w:overflowPunct/>
        <w:topLinePunct w:val="0"/>
        <w:bidi w:val="0"/>
        <w:spacing w:before="156" w:beforeLines="50" w:after="156" w:afterLines="50" w:line="360" w:lineRule="auto"/>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一、投标函</w:t>
      </w:r>
    </w:p>
    <w:p w14:paraId="07135272">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致：</w:t>
      </w:r>
    </w:p>
    <w:p w14:paraId="2E9EC2C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根据你方采购_(项目名称)_项目的编号为_     ___招标文件，我方正式授权的下述签字人(姓名和职务)     _代表我方_    (投标人的名称)   ，按照你方招标文件的规定，提交招标文件规定的"投标文件构成"要求的全部文件正本1份、副本4份，并保证所提供的全部文件是真实的、有效的和准确的。据此函，签字人兹宣布同意如下：</w:t>
      </w:r>
    </w:p>
    <w:p w14:paraId="74EFFE69">
      <w:pPr>
        <w:pStyle w:val="33"/>
        <w:pageBreakBefore w:val="0"/>
        <w:kinsoku/>
        <w:overflowPunct/>
        <w:topLinePunct w:val="0"/>
        <w:bidi w:val="0"/>
        <w:spacing w:before="156" w:beforeLines="50" w:after="156" w:afterLines="50" w:line="360" w:lineRule="auto"/>
        <w:ind w:left="1679" w:leftChars="228" w:hanging="1200" w:hangingChars="5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1.按招标文件规定提供本项日规定交付的服务投标单价为人民币(大写)：</w:t>
      </w:r>
    </w:p>
    <w:p w14:paraId="47018E8F">
      <w:pPr>
        <w:pStyle w:val="33"/>
        <w:pageBreakBefore w:val="0"/>
        <w:kinsoku/>
        <w:overflowPunct/>
        <w:topLinePunct w:val="0"/>
        <w:bidi w:val="0"/>
        <w:spacing w:before="156" w:beforeLines="50" w:after="156" w:afterLines="50" w:line="360" w:lineRule="auto"/>
        <w:ind w:left="1679" w:leftChars="228" w:hanging="1200" w:hangingChars="5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元/车/月</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车辆总数辆：</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辆；</w:t>
      </w:r>
      <w:r>
        <w:rPr>
          <w:rFonts w:hint="eastAsia" w:ascii="宋体" w:hAnsi="宋体" w:eastAsia="宋体" w:cs="宋体"/>
          <w:b w:val="0"/>
          <w:bCs w:val="0"/>
          <w:color w:val="auto"/>
          <w:sz w:val="24"/>
          <w:szCs w:val="24"/>
          <w:highlight w:val="none"/>
          <w:lang w:val="en-US" w:eastAsia="zh-CN"/>
        </w:rPr>
        <w:t>每年运营月数</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（月）</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 xml:space="preserve">  </w:t>
      </w:r>
    </w:p>
    <w:p w14:paraId="5D7ECE4D">
      <w:pPr>
        <w:pStyle w:val="33"/>
        <w:pageBreakBefore w:val="0"/>
        <w:kinsoku/>
        <w:overflowPunct/>
        <w:topLinePunct w:val="0"/>
        <w:bidi w:val="0"/>
        <w:spacing w:before="156" w:beforeLines="50" w:after="156" w:afterLines="50" w:line="360" w:lineRule="auto"/>
        <w:ind w:left="1679" w:leftChars="228" w:hanging="1200" w:hangingChars="5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投标总价：</w:t>
      </w:r>
      <w:r>
        <w:rPr>
          <w:rFonts w:hint="eastAsia" w:ascii="宋体" w:hAnsi="宋体" w:eastAsia="宋体" w:cs="宋体"/>
          <w:b w:val="0"/>
          <w:bCs w:val="0"/>
          <w:color w:val="auto"/>
          <w:sz w:val="24"/>
          <w:szCs w:val="24"/>
          <w:highlight w:val="none"/>
          <w:u w:val="single"/>
          <w:lang w:val="en-US" w:eastAsia="zh-CN"/>
        </w:rPr>
        <w:t xml:space="preserve">       元</w:t>
      </w:r>
      <w:r>
        <w:rPr>
          <w:rFonts w:hint="eastAsia" w:ascii="宋体" w:hAnsi="宋体" w:eastAsia="宋体" w:cs="宋体"/>
          <w:b w:val="0"/>
          <w:bCs w:val="0"/>
          <w:color w:val="auto"/>
          <w:sz w:val="24"/>
          <w:szCs w:val="24"/>
          <w:highlight w:val="none"/>
          <w:lang w:val="en-US" w:eastAsia="zh-CN"/>
        </w:rPr>
        <w:t xml:space="preserve">：     </w:t>
      </w:r>
    </w:p>
    <w:p w14:paraId="56D1910E">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2.投标人将按招标文件的规定履行合同责任和义务。</w:t>
      </w:r>
    </w:p>
    <w:p w14:paraId="53F0B7A6">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3.投标人已详细审查全部招标文件，包括修改文件(如有的话)。我们完全理解并同意放弃对这方面有不明及误解的权力。</w:t>
      </w:r>
    </w:p>
    <w:p w14:paraId="772F91BE">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4.本投标有效期为</w:t>
      </w:r>
      <w:r>
        <w:rPr>
          <w:rFonts w:hint="eastAsia" w:ascii="宋体" w:hAnsi="宋体" w:eastAsia="宋体" w:cs="宋体"/>
          <w:bCs/>
          <w:color w:val="auto"/>
          <w:kern w:val="15"/>
          <w:sz w:val="24"/>
          <w:szCs w:val="24"/>
          <w:highlight w:val="none"/>
          <w:lang w:eastAsia="zh-CN"/>
        </w:rPr>
        <w:t>提交投标文件的截止之日起90天（日历天）</w:t>
      </w:r>
      <w:r>
        <w:rPr>
          <w:rFonts w:hint="eastAsia" w:ascii="宋体" w:hAnsi="宋体" w:eastAsia="宋体" w:cs="宋体"/>
          <w:b w:val="0"/>
          <w:bCs w:val="0"/>
          <w:color w:val="auto"/>
          <w:sz w:val="24"/>
          <w:szCs w:val="24"/>
          <w:highlight w:val="none"/>
        </w:rPr>
        <w:t>。</w:t>
      </w:r>
    </w:p>
    <w:p w14:paraId="2B65DD79">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5.如果在规定的开标时间后，投标人在投标有效期内撤回投标，其投标保证金将被贵方没收。</w:t>
      </w:r>
    </w:p>
    <w:p w14:paraId="23A21B6D">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6.投标人同意提供按照贵方可能要求与其投标有关的一切数据或资料，完全理解贵方不一定接受最低价的投标或收到的任何投标。</w:t>
      </w:r>
    </w:p>
    <w:p w14:paraId="726900F2">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7.我方保证严格遵守《中华人民共和国招投标法》</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中华人民共和国</w:t>
      </w:r>
      <w:r>
        <w:rPr>
          <w:rFonts w:hint="eastAsia" w:ascii="宋体" w:hAnsi="宋体" w:eastAsia="宋体" w:cs="宋体"/>
          <w:b w:val="0"/>
          <w:bCs w:val="0"/>
          <w:color w:val="auto"/>
          <w:sz w:val="24"/>
          <w:szCs w:val="24"/>
          <w:highlight w:val="none"/>
          <w:lang w:val="en-US" w:eastAsia="zh-CN"/>
        </w:rPr>
        <w:t>政府采购法</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等的有关规定，若有下列情形之一的，我方将被处不予退还投标保证金，列入不良行为记录名单，在一至三年内禁止参加政府采购活动，并予以公告：我方在参与本次投标活动中.不曾以任何不正当的手段影响、串通、排斥有关当事人或谋取、施予非法利益.如有行为不当，愿独自承担此行为所造成的后果和法律责任。</w:t>
      </w:r>
    </w:p>
    <w:p w14:paraId="3971497A">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3870BB7C">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投标人印刷体名称(加盖公章)：                       </w:t>
      </w:r>
    </w:p>
    <w:p w14:paraId="1A1E9B79">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法定代表人或委托代理人姓名(手书签名及盖章)：                     </w:t>
      </w:r>
    </w:p>
    <w:p w14:paraId="35FE585B">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地址：                                        </w:t>
      </w:r>
    </w:p>
    <w:p w14:paraId="4C3E0FA1">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电话、                   </w:t>
      </w:r>
    </w:p>
    <w:p w14:paraId="536B5B02">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       年    月  __日</w:t>
      </w:r>
    </w:p>
    <w:p w14:paraId="74A63DED">
      <w:pPr>
        <w:pStyle w:val="33"/>
        <w:pageBreakBefore w:val="0"/>
        <w:kinsoku/>
        <w:overflowPunct/>
        <w:topLinePunct w:val="0"/>
        <w:bidi w:val="0"/>
        <w:spacing w:before="156" w:beforeLines="50" w:after="156" w:afterLines="50" w:line="360" w:lineRule="auto"/>
        <w:ind w:firstLine="640" w:firstLineChars="200"/>
        <w:jc w:val="center"/>
        <w:rPr>
          <w:rFonts w:hint="eastAsia" w:ascii="宋体" w:hAnsi="宋体" w:eastAsia="宋体" w:cs="宋体"/>
          <w:b w:val="0"/>
          <w:bCs w:val="0"/>
          <w:color w:val="auto"/>
          <w:sz w:val="32"/>
          <w:szCs w:val="32"/>
          <w:highlight w:val="none"/>
        </w:rPr>
      </w:pPr>
    </w:p>
    <w:p w14:paraId="126C07AA">
      <w:pPr>
        <w:pStyle w:val="33"/>
        <w:pageBreakBefore w:val="0"/>
        <w:kinsoku/>
        <w:overflowPunct/>
        <w:topLinePunct w:val="0"/>
        <w:bidi w:val="0"/>
        <w:spacing w:before="156" w:beforeLines="50" w:after="156" w:afterLines="50" w:line="360" w:lineRule="auto"/>
        <w:ind w:firstLine="640" w:firstLineChars="200"/>
        <w:jc w:val="center"/>
        <w:rPr>
          <w:rFonts w:hint="eastAsia" w:ascii="宋体" w:hAnsi="宋体" w:eastAsia="宋体" w:cs="宋体"/>
          <w:b w:val="0"/>
          <w:bCs w:val="0"/>
          <w:color w:val="auto"/>
          <w:sz w:val="32"/>
          <w:szCs w:val="32"/>
          <w:highlight w:val="none"/>
        </w:rPr>
      </w:pPr>
    </w:p>
    <w:p w14:paraId="15E5ADB0">
      <w:pPr>
        <w:pStyle w:val="33"/>
        <w:pageBreakBefore w:val="0"/>
        <w:kinsoku/>
        <w:overflowPunct/>
        <w:topLinePunct w:val="0"/>
        <w:bidi w:val="0"/>
        <w:spacing w:before="156" w:beforeLines="50" w:after="156" w:afterLines="50" w:line="360" w:lineRule="auto"/>
        <w:ind w:firstLine="640" w:firstLineChars="200"/>
        <w:jc w:val="center"/>
        <w:rPr>
          <w:rFonts w:hint="eastAsia" w:ascii="宋体" w:hAnsi="宋体" w:eastAsia="宋体" w:cs="宋体"/>
          <w:b w:val="0"/>
          <w:bCs w:val="0"/>
          <w:color w:val="auto"/>
          <w:sz w:val="32"/>
          <w:szCs w:val="32"/>
          <w:highlight w:val="none"/>
        </w:rPr>
      </w:pPr>
    </w:p>
    <w:p w14:paraId="0A30CB66">
      <w:pPr>
        <w:pStyle w:val="33"/>
        <w:pageBreakBefore w:val="0"/>
        <w:kinsoku/>
        <w:overflowPunct/>
        <w:topLinePunct w:val="0"/>
        <w:bidi w:val="0"/>
        <w:spacing w:before="156" w:beforeLines="50" w:after="156" w:afterLines="50" w:line="360" w:lineRule="auto"/>
        <w:ind w:firstLine="640" w:firstLineChars="200"/>
        <w:jc w:val="center"/>
        <w:rPr>
          <w:rFonts w:hint="eastAsia" w:ascii="宋体" w:hAnsi="宋体" w:eastAsia="宋体" w:cs="宋体"/>
          <w:b w:val="0"/>
          <w:bCs w:val="0"/>
          <w:color w:val="auto"/>
          <w:sz w:val="32"/>
          <w:szCs w:val="32"/>
          <w:highlight w:val="none"/>
        </w:rPr>
      </w:pPr>
    </w:p>
    <w:p w14:paraId="211D0F16">
      <w:pPr>
        <w:pStyle w:val="33"/>
        <w:pageBreakBefore w:val="0"/>
        <w:kinsoku/>
        <w:overflowPunct/>
        <w:topLinePunct w:val="0"/>
        <w:bidi w:val="0"/>
        <w:spacing w:before="156" w:beforeLines="50" w:after="156" w:afterLines="50" w:line="360" w:lineRule="auto"/>
        <w:ind w:firstLine="640" w:firstLineChars="200"/>
        <w:jc w:val="center"/>
        <w:rPr>
          <w:rFonts w:hint="eastAsia" w:ascii="宋体" w:hAnsi="宋体" w:eastAsia="宋体" w:cs="宋体"/>
          <w:b w:val="0"/>
          <w:bCs w:val="0"/>
          <w:color w:val="auto"/>
          <w:sz w:val="32"/>
          <w:szCs w:val="32"/>
          <w:highlight w:val="none"/>
        </w:rPr>
      </w:pPr>
    </w:p>
    <w:p w14:paraId="43B3EE99">
      <w:pPr>
        <w:pStyle w:val="33"/>
        <w:pageBreakBefore w:val="0"/>
        <w:kinsoku/>
        <w:overflowPunct/>
        <w:topLinePunct w:val="0"/>
        <w:bidi w:val="0"/>
        <w:spacing w:before="156" w:beforeLines="50" w:after="156" w:afterLines="50" w:line="360" w:lineRule="auto"/>
        <w:ind w:firstLine="640" w:firstLineChars="200"/>
        <w:jc w:val="center"/>
        <w:rPr>
          <w:rFonts w:hint="eastAsia" w:ascii="宋体" w:hAnsi="宋体" w:eastAsia="宋体" w:cs="宋体"/>
          <w:b w:val="0"/>
          <w:bCs w:val="0"/>
          <w:color w:val="auto"/>
          <w:sz w:val="32"/>
          <w:szCs w:val="32"/>
          <w:highlight w:val="none"/>
        </w:rPr>
      </w:pPr>
    </w:p>
    <w:p w14:paraId="08513CF3">
      <w:pPr>
        <w:pStyle w:val="33"/>
        <w:pageBreakBefore w:val="0"/>
        <w:kinsoku/>
        <w:overflowPunct/>
        <w:topLinePunct w:val="0"/>
        <w:bidi w:val="0"/>
        <w:spacing w:before="156" w:beforeLines="50" w:after="156" w:afterLines="50" w:line="360" w:lineRule="auto"/>
        <w:ind w:firstLine="640" w:firstLineChars="200"/>
        <w:jc w:val="center"/>
        <w:rPr>
          <w:rFonts w:hint="eastAsia" w:ascii="宋体" w:hAnsi="宋体" w:eastAsia="宋体" w:cs="宋体"/>
          <w:b w:val="0"/>
          <w:bCs w:val="0"/>
          <w:color w:val="auto"/>
          <w:sz w:val="32"/>
          <w:szCs w:val="32"/>
          <w:highlight w:val="none"/>
        </w:rPr>
      </w:pPr>
    </w:p>
    <w:p w14:paraId="6D9DC80D">
      <w:pPr>
        <w:pStyle w:val="33"/>
        <w:pageBreakBefore w:val="0"/>
        <w:kinsoku/>
        <w:overflowPunct/>
        <w:topLinePunct w:val="0"/>
        <w:bidi w:val="0"/>
        <w:spacing w:before="156" w:beforeLines="50" w:after="156" w:afterLines="50" w:line="360" w:lineRule="auto"/>
        <w:ind w:firstLine="640" w:firstLineChars="200"/>
        <w:jc w:val="center"/>
        <w:rPr>
          <w:rFonts w:hint="eastAsia" w:ascii="宋体" w:hAnsi="宋体" w:eastAsia="宋体" w:cs="宋体"/>
          <w:b w:val="0"/>
          <w:bCs w:val="0"/>
          <w:color w:val="auto"/>
          <w:sz w:val="32"/>
          <w:szCs w:val="32"/>
          <w:highlight w:val="none"/>
        </w:rPr>
      </w:pPr>
    </w:p>
    <w:p w14:paraId="2E388688">
      <w:pPr>
        <w:pStyle w:val="33"/>
        <w:pageBreakBefore w:val="0"/>
        <w:kinsoku/>
        <w:overflowPunct/>
        <w:topLinePunct w:val="0"/>
        <w:bidi w:val="0"/>
        <w:spacing w:before="156" w:beforeLines="50" w:after="156" w:afterLines="50" w:line="360" w:lineRule="auto"/>
        <w:ind w:firstLine="640" w:firstLineChars="200"/>
        <w:jc w:val="center"/>
        <w:rPr>
          <w:rFonts w:hint="eastAsia" w:ascii="宋体" w:hAnsi="宋体" w:eastAsia="宋体" w:cs="宋体"/>
          <w:b w:val="0"/>
          <w:bCs w:val="0"/>
          <w:color w:val="auto"/>
          <w:sz w:val="32"/>
          <w:szCs w:val="32"/>
          <w:highlight w:val="none"/>
        </w:rPr>
      </w:pPr>
    </w:p>
    <w:p w14:paraId="44D9A70B">
      <w:pPr>
        <w:pStyle w:val="33"/>
        <w:pageBreakBefore w:val="0"/>
        <w:kinsoku/>
        <w:overflowPunct/>
        <w:topLinePunct w:val="0"/>
        <w:bidi w:val="0"/>
        <w:spacing w:before="156" w:beforeLines="50" w:after="156" w:afterLines="50" w:line="360" w:lineRule="auto"/>
        <w:ind w:firstLine="640" w:firstLineChars="200"/>
        <w:jc w:val="center"/>
        <w:rPr>
          <w:rFonts w:hint="eastAsia" w:ascii="宋体" w:hAnsi="宋体" w:eastAsia="宋体" w:cs="宋体"/>
          <w:b w:val="0"/>
          <w:bCs w:val="0"/>
          <w:color w:val="auto"/>
          <w:sz w:val="32"/>
          <w:szCs w:val="32"/>
          <w:highlight w:val="none"/>
        </w:rPr>
      </w:pPr>
    </w:p>
    <w:p w14:paraId="6609C962">
      <w:pPr>
        <w:pStyle w:val="33"/>
        <w:pageBreakBefore w:val="0"/>
        <w:kinsoku/>
        <w:overflowPunct/>
        <w:topLinePunct w:val="0"/>
        <w:bidi w:val="0"/>
        <w:spacing w:before="156" w:beforeLines="50" w:after="156" w:afterLines="50" w:line="360" w:lineRule="auto"/>
        <w:ind w:firstLine="640" w:firstLineChars="200"/>
        <w:jc w:val="center"/>
        <w:rPr>
          <w:rFonts w:hint="eastAsia" w:ascii="宋体" w:hAnsi="宋体" w:eastAsia="宋体" w:cs="宋体"/>
          <w:b w:val="0"/>
          <w:bCs w:val="0"/>
          <w:color w:val="auto"/>
          <w:sz w:val="32"/>
          <w:szCs w:val="32"/>
          <w:highlight w:val="none"/>
        </w:rPr>
      </w:pPr>
    </w:p>
    <w:p w14:paraId="2541C6B3">
      <w:pPr>
        <w:pStyle w:val="33"/>
        <w:pageBreakBefore w:val="0"/>
        <w:kinsoku/>
        <w:overflowPunct/>
        <w:topLinePunct w:val="0"/>
        <w:bidi w:val="0"/>
        <w:spacing w:before="156" w:beforeLines="50" w:after="156" w:afterLines="50" w:line="360" w:lineRule="auto"/>
        <w:ind w:firstLine="640" w:firstLineChars="200"/>
        <w:jc w:val="center"/>
        <w:rPr>
          <w:rFonts w:hint="eastAsia" w:ascii="宋体" w:hAnsi="宋体" w:eastAsia="宋体" w:cs="宋体"/>
          <w:b w:val="0"/>
          <w:bCs w:val="0"/>
          <w:color w:val="auto"/>
          <w:sz w:val="32"/>
          <w:szCs w:val="32"/>
          <w:highlight w:val="none"/>
        </w:rPr>
      </w:pPr>
    </w:p>
    <w:p w14:paraId="29C94444">
      <w:pPr>
        <w:pStyle w:val="33"/>
        <w:pageBreakBefore w:val="0"/>
        <w:kinsoku/>
        <w:overflowPunct/>
        <w:topLinePunct w:val="0"/>
        <w:bidi w:val="0"/>
        <w:spacing w:before="156" w:beforeLines="50" w:after="156" w:afterLines="50" w:line="360" w:lineRule="auto"/>
        <w:ind w:firstLine="640" w:firstLineChars="200"/>
        <w:jc w:val="center"/>
        <w:rPr>
          <w:rFonts w:hint="eastAsia" w:ascii="宋体" w:hAnsi="宋体" w:eastAsia="宋体" w:cs="宋体"/>
          <w:b w:val="0"/>
          <w:bCs w:val="0"/>
          <w:color w:val="auto"/>
          <w:sz w:val="32"/>
          <w:szCs w:val="32"/>
          <w:highlight w:val="none"/>
        </w:rPr>
      </w:pPr>
    </w:p>
    <w:p w14:paraId="2E94A589">
      <w:pPr>
        <w:pStyle w:val="33"/>
        <w:pageBreakBefore w:val="0"/>
        <w:kinsoku/>
        <w:overflowPunct/>
        <w:topLinePunct w:val="0"/>
        <w:bidi w:val="0"/>
        <w:spacing w:before="156" w:beforeLines="50" w:after="156" w:afterLines="50" w:line="360" w:lineRule="auto"/>
        <w:ind w:firstLine="640" w:firstLineChars="200"/>
        <w:jc w:val="center"/>
        <w:rPr>
          <w:rFonts w:hint="eastAsia" w:ascii="宋体" w:hAnsi="宋体" w:eastAsia="宋体" w:cs="宋体"/>
          <w:b w:val="0"/>
          <w:bCs w:val="0"/>
          <w:color w:val="auto"/>
          <w:sz w:val="32"/>
          <w:szCs w:val="32"/>
          <w:highlight w:val="none"/>
        </w:rPr>
      </w:pPr>
    </w:p>
    <w:p w14:paraId="5981556E">
      <w:pPr>
        <w:pStyle w:val="33"/>
        <w:pageBreakBefore w:val="0"/>
        <w:kinsoku/>
        <w:overflowPunct/>
        <w:topLinePunct w:val="0"/>
        <w:bidi w:val="0"/>
        <w:spacing w:before="156" w:beforeLines="50" w:after="156" w:afterLines="50" w:line="360" w:lineRule="auto"/>
        <w:ind w:firstLine="640" w:firstLineChars="200"/>
        <w:jc w:val="center"/>
        <w:rPr>
          <w:rFonts w:hint="eastAsia" w:ascii="宋体" w:hAnsi="宋体" w:eastAsia="宋体" w:cs="宋体"/>
          <w:b w:val="0"/>
          <w:bCs w:val="0"/>
          <w:color w:val="auto"/>
          <w:sz w:val="32"/>
          <w:szCs w:val="32"/>
          <w:highlight w:val="none"/>
        </w:rPr>
      </w:pPr>
    </w:p>
    <w:p w14:paraId="6BFE05CD">
      <w:pPr>
        <w:pStyle w:val="33"/>
        <w:pageBreakBefore w:val="0"/>
        <w:kinsoku/>
        <w:overflowPunct/>
        <w:topLinePunct w:val="0"/>
        <w:bidi w:val="0"/>
        <w:spacing w:before="156" w:beforeLines="50" w:after="156" w:afterLines="50" w:line="360" w:lineRule="auto"/>
        <w:ind w:firstLine="643" w:firstLineChars="200"/>
        <w:jc w:val="center"/>
        <w:rPr>
          <w:rFonts w:hint="eastAsia" w:ascii="宋体" w:hAnsi="宋体" w:eastAsia="宋体" w:cs="宋体"/>
          <w:b/>
          <w:bCs/>
          <w:color w:val="auto"/>
          <w:sz w:val="32"/>
          <w:szCs w:val="32"/>
          <w:highlight w:val="none"/>
        </w:rPr>
      </w:pPr>
    </w:p>
    <w:p w14:paraId="1C8BAA14">
      <w:pPr>
        <w:pStyle w:val="33"/>
        <w:pageBreakBefore w:val="0"/>
        <w:kinsoku/>
        <w:overflowPunct/>
        <w:topLinePunct w:val="0"/>
        <w:bidi w:val="0"/>
        <w:spacing w:before="156" w:beforeLines="50" w:after="156" w:afterLines="50" w:line="360" w:lineRule="auto"/>
        <w:ind w:firstLine="643" w:firstLineChars="200"/>
        <w:jc w:val="center"/>
        <w:rPr>
          <w:rFonts w:hint="eastAsia" w:ascii="宋体" w:hAnsi="宋体" w:eastAsia="宋体" w:cs="宋体"/>
          <w:b w:val="0"/>
          <w:bCs w:val="0"/>
          <w:color w:val="auto"/>
          <w:sz w:val="32"/>
          <w:szCs w:val="32"/>
          <w:highlight w:val="none"/>
        </w:rPr>
      </w:pPr>
      <w:r>
        <w:rPr>
          <w:rFonts w:hint="eastAsia" w:ascii="宋体" w:hAnsi="宋体" w:eastAsia="宋体" w:cs="宋体"/>
          <w:b/>
          <w:bCs/>
          <w:color w:val="auto"/>
          <w:sz w:val="32"/>
          <w:szCs w:val="32"/>
          <w:highlight w:val="none"/>
        </w:rPr>
        <w:t>二、法定代表人授权委托书</w:t>
      </w:r>
    </w:p>
    <w:p w14:paraId="6AFFC408">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61905A2B">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本授权委托书声明：注册于_    (注册地点) 的   (投标人名称) _公司的_   (投标人法定代表人      姓名、      职务)代表本公司授权           _(委托代理人单位名称)_   _的_(委托代理人姓名、      职务)    __为本公司的委托代理人，就_      __(采购人名称+采购项目名称)     _项目(招标编号               )的投标以及合同的谈判、签约、执行、完成和保修等全权负责，以本公司名义处理一切与之有关的事务。代理人在投标、开标、评标、合同谈判和履行过程中所签署的一切文件和处理的与之有关的一切事务，我均予以承认。代理人无转委托权。</w:t>
      </w:r>
    </w:p>
    <w:p w14:paraId="4DC6F2F7">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本授权委托书于_____年___月__日签字生效，特此声明。</w:t>
      </w:r>
    </w:p>
    <w:p w14:paraId="4FDD4316">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0A33CC79">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附：法定代表人身份证(正反面)</w:t>
      </w:r>
    </w:p>
    <w:p w14:paraId="7BB231F8">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附：委托代理人身份证(正反面)</w:t>
      </w:r>
    </w:p>
    <w:p w14:paraId="6F145FFD">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6DC58DF1">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2750EE69">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投标人印刷体名称：       (加盖公章)  </w:t>
      </w:r>
    </w:p>
    <w:p w14:paraId="4AEB1787">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法定代表人印刷体姓名：   (加盖法人章)</w:t>
      </w:r>
    </w:p>
    <w:p w14:paraId="4ACDB7AB">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身份证号：</w:t>
      </w:r>
    </w:p>
    <w:p w14:paraId="0FA1B07C">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委托代理人手书签名：</w:t>
      </w:r>
    </w:p>
    <w:p w14:paraId="113295F2">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身份证号：</w:t>
      </w:r>
    </w:p>
    <w:p w14:paraId="2E0F5112">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    年  月  日</w:t>
      </w:r>
    </w:p>
    <w:p w14:paraId="3D64BB28">
      <w:pPr>
        <w:pStyle w:val="33"/>
        <w:pageBreakBefore w:val="0"/>
        <w:kinsoku/>
        <w:overflowPunct/>
        <w:topLinePunct w:val="0"/>
        <w:bidi w:val="0"/>
        <w:spacing w:before="156" w:beforeLines="50" w:after="156" w:afterLines="50" w:line="360" w:lineRule="auto"/>
        <w:jc w:val="both"/>
        <w:rPr>
          <w:rFonts w:hint="eastAsia" w:ascii="宋体" w:hAnsi="宋体" w:eastAsia="宋体" w:cs="宋体"/>
          <w:b w:val="0"/>
          <w:bCs w:val="0"/>
          <w:color w:val="auto"/>
          <w:sz w:val="32"/>
          <w:szCs w:val="32"/>
          <w:highlight w:val="none"/>
        </w:rPr>
      </w:pPr>
    </w:p>
    <w:p w14:paraId="5CC69E0F">
      <w:pPr>
        <w:pStyle w:val="33"/>
        <w:pageBreakBefore w:val="0"/>
        <w:kinsoku/>
        <w:overflowPunct/>
        <w:topLinePunct w:val="0"/>
        <w:bidi w:val="0"/>
        <w:spacing w:before="156" w:beforeLines="50" w:after="156" w:afterLines="50" w:line="360" w:lineRule="auto"/>
        <w:ind w:firstLine="643" w:firstLineChars="200"/>
        <w:jc w:val="center"/>
        <w:rPr>
          <w:rFonts w:hint="eastAsia" w:ascii="宋体" w:hAnsi="宋体" w:eastAsia="宋体" w:cs="宋体"/>
          <w:b/>
          <w:bCs/>
          <w:color w:val="auto"/>
          <w:sz w:val="32"/>
          <w:szCs w:val="32"/>
          <w:highlight w:val="none"/>
        </w:rPr>
      </w:pPr>
    </w:p>
    <w:p w14:paraId="1CCDECEA">
      <w:pPr>
        <w:pStyle w:val="33"/>
        <w:pageBreakBefore w:val="0"/>
        <w:kinsoku/>
        <w:overflowPunct/>
        <w:topLinePunct w:val="0"/>
        <w:bidi w:val="0"/>
        <w:spacing w:before="156" w:beforeLines="50" w:after="156" w:afterLines="50" w:line="360" w:lineRule="auto"/>
        <w:ind w:firstLine="643" w:firstLineChars="200"/>
        <w:jc w:val="center"/>
        <w:rPr>
          <w:rFonts w:hint="eastAsia" w:ascii="宋体" w:hAnsi="宋体" w:eastAsia="宋体" w:cs="宋体"/>
          <w:b w:val="0"/>
          <w:bCs w:val="0"/>
          <w:color w:val="auto"/>
          <w:sz w:val="32"/>
          <w:szCs w:val="32"/>
          <w:highlight w:val="none"/>
        </w:rPr>
      </w:pPr>
      <w:r>
        <w:rPr>
          <w:rFonts w:hint="eastAsia" w:ascii="宋体" w:hAnsi="宋体" w:eastAsia="宋体" w:cs="宋体"/>
          <w:b/>
          <w:bCs/>
          <w:color w:val="auto"/>
          <w:sz w:val="32"/>
          <w:szCs w:val="32"/>
          <w:highlight w:val="none"/>
        </w:rPr>
        <w:t>三、法定代表人身份证明</w:t>
      </w:r>
    </w:p>
    <w:p w14:paraId="64DA178C">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51EF179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72871B09">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法定代表人身份证明</w:t>
      </w:r>
    </w:p>
    <w:p w14:paraId="03E61DF2">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投标人：                                                 </w:t>
      </w:r>
    </w:p>
    <w:p w14:paraId="501B2BD5">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单位性质：                                                           </w:t>
      </w:r>
    </w:p>
    <w:p w14:paraId="7BEC8ED2">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地址：                                                               </w:t>
      </w:r>
    </w:p>
    <w:p w14:paraId="362D6951">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成立时间：                 年               月              日</w:t>
      </w:r>
    </w:p>
    <w:p w14:paraId="7E5CEED6">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经营期限：                                                           </w:t>
      </w:r>
    </w:p>
    <w:p w14:paraId="23D1CB0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姓    名：                           性    别：                      </w:t>
      </w:r>
    </w:p>
    <w:p w14:paraId="297D85FE">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年    龄：                           职    务：                      </w:t>
      </w:r>
    </w:p>
    <w:p w14:paraId="2BA39FF2">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系                                          (投标人名称)的法定代表人。</w:t>
      </w:r>
    </w:p>
    <w:p w14:paraId="4517F944">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特此证明。</w:t>
      </w:r>
    </w:p>
    <w:p w14:paraId="507577B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附：法定代表人居民身份证(正反面)  </w:t>
      </w:r>
    </w:p>
    <w:p w14:paraId="3A933C69">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4EA01B99">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                   (盖单位章)</w:t>
      </w:r>
    </w:p>
    <w:p w14:paraId="207B5471">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016DD558">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年     月     日</w:t>
      </w:r>
    </w:p>
    <w:p w14:paraId="716800DF">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73D21A91">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76279BA8">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43C7A4EC">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6BBE3C94">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5F2CAF38">
      <w:pPr>
        <w:pStyle w:val="33"/>
        <w:pageBreakBefore w:val="0"/>
        <w:kinsoku/>
        <w:overflowPunct/>
        <w:topLinePunct w:val="0"/>
        <w:bidi w:val="0"/>
        <w:spacing w:before="156" w:beforeLines="50" w:after="156" w:afterLines="50" w:line="360" w:lineRule="auto"/>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四、投标保证金</w:t>
      </w:r>
    </w:p>
    <w:p w14:paraId="0E5094B8">
      <w:pPr>
        <w:pStyle w:val="33"/>
        <w:pageBreakBefore w:val="0"/>
        <w:kinsoku/>
        <w:overflowPunct/>
        <w:topLinePunct w:val="0"/>
        <w:bidi w:val="0"/>
        <w:spacing w:before="156" w:beforeLines="50" w:after="156" w:afterLines="50" w:line="360" w:lineRule="auto"/>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(招标人名称)：</w:t>
      </w:r>
    </w:p>
    <w:p w14:paraId="12D12C4F">
      <w:pPr>
        <w:pStyle w:val="33"/>
        <w:pageBreakBefore w:val="0"/>
        <w:kinsoku/>
        <w:overflowPunct/>
        <w:topLinePunct w:val="0"/>
        <w:bidi w:val="0"/>
        <w:spacing w:before="156" w:beforeLines="50" w:after="156" w:afterLines="5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[投标人名称](以下称“投标人”)于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 xml:space="preserve"> 月</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日递交了</w:t>
      </w:r>
      <w:r>
        <w:rPr>
          <w:rFonts w:hint="eastAsia" w:ascii="宋体" w:hAnsi="宋体" w:eastAsia="宋体" w:cs="宋体"/>
          <w:b w:val="0"/>
          <w:bCs w:val="0"/>
          <w:color w:val="auto"/>
          <w:sz w:val="24"/>
          <w:szCs w:val="24"/>
          <w:highlight w:val="none"/>
          <w:u w:val="single"/>
        </w:rPr>
        <w:t xml:space="preserve">   【项目名称】   </w:t>
      </w:r>
      <w:r>
        <w:rPr>
          <w:rFonts w:hint="eastAsia" w:ascii="宋体" w:hAnsi="宋体" w:eastAsia="宋体" w:cs="宋体"/>
          <w:b w:val="0"/>
          <w:bCs w:val="0"/>
          <w:color w:val="auto"/>
          <w:sz w:val="24"/>
          <w:szCs w:val="24"/>
          <w:highlight w:val="none"/>
        </w:rPr>
        <w:t>的投标书。并附有人民币</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万元付款凭据作为投标保证金。</w:t>
      </w:r>
    </w:p>
    <w:p w14:paraId="123C9459">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我方同意招标文件</w:t>
      </w:r>
      <w:r>
        <w:rPr>
          <w:rFonts w:hint="eastAsia" w:ascii="宋体" w:hAnsi="宋体" w:eastAsia="宋体" w:cs="宋体"/>
          <w:b w:val="0"/>
          <w:bCs w:val="0"/>
          <w:color w:val="auto"/>
          <w:sz w:val="24"/>
          <w:szCs w:val="24"/>
          <w:highlight w:val="none"/>
          <w:lang w:val="en-US" w:eastAsia="zh-CN"/>
        </w:rPr>
        <w:t>中</w:t>
      </w:r>
      <w:r>
        <w:rPr>
          <w:rFonts w:hint="eastAsia" w:ascii="宋体" w:hAnsi="宋体" w:eastAsia="宋体" w:cs="宋体"/>
          <w:b w:val="0"/>
          <w:bCs w:val="0"/>
          <w:color w:val="auto"/>
          <w:sz w:val="24"/>
          <w:szCs w:val="24"/>
          <w:highlight w:val="none"/>
        </w:rPr>
        <w:t>投标人须知有关投标保证金的规定，并对我方有约束力。</w:t>
      </w:r>
    </w:p>
    <w:p w14:paraId="003C34D9">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64018B68">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(此处粘贴递交投标保证金凭据复印件)(经招标公司确认盖章方位有效)</w:t>
      </w:r>
    </w:p>
    <w:p w14:paraId="08C3E0E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7F1A42AB">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758A8D9F">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投标人：(公章)                    </w:t>
      </w:r>
    </w:p>
    <w:p w14:paraId="2CDEC7A8">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被授权代表：(签字或盖章)                </w:t>
      </w:r>
    </w:p>
    <w:p w14:paraId="1BB75E31">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年    月   日</w:t>
      </w:r>
    </w:p>
    <w:p w14:paraId="2288249A">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6BB2F084">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71D75CB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3B51480A">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4DAB2F6C">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10EF5316">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7E0ED45A">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0C32FD8B">
      <w:pPr>
        <w:pStyle w:val="33"/>
        <w:pageBreakBefore w:val="0"/>
        <w:kinsoku/>
        <w:overflowPunct/>
        <w:topLinePunct w:val="0"/>
        <w:bidi w:val="0"/>
        <w:spacing w:before="156" w:beforeLines="50" w:after="156" w:afterLines="50" w:line="360" w:lineRule="auto"/>
        <w:ind w:firstLine="640" w:firstLineChars="200"/>
        <w:jc w:val="center"/>
        <w:rPr>
          <w:rFonts w:hint="eastAsia" w:ascii="宋体" w:hAnsi="宋体" w:eastAsia="宋体" w:cs="宋体"/>
          <w:b w:val="0"/>
          <w:bCs w:val="0"/>
          <w:color w:val="auto"/>
          <w:sz w:val="32"/>
          <w:szCs w:val="32"/>
          <w:highlight w:val="none"/>
        </w:rPr>
      </w:pPr>
    </w:p>
    <w:p w14:paraId="2404FBD0">
      <w:pPr>
        <w:pStyle w:val="33"/>
        <w:pageBreakBefore w:val="0"/>
        <w:kinsoku/>
        <w:overflowPunct/>
        <w:topLinePunct w:val="0"/>
        <w:bidi w:val="0"/>
        <w:spacing w:before="156" w:beforeLines="50" w:after="156" w:afterLines="50" w:line="360" w:lineRule="auto"/>
        <w:ind w:firstLine="643" w:firstLineChars="200"/>
        <w:jc w:val="center"/>
        <w:rPr>
          <w:rFonts w:hint="eastAsia" w:ascii="宋体" w:hAnsi="宋体" w:eastAsia="宋体" w:cs="宋体"/>
          <w:b/>
          <w:bCs/>
          <w:color w:val="auto"/>
          <w:sz w:val="32"/>
          <w:szCs w:val="32"/>
          <w:highlight w:val="none"/>
        </w:rPr>
      </w:pPr>
    </w:p>
    <w:p w14:paraId="7C02A259">
      <w:pPr>
        <w:pStyle w:val="33"/>
        <w:pageBreakBefore w:val="0"/>
        <w:kinsoku/>
        <w:overflowPunct/>
        <w:topLinePunct w:val="0"/>
        <w:bidi w:val="0"/>
        <w:spacing w:before="156" w:beforeLines="50" w:after="156" w:afterLines="50" w:line="360" w:lineRule="auto"/>
        <w:ind w:firstLine="643" w:firstLineChars="200"/>
        <w:jc w:val="center"/>
        <w:rPr>
          <w:rFonts w:hint="eastAsia" w:ascii="宋体" w:hAnsi="宋体" w:eastAsia="宋体" w:cs="宋体"/>
          <w:b/>
          <w:bCs/>
          <w:color w:val="auto"/>
          <w:sz w:val="32"/>
          <w:szCs w:val="32"/>
          <w:highlight w:val="none"/>
        </w:rPr>
      </w:pPr>
    </w:p>
    <w:p w14:paraId="028AAC7B">
      <w:pPr>
        <w:pStyle w:val="33"/>
        <w:pageBreakBefore w:val="0"/>
        <w:kinsoku/>
        <w:overflowPunct/>
        <w:topLinePunct w:val="0"/>
        <w:bidi w:val="0"/>
        <w:spacing w:before="156" w:beforeLines="50" w:after="156" w:afterLines="50" w:line="360" w:lineRule="auto"/>
        <w:ind w:firstLine="643" w:firstLineChars="200"/>
        <w:jc w:val="center"/>
        <w:rPr>
          <w:rFonts w:hint="eastAsia" w:ascii="宋体" w:hAnsi="宋体" w:eastAsia="宋体" w:cs="宋体"/>
          <w:b/>
          <w:bCs/>
          <w:color w:val="auto"/>
          <w:sz w:val="32"/>
          <w:szCs w:val="32"/>
          <w:highlight w:val="none"/>
        </w:rPr>
      </w:pPr>
    </w:p>
    <w:p w14:paraId="469A80E1">
      <w:pPr>
        <w:pStyle w:val="33"/>
        <w:pageBreakBefore w:val="0"/>
        <w:kinsoku/>
        <w:overflowPunct/>
        <w:topLinePunct w:val="0"/>
        <w:bidi w:val="0"/>
        <w:spacing w:before="156" w:beforeLines="50" w:after="156" w:afterLines="50" w:line="360" w:lineRule="auto"/>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五、开标一览表</w:t>
      </w:r>
    </w:p>
    <w:p w14:paraId="7A09A384">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项目名称：</w:t>
      </w:r>
    </w:p>
    <w:tbl>
      <w:tblPr>
        <w:tblStyle w:val="18"/>
        <w:tblpPr w:leftFromText="180" w:rightFromText="180" w:vertAnchor="text" w:horzAnchor="page" w:tblpX="1493" w:tblpY="2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1009"/>
        <w:gridCol w:w="1109"/>
        <w:gridCol w:w="1074"/>
        <w:gridCol w:w="1074"/>
        <w:gridCol w:w="1074"/>
        <w:gridCol w:w="1131"/>
        <w:gridCol w:w="1025"/>
      </w:tblGrid>
      <w:tr w14:paraId="380CC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024" w:type="dxa"/>
            <w:vAlign w:val="center"/>
          </w:tcPr>
          <w:p w14:paraId="7C806E1A">
            <w:pPr>
              <w:pStyle w:val="33"/>
              <w:pageBreakBefore w:val="0"/>
              <w:kinsoku/>
              <w:overflowPunct/>
              <w:topLinePunct w:val="0"/>
              <w:bidi w:val="0"/>
              <w:spacing w:before="156" w:beforeLines="50" w:after="156" w:afterLines="5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投标人名称</w:t>
            </w:r>
          </w:p>
        </w:tc>
        <w:tc>
          <w:tcPr>
            <w:tcW w:w="1009" w:type="dxa"/>
            <w:vAlign w:val="center"/>
          </w:tcPr>
          <w:p w14:paraId="1562F3B7">
            <w:pPr>
              <w:pStyle w:val="33"/>
              <w:pageBreakBefore w:val="0"/>
              <w:kinsoku/>
              <w:overflowPunct/>
              <w:topLinePunct w:val="0"/>
              <w:bidi w:val="0"/>
              <w:spacing w:before="156" w:beforeLines="50" w:after="156" w:afterLines="5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投标总价（元）</w:t>
            </w:r>
          </w:p>
        </w:tc>
        <w:tc>
          <w:tcPr>
            <w:tcW w:w="1109" w:type="dxa"/>
            <w:vAlign w:val="center"/>
          </w:tcPr>
          <w:p w14:paraId="66B61FC3">
            <w:pPr>
              <w:pStyle w:val="33"/>
              <w:pageBreakBefore w:val="0"/>
              <w:kinsoku/>
              <w:overflowPunct/>
              <w:topLinePunct w:val="0"/>
              <w:bidi w:val="0"/>
              <w:spacing w:before="156" w:beforeLines="50" w:after="156" w:afterLines="50"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投标单价</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元/车/月</w:t>
            </w:r>
            <w:r>
              <w:rPr>
                <w:rFonts w:hint="eastAsia" w:ascii="宋体" w:hAnsi="宋体" w:eastAsia="宋体" w:cs="宋体"/>
                <w:b w:val="0"/>
                <w:bCs w:val="0"/>
                <w:color w:val="auto"/>
                <w:sz w:val="24"/>
                <w:szCs w:val="24"/>
                <w:highlight w:val="none"/>
                <w:lang w:eastAsia="zh-CN"/>
              </w:rPr>
              <w:t>）</w:t>
            </w:r>
          </w:p>
        </w:tc>
        <w:tc>
          <w:tcPr>
            <w:tcW w:w="1074" w:type="dxa"/>
            <w:vAlign w:val="center"/>
          </w:tcPr>
          <w:p w14:paraId="249468BF">
            <w:pPr>
              <w:pStyle w:val="33"/>
              <w:pageBreakBefore w:val="0"/>
              <w:kinsoku/>
              <w:overflowPunct/>
              <w:topLinePunct w:val="0"/>
              <w:bidi w:val="0"/>
              <w:spacing w:before="156" w:beforeLines="50" w:after="156" w:afterLines="5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车辆总数（辆</w:t>
            </w:r>
            <w:r>
              <w:rPr>
                <w:rFonts w:hint="eastAsia" w:ascii="宋体" w:hAnsi="宋体" w:eastAsia="宋体" w:cs="宋体"/>
                <w:b w:val="0"/>
                <w:bCs w:val="0"/>
                <w:color w:val="auto"/>
                <w:sz w:val="24"/>
                <w:szCs w:val="24"/>
                <w:highlight w:val="none"/>
                <w:lang w:eastAsia="zh-CN"/>
              </w:rPr>
              <w:t>）</w:t>
            </w:r>
          </w:p>
        </w:tc>
        <w:tc>
          <w:tcPr>
            <w:tcW w:w="1074" w:type="dxa"/>
            <w:vAlign w:val="center"/>
          </w:tcPr>
          <w:p w14:paraId="4CC843BF">
            <w:pPr>
              <w:pStyle w:val="33"/>
              <w:pageBreakBefore w:val="0"/>
              <w:kinsoku/>
              <w:overflowPunct/>
              <w:topLinePunct w:val="0"/>
              <w:bidi w:val="0"/>
              <w:spacing w:before="156" w:beforeLines="50" w:after="156" w:afterLines="50" w:line="360" w:lineRule="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每年运营月数（月）</w:t>
            </w:r>
          </w:p>
        </w:tc>
        <w:tc>
          <w:tcPr>
            <w:tcW w:w="1074" w:type="dxa"/>
            <w:vAlign w:val="center"/>
          </w:tcPr>
          <w:p w14:paraId="7B7E7A45">
            <w:pPr>
              <w:pStyle w:val="33"/>
              <w:pageBreakBefore w:val="0"/>
              <w:kinsoku/>
              <w:overflowPunct/>
              <w:topLinePunct w:val="0"/>
              <w:bidi w:val="0"/>
              <w:spacing w:before="156" w:beforeLines="50" w:after="156" w:afterLines="50"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服务期限</w:t>
            </w:r>
          </w:p>
        </w:tc>
        <w:tc>
          <w:tcPr>
            <w:tcW w:w="1131" w:type="dxa"/>
            <w:vAlign w:val="center"/>
          </w:tcPr>
          <w:p w14:paraId="5E9025BD">
            <w:pPr>
              <w:pStyle w:val="33"/>
              <w:pageBreakBefore w:val="0"/>
              <w:kinsoku/>
              <w:overflowPunct/>
              <w:topLinePunct w:val="0"/>
              <w:bidi w:val="0"/>
              <w:spacing w:before="156" w:beforeLines="50" w:after="156" w:afterLines="5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投标保证金是否递交</w:t>
            </w:r>
          </w:p>
        </w:tc>
        <w:tc>
          <w:tcPr>
            <w:tcW w:w="1025" w:type="dxa"/>
            <w:vAlign w:val="center"/>
          </w:tcPr>
          <w:p w14:paraId="58E90C86">
            <w:pPr>
              <w:pStyle w:val="33"/>
              <w:pageBreakBefore w:val="0"/>
              <w:kinsoku/>
              <w:overflowPunct/>
              <w:topLinePunct w:val="0"/>
              <w:bidi w:val="0"/>
              <w:spacing w:before="156" w:beforeLines="50" w:after="156" w:afterLines="5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备注</w:t>
            </w:r>
          </w:p>
        </w:tc>
      </w:tr>
      <w:tr w14:paraId="27BC7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14:paraId="33C7CBE6">
            <w:pPr>
              <w:pStyle w:val="33"/>
              <w:pageBreakBefore w:val="0"/>
              <w:kinsoku/>
              <w:overflowPunct/>
              <w:topLinePunct w:val="0"/>
              <w:bidi w:val="0"/>
              <w:spacing w:before="156" w:beforeLines="50" w:after="156" w:afterLines="50" w:line="360" w:lineRule="auto"/>
              <w:ind w:firstLine="480" w:firstLineChars="200"/>
              <w:jc w:val="center"/>
              <w:rPr>
                <w:rFonts w:hint="eastAsia" w:ascii="宋体" w:hAnsi="宋体" w:eastAsia="宋体" w:cs="宋体"/>
                <w:b w:val="0"/>
                <w:bCs w:val="0"/>
                <w:color w:val="auto"/>
                <w:sz w:val="24"/>
                <w:szCs w:val="24"/>
                <w:highlight w:val="none"/>
              </w:rPr>
            </w:pPr>
          </w:p>
        </w:tc>
        <w:tc>
          <w:tcPr>
            <w:tcW w:w="1009" w:type="dxa"/>
          </w:tcPr>
          <w:p w14:paraId="56FD59D1">
            <w:pPr>
              <w:pStyle w:val="33"/>
              <w:pageBreakBefore w:val="0"/>
              <w:kinsoku/>
              <w:overflowPunct/>
              <w:topLinePunct w:val="0"/>
              <w:bidi w:val="0"/>
              <w:spacing w:before="156" w:beforeLines="50" w:after="156" w:afterLines="50" w:line="360" w:lineRule="auto"/>
              <w:ind w:firstLine="480" w:firstLineChars="200"/>
              <w:jc w:val="center"/>
              <w:rPr>
                <w:rFonts w:hint="eastAsia" w:ascii="宋体" w:hAnsi="宋体" w:eastAsia="宋体" w:cs="宋体"/>
                <w:b w:val="0"/>
                <w:bCs w:val="0"/>
                <w:color w:val="auto"/>
                <w:sz w:val="24"/>
                <w:szCs w:val="24"/>
                <w:highlight w:val="none"/>
              </w:rPr>
            </w:pPr>
          </w:p>
        </w:tc>
        <w:tc>
          <w:tcPr>
            <w:tcW w:w="1109" w:type="dxa"/>
          </w:tcPr>
          <w:p w14:paraId="643A6546">
            <w:pPr>
              <w:pStyle w:val="33"/>
              <w:pageBreakBefore w:val="0"/>
              <w:kinsoku/>
              <w:overflowPunct/>
              <w:topLinePunct w:val="0"/>
              <w:bidi w:val="0"/>
              <w:spacing w:before="156" w:beforeLines="50" w:after="156" w:afterLines="50" w:line="360" w:lineRule="auto"/>
              <w:ind w:firstLine="480" w:firstLineChars="200"/>
              <w:jc w:val="center"/>
              <w:rPr>
                <w:rFonts w:hint="eastAsia" w:ascii="宋体" w:hAnsi="宋体" w:eastAsia="宋体" w:cs="宋体"/>
                <w:b w:val="0"/>
                <w:bCs w:val="0"/>
                <w:color w:val="auto"/>
                <w:sz w:val="24"/>
                <w:szCs w:val="24"/>
                <w:highlight w:val="none"/>
              </w:rPr>
            </w:pPr>
          </w:p>
        </w:tc>
        <w:tc>
          <w:tcPr>
            <w:tcW w:w="1074" w:type="dxa"/>
          </w:tcPr>
          <w:p w14:paraId="377C5C2E">
            <w:pPr>
              <w:pStyle w:val="33"/>
              <w:pageBreakBefore w:val="0"/>
              <w:kinsoku/>
              <w:overflowPunct/>
              <w:topLinePunct w:val="0"/>
              <w:bidi w:val="0"/>
              <w:spacing w:before="156" w:beforeLines="50" w:after="156" w:afterLines="50" w:line="360" w:lineRule="auto"/>
              <w:ind w:firstLine="480" w:firstLineChars="200"/>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37</w:t>
            </w:r>
          </w:p>
        </w:tc>
        <w:tc>
          <w:tcPr>
            <w:tcW w:w="1074" w:type="dxa"/>
          </w:tcPr>
          <w:p w14:paraId="250A1510">
            <w:pPr>
              <w:pStyle w:val="33"/>
              <w:pageBreakBefore w:val="0"/>
              <w:kinsoku/>
              <w:overflowPunct/>
              <w:topLinePunct w:val="0"/>
              <w:bidi w:val="0"/>
              <w:spacing w:before="156" w:beforeLines="50" w:after="156" w:afterLines="50"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8.5</w:t>
            </w:r>
          </w:p>
        </w:tc>
        <w:tc>
          <w:tcPr>
            <w:tcW w:w="1074" w:type="dxa"/>
          </w:tcPr>
          <w:p w14:paraId="1D85F747">
            <w:pPr>
              <w:pStyle w:val="33"/>
              <w:pageBreakBefore w:val="0"/>
              <w:kinsoku/>
              <w:overflowPunct/>
              <w:topLinePunct w:val="0"/>
              <w:bidi w:val="0"/>
              <w:spacing w:before="156" w:beforeLines="50" w:after="156" w:afterLines="50"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sz w:val="24"/>
                <w:szCs w:val="32"/>
              </w:rPr>
              <w:t>合同签订后3年</w:t>
            </w:r>
          </w:p>
        </w:tc>
        <w:tc>
          <w:tcPr>
            <w:tcW w:w="1131" w:type="dxa"/>
          </w:tcPr>
          <w:p w14:paraId="4CFA9E6B">
            <w:pPr>
              <w:pStyle w:val="33"/>
              <w:pageBreakBefore w:val="0"/>
              <w:kinsoku/>
              <w:overflowPunct/>
              <w:topLinePunct w:val="0"/>
              <w:bidi w:val="0"/>
              <w:spacing w:before="156" w:beforeLines="50" w:after="156" w:afterLines="50" w:line="360" w:lineRule="auto"/>
              <w:ind w:firstLine="480" w:firstLineChars="200"/>
              <w:jc w:val="center"/>
              <w:rPr>
                <w:rFonts w:hint="eastAsia" w:ascii="宋体" w:hAnsi="宋体" w:eastAsia="宋体" w:cs="宋体"/>
                <w:b w:val="0"/>
                <w:bCs w:val="0"/>
                <w:color w:val="auto"/>
                <w:sz w:val="24"/>
                <w:szCs w:val="24"/>
                <w:highlight w:val="none"/>
              </w:rPr>
            </w:pPr>
          </w:p>
        </w:tc>
        <w:tc>
          <w:tcPr>
            <w:tcW w:w="1025" w:type="dxa"/>
          </w:tcPr>
          <w:p w14:paraId="31D597EF">
            <w:pPr>
              <w:pStyle w:val="33"/>
              <w:pageBreakBefore w:val="0"/>
              <w:kinsoku/>
              <w:overflowPunct/>
              <w:topLinePunct w:val="0"/>
              <w:bidi w:val="0"/>
              <w:spacing w:before="156" w:beforeLines="50" w:after="156" w:afterLines="50" w:line="360" w:lineRule="auto"/>
              <w:ind w:firstLine="480" w:firstLineChars="200"/>
              <w:jc w:val="center"/>
              <w:rPr>
                <w:rFonts w:hint="eastAsia" w:ascii="宋体" w:hAnsi="宋体" w:eastAsia="宋体" w:cs="宋体"/>
                <w:b w:val="0"/>
                <w:bCs w:val="0"/>
                <w:color w:val="auto"/>
                <w:sz w:val="24"/>
                <w:szCs w:val="24"/>
                <w:highlight w:val="none"/>
              </w:rPr>
            </w:pPr>
          </w:p>
          <w:p w14:paraId="508C4DA7">
            <w:pPr>
              <w:pStyle w:val="33"/>
              <w:pageBreakBefore w:val="0"/>
              <w:kinsoku/>
              <w:overflowPunct/>
              <w:topLinePunct w:val="0"/>
              <w:bidi w:val="0"/>
              <w:spacing w:before="156" w:beforeLines="50" w:after="156" w:afterLines="50" w:line="360" w:lineRule="auto"/>
              <w:ind w:firstLine="480" w:firstLineChars="200"/>
              <w:jc w:val="center"/>
              <w:rPr>
                <w:rFonts w:hint="eastAsia" w:ascii="宋体" w:hAnsi="宋体" w:eastAsia="宋体" w:cs="宋体"/>
                <w:b w:val="0"/>
                <w:bCs w:val="0"/>
                <w:color w:val="auto"/>
                <w:sz w:val="24"/>
                <w:szCs w:val="24"/>
                <w:highlight w:val="none"/>
              </w:rPr>
            </w:pPr>
          </w:p>
          <w:p w14:paraId="3124A84C">
            <w:pPr>
              <w:pStyle w:val="33"/>
              <w:pageBreakBefore w:val="0"/>
              <w:kinsoku/>
              <w:overflowPunct/>
              <w:topLinePunct w:val="0"/>
              <w:bidi w:val="0"/>
              <w:spacing w:before="156" w:beforeLines="50" w:after="156" w:afterLines="50" w:line="360" w:lineRule="auto"/>
              <w:ind w:firstLine="480" w:firstLineChars="200"/>
              <w:jc w:val="center"/>
              <w:rPr>
                <w:rFonts w:hint="eastAsia" w:ascii="宋体" w:hAnsi="宋体" w:eastAsia="宋体" w:cs="宋体"/>
                <w:b w:val="0"/>
                <w:bCs w:val="0"/>
                <w:color w:val="auto"/>
                <w:sz w:val="24"/>
                <w:szCs w:val="24"/>
                <w:highlight w:val="none"/>
              </w:rPr>
            </w:pPr>
          </w:p>
        </w:tc>
      </w:tr>
    </w:tbl>
    <w:p w14:paraId="2418922B">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03EA16B5">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投标要求：</w:t>
      </w:r>
    </w:p>
    <w:p w14:paraId="1166D8F1">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“开标一览表”用于开标时唱标使用。</w:t>
      </w:r>
    </w:p>
    <w:p w14:paraId="28A03EF3">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“开标一览表”的内容应与“投标报价明细表”以及投标文件的其他相关内容一致。如果“开标一览表”的内容与“投标报价明细表”以及投标文件的其他相关内容不一致，则以“开标一览表”的内容为准。</w:t>
      </w:r>
    </w:p>
    <w:p w14:paraId="38B58C43">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3、“开标一览表”中各个栏日都必须完整、准确填写。开标时，“开标一览表”的所有内容都不允许补充或者修改。</w:t>
      </w:r>
    </w:p>
    <w:p w14:paraId="69B0C4EB">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投标人印刷体名称(加盖公章)：                 </w:t>
      </w:r>
    </w:p>
    <w:p w14:paraId="63355476">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法定代表人(手书签名及盖章)：                 </w:t>
      </w:r>
    </w:p>
    <w:p w14:paraId="021101AE">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委托代理人姓名(手书签名)：                     </w:t>
      </w:r>
    </w:p>
    <w:p w14:paraId="65A92C33">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日期：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 xml:space="preserve">年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w:t>
      </w:r>
    </w:p>
    <w:p w14:paraId="70E154C9">
      <w:pPr>
        <w:pStyle w:val="33"/>
        <w:pageBreakBefore w:val="0"/>
        <w:kinsoku/>
        <w:overflowPunct/>
        <w:topLinePunct w:val="0"/>
        <w:bidi w:val="0"/>
        <w:spacing w:before="156" w:beforeLines="50" w:after="156" w:afterLines="50" w:line="360" w:lineRule="auto"/>
        <w:ind w:firstLine="643" w:firstLineChars="200"/>
        <w:jc w:val="center"/>
        <w:rPr>
          <w:rFonts w:hint="eastAsia" w:ascii="宋体" w:hAnsi="宋体" w:eastAsia="宋体" w:cs="宋体"/>
          <w:b/>
          <w:bCs/>
          <w:color w:val="auto"/>
          <w:sz w:val="32"/>
          <w:szCs w:val="32"/>
          <w:highlight w:val="none"/>
        </w:rPr>
      </w:pPr>
    </w:p>
    <w:p w14:paraId="0EE1336C">
      <w:pPr>
        <w:pStyle w:val="33"/>
        <w:pageBreakBefore w:val="0"/>
        <w:kinsoku/>
        <w:overflowPunct/>
        <w:topLinePunct w:val="0"/>
        <w:bidi w:val="0"/>
        <w:spacing w:before="156" w:beforeLines="50" w:after="156" w:afterLines="50" w:line="360" w:lineRule="auto"/>
        <w:ind w:firstLine="643" w:firstLineChars="200"/>
        <w:jc w:val="center"/>
        <w:rPr>
          <w:rFonts w:hint="eastAsia" w:ascii="宋体" w:hAnsi="宋体" w:eastAsia="宋体" w:cs="宋体"/>
          <w:b/>
          <w:bCs/>
          <w:color w:val="auto"/>
          <w:sz w:val="32"/>
          <w:szCs w:val="32"/>
          <w:highlight w:val="none"/>
        </w:rPr>
      </w:pPr>
    </w:p>
    <w:p w14:paraId="7F02A951">
      <w:pPr>
        <w:pStyle w:val="33"/>
        <w:pageBreakBefore w:val="0"/>
        <w:kinsoku/>
        <w:overflowPunct/>
        <w:topLinePunct w:val="0"/>
        <w:bidi w:val="0"/>
        <w:spacing w:before="156" w:beforeLines="50" w:after="156" w:afterLines="50" w:line="360" w:lineRule="auto"/>
        <w:ind w:firstLine="643" w:firstLineChars="200"/>
        <w:jc w:val="center"/>
        <w:rPr>
          <w:rFonts w:hint="eastAsia" w:ascii="宋体" w:hAnsi="宋体" w:eastAsia="宋体" w:cs="宋体"/>
          <w:b/>
          <w:bCs/>
          <w:color w:val="auto"/>
          <w:sz w:val="32"/>
          <w:szCs w:val="32"/>
          <w:highlight w:val="none"/>
        </w:rPr>
      </w:pPr>
    </w:p>
    <w:p w14:paraId="5B8308BC">
      <w:pPr>
        <w:pStyle w:val="33"/>
        <w:pageBreakBefore w:val="0"/>
        <w:kinsoku/>
        <w:overflowPunct/>
        <w:topLinePunct w:val="0"/>
        <w:bidi w:val="0"/>
        <w:spacing w:before="156" w:beforeLines="50" w:after="156" w:afterLines="50" w:line="360" w:lineRule="auto"/>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六</w:t>
      </w: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rPr>
        <w:t>投标分项报价表</w:t>
      </w:r>
    </w:p>
    <w:p w14:paraId="137DF698">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01C84A41">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投标人名称：</w:t>
      </w:r>
    </w:p>
    <w:p w14:paraId="6529053D">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投标单价：</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元/车/月</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822"/>
        <w:gridCol w:w="1582"/>
        <w:gridCol w:w="1065"/>
        <w:gridCol w:w="1065"/>
        <w:gridCol w:w="1065"/>
        <w:gridCol w:w="1066"/>
      </w:tblGrid>
      <w:tr w14:paraId="610A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14:paraId="759AEF79">
            <w:pPr>
              <w:pStyle w:val="33"/>
              <w:pageBreakBefore w:val="0"/>
              <w:kinsoku/>
              <w:overflowPunct/>
              <w:topLinePunct w:val="0"/>
              <w:bidi w:val="0"/>
              <w:spacing w:before="156" w:beforeLines="50" w:after="156" w:afterLines="5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线路</w:t>
            </w:r>
          </w:p>
        </w:tc>
        <w:tc>
          <w:tcPr>
            <w:tcW w:w="822" w:type="dxa"/>
            <w:vAlign w:val="center"/>
          </w:tcPr>
          <w:p w14:paraId="1CF8DA79">
            <w:pPr>
              <w:pStyle w:val="33"/>
              <w:pageBreakBefore w:val="0"/>
              <w:kinsoku/>
              <w:overflowPunct/>
              <w:topLinePunct w:val="0"/>
              <w:bidi w:val="0"/>
              <w:spacing w:before="156" w:beforeLines="50" w:after="156" w:afterLines="5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包含车辆保险</w:t>
            </w:r>
          </w:p>
        </w:tc>
        <w:tc>
          <w:tcPr>
            <w:tcW w:w="1582" w:type="dxa"/>
            <w:vAlign w:val="center"/>
          </w:tcPr>
          <w:p w14:paraId="07C8FE42">
            <w:pPr>
              <w:pStyle w:val="33"/>
              <w:pageBreakBefore w:val="0"/>
              <w:kinsoku/>
              <w:overflowPunct/>
              <w:topLinePunct w:val="0"/>
              <w:bidi w:val="0"/>
              <w:spacing w:before="156" w:beforeLines="50" w:after="156" w:afterLines="5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车辆座位险</w:t>
            </w:r>
          </w:p>
        </w:tc>
        <w:tc>
          <w:tcPr>
            <w:tcW w:w="1065" w:type="dxa"/>
            <w:vAlign w:val="center"/>
          </w:tcPr>
          <w:p w14:paraId="6DAABEC6">
            <w:pPr>
              <w:pStyle w:val="33"/>
              <w:pageBreakBefore w:val="0"/>
              <w:kinsoku/>
              <w:overflowPunct/>
              <w:topLinePunct w:val="0"/>
              <w:bidi w:val="0"/>
              <w:spacing w:before="156" w:beforeLines="50" w:after="156" w:afterLines="5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年审</w:t>
            </w:r>
          </w:p>
        </w:tc>
        <w:tc>
          <w:tcPr>
            <w:tcW w:w="1065" w:type="dxa"/>
            <w:vAlign w:val="center"/>
          </w:tcPr>
          <w:p w14:paraId="62BD6CAD">
            <w:pPr>
              <w:pStyle w:val="33"/>
              <w:pageBreakBefore w:val="0"/>
              <w:kinsoku/>
              <w:overflowPunct/>
              <w:topLinePunct w:val="0"/>
              <w:bidi w:val="0"/>
              <w:spacing w:before="156" w:beforeLines="50" w:after="156" w:afterLines="5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路桥</w:t>
            </w:r>
          </w:p>
        </w:tc>
        <w:tc>
          <w:tcPr>
            <w:tcW w:w="1065" w:type="dxa"/>
            <w:vAlign w:val="center"/>
          </w:tcPr>
          <w:p w14:paraId="71165ECE">
            <w:pPr>
              <w:pStyle w:val="33"/>
              <w:pageBreakBefore w:val="0"/>
              <w:kinsoku/>
              <w:overflowPunct/>
              <w:topLinePunct w:val="0"/>
              <w:bidi w:val="0"/>
              <w:spacing w:before="156" w:beforeLines="50" w:after="156" w:afterLines="5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燃油</w:t>
            </w:r>
          </w:p>
        </w:tc>
        <w:tc>
          <w:tcPr>
            <w:tcW w:w="1066" w:type="dxa"/>
            <w:vAlign w:val="center"/>
          </w:tcPr>
          <w:p w14:paraId="591F9AF1">
            <w:pPr>
              <w:pStyle w:val="33"/>
              <w:pageBreakBefore w:val="0"/>
              <w:kinsoku/>
              <w:overflowPunct/>
              <w:topLinePunct w:val="0"/>
              <w:bidi w:val="0"/>
              <w:spacing w:before="156" w:beforeLines="50" w:after="156" w:afterLines="5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税费等</w:t>
            </w:r>
          </w:p>
        </w:tc>
      </w:tr>
      <w:tr w14:paraId="07635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14:paraId="01A06B25">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822" w:type="dxa"/>
          </w:tcPr>
          <w:p w14:paraId="4DB2ACD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582" w:type="dxa"/>
          </w:tcPr>
          <w:p w14:paraId="5C8926DC">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065" w:type="dxa"/>
          </w:tcPr>
          <w:p w14:paraId="7BD0EDBB">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065" w:type="dxa"/>
          </w:tcPr>
          <w:p w14:paraId="57EB81B2">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065" w:type="dxa"/>
          </w:tcPr>
          <w:p w14:paraId="77A302F2">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066" w:type="dxa"/>
          </w:tcPr>
          <w:p w14:paraId="1773CC53">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r>
      <w:tr w14:paraId="48525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14:paraId="2925843A">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822" w:type="dxa"/>
          </w:tcPr>
          <w:p w14:paraId="0CB4E79F">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582" w:type="dxa"/>
          </w:tcPr>
          <w:p w14:paraId="745D7AF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065" w:type="dxa"/>
          </w:tcPr>
          <w:p w14:paraId="6E5B9E33">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065" w:type="dxa"/>
          </w:tcPr>
          <w:p w14:paraId="59BB3E67">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065" w:type="dxa"/>
          </w:tcPr>
          <w:p w14:paraId="2A17B779">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066" w:type="dxa"/>
          </w:tcPr>
          <w:p w14:paraId="16F81C14">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r>
      <w:tr w14:paraId="41ABB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14:paraId="74D8E856">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822" w:type="dxa"/>
          </w:tcPr>
          <w:p w14:paraId="7269243D">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582" w:type="dxa"/>
          </w:tcPr>
          <w:p w14:paraId="340423FC">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065" w:type="dxa"/>
          </w:tcPr>
          <w:p w14:paraId="1D31C56D">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065" w:type="dxa"/>
          </w:tcPr>
          <w:p w14:paraId="409F728B">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065" w:type="dxa"/>
          </w:tcPr>
          <w:p w14:paraId="2DEB9873">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066" w:type="dxa"/>
          </w:tcPr>
          <w:p w14:paraId="6F6BB2FD">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r>
      <w:tr w14:paraId="1F6BD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14:paraId="0DEEB516">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822" w:type="dxa"/>
          </w:tcPr>
          <w:p w14:paraId="519F2841">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582" w:type="dxa"/>
          </w:tcPr>
          <w:p w14:paraId="00496B9A">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065" w:type="dxa"/>
          </w:tcPr>
          <w:p w14:paraId="687E9457">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065" w:type="dxa"/>
          </w:tcPr>
          <w:p w14:paraId="3FB8EB06">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065" w:type="dxa"/>
          </w:tcPr>
          <w:p w14:paraId="79D65118">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066" w:type="dxa"/>
          </w:tcPr>
          <w:p w14:paraId="6BC9087F">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r>
      <w:tr w14:paraId="321AB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14:paraId="0B5207F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822" w:type="dxa"/>
          </w:tcPr>
          <w:p w14:paraId="19E8BFE3">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582" w:type="dxa"/>
          </w:tcPr>
          <w:p w14:paraId="723DC8F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065" w:type="dxa"/>
          </w:tcPr>
          <w:p w14:paraId="77072892">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065" w:type="dxa"/>
          </w:tcPr>
          <w:p w14:paraId="4B9E243B">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065" w:type="dxa"/>
          </w:tcPr>
          <w:p w14:paraId="7245F114">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066" w:type="dxa"/>
          </w:tcPr>
          <w:p w14:paraId="080B2A61">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r>
      <w:tr w14:paraId="4D70F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14:paraId="4BC435EC">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822" w:type="dxa"/>
          </w:tcPr>
          <w:p w14:paraId="1F29ADF7">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582" w:type="dxa"/>
          </w:tcPr>
          <w:p w14:paraId="1C444888">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065" w:type="dxa"/>
          </w:tcPr>
          <w:p w14:paraId="62D15796">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065" w:type="dxa"/>
          </w:tcPr>
          <w:p w14:paraId="64E883AC">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065" w:type="dxa"/>
          </w:tcPr>
          <w:p w14:paraId="77766313">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066" w:type="dxa"/>
          </w:tcPr>
          <w:p w14:paraId="0F5EFA7C">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r>
      <w:tr w14:paraId="1C5D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14:paraId="355C5AFF">
            <w:pPr>
              <w:pStyle w:val="33"/>
              <w:pageBreakBefore w:val="0"/>
              <w:kinsoku/>
              <w:overflowPunct/>
              <w:topLinePunct w:val="0"/>
              <w:bidi w:val="0"/>
              <w:spacing w:before="156" w:beforeLines="50" w:after="156" w:afterLines="50" w:line="360" w:lineRule="auto"/>
              <w:rPr>
                <w:rFonts w:hint="eastAsia" w:ascii="宋体" w:hAnsi="宋体" w:eastAsia="宋体" w:cs="宋体"/>
                <w:b w:val="0"/>
                <w:bCs w:val="0"/>
                <w:color w:val="auto"/>
                <w:sz w:val="24"/>
                <w:szCs w:val="24"/>
                <w:highlight w:val="none"/>
              </w:rPr>
            </w:pPr>
          </w:p>
        </w:tc>
        <w:tc>
          <w:tcPr>
            <w:tcW w:w="822" w:type="dxa"/>
          </w:tcPr>
          <w:p w14:paraId="59B59444">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582" w:type="dxa"/>
          </w:tcPr>
          <w:p w14:paraId="5287E642">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065" w:type="dxa"/>
          </w:tcPr>
          <w:p w14:paraId="489F098F">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065" w:type="dxa"/>
          </w:tcPr>
          <w:p w14:paraId="094DCE13">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065" w:type="dxa"/>
          </w:tcPr>
          <w:p w14:paraId="6EC9616D">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066" w:type="dxa"/>
          </w:tcPr>
          <w:p w14:paraId="2C2B6176">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r>
    </w:tbl>
    <w:p w14:paraId="7ABEFA6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53711163">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w:t>
      </w:r>
    </w:p>
    <w:p w14:paraId="73906ACD">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1、此价格应为所投项目的最终投标单价，包含车辆保险、车辆座位险、年审、路桥、燃油、税费等一切费用。各路线的人数每年会有少量变化，请投标人自行考虑变化的因素。</w:t>
      </w:r>
    </w:p>
    <w:p w14:paraId="21681DC7">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投标人代表签字及盖公章：                         </w:t>
      </w:r>
    </w:p>
    <w:p w14:paraId="24E3FB13">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 xml:space="preserve"> 年</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w:t>
      </w:r>
    </w:p>
    <w:p w14:paraId="2B78A3E0">
      <w:pPr>
        <w:pStyle w:val="33"/>
        <w:pageBreakBefore w:val="0"/>
        <w:kinsoku/>
        <w:overflowPunct/>
        <w:topLinePunct w:val="0"/>
        <w:bidi w:val="0"/>
        <w:spacing w:before="156" w:beforeLines="50" w:after="156" w:afterLines="50" w:line="360" w:lineRule="auto"/>
        <w:ind w:firstLine="643" w:firstLineChars="200"/>
        <w:jc w:val="center"/>
        <w:rPr>
          <w:rFonts w:hint="eastAsia" w:ascii="宋体" w:hAnsi="宋体" w:eastAsia="宋体" w:cs="宋体"/>
          <w:b/>
          <w:bCs/>
          <w:color w:val="auto"/>
          <w:sz w:val="32"/>
          <w:szCs w:val="32"/>
          <w:highlight w:val="none"/>
        </w:rPr>
      </w:pPr>
    </w:p>
    <w:p w14:paraId="367064BB">
      <w:pPr>
        <w:pStyle w:val="33"/>
        <w:pageBreakBefore w:val="0"/>
        <w:kinsoku/>
        <w:overflowPunct/>
        <w:topLinePunct w:val="0"/>
        <w:bidi w:val="0"/>
        <w:spacing w:before="156" w:beforeLines="50" w:after="156" w:afterLines="50" w:line="360" w:lineRule="auto"/>
        <w:ind w:firstLine="643" w:firstLineChars="200"/>
        <w:jc w:val="center"/>
        <w:rPr>
          <w:rFonts w:hint="eastAsia" w:ascii="宋体" w:hAnsi="宋体" w:eastAsia="宋体" w:cs="宋体"/>
          <w:b w:val="0"/>
          <w:bCs w:val="0"/>
          <w:color w:val="auto"/>
          <w:sz w:val="32"/>
          <w:szCs w:val="32"/>
          <w:highlight w:val="none"/>
        </w:rPr>
      </w:pPr>
      <w:r>
        <w:rPr>
          <w:rFonts w:hint="eastAsia" w:ascii="宋体" w:hAnsi="宋体" w:eastAsia="宋体" w:cs="宋体"/>
          <w:b/>
          <w:bCs/>
          <w:color w:val="auto"/>
          <w:sz w:val="32"/>
          <w:szCs w:val="32"/>
          <w:highlight w:val="none"/>
        </w:rPr>
        <w:t>七</w:t>
      </w: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rPr>
        <w:t>派驻本项目主要人员情况表</w:t>
      </w:r>
    </w:p>
    <w:p w14:paraId="2F7F57F1">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3BBBFDA4">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投标人名称：                        </w:t>
      </w:r>
    </w:p>
    <w:p w14:paraId="176F6A51">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bl>
      <w:tblPr>
        <w:tblStyle w:val="1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275"/>
        <w:gridCol w:w="1134"/>
        <w:gridCol w:w="1134"/>
        <w:gridCol w:w="1134"/>
        <w:gridCol w:w="1418"/>
        <w:gridCol w:w="1843"/>
      </w:tblGrid>
      <w:tr w14:paraId="2D1B6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Align w:val="center"/>
          </w:tcPr>
          <w:p w14:paraId="1F1FC061">
            <w:pPr>
              <w:pStyle w:val="33"/>
              <w:pageBreakBefore w:val="0"/>
              <w:kinsoku/>
              <w:overflowPunct/>
              <w:topLinePunct w:val="0"/>
              <w:bidi w:val="0"/>
              <w:spacing w:before="156" w:beforeLines="50" w:after="156" w:afterLines="5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姓名</w:t>
            </w:r>
          </w:p>
        </w:tc>
        <w:tc>
          <w:tcPr>
            <w:tcW w:w="1275" w:type="dxa"/>
            <w:vAlign w:val="center"/>
          </w:tcPr>
          <w:p w14:paraId="70190D19">
            <w:pPr>
              <w:pStyle w:val="33"/>
              <w:pageBreakBefore w:val="0"/>
              <w:kinsoku/>
              <w:overflowPunct/>
              <w:topLinePunct w:val="0"/>
              <w:bidi w:val="0"/>
              <w:spacing w:before="156" w:beforeLines="50" w:after="156" w:afterLines="5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部门和职务</w:t>
            </w:r>
          </w:p>
        </w:tc>
        <w:tc>
          <w:tcPr>
            <w:tcW w:w="1134" w:type="dxa"/>
            <w:vAlign w:val="center"/>
          </w:tcPr>
          <w:p w14:paraId="4F745188">
            <w:pPr>
              <w:pStyle w:val="33"/>
              <w:pageBreakBefore w:val="0"/>
              <w:kinsoku/>
              <w:overflowPunct/>
              <w:topLinePunct w:val="0"/>
              <w:bidi w:val="0"/>
              <w:spacing w:before="156" w:beforeLines="50" w:after="156" w:afterLines="5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职称</w:t>
            </w:r>
          </w:p>
        </w:tc>
        <w:tc>
          <w:tcPr>
            <w:tcW w:w="1134" w:type="dxa"/>
            <w:vAlign w:val="center"/>
          </w:tcPr>
          <w:p w14:paraId="55341297">
            <w:pPr>
              <w:pStyle w:val="33"/>
              <w:pageBreakBefore w:val="0"/>
              <w:kinsoku/>
              <w:overflowPunct/>
              <w:topLinePunct w:val="0"/>
              <w:bidi w:val="0"/>
              <w:spacing w:before="156" w:beforeLines="50" w:after="156" w:afterLines="5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经验年限</w:t>
            </w:r>
          </w:p>
        </w:tc>
        <w:tc>
          <w:tcPr>
            <w:tcW w:w="1134" w:type="dxa"/>
            <w:vAlign w:val="center"/>
          </w:tcPr>
          <w:p w14:paraId="6AA0EA6A">
            <w:pPr>
              <w:pStyle w:val="33"/>
              <w:pageBreakBefore w:val="0"/>
              <w:kinsoku/>
              <w:overflowPunct/>
              <w:topLinePunct w:val="0"/>
              <w:bidi w:val="0"/>
              <w:spacing w:before="156" w:beforeLines="50" w:after="156" w:afterLines="5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曾负责的主要项目</w:t>
            </w:r>
          </w:p>
        </w:tc>
        <w:tc>
          <w:tcPr>
            <w:tcW w:w="1418" w:type="dxa"/>
            <w:vAlign w:val="center"/>
          </w:tcPr>
          <w:p w14:paraId="20764D70">
            <w:pPr>
              <w:pStyle w:val="33"/>
              <w:pageBreakBefore w:val="0"/>
              <w:kinsoku/>
              <w:overflowPunct/>
              <w:topLinePunct w:val="0"/>
              <w:bidi w:val="0"/>
              <w:spacing w:before="156" w:beforeLines="50" w:after="156" w:afterLines="5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在项目中拟担任职务</w:t>
            </w:r>
          </w:p>
        </w:tc>
        <w:tc>
          <w:tcPr>
            <w:tcW w:w="1843" w:type="dxa"/>
            <w:vAlign w:val="center"/>
          </w:tcPr>
          <w:p w14:paraId="02C97B4A">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tc>
      </w:tr>
      <w:tr w14:paraId="116D0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1D55DEB8">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275" w:type="dxa"/>
          </w:tcPr>
          <w:p w14:paraId="57E36E65">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134" w:type="dxa"/>
          </w:tcPr>
          <w:p w14:paraId="729F4391">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134" w:type="dxa"/>
          </w:tcPr>
          <w:p w14:paraId="7E1811D2">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134" w:type="dxa"/>
          </w:tcPr>
          <w:p w14:paraId="40974DA9">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418" w:type="dxa"/>
          </w:tcPr>
          <w:p w14:paraId="1A88B27B">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843" w:type="dxa"/>
          </w:tcPr>
          <w:p w14:paraId="359B433D">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r>
      <w:tr w14:paraId="3F352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18F20061">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275" w:type="dxa"/>
          </w:tcPr>
          <w:p w14:paraId="30C9D002">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134" w:type="dxa"/>
          </w:tcPr>
          <w:p w14:paraId="4C057DE6">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134" w:type="dxa"/>
          </w:tcPr>
          <w:p w14:paraId="36B5F993">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134" w:type="dxa"/>
          </w:tcPr>
          <w:p w14:paraId="71D9F0E4">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418" w:type="dxa"/>
          </w:tcPr>
          <w:p w14:paraId="0B243D24">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843" w:type="dxa"/>
          </w:tcPr>
          <w:p w14:paraId="259D9B96">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r>
      <w:tr w14:paraId="5F6FA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3E0596E3">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275" w:type="dxa"/>
          </w:tcPr>
          <w:p w14:paraId="1386C152">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134" w:type="dxa"/>
          </w:tcPr>
          <w:p w14:paraId="078E29AF">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134" w:type="dxa"/>
          </w:tcPr>
          <w:p w14:paraId="2ED485FF">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134" w:type="dxa"/>
          </w:tcPr>
          <w:p w14:paraId="4750891F">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418" w:type="dxa"/>
          </w:tcPr>
          <w:p w14:paraId="53FB048F">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843" w:type="dxa"/>
          </w:tcPr>
          <w:p w14:paraId="77BC7389">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r>
      <w:tr w14:paraId="3CDC9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28CF309E">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275" w:type="dxa"/>
          </w:tcPr>
          <w:p w14:paraId="70FC3F81">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134" w:type="dxa"/>
          </w:tcPr>
          <w:p w14:paraId="5C6EB16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134" w:type="dxa"/>
          </w:tcPr>
          <w:p w14:paraId="1347EA8D">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134" w:type="dxa"/>
          </w:tcPr>
          <w:p w14:paraId="4430377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418" w:type="dxa"/>
          </w:tcPr>
          <w:p w14:paraId="52568C1F">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843" w:type="dxa"/>
          </w:tcPr>
          <w:p w14:paraId="277731EE">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r>
      <w:tr w14:paraId="776A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0681684C">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275" w:type="dxa"/>
          </w:tcPr>
          <w:p w14:paraId="545C8D0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134" w:type="dxa"/>
          </w:tcPr>
          <w:p w14:paraId="1D77A892">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134" w:type="dxa"/>
          </w:tcPr>
          <w:p w14:paraId="1B3F5145">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134" w:type="dxa"/>
          </w:tcPr>
          <w:p w14:paraId="2022616A">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418" w:type="dxa"/>
          </w:tcPr>
          <w:p w14:paraId="725AF02E">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843" w:type="dxa"/>
          </w:tcPr>
          <w:p w14:paraId="115735BF">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r>
      <w:tr w14:paraId="1788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6F486316">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275" w:type="dxa"/>
          </w:tcPr>
          <w:p w14:paraId="456374F2">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134" w:type="dxa"/>
          </w:tcPr>
          <w:p w14:paraId="0403C38F">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134" w:type="dxa"/>
          </w:tcPr>
          <w:p w14:paraId="54CB7616">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134" w:type="dxa"/>
          </w:tcPr>
          <w:p w14:paraId="771312D4">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418" w:type="dxa"/>
          </w:tcPr>
          <w:p w14:paraId="4C0BDA33">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843" w:type="dxa"/>
          </w:tcPr>
          <w:p w14:paraId="563079D4">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r>
      <w:tr w14:paraId="7CE3A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4146E3D8">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275" w:type="dxa"/>
          </w:tcPr>
          <w:p w14:paraId="75242251">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134" w:type="dxa"/>
          </w:tcPr>
          <w:p w14:paraId="50139199">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134" w:type="dxa"/>
          </w:tcPr>
          <w:p w14:paraId="24CD33B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134" w:type="dxa"/>
          </w:tcPr>
          <w:p w14:paraId="3E4EEBA4">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418" w:type="dxa"/>
          </w:tcPr>
          <w:p w14:paraId="542558E1">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843" w:type="dxa"/>
          </w:tcPr>
          <w:p w14:paraId="2B56138B">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r>
      <w:tr w14:paraId="521E0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6527239B">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275" w:type="dxa"/>
          </w:tcPr>
          <w:p w14:paraId="053AE3A3">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134" w:type="dxa"/>
          </w:tcPr>
          <w:p w14:paraId="6B69D749">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134" w:type="dxa"/>
          </w:tcPr>
          <w:p w14:paraId="0A790A52">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134" w:type="dxa"/>
          </w:tcPr>
          <w:p w14:paraId="25C70AF4">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418" w:type="dxa"/>
          </w:tcPr>
          <w:p w14:paraId="120731B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843" w:type="dxa"/>
          </w:tcPr>
          <w:p w14:paraId="56652E7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r>
      <w:tr w14:paraId="7404F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7C50EADC">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275" w:type="dxa"/>
          </w:tcPr>
          <w:p w14:paraId="34FA5FED">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134" w:type="dxa"/>
          </w:tcPr>
          <w:p w14:paraId="38954DD6">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134" w:type="dxa"/>
          </w:tcPr>
          <w:p w14:paraId="5542BF7A">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134" w:type="dxa"/>
          </w:tcPr>
          <w:p w14:paraId="3111D58D">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418" w:type="dxa"/>
          </w:tcPr>
          <w:p w14:paraId="5BCB1F0E">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843" w:type="dxa"/>
          </w:tcPr>
          <w:p w14:paraId="0D8983F8">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r>
    </w:tbl>
    <w:p w14:paraId="16A37C7A">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7855979A">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注：投标人应附上相关个人</w:t>
      </w:r>
      <w:r>
        <w:rPr>
          <w:rFonts w:hint="eastAsia" w:ascii="宋体" w:hAnsi="宋体" w:eastAsia="宋体" w:cs="宋体"/>
          <w:b w:val="0"/>
          <w:bCs w:val="0"/>
          <w:color w:val="auto"/>
          <w:sz w:val="24"/>
          <w:szCs w:val="24"/>
          <w:highlight w:val="none"/>
          <w:lang w:val="en-US" w:eastAsia="zh-CN"/>
        </w:rPr>
        <w:t>身份证、</w:t>
      </w:r>
      <w:r>
        <w:rPr>
          <w:rFonts w:hint="eastAsia" w:ascii="宋体" w:hAnsi="宋体" w:eastAsia="宋体" w:cs="宋体"/>
          <w:b w:val="0"/>
          <w:bCs w:val="0"/>
          <w:color w:val="auto"/>
          <w:sz w:val="24"/>
          <w:szCs w:val="24"/>
          <w:highlight w:val="none"/>
        </w:rPr>
        <w:t>学历、职称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如有</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以及本项目驾驶人员的驾驶年限等证明文件(复印件)；投标人必须清楚列明本项目主要负责人及联络员的联系电话(包括办公电话、手机号码)。</w:t>
      </w:r>
    </w:p>
    <w:p w14:paraId="6654221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投标人代表签名及盖公章：                              </w:t>
      </w:r>
    </w:p>
    <w:p w14:paraId="4B7F5546">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     年     月_  _日</w:t>
      </w:r>
    </w:p>
    <w:p w14:paraId="795D7550">
      <w:pPr>
        <w:pStyle w:val="33"/>
        <w:pageBreakBefore w:val="0"/>
        <w:kinsoku/>
        <w:overflowPunct/>
        <w:topLinePunct w:val="0"/>
        <w:bidi w:val="0"/>
        <w:spacing w:before="156" w:beforeLines="50" w:after="156" w:afterLines="50" w:line="360" w:lineRule="auto"/>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rPr>
        <w:t>资格文件</w:t>
      </w:r>
    </w:p>
    <w:p w14:paraId="62B7CFD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53C68F69">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营业执照、组织机构代码证、税务登记证、基本户开户许可证、营运证副本复印件、校车使用许可(加盖公章)。</w:t>
      </w:r>
    </w:p>
    <w:p w14:paraId="1892454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公司简介、企业性质、维修场自有或租赁证明。</w:t>
      </w:r>
    </w:p>
    <w:p w14:paraId="4F9C22F1">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发展历程、经营规模、服务理念、主营产品、技术力量等。</w:t>
      </w:r>
    </w:p>
    <w:p w14:paraId="50571C4C">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经营场所、生产场所</w:t>
      </w:r>
    </w:p>
    <w:p w14:paraId="28015F73">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其它资质文件，包括但不限于有关质量认证、企业参加的专业组织、员工培训证书等材料复印件。</w:t>
      </w:r>
    </w:p>
    <w:p w14:paraId="2E80D099">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719965F1">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其它投标人认为必要的资料</w:t>
      </w:r>
    </w:p>
    <w:p w14:paraId="3F9DDCFA">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5A5789D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20EDE56D">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6F9757BB">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40B907C7">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4B8C9AE8">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6937E5EB">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0FC7342D">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注：(1)投标人应自行承担所提供上述资料任何错漏而导致的一切后果。</w:t>
      </w:r>
    </w:p>
    <w:p w14:paraId="7A605CEF">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(2)投标人应当在投标文件中提供以上证书或文件的复印件(加盖公章)</w:t>
      </w:r>
    </w:p>
    <w:p w14:paraId="0C0E868B">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2839EF49">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投标人代表签名及盖公章：                              </w:t>
      </w:r>
    </w:p>
    <w:p w14:paraId="5BBE7AA1">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日期：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 xml:space="preserve"> 年</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w:t>
      </w:r>
    </w:p>
    <w:p w14:paraId="0D1A2955">
      <w:pPr>
        <w:pStyle w:val="33"/>
        <w:pageBreakBefore w:val="0"/>
        <w:kinsoku/>
        <w:overflowPunct/>
        <w:topLinePunct w:val="0"/>
        <w:bidi w:val="0"/>
        <w:spacing w:before="156" w:beforeLines="50" w:after="156" w:afterLines="50" w:line="360" w:lineRule="auto"/>
        <w:rPr>
          <w:rFonts w:hint="eastAsia" w:ascii="宋体" w:hAnsi="宋体" w:eastAsia="宋体" w:cs="宋体"/>
          <w:b w:val="0"/>
          <w:bCs w:val="0"/>
          <w:color w:val="auto"/>
          <w:sz w:val="24"/>
          <w:szCs w:val="24"/>
          <w:highlight w:val="none"/>
        </w:rPr>
      </w:pPr>
    </w:p>
    <w:p w14:paraId="050347A0">
      <w:pPr>
        <w:pStyle w:val="33"/>
        <w:pageBreakBefore w:val="0"/>
        <w:kinsoku/>
        <w:overflowPunct/>
        <w:topLinePunct w:val="0"/>
        <w:bidi w:val="0"/>
        <w:spacing w:before="156" w:beforeLines="50" w:after="156" w:afterLines="50" w:line="360" w:lineRule="auto"/>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九</w:t>
      </w: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rPr>
        <w:t>投标人承诺书</w:t>
      </w:r>
    </w:p>
    <w:p w14:paraId="06C5D7B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77DF392D">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致：</w:t>
      </w:r>
    </w:p>
    <w:p w14:paraId="7D8232E3">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你单位发布的《_采购单位名称+项目名称__招标文件》(           号)的规定，我公司郑重声明如下：</w:t>
      </w:r>
    </w:p>
    <w:p w14:paraId="18332B2F">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1、我公司是按照中华人民共和国法律在工商管理机关登记注册的企业法人，注册地点为_</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 xml:space="preserve"> ，公司全称为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 xml:space="preserve"> ，法定代表人为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，具有独立承担民事责任的能力。</w:t>
      </w:r>
    </w:p>
    <w:p w14:paraId="107AD8A4">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2、我公司具有良好的商业信誉和健全的财务会计制度。</w:t>
      </w:r>
    </w:p>
    <w:p w14:paraId="12F4F47A">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我公司具有履行本项目合同所必需的设备和专业技术及管理能力。</w:t>
      </w:r>
    </w:p>
    <w:p w14:paraId="74F4B0EF">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我公司具有依法缴纳税收和社会保障资金的良好记录。</w:t>
      </w:r>
    </w:p>
    <w:p w14:paraId="48F96C49">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我公司在参与本次采购活动之前三年内，在经营活动中无重大违法记录。</w:t>
      </w:r>
    </w:p>
    <w:p w14:paraId="0CB27678">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我公司保证上述声明的事项都是真实的，如有虚假，我公司承担相应的法律责任，并承担因此给你公司以及本项目采购人所造成的损失。</w:t>
      </w:r>
    </w:p>
    <w:p w14:paraId="02D1A55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我公司已经按照招标文件的要求提交了所要求提交的能够证明上述声明事项真实性的全部文件材料，并保证随时按照要求提供能够证明上述声明事项真实性的任何有效文件。</w:t>
      </w:r>
    </w:p>
    <w:p w14:paraId="52CCA5B9">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77630146">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41C21B6A">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投标人印刷体名称(加盖公章)：                  </w:t>
      </w:r>
    </w:p>
    <w:p w14:paraId="0F3E5EFA">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51DCA209">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投标人代表姓名(手书签名)：                     </w:t>
      </w:r>
    </w:p>
    <w:p w14:paraId="74810E9E">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39A74446">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日期：</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 xml:space="preserve"> 年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w:t>
      </w:r>
    </w:p>
    <w:p w14:paraId="59A480AD">
      <w:pPr>
        <w:pStyle w:val="33"/>
        <w:pageBreakBefore w:val="0"/>
        <w:kinsoku/>
        <w:overflowPunct/>
        <w:topLinePunct w:val="0"/>
        <w:bidi w:val="0"/>
        <w:spacing w:before="156" w:beforeLines="50" w:after="156" w:afterLines="50" w:line="360" w:lineRule="auto"/>
        <w:rPr>
          <w:rFonts w:hint="eastAsia" w:ascii="宋体" w:hAnsi="宋体" w:eastAsia="宋体" w:cs="宋体"/>
          <w:b w:val="0"/>
          <w:bCs w:val="0"/>
          <w:color w:val="auto"/>
          <w:sz w:val="24"/>
          <w:szCs w:val="24"/>
          <w:highlight w:val="none"/>
        </w:rPr>
      </w:pPr>
    </w:p>
    <w:p w14:paraId="4516FDCD">
      <w:pPr>
        <w:pStyle w:val="33"/>
        <w:pageBreakBefore w:val="0"/>
        <w:kinsoku/>
        <w:overflowPunct/>
        <w:topLinePunct w:val="0"/>
        <w:bidi w:val="0"/>
        <w:spacing w:before="156" w:beforeLines="50" w:after="156" w:afterLines="50" w:line="360" w:lineRule="auto"/>
        <w:ind w:firstLine="643" w:firstLineChars="200"/>
        <w:jc w:val="center"/>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32"/>
          <w:szCs w:val="32"/>
          <w:highlight w:val="none"/>
        </w:rPr>
        <w:t>十、近三年校车业绩</w:t>
      </w:r>
    </w:p>
    <w:tbl>
      <w:tblPr>
        <w:tblStyle w:val="18"/>
        <w:tblpPr w:leftFromText="180" w:rightFromText="180" w:vertAnchor="text" w:horzAnchor="page" w:tblpX="1583" w:tblpY="67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2"/>
      </w:tblGrid>
      <w:tr w14:paraId="2F27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vAlign w:val="center"/>
          </w:tcPr>
          <w:p w14:paraId="77C9ABA9">
            <w:pPr>
              <w:pStyle w:val="33"/>
              <w:pageBreakBefore w:val="0"/>
              <w:kinsoku/>
              <w:overflowPunct/>
              <w:topLinePunct w:val="0"/>
              <w:bidi w:val="0"/>
              <w:spacing w:before="156" w:beforeLines="50" w:after="156" w:afterLines="5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项目名称</w:t>
            </w:r>
          </w:p>
        </w:tc>
        <w:tc>
          <w:tcPr>
            <w:tcW w:w="1484" w:type="dxa"/>
            <w:vAlign w:val="center"/>
          </w:tcPr>
          <w:p w14:paraId="44D251E9">
            <w:pPr>
              <w:pStyle w:val="33"/>
              <w:pageBreakBefore w:val="0"/>
              <w:kinsoku/>
              <w:overflowPunct/>
              <w:topLinePunct w:val="0"/>
              <w:bidi w:val="0"/>
              <w:spacing w:before="156" w:beforeLines="50" w:after="156" w:afterLines="5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项目单位</w:t>
            </w:r>
          </w:p>
        </w:tc>
        <w:tc>
          <w:tcPr>
            <w:tcW w:w="1484" w:type="dxa"/>
            <w:vAlign w:val="center"/>
          </w:tcPr>
          <w:p w14:paraId="067098B6">
            <w:pPr>
              <w:pStyle w:val="33"/>
              <w:pageBreakBefore w:val="0"/>
              <w:kinsoku/>
              <w:overflowPunct/>
              <w:topLinePunct w:val="0"/>
              <w:bidi w:val="0"/>
              <w:spacing w:before="156" w:beforeLines="50" w:after="156" w:afterLines="5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合同金额</w:t>
            </w:r>
          </w:p>
        </w:tc>
        <w:tc>
          <w:tcPr>
            <w:tcW w:w="1484" w:type="dxa"/>
            <w:vAlign w:val="center"/>
          </w:tcPr>
          <w:p w14:paraId="1E35DF04">
            <w:pPr>
              <w:pStyle w:val="33"/>
              <w:pageBreakBefore w:val="0"/>
              <w:kinsoku/>
              <w:overflowPunct/>
              <w:topLinePunct w:val="0"/>
              <w:bidi w:val="0"/>
              <w:spacing w:before="156" w:beforeLines="50" w:after="156" w:afterLines="5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运行状况及完成时间</w:t>
            </w:r>
          </w:p>
        </w:tc>
        <w:tc>
          <w:tcPr>
            <w:tcW w:w="1485" w:type="dxa"/>
            <w:vAlign w:val="center"/>
          </w:tcPr>
          <w:p w14:paraId="604B39FA">
            <w:pPr>
              <w:pStyle w:val="33"/>
              <w:pageBreakBefore w:val="0"/>
              <w:kinsoku/>
              <w:overflowPunct/>
              <w:topLinePunct w:val="0"/>
              <w:bidi w:val="0"/>
              <w:spacing w:before="156" w:beforeLines="50" w:after="156" w:afterLines="5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单位联系人</w:t>
            </w:r>
          </w:p>
        </w:tc>
        <w:tc>
          <w:tcPr>
            <w:tcW w:w="1485" w:type="dxa"/>
            <w:vAlign w:val="center"/>
          </w:tcPr>
          <w:p w14:paraId="1B3904CC">
            <w:pPr>
              <w:pStyle w:val="33"/>
              <w:pageBreakBefore w:val="0"/>
              <w:kinsoku/>
              <w:overflowPunct/>
              <w:topLinePunct w:val="0"/>
              <w:bidi w:val="0"/>
              <w:spacing w:before="156" w:beforeLines="50" w:after="156" w:afterLines="5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评价意见</w:t>
            </w:r>
          </w:p>
        </w:tc>
      </w:tr>
      <w:tr w14:paraId="426F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tcPr>
          <w:p w14:paraId="46E7AA83">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21A2B96D">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484" w:type="dxa"/>
          </w:tcPr>
          <w:p w14:paraId="2E85468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484" w:type="dxa"/>
          </w:tcPr>
          <w:p w14:paraId="16594BA9">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484" w:type="dxa"/>
          </w:tcPr>
          <w:p w14:paraId="785C068B">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485" w:type="dxa"/>
          </w:tcPr>
          <w:p w14:paraId="14F32593">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485" w:type="dxa"/>
          </w:tcPr>
          <w:p w14:paraId="2516D817">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r>
      <w:tr w14:paraId="7678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tcPr>
          <w:p w14:paraId="3E35F817">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2163B27B">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484" w:type="dxa"/>
          </w:tcPr>
          <w:p w14:paraId="305AC9D3">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484" w:type="dxa"/>
          </w:tcPr>
          <w:p w14:paraId="75A7D6EE">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484" w:type="dxa"/>
          </w:tcPr>
          <w:p w14:paraId="6986D31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485" w:type="dxa"/>
          </w:tcPr>
          <w:p w14:paraId="785588D5">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485" w:type="dxa"/>
          </w:tcPr>
          <w:p w14:paraId="3D2FCB3F">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r>
      <w:tr w14:paraId="2144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tcPr>
          <w:p w14:paraId="4126302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39E3FA0C">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484" w:type="dxa"/>
          </w:tcPr>
          <w:p w14:paraId="2F03A7CA">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484" w:type="dxa"/>
          </w:tcPr>
          <w:p w14:paraId="470032EC">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484" w:type="dxa"/>
          </w:tcPr>
          <w:p w14:paraId="5577CAC4">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485" w:type="dxa"/>
          </w:tcPr>
          <w:p w14:paraId="43D66056">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485" w:type="dxa"/>
          </w:tcPr>
          <w:p w14:paraId="5D7E234E">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r>
      <w:tr w14:paraId="6241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tcPr>
          <w:p w14:paraId="0B180E42">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03F55753">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484" w:type="dxa"/>
          </w:tcPr>
          <w:p w14:paraId="67100D9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484" w:type="dxa"/>
          </w:tcPr>
          <w:p w14:paraId="1BF55847">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484" w:type="dxa"/>
          </w:tcPr>
          <w:p w14:paraId="3329E80A">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485" w:type="dxa"/>
          </w:tcPr>
          <w:p w14:paraId="1F7D6C11">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485" w:type="dxa"/>
          </w:tcPr>
          <w:p w14:paraId="3C110079">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r>
      <w:tr w14:paraId="06CB6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tcPr>
          <w:p w14:paraId="06AF4DAC">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72666D68">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484" w:type="dxa"/>
          </w:tcPr>
          <w:p w14:paraId="1EFFE3C2">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484" w:type="dxa"/>
          </w:tcPr>
          <w:p w14:paraId="6414F097">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484" w:type="dxa"/>
          </w:tcPr>
          <w:p w14:paraId="7D44B1B8">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485" w:type="dxa"/>
          </w:tcPr>
          <w:p w14:paraId="0466A54F">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485" w:type="dxa"/>
          </w:tcPr>
          <w:p w14:paraId="5ED70238">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r>
      <w:tr w14:paraId="067E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tcPr>
          <w:p w14:paraId="3B78B01B">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7F8B4A2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484" w:type="dxa"/>
          </w:tcPr>
          <w:p w14:paraId="35933E47">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484" w:type="dxa"/>
          </w:tcPr>
          <w:p w14:paraId="3EBCFED8">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484" w:type="dxa"/>
          </w:tcPr>
          <w:p w14:paraId="57D17EA9">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485" w:type="dxa"/>
          </w:tcPr>
          <w:p w14:paraId="2F855BFF">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c>
          <w:tcPr>
            <w:tcW w:w="1485" w:type="dxa"/>
          </w:tcPr>
          <w:p w14:paraId="436A521F">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tc>
      </w:tr>
    </w:tbl>
    <w:p w14:paraId="4A17E54B">
      <w:pPr>
        <w:pStyle w:val="33"/>
        <w:pageBreakBefore w:val="0"/>
        <w:kinsoku/>
        <w:overflowPunct/>
        <w:topLinePunct w:val="0"/>
        <w:bidi w:val="0"/>
        <w:spacing w:before="156" w:beforeLines="50" w:after="156" w:afterLines="50" w:line="360" w:lineRule="auto"/>
        <w:rPr>
          <w:rFonts w:hint="eastAsia" w:ascii="宋体" w:hAnsi="宋体" w:eastAsia="宋体" w:cs="宋体"/>
          <w:b w:val="0"/>
          <w:bCs w:val="0"/>
          <w:color w:val="auto"/>
          <w:sz w:val="24"/>
          <w:szCs w:val="24"/>
          <w:highlight w:val="none"/>
        </w:rPr>
      </w:pPr>
    </w:p>
    <w:p w14:paraId="1597853D">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34B45478">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25AC4510">
      <w:pPr>
        <w:pStyle w:val="33"/>
        <w:pageBreakBefore w:val="0"/>
        <w:kinsoku/>
        <w:overflowPunct/>
        <w:topLinePunct w:val="0"/>
        <w:bidi w:val="0"/>
        <w:spacing w:before="156" w:beforeLines="50" w:after="156" w:afterLines="5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注：后附提交校车业绩证明材料。</w:t>
      </w:r>
    </w:p>
    <w:p w14:paraId="19BF9248">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p>
    <w:p w14:paraId="05C098A8">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5784AD76">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75E0204D">
      <w:pPr>
        <w:pStyle w:val="33"/>
        <w:pageBreakBefore w:val="0"/>
        <w:kinsoku/>
        <w:overflowPunct/>
        <w:topLinePunct w:val="0"/>
        <w:bidi w:val="0"/>
        <w:spacing w:before="156" w:beforeLines="50" w:after="156" w:afterLines="50" w:line="360" w:lineRule="auto"/>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十一、详细服务方案(格式自定)</w:t>
      </w:r>
    </w:p>
    <w:p w14:paraId="4C01C23B">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041447E4">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4EEDD493">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1CECD24A">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057019E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4656E0ED">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32B54DBD">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29CD3F38">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1FC97395">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6BE7064B">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20D54F2C">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60FAD93A">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11DF288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4396384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31D46E56">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39162689">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7A17DFB7">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4993733C">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593B3B02">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4A5EAC65">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54E4474C">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521EC1F5">
      <w:pPr>
        <w:pStyle w:val="33"/>
        <w:pageBreakBefore w:val="0"/>
        <w:kinsoku/>
        <w:overflowPunct/>
        <w:topLinePunct w:val="0"/>
        <w:bidi w:val="0"/>
        <w:spacing w:before="156" w:beforeLines="50" w:after="156" w:afterLines="50" w:line="360" w:lineRule="auto"/>
        <w:rPr>
          <w:rFonts w:hint="eastAsia" w:ascii="宋体" w:hAnsi="宋体" w:eastAsia="宋体" w:cs="宋体"/>
          <w:b w:val="0"/>
          <w:bCs w:val="0"/>
          <w:color w:val="auto"/>
          <w:sz w:val="24"/>
          <w:szCs w:val="24"/>
          <w:highlight w:val="none"/>
        </w:rPr>
      </w:pPr>
    </w:p>
    <w:p w14:paraId="36A120D6">
      <w:pPr>
        <w:pStyle w:val="33"/>
        <w:pageBreakBefore w:val="0"/>
        <w:kinsoku/>
        <w:overflowPunct/>
        <w:topLinePunct w:val="0"/>
        <w:bidi w:val="0"/>
        <w:spacing w:before="156" w:beforeLines="50" w:after="156" w:afterLines="50" w:line="360" w:lineRule="auto"/>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十二、投标人认为需要提供的其他投标文件材料</w:t>
      </w:r>
    </w:p>
    <w:p w14:paraId="519EB9C8">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51315797">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41E8E2B8">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3DABFA1A">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1C23B26F">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1CFD1A67">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729E2227">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758157B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37F97E14">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0B0AD70E">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4C4335C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lang w:val="en-US" w:eastAsia="zh-CN"/>
        </w:rPr>
      </w:pPr>
    </w:p>
    <w:p w14:paraId="5F24A2CA">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lang w:val="en-US" w:eastAsia="zh-CN"/>
        </w:rPr>
      </w:pPr>
    </w:p>
    <w:p w14:paraId="07F6377F">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lang w:val="en-US" w:eastAsia="zh-CN"/>
        </w:rPr>
      </w:pPr>
    </w:p>
    <w:p w14:paraId="39F734ED">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lang w:val="en-US" w:eastAsia="zh-CN"/>
        </w:rPr>
      </w:pPr>
    </w:p>
    <w:p w14:paraId="40352409">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lang w:val="en-US" w:eastAsia="zh-CN"/>
        </w:rPr>
      </w:pPr>
    </w:p>
    <w:p w14:paraId="64699447">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lang w:val="en-US" w:eastAsia="zh-CN"/>
        </w:rPr>
      </w:pPr>
    </w:p>
    <w:p w14:paraId="20C7B2BC">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lang w:val="en-US" w:eastAsia="zh-CN"/>
        </w:rPr>
      </w:pPr>
    </w:p>
    <w:p w14:paraId="23C5AB0A">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lang w:val="en-US" w:eastAsia="zh-CN"/>
        </w:rPr>
      </w:pPr>
    </w:p>
    <w:p w14:paraId="1C9DBFE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lang w:val="en-US" w:eastAsia="zh-CN"/>
        </w:rPr>
      </w:pPr>
    </w:p>
    <w:p w14:paraId="5F73F30A">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lang w:val="en-US" w:eastAsia="zh-CN"/>
        </w:rPr>
      </w:pPr>
    </w:p>
    <w:p w14:paraId="64614519">
      <w:pPr>
        <w:pStyle w:val="33"/>
        <w:pageBreakBefore w:val="0"/>
        <w:kinsoku/>
        <w:overflowPunct/>
        <w:topLinePunct w:val="0"/>
        <w:bidi w:val="0"/>
        <w:spacing w:before="156" w:beforeLines="50" w:after="156" w:afterLines="50" w:line="360" w:lineRule="auto"/>
        <w:rPr>
          <w:rFonts w:hint="eastAsia" w:ascii="宋体" w:hAnsi="宋体" w:eastAsia="宋体" w:cs="宋体"/>
          <w:b w:val="0"/>
          <w:bCs w:val="0"/>
          <w:color w:val="auto"/>
          <w:sz w:val="24"/>
          <w:szCs w:val="24"/>
          <w:highlight w:val="none"/>
          <w:lang w:val="en-US" w:eastAsia="zh-CN"/>
        </w:rPr>
      </w:pPr>
    </w:p>
    <w:p w14:paraId="158C22A1">
      <w:pPr>
        <w:pStyle w:val="33"/>
        <w:pageBreakBefore w:val="0"/>
        <w:kinsoku/>
        <w:overflowPunct/>
        <w:topLinePunct w:val="0"/>
        <w:bidi w:val="0"/>
        <w:spacing w:before="156" w:beforeLines="50" w:after="156" w:afterLines="50" w:line="360" w:lineRule="auto"/>
        <w:ind w:firstLine="643" w:firstLineChars="200"/>
        <w:jc w:val="center"/>
        <w:rPr>
          <w:rFonts w:hint="eastAsia" w:ascii="宋体" w:hAnsi="宋体" w:eastAsia="宋体" w:cs="宋体"/>
          <w:b/>
          <w:bCs/>
          <w:color w:val="auto"/>
          <w:sz w:val="32"/>
          <w:szCs w:val="32"/>
          <w:highlight w:val="none"/>
          <w:lang w:val="en-US" w:eastAsia="zh-CN"/>
        </w:rPr>
      </w:pPr>
    </w:p>
    <w:p w14:paraId="0060CFFF">
      <w:pPr>
        <w:pStyle w:val="33"/>
        <w:pageBreakBefore w:val="0"/>
        <w:kinsoku/>
        <w:overflowPunct/>
        <w:topLinePunct w:val="0"/>
        <w:bidi w:val="0"/>
        <w:spacing w:before="156" w:beforeLines="50" w:after="156" w:afterLines="50" w:line="360" w:lineRule="auto"/>
        <w:ind w:firstLine="643"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32"/>
          <w:szCs w:val="32"/>
          <w:highlight w:val="none"/>
        </w:rPr>
        <w:t>十三、</w:t>
      </w:r>
      <w:r>
        <w:rPr>
          <w:rFonts w:hint="eastAsia" w:ascii="宋体" w:hAnsi="宋体" w:eastAsia="宋体" w:cs="宋体"/>
          <w:b/>
          <w:bCs/>
          <w:color w:val="auto"/>
          <w:sz w:val="32"/>
          <w:szCs w:val="32"/>
          <w:highlight w:val="none"/>
          <w:lang w:val="en-US" w:eastAsia="zh-CN"/>
        </w:rPr>
        <w:t>中小企业声明函</w:t>
      </w:r>
    </w:p>
    <w:p w14:paraId="405ECE38">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617C1571">
      <w:pPr>
        <w:pStyle w:val="33"/>
        <w:pageBreakBefore w:val="0"/>
        <w:kinsoku/>
        <w:overflowPunct/>
        <w:topLinePunct w:val="0"/>
        <w:bidi w:val="0"/>
        <w:spacing w:before="156" w:beforeLines="50" w:after="156" w:afterLines="50" w:line="360" w:lineRule="auto"/>
        <w:ind w:firstLine="480" w:firstLineChars="20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中小企业声明函</w:t>
      </w:r>
    </w:p>
    <w:p w14:paraId="70D228D3">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本公司郑重声明，根据《政府采购促进中小企业发展管理办法》（财库﹝2020﹞46 号）的规定，本公司参加</w:t>
      </w:r>
      <w:r>
        <w:rPr>
          <w:rFonts w:hint="eastAsia" w:ascii="宋体" w:hAnsi="宋体" w:eastAsia="宋体" w:cs="宋体"/>
          <w:b w:val="0"/>
          <w:bCs w:val="0"/>
          <w:color w:val="auto"/>
          <w:sz w:val="24"/>
          <w:szCs w:val="24"/>
          <w:highlight w:val="none"/>
          <w:u w:val="single"/>
        </w:rPr>
        <w:t>（单位名称）</w:t>
      </w:r>
      <w:r>
        <w:rPr>
          <w:rFonts w:hint="eastAsia" w:ascii="宋体" w:hAnsi="宋体" w:eastAsia="宋体" w:cs="宋体"/>
          <w:b w:val="0"/>
          <w:bCs w:val="0"/>
          <w:color w:val="auto"/>
          <w:sz w:val="24"/>
          <w:szCs w:val="24"/>
          <w:highlight w:val="none"/>
        </w:rPr>
        <w:t>的</w:t>
      </w:r>
      <w:r>
        <w:rPr>
          <w:rFonts w:hint="eastAsia" w:ascii="宋体" w:hAnsi="宋体" w:eastAsia="宋体" w:cs="宋体"/>
          <w:b w:val="0"/>
          <w:bCs w:val="0"/>
          <w:color w:val="auto"/>
          <w:sz w:val="24"/>
          <w:szCs w:val="24"/>
          <w:highlight w:val="none"/>
          <w:u w:val="single"/>
        </w:rPr>
        <w:t>（项目名称）</w:t>
      </w:r>
      <w:r>
        <w:rPr>
          <w:rFonts w:hint="eastAsia" w:ascii="宋体" w:hAnsi="宋体" w:eastAsia="宋体" w:cs="宋体"/>
          <w:b w:val="0"/>
          <w:bCs w:val="0"/>
          <w:color w:val="auto"/>
          <w:sz w:val="24"/>
          <w:szCs w:val="24"/>
          <w:highlight w:val="none"/>
        </w:rPr>
        <w:t>采购活动，服务全部由符合政策要求的中小企业承</w:t>
      </w:r>
      <w:r>
        <w:rPr>
          <w:rFonts w:hint="eastAsia" w:ascii="宋体" w:hAnsi="宋体" w:eastAsia="宋体" w:cs="宋体"/>
          <w:b w:val="0"/>
          <w:bCs w:val="0"/>
          <w:color w:val="auto"/>
          <w:sz w:val="24"/>
          <w:szCs w:val="24"/>
          <w:highlight w:val="none"/>
          <w:lang w:eastAsia="zh-CN"/>
        </w:rPr>
        <w:t>接</w:t>
      </w:r>
      <w:r>
        <w:rPr>
          <w:rFonts w:hint="eastAsia" w:ascii="宋体" w:hAnsi="宋体" w:eastAsia="宋体" w:cs="宋体"/>
          <w:b w:val="0"/>
          <w:bCs w:val="0"/>
          <w:color w:val="auto"/>
          <w:sz w:val="24"/>
          <w:szCs w:val="24"/>
          <w:highlight w:val="none"/>
        </w:rPr>
        <w:t>。相关企业的具体情况如下：</w:t>
      </w:r>
    </w:p>
    <w:p w14:paraId="6902AC9B">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u w:val="single"/>
        </w:rPr>
        <w:t>（标的名称）</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（采购文件中明确的所属行业）</w:t>
      </w:r>
      <w:r>
        <w:rPr>
          <w:rFonts w:hint="eastAsia" w:ascii="宋体" w:hAnsi="宋体" w:eastAsia="宋体" w:cs="宋体"/>
          <w:b w:val="0"/>
          <w:bCs w:val="0"/>
          <w:color w:val="auto"/>
          <w:sz w:val="24"/>
          <w:szCs w:val="24"/>
          <w:highlight w:val="none"/>
        </w:rPr>
        <w:t>；承建（承接）企业为</w:t>
      </w:r>
      <w:r>
        <w:rPr>
          <w:rFonts w:hint="eastAsia" w:ascii="宋体" w:hAnsi="宋体" w:eastAsia="宋体" w:cs="宋体"/>
          <w:b w:val="0"/>
          <w:bCs w:val="0"/>
          <w:color w:val="auto"/>
          <w:sz w:val="24"/>
          <w:szCs w:val="24"/>
          <w:highlight w:val="none"/>
          <w:u w:val="single"/>
        </w:rPr>
        <w:t>（企业名称）</w:t>
      </w:r>
      <w:r>
        <w:rPr>
          <w:rFonts w:hint="eastAsia" w:ascii="宋体" w:hAnsi="宋体" w:eastAsia="宋体" w:cs="宋体"/>
          <w:b w:val="0"/>
          <w:bCs w:val="0"/>
          <w:color w:val="auto"/>
          <w:sz w:val="24"/>
          <w:szCs w:val="24"/>
          <w:highlight w:val="none"/>
        </w:rPr>
        <w:t>，从业人员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rPr>
        <w:tab/>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rPr>
        <w:tab/>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rPr>
        <w:tab/>
      </w:r>
      <w:r>
        <w:rPr>
          <w:rFonts w:hint="eastAsia" w:ascii="宋体" w:hAnsi="宋体" w:eastAsia="宋体" w:cs="宋体"/>
          <w:b w:val="0"/>
          <w:bCs w:val="0"/>
          <w:color w:val="auto"/>
          <w:sz w:val="24"/>
          <w:szCs w:val="24"/>
          <w:highlight w:val="none"/>
        </w:rPr>
        <w:t>万元，属于（中型企业、小型企业、微型企业）；</w:t>
      </w:r>
    </w:p>
    <w:p w14:paraId="7E2DED61">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 （标的名称），属于（采购文件中明确的所属行业）；承建（承接）企业为（企业名称），从业人员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rPr>
        <w:tab/>
      </w:r>
      <w:r>
        <w:rPr>
          <w:rFonts w:hint="eastAsia" w:ascii="宋体" w:hAnsi="宋体" w:eastAsia="宋体" w:cs="宋体"/>
          <w:b w:val="0"/>
          <w:bCs w:val="0"/>
          <w:color w:val="auto"/>
          <w:sz w:val="24"/>
          <w:szCs w:val="24"/>
          <w:highlight w:val="none"/>
        </w:rPr>
        <w:t xml:space="preserve">人，营业收入为 </w:t>
      </w:r>
      <w:r>
        <w:rPr>
          <w:rFonts w:hint="eastAsia" w:ascii="宋体" w:hAnsi="宋体" w:eastAsia="宋体" w:cs="宋体"/>
          <w:b w:val="0"/>
          <w:bCs w:val="0"/>
          <w:color w:val="auto"/>
          <w:sz w:val="24"/>
          <w:szCs w:val="24"/>
          <w:highlight w:val="none"/>
          <w:u w:val="single"/>
        </w:rPr>
        <w:tab/>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rPr>
        <w:tab/>
      </w:r>
      <w:r>
        <w:rPr>
          <w:rFonts w:hint="eastAsia" w:ascii="宋体" w:hAnsi="宋体" w:eastAsia="宋体" w:cs="宋体"/>
          <w:b w:val="0"/>
          <w:bCs w:val="0"/>
          <w:color w:val="auto"/>
          <w:sz w:val="24"/>
          <w:szCs w:val="24"/>
          <w:highlight w:val="none"/>
        </w:rPr>
        <w:t>万元，属于（中型企业、小型企业、微型企业）；</w:t>
      </w:r>
    </w:p>
    <w:p w14:paraId="3A0846B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p w14:paraId="16B6F2BE">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以上企业，不属于大企业的分支机构，不存在控股股东为大企业的情形，也不存在与大企业的负责人为同一人的情形。</w:t>
      </w:r>
    </w:p>
    <w:p w14:paraId="656F38AB">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本企业对上述声明内容的真实性负责。如有虚假，将依法承担相应责任。</w:t>
      </w:r>
    </w:p>
    <w:p w14:paraId="30079262">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企业名称（盖章）：</w:t>
      </w:r>
    </w:p>
    <w:p w14:paraId="1BA33A66">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w:t>
      </w:r>
    </w:p>
    <w:p w14:paraId="05983A0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10B1A6D7">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61527F89">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19890BFF">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1058E5AA">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从业人员、营业收入、资产总额填报上一年度数据，无上一年度数据的新成立企业可不填报</w:t>
      </w:r>
    </w:p>
    <w:p w14:paraId="7CBA53F5">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sectPr>
          <w:footerReference r:id="rId7" w:type="default"/>
          <w:pgSz w:w="11907" w:h="16840"/>
          <w:pgMar w:top="1440" w:right="1800" w:bottom="1440" w:left="1800" w:header="851" w:footer="397" w:gutter="0"/>
          <w:pgNumType w:fmt="decimal" w:start="1"/>
          <w:cols w:space="720" w:num="1"/>
          <w:docGrid w:linePitch="381" w:charSpace="0"/>
        </w:sectPr>
      </w:pPr>
    </w:p>
    <w:p w14:paraId="3A3EC3BE">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78A9C296">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附件：</w:t>
      </w:r>
    </w:p>
    <w:p w14:paraId="1231A95F">
      <w:pPr>
        <w:pStyle w:val="33"/>
        <w:pageBreakBefore w:val="0"/>
        <w:kinsoku/>
        <w:overflowPunct/>
        <w:topLinePunct w:val="0"/>
        <w:bidi w:val="0"/>
        <w:spacing w:before="156" w:beforeLines="50" w:after="156" w:afterLines="50" w:line="360" w:lineRule="auto"/>
        <w:ind w:firstLine="480" w:firstLineChars="20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关于印发《政府采购促进中小企业发展管理办法》的通知</w:t>
      </w:r>
    </w:p>
    <w:p w14:paraId="30CF43BD">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财库[2020]46号</w:t>
      </w:r>
    </w:p>
    <w:p w14:paraId="09B08327">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各中央预算单位办公厅（室），各省、自治区、直辖市、计划单列市财政厅（局）、工业和信息化主管部门，新疆生产建设兵团财政局、工业和信息化主管部门：</w:t>
      </w:r>
    </w:p>
    <w:p w14:paraId="1DC73CBB">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095E3167">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附件：政府采购促进中小企业发展管理办法</w:t>
      </w:r>
    </w:p>
    <w:p w14:paraId="73C13D0B">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财  政  部</w:t>
      </w:r>
    </w:p>
    <w:p w14:paraId="1940C5D7">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工业和信息化部</w:t>
      </w:r>
    </w:p>
    <w:p w14:paraId="10C564C4">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2020年12月18日</w:t>
      </w:r>
    </w:p>
    <w:p w14:paraId="21764875">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政府采购促进中小企业发展管理办法</w:t>
      </w:r>
    </w:p>
    <w:p w14:paraId="083F5CC3">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第一条　为了发挥政府采购的政策功能，促进中小企业健康发展，根据《中华人民共和国政府采购法》、《中华人民共和国中小企业促进法》等有关法律法规，制定本办法。</w:t>
      </w:r>
    </w:p>
    <w:p w14:paraId="158B536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7563869">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符合中小企业划分标准的个体工商户，在政府采购活动中视同中小企业。</w:t>
      </w:r>
    </w:p>
    <w:p w14:paraId="7405602C">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第三条　采购人在政府采购活动中应当通过加强采购需求管理，落实预留采购份额、价格评审优惠、优先采购等措施，提高中小企业在政府采购中的份额，支持中小企业发展。</w:t>
      </w:r>
    </w:p>
    <w:p w14:paraId="10FE67FB">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第四条　在政府采购活动中，供应商提供的货物、工程或者服务符合下列情形的，享受本办法规定的中小企业扶持政策：</w:t>
      </w:r>
    </w:p>
    <w:p w14:paraId="61350B69">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（一）在货物采购项目中，货物由中小企业制造，即货物由中小企业生产且使用该中小企业商号或者注册商标；</w:t>
      </w:r>
    </w:p>
    <w:p w14:paraId="7426BB53">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（二）在工程采购项目中，工程由中小企业承建，即工程施工单位为中小企业；</w:t>
      </w:r>
    </w:p>
    <w:p w14:paraId="14F9A3E2">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（三）在服务采购项目中，服务由中小企业承接，即提供服务的人员为中小企业依照《中华人民共和国劳动合同法》订立劳动合同的从业人员。</w:t>
      </w:r>
    </w:p>
    <w:p w14:paraId="559712A7">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在货物采购项目中，供应商提供的货物既有中小企业制造货物，也有大型企业制造货物的，不享受本办法规定的中小企业扶持政策。</w:t>
      </w:r>
    </w:p>
    <w:p w14:paraId="32AD5476">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以联合体形式参加政府采购活动，联合体各方均为中小企业的，联合体视同中小企业。其中，联合体各方均为小微企业的，联合体视同小微企业。</w:t>
      </w:r>
    </w:p>
    <w:p w14:paraId="60B66A95">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507C5B8">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02F1C875">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符合下列情形之一的，可不专门面向中小企业预留采购份额：</w:t>
      </w:r>
    </w:p>
    <w:p w14:paraId="67E8D80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（一）法律法规和国家有关政策明确规定优先或者应当面向事业单位、社会组织等非企业主体采购的；</w:t>
      </w:r>
    </w:p>
    <w:p w14:paraId="049A9A3C">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（二）因确需使用不可替代的专利、专有技术，基础设施限制，或者提供特定公共服务等原因，只能从中小企业之外的供应商处采购的；</w:t>
      </w:r>
    </w:p>
    <w:p w14:paraId="3BC4D4C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（三）按照本办法规定预留采购份额无法确保充分供应、充分竞争，或者存在可能影响政府采购目标实现的情形；</w:t>
      </w:r>
    </w:p>
    <w:p w14:paraId="6BF2BD0D">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（四）框架协议采购项目；</w:t>
      </w:r>
    </w:p>
    <w:p w14:paraId="448F3BDF">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（五）省级以上人民政府财政部门规定的其他情形。</w:t>
      </w:r>
    </w:p>
    <w:p w14:paraId="2EE5F534">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除上述情形外，其他均为适宜由中小企业提供的情形。</w:t>
      </w:r>
    </w:p>
    <w:p w14:paraId="19566144">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第七条　采购限额标准以上，200万元以下的货物和服务采购项目、400万元以下的工程采购项目，适宜由中小企业提供的，采购人应当专门面向中小企业采购。</w:t>
      </w:r>
    </w:p>
    <w:p w14:paraId="403482B4">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005316E3">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（一）将采购项目整体或者设置采购包专门面向中小企业采购；</w:t>
      </w:r>
    </w:p>
    <w:p w14:paraId="264FFF28">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（二）要求供应商以联合体形式参加采购活动，且联合体中中小企业承担的部分达到一定比例；</w:t>
      </w:r>
    </w:p>
    <w:p w14:paraId="74FDAD3D">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（三）要求获得采购合同的供应商将采购项目中的一定比例分包给一家或者多家中小企业。</w:t>
      </w:r>
    </w:p>
    <w:p w14:paraId="02B6BD7A">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组成联合体或者接受分包合同的中小企业与联合体内其他企业、分包企业之间不得存在直接控股、管理关系。</w:t>
      </w:r>
    </w:p>
    <w:p w14:paraId="74590A24">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第九条　对于经主管预算单位统筹后未预留份额专门面向中小企业采购的采购项目，以及预留份额项目中的非预留部分采购包，采购人、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23E1011">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30%以上的，采购人、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0E0B24ED">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67C7083">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2D058D41">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59774FC4">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第十二条　采购项目涉及中小企业采购的，采购文件应当明确以下内容：</w:t>
      </w:r>
    </w:p>
    <w:p w14:paraId="2D925F26">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（一）预留份额的采购项目或者采购包，明确该项目或相关采购包专门面向中小企业采购，以及相关标的及预算金额；</w:t>
      </w:r>
    </w:p>
    <w:p w14:paraId="50EDA5FE">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（二）要求以联合体形式参加或者合同分包的，明确联合协议或者分包意向协议中中小企业合同金额应当达到的比例，并作为供应商资格条件；</w:t>
      </w:r>
    </w:p>
    <w:p w14:paraId="04C5107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（三）非预留份额的采购项目或者采购包，明确有关价格扣除比例或者价格分加分比例；</w:t>
      </w:r>
    </w:p>
    <w:p w14:paraId="30058DC4">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（四）规定依据本办法规定享受扶持政策获得政府采购合同的，小微企业不得将合同分包给大中型企业，中型企业不得将合同分包给大型企业；</w:t>
      </w:r>
    </w:p>
    <w:p w14:paraId="78C5C09D">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（五）采购人认为具备相关条件的，明确对中小企业在资金支付期限、预付款比例等方面的优惠措施；</w:t>
      </w:r>
    </w:p>
    <w:p w14:paraId="3EF5B866">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（六）明确采购标的对应的中小企业划分标准所属行业；</w:t>
      </w:r>
    </w:p>
    <w:p w14:paraId="0390B8AE">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（七）法律法规和省级以上人民政府财政部门规定的其他事项。</w:t>
      </w:r>
    </w:p>
    <w:p w14:paraId="4E5E5252">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第十三条　</w:t>
      </w:r>
      <w:r>
        <w:rPr>
          <w:rFonts w:hint="eastAsia" w:ascii="宋体" w:hAnsi="宋体" w:eastAsia="宋体" w:cs="宋体"/>
          <w:b w:val="0"/>
          <w:bCs w:val="0"/>
          <w:color w:val="auto"/>
          <w:sz w:val="24"/>
          <w:szCs w:val="24"/>
          <w:highlight w:val="none"/>
          <w:lang w:eastAsia="zh-CN"/>
        </w:rPr>
        <w:t>成交</w:t>
      </w:r>
      <w:r>
        <w:rPr>
          <w:rFonts w:hint="eastAsia" w:ascii="宋体" w:hAnsi="宋体" w:eastAsia="宋体" w:cs="宋体"/>
          <w:b w:val="0"/>
          <w:bCs w:val="0"/>
          <w:color w:val="auto"/>
          <w:sz w:val="24"/>
          <w:szCs w:val="24"/>
          <w:highlight w:val="none"/>
        </w:rPr>
        <w:t>、成交供应商享受本办法规定的中小企业扶持政策的，采购人、机构应当随</w:t>
      </w:r>
      <w:r>
        <w:rPr>
          <w:rFonts w:hint="eastAsia" w:ascii="宋体" w:hAnsi="宋体" w:eastAsia="宋体" w:cs="宋体"/>
          <w:b w:val="0"/>
          <w:bCs w:val="0"/>
          <w:color w:val="auto"/>
          <w:sz w:val="24"/>
          <w:szCs w:val="24"/>
          <w:highlight w:val="none"/>
          <w:lang w:eastAsia="zh-CN"/>
        </w:rPr>
        <w:t>成交</w:t>
      </w:r>
      <w:r>
        <w:rPr>
          <w:rFonts w:hint="eastAsia" w:ascii="宋体" w:hAnsi="宋体" w:eastAsia="宋体" w:cs="宋体"/>
          <w:b w:val="0"/>
          <w:bCs w:val="0"/>
          <w:color w:val="auto"/>
          <w:sz w:val="24"/>
          <w:szCs w:val="24"/>
          <w:highlight w:val="none"/>
        </w:rPr>
        <w:t>、成交结果公开</w:t>
      </w:r>
      <w:r>
        <w:rPr>
          <w:rFonts w:hint="eastAsia" w:ascii="宋体" w:hAnsi="宋体" w:eastAsia="宋体" w:cs="宋体"/>
          <w:b w:val="0"/>
          <w:bCs w:val="0"/>
          <w:color w:val="auto"/>
          <w:sz w:val="24"/>
          <w:szCs w:val="24"/>
          <w:highlight w:val="none"/>
          <w:lang w:eastAsia="zh-CN"/>
        </w:rPr>
        <w:t>成交</w:t>
      </w:r>
      <w:r>
        <w:rPr>
          <w:rFonts w:hint="eastAsia" w:ascii="宋体" w:hAnsi="宋体" w:eastAsia="宋体" w:cs="宋体"/>
          <w:b w:val="0"/>
          <w:bCs w:val="0"/>
          <w:color w:val="auto"/>
          <w:sz w:val="24"/>
          <w:szCs w:val="24"/>
          <w:highlight w:val="none"/>
        </w:rPr>
        <w:t>、成交供应商的《中小企业声明函》。</w:t>
      </w:r>
    </w:p>
    <w:p w14:paraId="2C01DF18">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适用招标投标法的政府采购工程建设项目，应当在公示</w:t>
      </w:r>
      <w:r>
        <w:rPr>
          <w:rFonts w:hint="eastAsia" w:ascii="宋体" w:hAnsi="宋体" w:eastAsia="宋体" w:cs="宋体"/>
          <w:b w:val="0"/>
          <w:bCs w:val="0"/>
          <w:color w:val="auto"/>
          <w:sz w:val="24"/>
          <w:szCs w:val="24"/>
          <w:highlight w:val="none"/>
          <w:lang w:eastAsia="zh-CN"/>
        </w:rPr>
        <w:t>成交</w:t>
      </w:r>
      <w:r>
        <w:rPr>
          <w:rFonts w:hint="eastAsia" w:ascii="宋体" w:hAnsi="宋体" w:eastAsia="宋体" w:cs="宋体"/>
          <w:b w:val="0"/>
          <w:bCs w:val="0"/>
          <w:color w:val="auto"/>
          <w:sz w:val="24"/>
          <w:szCs w:val="24"/>
          <w:highlight w:val="none"/>
        </w:rPr>
        <w:t>候选人时公开</w:t>
      </w:r>
      <w:r>
        <w:rPr>
          <w:rFonts w:hint="eastAsia" w:ascii="宋体" w:hAnsi="宋体" w:eastAsia="宋体" w:cs="宋体"/>
          <w:b w:val="0"/>
          <w:bCs w:val="0"/>
          <w:color w:val="auto"/>
          <w:sz w:val="24"/>
          <w:szCs w:val="24"/>
          <w:highlight w:val="none"/>
          <w:lang w:eastAsia="zh-CN"/>
        </w:rPr>
        <w:t>成交</w:t>
      </w:r>
      <w:r>
        <w:rPr>
          <w:rFonts w:hint="eastAsia" w:ascii="宋体" w:hAnsi="宋体" w:eastAsia="宋体" w:cs="宋体"/>
          <w:b w:val="0"/>
          <w:bCs w:val="0"/>
          <w:color w:val="auto"/>
          <w:sz w:val="24"/>
          <w:szCs w:val="24"/>
          <w:highlight w:val="none"/>
        </w:rPr>
        <w:t>候选人的《中小企业声明函》。</w:t>
      </w:r>
    </w:p>
    <w:p w14:paraId="5D0DEDBB">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十四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830249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23F1221C">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第十六条　政府采购监督检查、投诉处理及政府采购行政处罚中对中小企业的认定，由货物制造商或者工程、服务供应商注册登记所在地的县级以上人民政府中小企业主管部门负责。</w:t>
      </w:r>
    </w:p>
    <w:p w14:paraId="6C43C50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中小企业主管部门应当在收到财政部门或者有关招标投标行政监督部门关于协助开展中小企业认定函后10个工作日内做出书面答复。</w:t>
      </w:r>
    </w:p>
    <w:p w14:paraId="3D1A0ACF">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286E8B9B">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4DBD948F">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第十九条　采购人未按本办法规定为中小企业预留采购份额，采购人、机构未按照本办法规定要求实施价格扣除或者价格分加分的，属于未按照规定执行政府采购政策，依照《中华人民共和国政府采购法》等国家有关规定追究法律责任。</w:t>
      </w:r>
    </w:p>
    <w:p w14:paraId="72E833EE">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第二十条　供应商按照本办法规定提供声明函内容不实的，属于提供虚假材料谋取</w:t>
      </w:r>
      <w:r>
        <w:rPr>
          <w:rFonts w:hint="eastAsia" w:ascii="宋体" w:hAnsi="宋体" w:eastAsia="宋体" w:cs="宋体"/>
          <w:b w:val="0"/>
          <w:bCs w:val="0"/>
          <w:color w:val="auto"/>
          <w:sz w:val="24"/>
          <w:szCs w:val="24"/>
          <w:highlight w:val="none"/>
          <w:lang w:eastAsia="zh-CN"/>
        </w:rPr>
        <w:t>成交</w:t>
      </w:r>
      <w:r>
        <w:rPr>
          <w:rFonts w:hint="eastAsia" w:ascii="宋体" w:hAnsi="宋体" w:eastAsia="宋体" w:cs="宋体"/>
          <w:b w:val="0"/>
          <w:bCs w:val="0"/>
          <w:color w:val="auto"/>
          <w:sz w:val="24"/>
          <w:szCs w:val="24"/>
          <w:highlight w:val="none"/>
        </w:rPr>
        <w:t>、成交，依照《中华人民共和国政府采购法》等国家有关规定追究相应责任。</w:t>
      </w:r>
    </w:p>
    <w:p w14:paraId="108E3BB1">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适用招标投标法的政府采购工程建设项目，</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按照本办法规定提供声明函内容不实的，属于弄虚作假骗取</w:t>
      </w:r>
      <w:r>
        <w:rPr>
          <w:rFonts w:hint="eastAsia" w:ascii="宋体" w:hAnsi="宋体" w:eastAsia="宋体" w:cs="宋体"/>
          <w:b w:val="0"/>
          <w:bCs w:val="0"/>
          <w:color w:val="auto"/>
          <w:sz w:val="24"/>
          <w:szCs w:val="24"/>
          <w:highlight w:val="none"/>
          <w:lang w:eastAsia="zh-CN"/>
        </w:rPr>
        <w:t>成交</w:t>
      </w:r>
      <w:r>
        <w:rPr>
          <w:rFonts w:hint="eastAsia" w:ascii="宋体" w:hAnsi="宋体" w:eastAsia="宋体" w:cs="宋体"/>
          <w:b w:val="0"/>
          <w:bCs w:val="0"/>
          <w:color w:val="auto"/>
          <w:sz w:val="24"/>
          <w:szCs w:val="24"/>
          <w:highlight w:val="none"/>
        </w:rPr>
        <w:t>，依照《中华人民共和国招标投标法》等国家有关规定追究相应责任。</w:t>
      </w:r>
    </w:p>
    <w:p w14:paraId="5DB0137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5F8380E6">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第二十二条　对外援助项目、国家相关资格或者资质管理制度另有规定的项目，不适用本办法。</w:t>
      </w:r>
    </w:p>
    <w:p w14:paraId="70A496F9">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第二十三条　关于视同中小企业的其他主体的政府采购扶持政策，由财政部会同有关部门另行规定。</w:t>
      </w:r>
    </w:p>
    <w:p w14:paraId="5FC99BBD">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第二十四条　省级财政部门可以会同中小企业主管部门根据本办法的规定制定具体实施办法。</w:t>
      </w:r>
    </w:p>
    <w:p w14:paraId="2BF76D9F">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第二十五条　本办法自2021年1月1日起施行。《财政部工业和信息化部关于印发〈政府采购促进中小企业发展暂行办法〉的通知》（财库﹝2011﹞181号）同时废止。</w:t>
      </w:r>
    </w:p>
    <w:p w14:paraId="76D2CE73">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附：</w:t>
      </w:r>
    </w:p>
    <w:p w14:paraId="480A66C7">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1.中小企业声明函</w:t>
      </w:r>
    </w:p>
    <w:p w14:paraId="4EEAA94C">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64D2278F">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39D6070A">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1F55EBA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22D782E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35C29C14">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3C486F3E">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附1</w:t>
      </w:r>
    </w:p>
    <w:p w14:paraId="3F759346">
      <w:pPr>
        <w:pStyle w:val="33"/>
        <w:pageBreakBefore w:val="0"/>
        <w:kinsoku/>
        <w:overflowPunct/>
        <w:topLinePunct w:val="0"/>
        <w:bidi w:val="0"/>
        <w:spacing w:before="156" w:beforeLines="50" w:after="156" w:afterLines="50" w:line="360" w:lineRule="auto"/>
        <w:ind w:firstLine="480" w:firstLineChars="20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中小企业声明函</w:t>
      </w:r>
    </w:p>
    <w:p w14:paraId="676398B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7FBB138C">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07B1C2B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本公司郑重声明，根据《政府采购促进中小企业发展管理办法》（财库﹝2020﹞46 号）的规定，本公司参加（单位名称）的（项目名称）采购活动，服务全部由符合政策要求的中小企业承</w:t>
      </w:r>
      <w:r>
        <w:rPr>
          <w:rFonts w:hint="eastAsia" w:ascii="宋体" w:hAnsi="宋体" w:eastAsia="宋体" w:cs="宋体"/>
          <w:b w:val="0"/>
          <w:bCs w:val="0"/>
          <w:color w:val="auto"/>
          <w:sz w:val="24"/>
          <w:szCs w:val="24"/>
          <w:highlight w:val="none"/>
          <w:lang w:eastAsia="zh-CN"/>
        </w:rPr>
        <w:t>接</w:t>
      </w:r>
      <w:r>
        <w:rPr>
          <w:rFonts w:hint="eastAsia" w:ascii="宋体" w:hAnsi="宋体" w:eastAsia="宋体" w:cs="宋体"/>
          <w:b w:val="0"/>
          <w:bCs w:val="0"/>
          <w:color w:val="auto"/>
          <w:sz w:val="24"/>
          <w:szCs w:val="24"/>
          <w:highlight w:val="none"/>
        </w:rPr>
        <w:t>。相关企业的具体情况如下：</w:t>
      </w:r>
    </w:p>
    <w:p w14:paraId="3F88DAB9">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1.（标的名称），属于（采购文件中明确的所属行业）；承建（承接）企业为（企业名称），从业人员 </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 xml:space="preserve">人，营业收入为 </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 xml:space="preserve">万元，资产总额为 </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万元，属于（中型企业、小型企业、微型企业）；</w:t>
      </w:r>
    </w:p>
    <w:p w14:paraId="34BCE6E4">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2. （标的名称），属于（采购文件中明确的所属行业）；承建（承接）企业为（企业名称），从业人员 </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 xml:space="preserve">人，营业收入为 </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 xml:space="preserve">万元，资产总额为 </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万元，属于（中型企业、小型企业、微型企业）；</w:t>
      </w:r>
    </w:p>
    <w:p w14:paraId="74D18DCE">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p w14:paraId="51F1B187">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以上企业，不属于大企业的分支机构，不存在控股股东为大企业的情形，也不存在与大企业的负责人为同一人的情形。</w:t>
      </w:r>
    </w:p>
    <w:p w14:paraId="5C2E2B83">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本企业对上述声明内容的真实性负责。如有虚假，将依法承担相应责任。</w:t>
      </w:r>
    </w:p>
    <w:p w14:paraId="3DCFEE34">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企业名称（盖章）：</w:t>
      </w:r>
    </w:p>
    <w:p w14:paraId="545903AF">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w:t>
      </w:r>
    </w:p>
    <w:p w14:paraId="22F7E1B1">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65663EA7">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4361F945">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791AB837">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3D9EAC0B">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从业人员、营业收入、资产总额填报上一年度数据，无上一年度数据的新成立企业可不填报</w:t>
      </w:r>
    </w:p>
    <w:p w14:paraId="464CD065">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sectPr>
          <w:headerReference r:id="rId8" w:type="default"/>
          <w:footerReference r:id="rId9" w:type="default"/>
          <w:pgSz w:w="11907" w:h="16840"/>
          <w:pgMar w:top="1440" w:right="1800" w:bottom="1440" w:left="1800" w:header="851" w:footer="397" w:gutter="0"/>
          <w:pgNumType w:fmt="decimal"/>
          <w:cols w:space="720" w:num="1"/>
          <w:docGrid w:linePitch="381" w:charSpace="0"/>
        </w:sectPr>
      </w:pPr>
    </w:p>
    <w:p w14:paraId="7A2E5DE9">
      <w:pPr>
        <w:pStyle w:val="33"/>
        <w:pageBreakBefore w:val="0"/>
        <w:kinsoku/>
        <w:overflowPunct/>
        <w:topLinePunct w:val="0"/>
        <w:bidi w:val="0"/>
        <w:spacing w:before="156" w:beforeLines="50" w:after="156" w:afterLines="50" w:line="360" w:lineRule="auto"/>
        <w:ind w:firstLine="480" w:firstLineChars="20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财政部关于进一步加大政府采购支持中小企业力度的通知</w:t>
      </w:r>
    </w:p>
    <w:p w14:paraId="76D73DDD">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财库〔2022〕19号</w:t>
      </w:r>
    </w:p>
    <w:p w14:paraId="424D03A9">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各中央预算单位，各省、自治区、直辖市、计划单列市财政厅（局），新疆生产建设兵团财政局：</w:t>
      </w:r>
    </w:p>
    <w:p w14:paraId="22DF61BA">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01CABBC7">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21A17C43">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4126B8AF">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26FDD877">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四、认真做好组织实施。各地区、各部门应当加强组织领导，明确工作责任，细化执行要求，强化监督检查，确保国务院部署落实到位，对通知执行中出现的问题要及时向财政部报告。</w:t>
      </w:r>
    </w:p>
    <w:p w14:paraId="57F71313">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本通知自2022年7月1日起执行。</w:t>
      </w:r>
    </w:p>
    <w:p w14:paraId="25D386F3">
      <w:pPr>
        <w:pStyle w:val="33"/>
        <w:pageBreakBefore w:val="0"/>
        <w:kinsoku/>
        <w:overflowPunct/>
        <w:topLinePunct w:val="0"/>
        <w:bidi w:val="0"/>
        <w:spacing w:before="156" w:beforeLines="50" w:after="156" w:afterLines="5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财政部                                                       2022年5月30日</w:t>
      </w:r>
    </w:p>
    <w:p w14:paraId="06A84EDC">
      <w:pPr>
        <w:pStyle w:val="33"/>
        <w:pageBreakBefore w:val="0"/>
        <w:kinsoku/>
        <w:overflowPunct/>
        <w:topLinePunct w:val="0"/>
        <w:bidi w:val="0"/>
        <w:spacing w:before="156" w:beforeLines="50" w:after="156" w:afterLines="50" w:line="360" w:lineRule="auto"/>
        <w:ind w:firstLine="480" w:firstLineChars="20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中小企业划型标准规定</w:t>
      </w:r>
    </w:p>
    <w:p w14:paraId="1727BEB7">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w:t>
      </w:r>
    </w:p>
    <w:p w14:paraId="0A56F31E">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一、根据《中华人民共和国中小企业促进法》和《国务院关于进一步促进中小企业发展的若干意见》(国发〔2009〕36号)，制定本规定。</w:t>
      </w:r>
    </w:p>
    <w:p w14:paraId="2890372D">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二、中小企业划分为中型、小型、微型三种类型，具体标准根据企业从业人员、营业收入、资产总额等指标，结合行业特点制定。</w:t>
      </w:r>
    </w:p>
    <w:p w14:paraId="3A357E9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53D7147">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四、各行业划型标准为：</w:t>
      </w:r>
    </w:p>
    <w:p w14:paraId="5F6C82A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4F56BA74">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DFCD46D">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EF2AF54">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CA72808">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61E3668">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D4F1D9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92F10B2">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D4B7BEB">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D31EE4C">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9045E9A">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2D56B69">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EDF9B81">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1EA7315">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A84F80D">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5660A07">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27AB2C43">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五、企业类型的划分以统计部门的统计数据为依据。</w:t>
      </w:r>
    </w:p>
    <w:p w14:paraId="56B861CF">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六、本规定适用于在中华人民共和国境内依法设立的各类所有制和各种组织形式的企业。个体工商户和本规定以外的行业，参照本规定进行划型。</w:t>
      </w:r>
    </w:p>
    <w:p w14:paraId="4B7D9BEC">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4D137A61">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八、本规定由工业和信息化部、国家统计局会同有关部门根据《国民经济行业分类》修订情况和企业发展变化情况适时修订。</w:t>
      </w:r>
    </w:p>
    <w:p w14:paraId="2EE45D7A">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九、本规定由工业和信息化部、国家统计局会同有关部门负责解释。</w:t>
      </w:r>
    </w:p>
    <w:p w14:paraId="1B94AD21">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十、本规定自发布之日起执行，原国家经贸委、原国家计委、财政部和国家统计局2003年颁布的《中小企业标准暂行规定》同时废止。</w:t>
      </w:r>
    </w:p>
    <w:p w14:paraId="7F186579">
      <w:pPr>
        <w:pStyle w:val="33"/>
        <w:pageBreakBefore w:val="0"/>
        <w:kinsoku/>
        <w:overflowPunct/>
        <w:topLinePunct w:val="0"/>
        <w:bidi w:val="0"/>
        <w:spacing w:before="156" w:beforeLines="50" w:after="156" w:afterLines="50" w:line="360" w:lineRule="auto"/>
        <w:ind w:firstLine="480" w:firstLineChars="20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r>
        <w:rPr>
          <w:rFonts w:hint="eastAsia" w:ascii="宋体" w:hAnsi="宋体" w:eastAsia="宋体" w:cs="宋体"/>
          <w:b w:val="0"/>
          <w:bCs w:val="0"/>
          <w:color w:val="auto"/>
          <w:sz w:val="24"/>
          <w:szCs w:val="24"/>
          <w:highlight w:val="none"/>
        </w:rPr>
        <w:t>关于促进残疾人就业政府采购政策的通知</w:t>
      </w:r>
    </w:p>
    <w:p w14:paraId="089F62F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bookmarkStart w:id="116" w:name="sendNo"/>
      <w:r>
        <w:rPr>
          <w:rFonts w:hint="eastAsia" w:ascii="宋体" w:hAnsi="宋体" w:eastAsia="宋体" w:cs="宋体"/>
          <w:b w:val="0"/>
          <w:bCs w:val="0"/>
          <w:color w:val="auto"/>
          <w:sz w:val="24"/>
          <w:szCs w:val="24"/>
          <w:highlight w:val="none"/>
        </w:rPr>
        <w:t>财库〔</w:t>
      </w:r>
      <w:bookmarkEnd w:id="116"/>
      <w:r>
        <w:rPr>
          <w:rFonts w:hint="eastAsia" w:ascii="宋体" w:hAnsi="宋体" w:eastAsia="宋体" w:cs="宋体"/>
          <w:b w:val="0"/>
          <w:bCs w:val="0"/>
          <w:color w:val="auto"/>
          <w:sz w:val="24"/>
          <w:szCs w:val="24"/>
          <w:highlight w:val="none"/>
        </w:rPr>
        <w:t>2017〕141号</w:t>
      </w:r>
    </w:p>
    <w:p w14:paraId="4DF43555">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bookmarkStart w:id="117" w:name="toDeptId"/>
      <w:r>
        <w:rPr>
          <w:rFonts w:hint="eastAsia" w:ascii="宋体" w:hAnsi="宋体" w:eastAsia="宋体" w:cs="宋体"/>
          <w:b w:val="0"/>
          <w:bCs w:val="0"/>
          <w:color w:val="auto"/>
          <w:sz w:val="24"/>
          <w:szCs w:val="24"/>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117"/>
      <w:r>
        <w:rPr>
          <w:rFonts w:hint="eastAsia" w:ascii="宋体" w:hAnsi="宋体" w:eastAsia="宋体" w:cs="宋体"/>
          <w:b w:val="0"/>
          <w:bCs w:val="0"/>
          <w:color w:val="auto"/>
          <w:sz w:val="24"/>
          <w:szCs w:val="24"/>
          <w:highlight w:val="none"/>
        </w:rPr>
        <w:t>：</w:t>
      </w:r>
    </w:p>
    <w:p w14:paraId="262EF4F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为了发挥政府采购促进残疾人就业的作用，进一步保障残疾人权益，依照《政府采购法》、《残疾人保障法》等法律法规及相关规定，现就促进残疾人就业政府采购政策通知如下：</w:t>
      </w:r>
    </w:p>
    <w:p w14:paraId="59DBBDBE">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一、享受政府采购支持政策的残疾人福利性单位应当同时满足以下条件：</w:t>
      </w:r>
    </w:p>
    <w:p w14:paraId="116016D3">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（一）安置的残疾人占本单位在职职工人数的比例不低于25%（含25%），并且安置的残疾人人数不少于10人（含10人）；</w:t>
      </w:r>
    </w:p>
    <w:p w14:paraId="34E18D19">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（二）依法与安置的每位残疾人签订了一年以上（含一年）的劳动合同或服务协议；</w:t>
      </w:r>
    </w:p>
    <w:p w14:paraId="71E551A4">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（三）为安置的每位残疾人按月足额缴纳了基本养老保险、基本医疗保险、失业保险、工伤保险和生育保险等社会保险费；</w:t>
      </w:r>
    </w:p>
    <w:p w14:paraId="59911503">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（四）通过银行等金融机构向安置的每位残疾人，按月支付了不低于单位所在区县适用的经省级人民政府批准的月最低工资标准的工资；</w:t>
      </w:r>
    </w:p>
    <w:p w14:paraId="4ADF46BD">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（五）提供本单位制造的货物、承担的工程或者服务（以下简称产品），或者提供其他残疾人福利性单位制造的货物（不包括使用非残疾人福利性单位注册商标的货物）。</w:t>
      </w:r>
    </w:p>
    <w:p w14:paraId="2D69CD8E">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5B755D1">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58727E7C">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成交</w:t>
      </w:r>
      <w:r>
        <w:rPr>
          <w:rFonts w:hint="eastAsia" w:ascii="宋体" w:hAnsi="宋体" w:eastAsia="宋体" w:cs="宋体"/>
          <w:b w:val="0"/>
          <w:bCs w:val="0"/>
          <w:color w:val="auto"/>
          <w:sz w:val="24"/>
          <w:szCs w:val="24"/>
          <w:highlight w:val="none"/>
        </w:rPr>
        <w:t>、成交</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为残疾人福利性单位的，采购人或者其委托的机构应当随</w:t>
      </w:r>
      <w:r>
        <w:rPr>
          <w:rFonts w:hint="eastAsia" w:ascii="宋体" w:hAnsi="宋体" w:eastAsia="宋体" w:cs="宋体"/>
          <w:b w:val="0"/>
          <w:bCs w:val="0"/>
          <w:color w:val="auto"/>
          <w:sz w:val="24"/>
          <w:szCs w:val="24"/>
          <w:highlight w:val="none"/>
          <w:lang w:eastAsia="zh-CN"/>
        </w:rPr>
        <w:t>成交</w:t>
      </w:r>
      <w:r>
        <w:rPr>
          <w:rFonts w:hint="eastAsia" w:ascii="宋体" w:hAnsi="宋体" w:eastAsia="宋体" w:cs="宋体"/>
          <w:b w:val="0"/>
          <w:bCs w:val="0"/>
          <w:color w:val="auto"/>
          <w:sz w:val="24"/>
          <w:szCs w:val="24"/>
          <w:highlight w:val="none"/>
        </w:rPr>
        <w:t>、成交结果同时公告其《残疾人福利性单位声明函》，接受社会监督。</w:t>
      </w:r>
    </w:p>
    <w:p w14:paraId="5AC9D107">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提供的《残疾人福利性单位声明函》与事实不符的，依照《政府采购法》第七十七条第一款的规定追究法律责任。</w:t>
      </w:r>
    </w:p>
    <w:p w14:paraId="6CAD9F9D">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616C91D">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四、采购人采购公开招标数额标准以上的货物或者服务，因落实促进残疾人就业政策的需要，依法履行有关报批程序后，可采用公开招标以外的采购方式。</w:t>
      </w:r>
    </w:p>
    <w:p w14:paraId="42EF0B8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080689E">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1E1FADB">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七、本通知自2017年10月1日起执行。</w:t>
      </w:r>
    </w:p>
    <w:p w14:paraId="1074576B">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财政部民政部中国残疾人联合会</w:t>
      </w:r>
    </w:p>
    <w:p w14:paraId="6753E73F">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sectPr>
          <w:pgSz w:w="11907" w:h="16840"/>
          <w:pgMar w:top="1440" w:right="1800" w:bottom="1440" w:left="1800" w:header="851" w:footer="397" w:gutter="0"/>
          <w:pgNumType w:fmt="decimal"/>
          <w:cols w:space="720" w:num="1"/>
          <w:docGrid w:linePitch="381" w:charSpace="0"/>
        </w:sectPr>
      </w:pPr>
    </w:p>
    <w:p w14:paraId="187BF0AE">
      <w:pPr>
        <w:pStyle w:val="33"/>
        <w:pageBreakBefore w:val="0"/>
        <w:kinsoku/>
        <w:overflowPunct/>
        <w:topLinePunct w:val="0"/>
        <w:bidi w:val="0"/>
        <w:spacing w:before="156" w:beforeLines="50" w:after="156" w:afterLines="50" w:line="360" w:lineRule="auto"/>
        <w:ind w:firstLine="480" w:firstLineChars="200"/>
        <w:jc w:val="center"/>
        <w:rPr>
          <w:rFonts w:hint="eastAsia" w:ascii="宋体" w:hAnsi="宋体" w:eastAsia="宋体" w:cs="宋体"/>
          <w:b w:val="0"/>
          <w:bCs w:val="0"/>
          <w:color w:val="auto"/>
          <w:sz w:val="24"/>
          <w:szCs w:val="24"/>
          <w:highlight w:val="none"/>
        </w:rPr>
      </w:pPr>
      <w:bookmarkStart w:id="118" w:name="OLE_LINK13"/>
      <w:bookmarkStart w:id="119" w:name="OLE_LINK14"/>
      <w:r>
        <w:rPr>
          <w:rFonts w:hint="eastAsia" w:ascii="宋体" w:hAnsi="宋体" w:eastAsia="宋体" w:cs="宋体"/>
          <w:b w:val="0"/>
          <w:bCs w:val="0"/>
          <w:color w:val="auto"/>
          <w:sz w:val="24"/>
          <w:szCs w:val="24"/>
          <w:highlight w:val="none"/>
        </w:rPr>
        <w:t>残疾人福利性单位声明函（如果是，提供）</w:t>
      </w:r>
    </w:p>
    <w:bookmarkEnd w:id="118"/>
    <w:bookmarkEnd w:id="119"/>
    <w:p w14:paraId="5B548D7D">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73E2A4C1">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本单位郑重声明，根据《财政部民政部中国残疾人联合会关于促进残疾人就业政府采购政策的通知》（财库〔2017〕 141号）的规定，本单位为符合条件的残疾人福利性单位，且本单位参加</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单位的</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042601C0">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本单位对上述声明的真实性负责。如有虚假，将依法承担相应责任。</w:t>
      </w:r>
    </w:p>
    <w:p w14:paraId="358D70EC">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40940AAD">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661FF828">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352E9577">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7533ED04">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单位名称（盖章）：</w:t>
      </w:r>
    </w:p>
    <w:p w14:paraId="3647047A">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w:t>
      </w:r>
    </w:p>
    <w:p w14:paraId="2E3754CF">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sectPr>
          <w:pgSz w:w="11907" w:h="16840"/>
          <w:pgMar w:top="1440" w:right="1800" w:bottom="1440" w:left="1800" w:header="851" w:footer="397" w:gutter="0"/>
          <w:pgNumType w:fmt="decimal"/>
          <w:cols w:space="720" w:num="1"/>
          <w:docGrid w:linePitch="381" w:charSpace="0"/>
        </w:sectPr>
      </w:pPr>
    </w:p>
    <w:p w14:paraId="5261B957">
      <w:pPr>
        <w:pStyle w:val="33"/>
        <w:pageBreakBefore w:val="0"/>
        <w:kinsoku/>
        <w:overflowPunct/>
        <w:topLinePunct w:val="0"/>
        <w:bidi w:val="0"/>
        <w:spacing w:before="156" w:beforeLines="50" w:after="156" w:afterLines="50" w:line="360" w:lineRule="auto"/>
        <w:ind w:firstLine="480" w:firstLineChars="20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财政部司法部关于政府采购支持监狱企业发展有关问题的通知</w:t>
      </w:r>
    </w:p>
    <w:p w14:paraId="41F2EA28">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财库〔2014〕68号</w:t>
      </w:r>
    </w:p>
    <w:p w14:paraId="69677A65">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3E1E6DFA">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6FF2914A">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45FE1D6">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二、在政府采购活动中，监狱企业视同小型、微型企业，享受预留份额、评审中价格扣除等政府采购促进中小企业发展的政府采购政策。向监狱企业采购的金额，计入面向中小企业采购的统计数据。</w:t>
      </w:r>
    </w:p>
    <w:p w14:paraId="505DECBB">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55F9B473">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四、各地区可以结合本地区实际，对监狱企业生产的办公用品、家具用具、车辆维修和提供的保养服务、消防设备等，提出预留份额等政府采购支持措施，加大对监狱企业产品的采购力度。</w:t>
      </w:r>
    </w:p>
    <w:p w14:paraId="5A3E823A">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3182357C">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31A4CEEB">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中华人民共和国财政部</w:t>
      </w:r>
    </w:p>
    <w:p w14:paraId="15DF0379">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lang w:val="en-US" w:eastAsia="zh-CN"/>
        </w:rPr>
        <w:sectPr>
          <w:pgSz w:w="11906" w:h="16838"/>
          <w:pgMar w:top="1440" w:right="1800" w:bottom="1440" w:left="1800" w:header="851" w:footer="992" w:gutter="0"/>
          <w:pgNumType w:fmt="decimal"/>
          <w:cols w:space="720" w:num="1"/>
          <w:titlePg/>
          <w:docGrid w:type="lines" w:linePitch="312" w:charSpace="0"/>
        </w:sectPr>
      </w:pPr>
      <w:r>
        <w:rPr>
          <w:rFonts w:hint="eastAsia" w:ascii="宋体" w:hAnsi="宋体" w:eastAsia="宋体" w:cs="宋体"/>
          <w:b w:val="0"/>
          <w:bCs w:val="0"/>
          <w:color w:val="auto"/>
          <w:sz w:val="24"/>
          <w:szCs w:val="24"/>
          <w:highlight w:val="none"/>
          <w:lang w:val="en-US" w:eastAsia="zh-CN"/>
        </w:rPr>
        <w:t>中华人民共和国司法部</w:t>
      </w:r>
    </w:p>
    <w:p w14:paraId="0194684C">
      <w:pPr>
        <w:pStyle w:val="33"/>
        <w:pageBreakBefore w:val="0"/>
        <w:kinsoku/>
        <w:overflowPunct/>
        <w:topLinePunct w:val="0"/>
        <w:bidi w:val="0"/>
        <w:spacing w:before="156" w:beforeLines="50" w:after="156" w:afterLines="50" w:line="360" w:lineRule="auto"/>
        <w:ind w:firstLine="480" w:firstLineChars="20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监狱企业的证明文件（如果是，提供）</w:t>
      </w:r>
    </w:p>
    <w:p w14:paraId="4F048384">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说明：监狱企业参加政府采购活动时，应当提供由省级以上监狱管理局、戒毒管理局（含新 疆生产建设兵团）出具的属于监狱企业的证明文件。</w:t>
      </w:r>
    </w:p>
    <w:p w14:paraId="665F07FC">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50DCED9B">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3D3489EF">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0C17040C">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13CC52EA">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p>
    <w:p w14:paraId="15C7A571">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单位名称（盖章）：</w:t>
      </w:r>
    </w:p>
    <w:p w14:paraId="4BAC14C8">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日  期：</w:t>
      </w:r>
    </w:p>
    <w:p w14:paraId="09310DE7">
      <w:pPr>
        <w:pStyle w:val="33"/>
        <w:pageBreakBefore w:val="0"/>
        <w:kinsoku/>
        <w:overflowPunct/>
        <w:topLinePunct w:val="0"/>
        <w:bidi w:val="0"/>
        <w:spacing w:before="156" w:beforeLines="50" w:after="156" w:afterLines="50" w:line="360" w:lineRule="auto"/>
        <w:ind w:firstLine="480" w:firstLineChars="200"/>
        <w:rPr>
          <w:rFonts w:hint="eastAsia" w:ascii="宋体" w:hAnsi="宋体" w:eastAsia="宋体" w:cs="宋体"/>
          <w:b w:val="0"/>
          <w:bCs w:val="0"/>
          <w:color w:val="auto"/>
          <w:sz w:val="24"/>
          <w:szCs w:val="24"/>
          <w:highlight w:val="none"/>
        </w:rPr>
        <w:sectPr>
          <w:pgSz w:w="11906" w:h="16838"/>
          <w:pgMar w:top="1440" w:right="1800" w:bottom="1440" w:left="1800" w:header="851" w:footer="992" w:gutter="0"/>
          <w:pgNumType w:fmt="decimal"/>
          <w:cols w:space="720" w:num="1"/>
          <w:titlePg/>
          <w:docGrid w:type="lines" w:linePitch="312" w:charSpace="0"/>
        </w:sectPr>
      </w:pPr>
    </w:p>
    <w:p w14:paraId="46C564EB">
      <w:pPr>
        <w:spacing w:line="576" w:lineRule="exact"/>
        <w:jc w:val="center"/>
        <w:outlineLvl w:val="0"/>
        <w:rPr>
          <w:rFonts w:hint="eastAsia" w:ascii="宋体" w:hAnsi="宋体" w:eastAsia="宋体" w:cs="宋体"/>
          <w:b/>
          <w:bCs/>
          <w:sz w:val="28"/>
          <w:szCs w:val="28"/>
        </w:rPr>
      </w:pPr>
      <w:bookmarkStart w:id="120" w:name="_Toc32067"/>
      <w:r>
        <w:rPr>
          <w:rFonts w:hint="eastAsia" w:ascii="宋体" w:hAnsi="宋体" w:eastAsia="宋体" w:cs="宋体"/>
          <w:b/>
          <w:bCs/>
          <w:sz w:val="28"/>
          <w:szCs w:val="28"/>
          <w:lang w:eastAsia="zh-CN"/>
        </w:rPr>
        <w:t>吉林市</w:t>
      </w:r>
      <w:r>
        <w:rPr>
          <w:rFonts w:hint="eastAsia" w:ascii="宋体" w:hAnsi="宋体" w:eastAsia="宋体" w:cs="宋体"/>
          <w:b/>
          <w:bCs/>
          <w:sz w:val="28"/>
          <w:szCs w:val="28"/>
          <w:lang w:val="en-US" w:eastAsia="zh-CN"/>
        </w:rPr>
        <w:t>船营</w:t>
      </w:r>
      <w:r>
        <w:rPr>
          <w:rFonts w:hint="eastAsia" w:ascii="宋体" w:hAnsi="宋体" w:eastAsia="宋体" w:cs="宋体"/>
          <w:b/>
          <w:bCs/>
          <w:sz w:val="28"/>
          <w:szCs w:val="28"/>
          <w:lang w:eastAsia="zh-CN"/>
        </w:rPr>
        <w:t>区</w:t>
      </w:r>
      <w:r>
        <w:rPr>
          <w:rFonts w:hint="eastAsia" w:ascii="宋体" w:hAnsi="宋体" w:eastAsia="宋体" w:cs="宋体"/>
          <w:b/>
          <w:bCs/>
          <w:sz w:val="28"/>
          <w:szCs w:val="28"/>
        </w:rPr>
        <w:t>校车运营服务标准及考核细则</w:t>
      </w:r>
    </w:p>
    <w:p w14:paraId="0E73D075">
      <w:pPr>
        <w:spacing w:line="576" w:lineRule="exact"/>
        <w:ind w:firstLine="480" w:firstLineChars="200"/>
        <w:rPr>
          <w:rFonts w:hint="eastAsia" w:ascii="宋体" w:hAnsi="宋体" w:eastAsia="宋体" w:cs="宋体"/>
          <w:b w:val="0"/>
          <w:bCs w:val="0"/>
          <w:sz w:val="24"/>
          <w:szCs w:val="24"/>
        </w:rPr>
      </w:pPr>
    </w:p>
    <w:p w14:paraId="0A9ED7C5">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为进一步加强对校车运营行为的管理考核，规范校车运营市场，为学生营造安全、舒适、便捷的交通环境，保障乘车学生安全，依据国务院颁布的《校车安全管理条例》、吉林省《校车安全管理条例》实施办法等文件要求及相关法律法规，结合我市实际，制定本服务标准及考核细则。</w:t>
      </w:r>
    </w:p>
    <w:p w14:paraId="192AB7B1">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一、考核</w:t>
      </w:r>
    </w:p>
    <w:p w14:paraId="5BE8EB2C">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考核分为日常管理考核和动态管理考核。学校负责对校车运营行为的日常管理考核，安全科负责动态管理考核。</w:t>
      </w:r>
    </w:p>
    <w:p w14:paraId="0777FB65">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二、考核资金</w:t>
      </w:r>
    </w:p>
    <w:p w14:paraId="6C5C32C4">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每台车每年考核资金为1000元，每台车考核分值为100分，每分10元，考核费在拨付的服务费中扣减。</w:t>
      </w:r>
    </w:p>
    <w:p w14:paraId="12A9D0CC">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三、服务标准及考核内容</w:t>
      </w:r>
    </w:p>
    <w:p w14:paraId="779903DE">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（一）对校车公司的总体要求</w:t>
      </w:r>
    </w:p>
    <w:p w14:paraId="73A114A4">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1.校车公司应有固定办公场所，否则扣20分。</w:t>
      </w:r>
    </w:p>
    <w:p w14:paraId="62DC9B8B">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2.校车公司应有办公设备（含2台电脑、2套办公桌椅、1个档案柜等）每缺少一种（件）或每少一项扣1-2分。</w:t>
      </w:r>
    </w:p>
    <w:p w14:paraId="459E0460">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3.校车公司应成立领导组织、制度健全、分工明确、档案资料规范，否则每次扣1-2分。</w:t>
      </w:r>
    </w:p>
    <w:p w14:paraId="5C6C585C">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4.校车公司每学期至少要组织驾驶人、随车照管员等相关人员至少进行一次岗位培训，每少一次扣2分。</w:t>
      </w:r>
    </w:p>
    <w:p w14:paraId="7855B021">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5. 校车公司不得聘用准驾车型不符或未取得校车驾驶资格的驾驶人驾驶校车，一经发现除做扣10分的处罚外，并责令立即解聘。</w:t>
      </w:r>
    </w:p>
    <w:p w14:paraId="6A57552F">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6.校车公司应按要求及时上交相关材料，否则每次扣1-2分。</w:t>
      </w:r>
    </w:p>
    <w:p w14:paraId="1AAD4C42">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7.所有从业人员应及时参加教育局、学校及相关部门召开的会议、培训，否则每人次扣2分。</w:t>
      </w:r>
    </w:p>
    <w:p w14:paraId="5C6346EF">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8. 校车公司每学期至少组织一次所属车辆乘车学生事故逃生演练，每少一辆扣2分。</w:t>
      </w:r>
    </w:p>
    <w:p w14:paraId="3E5D38AC">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9. 校车公司每月对所属车辆进行一次安全运营大检查，每少一次扣1分。</w:t>
      </w:r>
    </w:p>
    <w:p w14:paraId="3200DBF4">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10. 校车公司每学年初需与学校签订安全管理责任书，不及时签订的扣2分，并限期补签。</w:t>
      </w:r>
    </w:p>
    <w:p w14:paraId="59A821E9">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11.确保所有从业人员各种信息渠道畅通（电脑网络、手机信息），否则每发现一次扣1-2分。</w:t>
      </w:r>
    </w:p>
    <w:p w14:paraId="12A2CF61">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（二）对车辆的要求</w:t>
      </w:r>
    </w:p>
    <w:p w14:paraId="5DCEEAEA">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1.需使用已取得校车标牌的专用国标校车接送学生，否则每发现一次扣10分。</w:t>
      </w:r>
    </w:p>
    <w:p w14:paraId="72308E30">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2.按照相关要求进行日常维护，确保校车不带病上路。凡发现车辆带有安全隐患上路的，视情节扣5-10分，该车辆停运。</w:t>
      </w:r>
    </w:p>
    <w:p w14:paraId="7F13375C">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3.车内需按规定配备安全设备（逃生锤、灭火器、急救箱及急救物品等），每缺少一样扣1-2分。</w:t>
      </w:r>
    </w:p>
    <w:p w14:paraId="4A9022A7">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4.校车载人超过核定人数的，每超载1人次扣2分。</w:t>
      </w:r>
    </w:p>
    <w:p w14:paraId="0E03E0D0">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5.校车接送学生过程中，禁止除驾驶人、随车照管员、本车学生以外的人员乘坐。如发现其他人员乘坐，每次扣2分。</w:t>
      </w:r>
    </w:p>
    <w:p w14:paraId="5B1560C1">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6.校车必须在规定区域内营运，禁止从事其它营运活动，如有违规，每次扣5分。</w:t>
      </w:r>
    </w:p>
    <w:p w14:paraId="1AD148A4">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7.因服务质量问题致使学生家长上访的，一次扣5分，情节严重的每次扣10分。</w:t>
      </w:r>
    </w:p>
    <w:p w14:paraId="22B6986A">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8.保持车辆内外清洁，车内物品摆放整齐，否则每次扣1-2分。</w:t>
      </w:r>
    </w:p>
    <w:p w14:paraId="715CE4F5">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9.发现校车有运输或存放易燃易爆有毒危险品的，扣10分。</w:t>
      </w:r>
    </w:p>
    <w:p w14:paraId="19924D41">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10.车辆要按规定定时、定点接送学生（特殊天气除外），否则每次扣2分。</w:t>
      </w:r>
    </w:p>
    <w:p w14:paraId="7CD793F9">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11.维护好车内监控设备，如有损坏或人为导致监控视频不清晰或不全，每次扣5分。</w:t>
      </w:r>
    </w:p>
    <w:p w14:paraId="565A2728">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12.车辆要按程序一个班次一交接，否则每次扣1-2分。</w:t>
      </w:r>
    </w:p>
    <w:p w14:paraId="7956B62C">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13.车辆要及时投保车辆强制险和承运人责任险，逾期未投保或未按规定数额投保的车辆，每车扣5分，并责令立即投保。</w:t>
      </w:r>
    </w:p>
    <w:p w14:paraId="1DBFC335">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14.经举报存在违规收费、私自停运、拒载等现象，一经查实，每次扣5分。</w:t>
      </w:r>
    </w:p>
    <w:p w14:paraId="473B833E">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15.校车发生轻微责任事故每次扣2分；发生严重责任交通事故且负主要责任的扣20分。责任认定以交警部门出具的交通事故责任认定书为准。</w:t>
      </w:r>
    </w:p>
    <w:p w14:paraId="7F950E96">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（三）对校车驾驶人的要求</w:t>
      </w:r>
    </w:p>
    <w:p w14:paraId="3909ABDD">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1.校车驾驶人要经交警部门审验合格并在安全科存档备案后方可驾驶标准校车，否则每发现一次扣5分，并责令解雇。</w:t>
      </w:r>
    </w:p>
    <w:p w14:paraId="7E4A95ED">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2.发现有酒后驾车行为的，扣发当月该车所有服务费，解聘校车驾驶人，并移交交警部门处理。</w:t>
      </w:r>
    </w:p>
    <w:p w14:paraId="17C613E0">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3.要按规定时速行驶，否则发现一次扣2分。</w:t>
      </w:r>
    </w:p>
    <w:p w14:paraId="1CB30F19">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4.校车运载学生时，要按规定放置校车标牌、开启校车标志灯及危险报警闪光灯，否则每次扣1-2分。</w:t>
      </w:r>
    </w:p>
    <w:p w14:paraId="4B2DD595">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5.学生上下车时，要在校车停靠站点靠道路右侧停车，开启危险报警闪光灯，打开停车指示标志，否则每次扣1-2分。</w:t>
      </w:r>
    </w:p>
    <w:p w14:paraId="69B7E259">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6.驾驶人驾驶校车接送学生途中，禁止接打手机，特殊情况可委托照管员代接，违者每次扣2分；禁止在车厢内吸烟，否则每发现一次扣2分。</w:t>
      </w:r>
    </w:p>
    <w:p w14:paraId="40E9C4A2">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7.接送学生过程中，每次停车起步时，未认真观察校车四周情况或未经随车照管员示意而擅自启车的，每次扣2分。</w:t>
      </w:r>
    </w:p>
    <w:p w14:paraId="304C61C3">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8.在校车载有学生时给车辆加油或在校车发动机引擎熄灭前离开驾驶座位的，每次扣5分。</w:t>
      </w:r>
    </w:p>
    <w:p w14:paraId="061C051A">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9.不得无故中途倒换学生乘坐车辆，不得搭载本车学生以外的其它人员。违者每次扣1-2分。</w:t>
      </w:r>
    </w:p>
    <w:p w14:paraId="14C7BACE">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（四）对随车照管员的要求</w:t>
      </w:r>
    </w:p>
    <w:p w14:paraId="18C45DA9">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1.校车运营时，要全程配备随车照管员，否则每发现一次扣2分。</w:t>
      </w:r>
    </w:p>
    <w:p w14:paraId="1CFF94ED">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2.学生上下车时，随车照管员要在车下认真引导、指挥、维护上下车秩序，否则每次扣1分。</w:t>
      </w:r>
    </w:p>
    <w:p w14:paraId="317336DA">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3.随车照管员发现驾驶人无校车驾驶资格、饮酒、醉酒后驾驶或者身体严重不适以及校车超员等明显妨碍行车安全情形时，要及时全力制止校车驾驶人开行，否则每次扣10分。</w:t>
      </w:r>
    </w:p>
    <w:p w14:paraId="76AA6B79">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4.车辆启动前，要认真清点乘车学生人数、帮助指导学生安全落座、指导学生系好安全带，维持车内秩序，发现有学生未系安全带或车内秩序混乱的，扣1-2分。</w:t>
      </w:r>
    </w:p>
    <w:p w14:paraId="09B35F65">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5.学生在站点下车后，照管员必须在车下绕车巡视一周确认安全后，上车示意驾驶人启车，否则发现一次扣2分。</w:t>
      </w:r>
    </w:p>
    <w:p w14:paraId="54BC4152">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6.禁止乘车学生携带易燃、易爆、易碎物品及管制刀具等上车。否则发现1人次扣1分。</w:t>
      </w:r>
    </w:p>
    <w:p w14:paraId="4A30600F">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7.学生下车后，要认真核实下车学生人数，确认乘车学生已经全部下车方可离车，否则每次扣2分。</w:t>
      </w:r>
    </w:p>
    <w:p w14:paraId="20E0C0CA">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8.要及时与学校交接教师进行交接，认真填写交接记录，不按程序交接的，每次扣1-2分。</w:t>
      </w:r>
    </w:p>
    <w:p w14:paraId="31910F7B">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9.有辱骂、体罚乘车学生的，检查发现或举报查实，一次扣2分，情节严重的立即解聘。</w:t>
      </w:r>
    </w:p>
    <w:p w14:paraId="0F19D31E">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10.校车发生交通事故，驾驶人、随车照管员应立即报警，设置警示标志，同时第一时间向相关部门汇报。乘车学生继续留在校车内有危险的，随车照管员应将学生撤离到安全区域。每缺失一个环节扣5分。       </w:t>
      </w:r>
    </w:p>
    <w:p w14:paraId="29C266E5">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四、考核结果的运用</w:t>
      </w:r>
    </w:p>
    <w:p w14:paraId="7A4E63E4">
      <w:pPr>
        <w:spacing w:line="576"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管理考核以考核记录单和监控平台的违规记录及举报查实等形式为依据，每月汇总，每学期末扣罚。</w:t>
      </w:r>
    </w:p>
    <w:p w14:paraId="224E3157">
      <w:pPr>
        <w:spacing w:line="56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此服务标准及考核细则自公布之日起执行，解释权归</w:t>
      </w:r>
      <w:r>
        <w:rPr>
          <w:rFonts w:hint="eastAsia" w:ascii="宋体" w:hAnsi="宋体" w:eastAsia="宋体" w:cs="宋体"/>
          <w:b w:val="0"/>
          <w:bCs w:val="0"/>
          <w:sz w:val="24"/>
          <w:szCs w:val="24"/>
          <w:lang w:eastAsia="zh-CN"/>
        </w:rPr>
        <w:t>吉林市船营区</w:t>
      </w:r>
      <w:r>
        <w:rPr>
          <w:rFonts w:hint="eastAsia" w:ascii="宋体" w:hAnsi="宋体" w:eastAsia="宋体" w:cs="宋体"/>
          <w:b w:val="0"/>
          <w:bCs w:val="0"/>
          <w:sz w:val="24"/>
          <w:szCs w:val="24"/>
        </w:rPr>
        <w:t>教育局所有。其它未尽事宜，按《校车安全管理条例》及相关法律法规执行。</w:t>
      </w:r>
    </w:p>
    <w:p w14:paraId="7F9B3893">
      <w:pPr>
        <w:spacing w:line="560" w:lineRule="exact"/>
        <w:ind w:firstLine="480" w:firstLineChars="200"/>
        <w:rPr>
          <w:rFonts w:hint="eastAsia" w:ascii="宋体" w:hAnsi="宋体" w:eastAsia="宋体" w:cs="宋体"/>
          <w:b w:val="0"/>
          <w:bCs w:val="0"/>
          <w:sz w:val="24"/>
          <w:szCs w:val="24"/>
        </w:rPr>
      </w:pPr>
    </w:p>
    <w:p w14:paraId="5C7080EE">
      <w:pPr>
        <w:spacing w:line="560" w:lineRule="exact"/>
        <w:ind w:firstLine="480" w:firstLineChars="200"/>
        <w:rPr>
          <w:rFonts w:hint="eastAsia" w:ascii="宋体" w:hAnsi="宋体" w:eastAsia="宋体" w:cs="宋体"/>
          <w:b w:val="0"/>
          <w:bCs w:val="0"/>
          <w:sz w:val="24"/>
          <w:szCs w:val="24"/>
        </w:rPr>
      </w:pPr>
    </w:p>
    <w:p w14:paraId="79FF1A29">
      <w:pPr>
        <w:spacing w:line="560" w:lineRule="exact"/>
        <w:ind w:firstLine="480" w:firstLineChars="200"/>
        <w:rPr>
          <w:rFonts w:hint="eastAsia" w:ascii="宋体" w:hAnsi="宋体" w:eastAsia="宋体" w:cs="宋体"/>
          <w:b w:val="0"/>
          <w:bCs w:val="0"/>
          <w:sz w:val="24"/>
          <w:szCs w:val="24"/>
        </w:rPr>
      </w:pPr>
    </w:p>
    <w:p w14:paraId="11572B98">
      <w:pPr>
        <w:spacing w:line="560" w:lineRule="exact"/>
        <w:ind w:firstLine="480" w:firstLineChars="200"/>
        <w:rPr>
          <w:rFonts w:hint="eastAsia" w:ascii="宋体" w:hAnsi="宋体" w:eastAsia="宋体" w:cs="宋体"/>
          <w:b w:val="0"/>
          <w:bCs w:val="0"/>
          <w:sz w:val="24"/>
          <w:szCs w:val="24"/>
        </w:rPr>
      </w:pPr>
    </w:p>
    <w:p w14:paraId="5069B5FC">
      <w:pPr>
        <w:spacing w:line="560" w:lineRule="exact"/>
        <w:ind w:firstLine="480" w:firstLineChars="200"/>
        <w:rPr>
          <w:rFonts w:hint="eastAsia" w:ascii="宋体" w:hAnsi="宋体" w:eastAsia="宋体" w:cs="宋体"/>
          <w:b w:val="0"/>
          <w:bCs w:val="0"/>
          <w:sz w:val="24"/>
          <w:szCs w:val="24"/>
        </w:rPr>
      </w:pPr>
    </w:p>
    <w:p w14:paraId="1A8CB9FA">
      <w:pPr>
        <w:spacing w:line="560" w:lineRule="exact"/>
        <w:ind w:firstLine="480" w:firstLineChars="200"/>
        <w:rPr>
          <w:rFonts w:hint="eastAsia" w:ascii="宋体" w:hAnsi="宋体" w:eastAsia="宋体" w:cs="宋体"/>
          <w:b w:val="0"/>
          <w:bCs w:val="0"/>
          <w:sz w:val="24"/>
          <w:szCs w:val="24"/>
        </w:rPr>
      </w:pPr>
    </w:p>
    <w:p w14:paraId="2D83BE0D">
      <w:pPr>
        <w:spacing w:line="560" w:lineRule="exact"/>
        <w:ind w:firstLine="480" w:firstLineChars="200"/>
        <w:rPr>
          <w:rFonts w:hint="eastAsia" w:ascii="宋体" w:hAnsi="宋体" w:eastAsia="宋体" w:cs="宋体"/>
          <w:b w:val="0"/>
          <w:bCs w:val="0"/>
          <w:sz w:val="24"/>
          <w:szCs w:val="24"/>
        </w:rPr>
      </w:pPr>
    </w:p>
    <w:p w14:paraId="765AA14D">
      <w:pPr>
        <w:spacing w:line="560" w:lineRule="exact"/>
        <w:ind w:firstLine="480" w:firstLineChars="200"/>
        <w:rPr>
          <w:rFonts w:hint="eastAsia" w:ascii="宋体" w:hAnsi="宋体" w:eastAsia="宋体" w:cs="宋体"/>
          <w:b w:val="0"/>
          <w:bCs w:val="0"/>
          <w:sz w:val="24"/>
          <w:szCs w:val="24"/>
        </w:rPr>
      </w:pPr>
    </w:p>
    <w:p w14:paraId="609F8302">
      <w:pPr>
        <w:spacing w:line="560" w:lineRule="exact"/>
        <w:ind w:firstLine="640" w:firstLineChars="200"/>
        <w:jc w:val="center"/>
        <w:rPr>
          <w:sz w:val="32"/>
          <w:szCs w:val="32"/>
        </w:rPr>
      </w:pPr>
      <w:r>
        <w:rPr>
          <w:rFonts w:hint="eastAsia"/>
          <w:sz w:val="32"/>
          <w:szCs w:val="32"/>
        </w:rPr>
        <w:t>第</w:t>
      </w:r>
      <w:r>
        <w:rPr>
          <w:rFonts w:hint="eastAsia"/>
          <w:sz w:val="32"/>
          <w:szCs w:val="32"/>
          <w:lang w:val="en-US" w:eastAsia="zh-CN"/>
        </w:rPr>
        <w:t>七</w:t>
      </w:r>
      <w:r>
        <w:rPr>
          <w:rFonts w:hint="eastAsia"/>
          <w:sz w:val="32"/>
          <w:szCs w:val="32"/>
        </w:rPr>
        <w:t>章  附件</w:t>
      </w:r>
      <w:bookmarkEnd w:id="120"/>
    </w:p>
    <w:p w14:paraId="2B09DC68">
      <w:pPr>
        <w:snapToGrid/>
        <w:spacing w:before="0" w:beforeAutospacing="0" w:after="0" w:afterAutospacing="0" w:line="240" w:lineRule="auto"/>
        <w:jc w:val="left"/>
        <w:textAlignment w:val="baseline"/>
        <w:rPr>
          <w:b/>
          <w:i w:val="0"/>
          <w:caps w:val="0"/>
          <w:spacing w:val="0"/>
          <w:w w:val="100"/>
          <w:sz w:val="20"/>
        </w:rPr>
      </w:pPr>
      <w:r>
        <w:rPr>
          <w:rFonts w:hint="eastAsia"/>
          <w:b/>
          <w:i w:val="0"/>
          <w:caps w:val="0"/>
          <w:spacing w:val="0"/>
          <w:w w:val="100"/>
          <w:sz w:val="21"/>
        </w:rPr>
        <w:t>附件一：</w:t>
      </w:r>
    </w:p>
    <w:p w14:paraId="147E8357">
      <w:pPr>
        <w:snapToGrid/>
        <w:spacing w:before="0" w:beforeAutospacing="0" w:after="0" w:afterAutospacing="0" w:line="240" w:lineRule="auto"/>
        <w:jc w:val="center"/>
        <w:textAlignment w:val="baseline"/>
        <w:rPr>
          <w:b/>
          <w:i w:val="0"/>
          <w:caps w:val="0"/>
          <w:spacing w:val="0"/>
          <w:w w:val="100"/>
          <w:sz w:val="28"/>
        </w:rPr>
      </w:pPr>
      <w:r>
        <w:rPr>
          <w:rFonts w:hint="eastAsia"/>
          <w:b/>
          <w:i w:val="0"/>
          <w:caps w:val="0"/>
          <w:spacing w:val="0"/>
          <w:w w:val="100"/>
          <w:sz w:val="28"/>
        </w:rPr>
        <w:t>投标文件包装袋封面标贴格式</w:t>
      </w:r>
    </w:p>
    <w:tbl>
      <w:tblPr>
        <w:tblStyle w:val="17"/>
        <w:tblW w:w="9225" w:type="dxa"/>
        <w:tblInd w:w="4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9225"/>
      </w:tblGrid>
      <w:tr w14:paraId="1FB0747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153" w:hRule="atLeast"/>
        </w:trPr>
        <w:tc>
          <w:tcPr>
            <w:tcW w:w="9225" w:type="dxa"/>
          </w:tcPr>
          <w:p w14:paraId="6A323A78">
            <w:pPr>
              <w:snapToGrid/>
              <w:spacing w:before="0" w:beforeAutospacing="0" w:after="0" w:afterAutospacing="0" w:line="240" w:lineRule="auto"/>
              <w:jc w:val="center"/>
              <w:textAlignment w:val="baseline"/>
              <w:rPr>
                <w:b/>
                <w:i w:val="0"/>
                <w:caps w:val="0"/>
                <w:spacing w:val="0"/>
                <w:w w:val="100"/>
                <w:sz w:val="52"/>
              </w:rPr>
            </w:pPr>
            <w:r>
              <w:rPr>
                <w:rFonts w:hint="eastAsia"/>
                <w:b/>
                <w:i w:val="0"/>
                <w:caps w:val="0"/>
                <w:spacing w:val="0"/>
                <w:w w:val="100"/>
                <w:sz w:val="52"/>
                <w:u w:val="single" w:color="000000"/>
              </w:rPr>
              <w:t xml:space="preserve">        </w:t>
            </w:r>
            <w:r>
              <w:rPr>
                <w:rFonts w:hint="eastAsia"/>
                <w:b/>
                <w:i w:val="0"/>
                <w:caps w:val="0"/>
                <w:spacing w:val="0"/>
                <w:w w:val="100"/>
                <w:sz w:val="52"/>
              </w:rPr>
              <w:t>项目投标文件</w:t>
            </w:r>
          </w:p>
          <w:p w14:paraId="223B88E6">
            <w:pPr>
              <w:snapToGrid/>
              <w:spacing w:before="0" w:beforeAutospacing="0" w:after="0" w:afterAutospacing="0" w:line="240" w:lineRule="auto"/>
              <w:ind w:left="60"/>
              <w:jc w:val="center"/>
              <w:textAlignment w:val="baseline"/>
              <w:rPr>
                <w:b/>
                <w:i w:val="0"/>
                <w:caps w:val="0"/>
                <w:spacing w:val="0"/>
                <w:w w:val="100"/>
                <w:sz w:val="24"/>
              </w:rPr>
            </w:pPr>
            <w:r>
              <w:rPr>
                <w:rFonts w:hint="eastAsia"/>
                <w:b/>
                <w:i w:val="0"/>
                <w:caps w:val="0"/>
                <w:spacing w:val="0"/>
                <w:w w:val="100"/>
                <w:sz w:val="24"/>
              </w:rPr>
              <w:t>(封口处加盖投标人公章)</w:t>
            </w:r>
          </w:p>
          <w:p w14:paraId="702A6EF5">
            <w:pPr>
              <w:snapToGrid/>
              <w:spacing w:before="0" w:beforeAutospacing="0" w:after="0" w:afterAutospacing="0" w:line="240" w:lineRule="auto"/>
              <w:ind w:left="60"/>
              <w:jc w:val="center"/>
              <w:textAlignment w:val="baseline"/>
              <w:rPr>
                <w:b/>
                <w:i w:val="0"/>
                <w:caps w:val="0"/>
                <w:spacing w:val="0"/>
                <w:w w:val="100"/>
                <w:sz w:val="24"/>
              </w:rPr>
            </w:pPr>
            <w:r>
              <w:rPr>
                <w:rFonts w:hint="eastAsia"/>
                <w:b/>
                <w:i w:val="0"/>
                <w:caps w:val="0"/>
                <w:spacing w:val="0"/>
                <w:w w:val="100"/>
                <w:sz w:val="24"/>
              </w:rPr>
              <w:t xml:space="preserve">密封内容：投标文件正本1份、副本 </w:t>
            </w:r>
            <w:r>
              <w:rPr>
                <w:rFonts w:hint="eastAsia"/>
                <w:b/>
                <w:i w:val="0"/>
                <w:caps w:val="0"/>
                <w:spacing w:val="0"/>
                <w:w w:val="100"/>
                <w:sz w:val="24"/>
                <w:u w:val="single" w:color="000000"/>
              </w:rPr>
              <w:t xml:space="preserve">  4 份</w:t>
            </w:r>
          </w:p>
          <w:p w14:paraId="1A381CDC">
            <w:pPr>
              <w:snapToGrid/>
              <w:spacing w:before="0" w:beforeAutospacing="0" w:after="0" w:afterAutospacing="0" w:line="240" w:lineRule="auto"/>
              <w:ind w:firstLine="630" w:firstLineChars="300"/>
              <w:jc w:val="left"/>
              <w:textAlignment w:val="baseline"/>
              <w:rPr>
                <w:b w:val="0"/>
                <w:i w:val="0"/>
                <w:caps w:val="0"/>
                <w:spacing w:val="0"/>
                <w:w w:val="100"/>
                <w:sz w:val="20"/>
                <w:u w:val="single"/>
              </w:rPr>
            </w:pPr>
            <w:r>
              <w:rPr>
                <w:rFonts w:hint="eastAsia"/>
                <w:b w:val="0"/>
                <w:i w:val="0"/>
                <w:caps w:val="0"/>
                <w:spacing w:val="0"/>
                <w:w w:val="100"/>
                <w:sz w:val="21"/>
              </w:rPr>
              <w:t>投 标 人：</w:t>
            </w:r>
            <w:r>
              <w:rPr>
                <w:rFonts w:hint="eastAsia"/>
                <w:b w:val="0"/>
                <w:i w:val="0"/>
                <w:caps w:val="0"/>
                <w:spacing w:val="0"/>
                <w:w w:val="100"/>
                <w:sz w:val="21"/>
                <w:u w:val="single" w:color="000000"/>
              </w:rPr>
              <w:t xml:space="preserve">                                                      </w:t>
            </w:r>
          </w:p>
          <w:p w14:paraId="3A1B2C16">
            <w:pPr>
              <w:snapToGrid/>
              <w:spacing w:before="0" w:beforeAutospacing="0" w:after="0" w:afterAutospacing="0" w:line="240" w:lineRule="auto"/>
              <w:ind w:firstLine="630" w:firstLineChars="300"/>
              <w:jc w:val="left"/>
              <w:textAlignment w:val="baseline"/>
              <w:rPr>
                <w:b w:val="0"/>
                <w:i w:val="0"/>
                <w:caps w:val="0"/>
                <w:spacing w:val="0"/>
                <w:w w:val="100"/>
                <w:sz w:val="20"/>
                <w:u w:val="single"/>
              </w:rPr>
            </w:pPr>
            <w:r>
              <w:rPr>
                <w:rFonts w:hint="eastAsia"/>
                <w:b w:val="0"/>
                <w:i w:val="0"/>
                <w:caps w:val="0"/>
                <w:spacing w:val="0"/>
                <w:w w:val="100"/>
                <w:sz w:val="21"/>
              </w:rPr>
              <w:t>项目名称：</w:t>
            </w:r>
            <w:r>
              <w:rPr>
                <w:rFonts w:hint="eastAsia"/>
                <w:b w:val="0"/>
                <w:i w:val="0"/>
                <w:caps w:val="0"/>
                <w:spacing w:val="0"/>
                <w:w w:val="100"/>
                <w:sz w:val="21"/>
                <w:u w:val="single" w:color="000000"/>
              </w:rPr>
              <w:t xml:space="preserve">                                                      </w:t>
            </w:r>
          </w:p>
          <w:p w14:paraId="330AD518">
            <w:pPr>
              <w:snapToGrid/>
              <w:spacing w:before="0" w:beforeAutospacing="0" w:after="0" w:afterAutospacing="0" w:line="240" w:lineRule="auto"/>
              <w:ind w:firstLine="630" w:firstLineChars="300"/>
              <w:jc w:val="left"/>
              <w:textAlignment w:val="baseline"/>
              <w:rPr>
                <w:b w:val="0"/>
                <w:i w:val="0"/>
                <w:caps w:val="0"/>
                <w:spacing w:val="0"/>
                <w:w w:val="100"/>
                <w:sz w:val="20"/>
                <w:u w:val="single"/>
              </w:rPr>
            </w:pPr>
            <w:r>
              <w:rPr>
                <w:rFonts w:hint="eastAsia"/>
                <w:b w:val="0"/>
                <w:i w:val="0"/>
                <w:caps w:val="0"/>
                <w:spacing w:val="0"/>
                <w:w w:val="100"/>
                <w:sz w:val="21"/>
              </w:rPr>
              <w:t>项目编号：</w:t>
            </w:r>
            <w:r>
              <w:rPr>
                <w:rFonts w:hint="eastAsia"/>
                <w:b w:val="0"/>
                <w:i w:val="0"/>
                <w:caps w:val="0"/>
                <w:spacing w:val="0"/>
                <w:w w:val="100"/>
                <w:sz w:val="21"/>
                <w:u w:val="single" w:color="000000"/>
              </w:rPr>
              <w:t xml:space="preserve">                                                      </w:t>
            </w:r>
          </w:p>
          <w:p w14:paraId="6326C7B0">
            <w:pPr>
              <w:snapToGrid/>
              <w:spacing w:before="0" w:beforeAutospacing="0" w:after="0" w:afterAutospacing="0" w:line="240" w:lineRule="auto"/>
              <w:ind w:firstLine="630" w:firstLineChars="300"/>
              <w:jc w:val="left"/>
              <w:textAlignment w:val="baseline"/>
              <w:rPr>
                <w:b w:val="0"/>
                <w:i w:val="0"/>
                <w:caps w:val="0"/>
                <w:spacing w:val="0"/>
                <w:w w:val="100"/>
                <w:sz w:val="20"/>
                <w:u w:val="single"/>
              </w:rPr>
            </w:pPr>
            <w:r>
              <w:rPr>
                <w:rFonts w:hint="eastAsia"/>
                <w:b w:val="0"/>
                <w:i w:val="0"/>
                <w:caps w:val="0"/>
                <w:spacing w:val="0"/>
                <w:w w:val="100"/>
                <w:sz w:val="21"/>
              </w:rPr>
              <w:t>投标人地址：</w:t>
            </w:r>
          </w:p>
          <w:p w14:paraId="56A30F28">
            <w:pPr>
              <w:snapToGrid/>
              <w:spacing w:before="0" w:beforeAutospacing="0" w:after="0" w:afterAutospacing="0" w:line="240" w:lineRule="auto"/>
              <w:ind w:firstLine="630" w:firstLineChars="300"/>
              <w:jc w:val="left"/>
              <w:textAlignment w:val="baseline"/>
              <w:rPr>
                <w:b w:val="0"/>
                <w:i w:val="0"/>
                <w:caps w:val="0"/>
                <w:spacing w:val="0"/>
                <w:w w:val="100"/>
                <w:sz w:val="20"/>
                <w:u w:val="single"/>
              </w:rPr>
            </w:pPr>
            <w:r>
              <w:rPr>
                <w:rFonts w:hint="eastAsia"/>
                <w:b w:val="0"/>
                <w:i w:val="0"/>
                <w:caps w:val="0"/>
                <w:spacing w:val="0"/>
                <w:w w:val="100"/>
                <w:sz w:val="21"/>
              </w:rPr>
              <w:t>邮政编码：</w:t>
            </w:r>
            <w:r>
              <w:rPr>
                <w:rFonts w:hint="eastAsia"/>
                <w:b w:val="0"/>
                <w:i w:val="0"/>
                <w:caps w:val="0"/>
                <w:spacing w:val="0"/>
                <w:w w:val="100"/>
                <w:sz w:val="21"/>
                <w:u w:val="single" w:color="000000"/>
              </w:rPr>
              <w:t xml:space="preserve">                   </w:t>
            </w:r>
            <w:r>
              <w:rPr>
                <w:rFonts w:hint="eastAsia"/>
                <w:b w:val="0"/>
                <w:i w:val="0"/>
                <w:caps w:val="0"/>
                <w:spacing w:val="0"/>
                <w:w w:val="100"/>
                <w:sz w:val="21"/>
              </w:rPr>
              <w:t>联系电话：</w:t>
            </w:r>
            <w:r>
              <w:rPr>
                <w:rFonts w:hint="eastAsia"/>
                <w:b w:val="0"/>
                <w:i w:val="0"/>
                <w:caps w:val="0"/>
                <w:spacing w:val="0"/>
                <w:w w:val="100"/>
                <w:sz w:val="21"/>
                <w:u w:val="single" w:color="000000"/>
              </w:rPr>
              <w:t xml:space="preserve">                         </w:t>
            </w:r>
          </w:p>
          <w:p w14:paraId="05D45A02">
            <w:pPr>
              <w:snapToGrid/>
              <w:spacing w:before="0" w:beforeAutospacing="0" w:after="0" w:afterAutospacing="0" w:line="240" w:lineRule="auto"/>
              <w:ind w:firstLine="630" w:firstLineChars="300"/>
              <w:jc w:val="left"/>
              <w:textAlignment w:val="baseline"/>
              <w:rPr>
                <w:b w:val="0"/>
                <w:i w:val="0"/>
                <w:caps w:val="0"/>
                <w:spacing w:val="0"/>
                <w:w w:val="100"/>
                <w:sz w:val="20"/>
                <w:u w:val="single"/>
              </w:rPr>
            </w:pPr>
            <w:r>
              <w:rPr>
                <w:rFonts w:hint="eastAsia"/>
                <w:b w:val="0"/>
                <w:i w:val="0"/>
                <w:caps w:val="0"/>
                <w:spacing w:val="0"/>
                <w:w w:val="100"/>
                <w:sz w:val="21"/>
              </w:rPr>
              <w:t>在</w:t>
            </w:r>
            <w:r>
              <w:rPr>
                <w:rFonts w:hint="eastAsia"/>
                <w:b w:val="0"/>
                <w:i w:val="0"/>
                <w:caps w:val="0"/>
                <w:spacing w:val="0"/>
                <w:w w:val="100"/>
                <w:sz w:val="21"/>
                <w:u w:val="single" w:color="000000"/>
              </w:rPr>
              <w:t xml:space="preserve">      </w:t>
            </w:r>
            <w:r>
              <w:rPr>
                <w:rFonts w:hint="eastAsia"/>
                <w:b w:val="0"/>
                <w:i w:val="0"/>
                <w:caps w:val="0"/>
                <w:spacing w:val="0"/>
                <w:w w:val="100"/>
                <w:sz w:val="21"/>
              </w:rPr>
              <w:t>年</w:t>
            </w:r>
            <w:r>
              <w:rPr>
                <w:rFonts w:hint="eastAsia"/>
                <w:b w:val="0"/>
                <w:i w:val="0"/>
                <w:caps w:val="0"/>
                <w:spacing w:val="0"/>
                <w:w w:val="100"/>
                <w:sz w:val="21"/>
                <w:u w:val="single" w:color="000000"/>
              </w:rPr>
              <w:t xml:space="preserve">    </w:t>
            </w:r>
            <w:r>
              <w:rPr>
                <w:rFonts w:hint="eastAsia"/>
                <w:b w:val="0"/>
                <w:i w:val="0"/>
                <w:caps w:val="0"/>
                <w:spacing w:val="0"/>
                <w:w w:val="100"/>
                <w:sz w:val="21"/>
              </w:rPr>
              <w:t>月</w:t>
            </w:r>
            <w:r>
              <w:rPr>
                <w:rFonts w:hint="eastAsia"/>
                <w:b w:val="0"/>
                <w:i w:val="0"/>
                <w:caps w:val="0"/>
                <w:spacing w:val="0"/>
                <w:w w:val="100"/>
                <w:sz w:val="21"/>
                <w:u w:val="single" w:color="000000"/>
              </w:rPr>
              <w:t xml:space="preserve">    </w:t>
            </w:r>
            <w:r>
              <w:rPr>
                <w:rFonts w:hint="eastAsia"/>
                <w:b w:val="0"/>
                <w:i w:val="0"/>
                <w:caps w:val="0"/>
                <w:spacing w:val="0"/>
                <w:w w:val="100"/>
                <w:sz w:val="21"/>
              </w:rPr>
              <w:t>日</w:t>
            </w:r>
            <w:r>
              <w:rPr>
                <w:rFonts w:hint="eastAsia"/>
                <w:b w:val="0"/>
                <w:i w:val="0"/>
                <w:caps w:val="0"/>
                <w:spacing w:val="0"/>
                <w:w w:val="100"/>
                <w:sz w:val="21"/>
                <w:u w:val="single" w:color="000000"/>
              </w:rPr>
              <w:t xml:space="preserve">   </w:t>
            </w:r>
            <w:r>
              <w:rPr>
                <w:rFonts w:hint="eastAsia"/>
                <w:b w:val="0"/>
                <w:i w:val="0"/>
                <w:caps w:val="0"/>
                <w:spacing w:val="0"/>
                <w:w w:val="100"/>
                <w:sz w:val="21"/>
              </w:rPr>
              <w:t>_时__</w:t>
            </w:r>
            <w:r>
              <w:rPr>
                <w:rFonts w:hint="eastAsia"/>
                <w:b w:val="0"/>
                <w:i w:val="0"/>
                <w:caps w:val="0"/>
                <w:spacing w:val="0"/>
                <w:w w:val="100"/>
                <w:sz w:val="21"/>
                <w:u w:val="single" w:color="000000"/>
              </w:rPr>
              <w:t xml:space="preserve">  </w:t>
            </w:r>
            <w:r>
              <w:rPr>
                <w:rFonts w:hint="eastAsia"/>
                <w:b w:val="0"/>
                <w:i w:val="0"/>
                <w:caps w:val="0"/>
                <w:spacing w:val="0"/>
                <w:w w:val="100"/>
                <w:sz w:val="21"/>
              </w:rPr>
              <w:t>分前准时递交且不得启封</w:t>
            </w:r>
          </w:p>
          <w:p w14:paraId="0B8CE5BD">
            <w:pPr>
              <w:snapToGrid/>
              <w:spacing w:before="0" w:beforeAutospacing="0" w:after="0" w:afterAutospacing="0" w:line="240" w:lineRule="auto"/>
              <w:ind w:firstLine="630" w:firstLineChars="300"/>
              <w:jc w:val="left"/>
              <w:textAlignment w:val="baseline"/>
              <w:rPr>
                <w:b w:val="0"/>
                <w:i w:val="0"/>
                <w:caps w:val="0"/>
                <w:spacing w:val="0"/>
                <w:w w:val="100"/>
                <w:sz w:val="20"/>
                <w:u w:val="single"/>
              </w:rPr>
            </w:pPr>
            <w:r>
              <w:rPr>
                <w:rFonts w:hint="eastAsia"/>
                <w:b w:val="0"/>
                <w:i w:val="0"/>
                <w:caps w:val="0"/>
                <w:spacing w:val="0"/>
                <w:w w:val="100"/>
                <w:sz w:val="21"/>
              </w:rPr>
              <w:t>递交地点：</w:t>
            </w:r>
          </w:p>
          <w:p w14:paraId="3E8C8B49">
            <w:pPr>
              <w:snapToGrid/>
              <w:spacing w:before="0" w:beforeAutospacing="0" w:after="0" w:afterAutospacing="0" w:line="240" w:lineRule="auto"/>
              <w:jc w:val="left"/>
              <w:textAlignment w:val="baseline"/>
              <w:rPr>
                <w:b w:val="0"/>
                <w:i w:val="0"/>
                <w:caps w:val="0"/>
                <w:spacing w:val="0"/>
                <w:w w:val="100"/>
                <w:sz w:val="20"/>
              </w:rPr>
            </w:pPr>
          </w:p>
        </w:tc>
      </w:tr>
    </w:tbl>
    <w:p w14:paraId="677440EF">
      <w:pPr>
        <w:snapToGrid/>
        <w:spacing w:before="0" w:beforeAutospacing="0" w:after="0" w:afterAutospacing="0" w:line="240" w:lineRule="auto"/>
        <w:jc w:val="left"/>
        <w:textAlignment w:val="baseline"/>
        <w:rPr>
          <w:b/>
          <w:i w:val="0"/>
          <w:caps w:val="0"/>
          <w:spacing w:val="0"/>
          <w:w w:val="100"/>
          <w:sz w:val="20"/>
        </w:rPr>
      </w:pPr>
    </w:p>
    <w:p w14:paraId="50BD948D">
      <w:pPr>
        <w:snapToGrid/>
        <w:spacing w:before="0" w:beforeAutospacing="0" w:after="0" w:afterAutospacing="0" w:line="240" w:lineRule="auto"/>
        <w:jc w:val="left"/>
        <w:textAlignment w:val="baseline"/>
        <w:rPr>
          <w:b/>
          <w:i w:val="0"/>
          <w:caps w:val="0"/>
          <w:spacing w:val="0"/>
          <w:w w:val="100"/>
          <w:sz w:val="20"/>
        </w:rPr>
      </w:pPr>
    </w:p>
    <w:p w14:paraId="77B1623B">
      <w:pPr>
        <w:snapToGrid/>
        <w:spacing w:before="0" w:beforeAutospacing="0" w:after="0" w:afterAutospacing="0" w:line="240" w:lineRule="auto"/>
        <w:jc w:val="left"/>
        <w:textAlignment w:val="baseline"/>
        <w:rPr>
          <w:rFonts w:hint="eastAsia"/>
          <w:b/>
          <w:i w:val="0"/>
          <w:caps w:val="0"/>
          <w:spacing w:val="0"/>
          <w:w w:val="100"/>
          <w:sz w:val="24"/>
        </w:rPr>
      </w:pPr>
    </w:p>
    <w:p w14:paraId="3E780570">
      <w:pPr>
        <w:snapToGrid/>
        <w:spacing w:before="0" w:beforeAutospacing="0" w:after="0" w:afterAutospacing="0" w:line="240" w:lineRule="auto"/>
        <w:jc w:val="center"/>
        <w:textAlignment w:val="baseline"/>
        <w:rPr>
          <w:b/>
          <w:i w:val="0"/>
          <w:caps w:val="0"/>
          <w:spacing w:val="0"/>
          <w:w w:val="100"/>
          <w:sz w:val="32"/>
        </w:rPr>
      </w:pPr>
      <w:r>
        <w:rPr>
          <w:rFonts w:hint="eastAsia"/>
          <w:b/>
          <w:i w:val="0"/>
          <w:caps w:val="0"/>
          <w:spacing w:val="0"/>
          <w:w w:val="100"/>
          <w:sz w:val="32"/>
        </w:rPr>
        <w:t>投标文件电子版包装袋封面标贴格式</w:t>
      </w:r>
    </w:p>
    <w:tbl>
      <w:tblPr>
        <w:tblStyle w:val="17"/>
        <w:tblW w:w="0" w:type="auto"/>
        <w:tblInd w:w="153"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8520"/>
      </w:tblGrid>
      <w:tr w14:paraId="5D0966A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009" w:hRule="atLeast"/>
        </w:trPr>
        <w:tc>
          <w:tcPr>
            <w:tcW w:w="8520" w:type="dxa"/>
          </w:tcPr>
          <w:p w14:paraId="4078998B">
            <w:pPr>
              <w:snapToGrid/>
              <w:spacing w:before="0" w:beforeAutospacing="0" w:after="0" w:afterAutospacing="0" w:line="240" w:lineRule="auto"/>
              <w:jc w:val="center"/>
              <w:textAlignment w:val="baseline"/>
              <w:rPr>
                <w:b/>
                <w:i w:val="0"/>
                <w:caps w:val="0"/>
                <w:spacing w:val="0"/>
                <w:w w:val="100"/>
                <w:sz w:val="52"/>
              </w:rPr>
            </w:pPr>
            <w:r>
              <w:rPr>
                <w:rFonts w:hint="eastAsia"/>
                <w:b/>
                <w:i w:val="0"/>
                <w:caps w:val="0"/>
                <w:spacing w:val="0"/>
                <w:w w:val="100"/>
                <w:sz w:val="24"/>
              </w:rPr>
              <w:t xml:space="preserve">  </w:t>
            </w:r>
            <w:r>
              <w:rPr>
                <w:rFonts w:hint="eastAsia"/>
                <w:b/>
                <w:i w:val="0"/>
                <w:caps w:val="0"/>
                <w:spacing w:val="0"/>
                <w:w w:val="100"/>
                <w:sz w:val="52"/>
                <w:u w:val="single" w:color="000000"/>
              </w:rPr>
              <w:t xml:space="preserve">        </w:t>
            </w:r>
            <w:r>
              <w:rPr>
                <w:rFonts w:hint="eastAsia"/>
                <w:b/>
                <w:i w:val="0"/>
                <w:caps w:val="0"/>
                <w:spacing w:val="0"/>
                <w:w w:val="100"/>
                <w:sz w:val="52"/>
              </w:rPr>
              <w:t>项目电子版</w:t>
            </w:r>
          </w:p>
          <w:p w14:paraId="55C899A9">
            <w:pPr>
              <w:snapToGrid/>
              <w:spacing w:before="0" w:beforeAutospacing="0" w:after="0" w:afterAutospacing="0" w:line="240" w:lineRule="auto"/>
              <w:ind w:left="60"/>
              <w:jc w:val="center"/>
              <w:textAlignment w:val="baseline"/>
              <w:rPr>
                <w:b/>
                <w:i w:val="0"/>
                <w:caps w:val="0"/>
                <w:spacing w:val="0"/>
                <w:w w:val="100"/>
                <w:sz w:val="24"/>
              </w:rPr>
            </w:pPr>
            <w:r>
              <w:rPr>
                <w:rFonts w:hint="eastAsia"/>
                <w:b/>
                <w:i w:val="0"/>
                <w:caps w:val="0"/>
                <w:spacing w:val="0"/>
                <w:w w:val="100"/>
                <w:sz w:val="24"/>
              </w:rPr>
              <w:t>(封口处加盖投标人公章)</w:t>
            </w:r>
          </w:p>
          <w:p w14:paraId="70463E0E">
            <w:pPr>
              <w:snapToGrid/>
              <w:spacing w:before="0" w:beforeAutospacing="0" w:after="0" w:afterAutospacing="0" w:line="240" w:lineRule="auto"/>
              <w:ind w:left="60"/>
              <w:jc w:val="center"/>
              <w:textAlignment w:val="baseline"/>
              <w:rPr>
                <w:b/>
                <w:i w:val="0"/>
                <w:caps w:val="0"/>
                <w:spacing w:val="0"/>
                <w:w w:val="100"/>
                <w:sz w:val="24"/>
              </w:rPr>
            </w:pPr>
            <w:r>
              <w:rPr>
                <w:rFonts w:hint="eastAsia"/>
                <w:b/>
                <w:i w:val="0"/>
                <w:caps w:val="0"/>
                <w:spacing w:val="0"/>
                <w:w w:val="100"/>
                <w:sz w:val="24"/>
              </w:rPr>
              <w:t>密封内容：电子版</w:t>
            </w:r>
            <w:r>
              <w:rPr>
                <w:rFonts w:hint="eastAsia"/>
                <w:b/>
                <w:i w:val="0"/>
                <w:caps w:val="0"/>
                <w:spacing w:val="0"/>
                <w:w w:val="100"/>
                <w:sz w:val="24"/>
                <w:lang w:val="en-US" w:eastAsia="zh-CN"/>
              </w:rPr>
              <w:t>2</w:t>
            </w:r>
            <w:r>
              <w:rPr>
                <w:rFonts w:hint="eastAsia"/>
                <w:b/>
                <w:i w:val="0"/>
                <w:caps w:val="0"/>
                <w:spacing w:val="0"/>
                <w:w w:val="100"/>
                <w:sz w:val="24"/>
              </w:rPr>
              <w:t>份</w:t>
            </w:r>
          </w:p>
          <w:p w14:paraId="0583038C">
            <w:pPr>
              <w:snapToGrid/>
              <w:spacing w:before="0" w:beforeAutospacing="0" w:after="0" w:afterAutospacing="0" w:line="240" w:lineRule="auto"/>
              <w:ind w:firstLine="630" w:firstLineChars="300"/>
              <w:jc w:val="left"/>
              <w:textAlignment w:val="baseline"/>
              <w:rPr>
                <w:b w:val="0"/>
                <w:i w:val="0"/>
                <w:caps w:val="0"/>
                <w:spacing w:val="0"/>
                <w:w w:val="100"/>
                <w:sz w:val="20"/>
                <w:u w:val="single"/>
              </w:rPr>
            </w:pPr>
            <w:r>
              <w:rPr>
                <w:rFonts w:hint="eastAsia"/>
                <w:b w:val="0"/>
                <w:i w:val="0"/>
                <w:caps w:val="0"/>
                <w:spacing w:val="0"/>
                <w:w w:val="100"/>
                <w:sz w:val="21"/>
              </w:rPr>
              <w:t>投 标 人：</w:t>
            </w:r>
            <w:r>
              <w:rPr>
                <w:rFonts w:hint="eastAsia"/>
                <w:b w:val="0"/>
                <w:i w:val="0"/>
                <w:caps w:val="0"/>
                <w:spacing w:val="0"/>
                <w:w w:val="100"/>
                <w:sz w:val="21"/>
                <w:u w:val="single" w:color="000000"/>
              </w:rPr>
              <w:t xml:space="preserve">                                                      </w:t>
            </w:r>
          </w:p>
          <w:p w14:paraId="0B2DEEA9">
            <w:pPr>
              <w:snapToGrid/>
              <w:spacing w:before="0" w:beforeAutospacing="0" w:after="0" w:afterAutospacing="0" w:line="240" w:lineRule="auto"/>
              <w:ind w:firstLine="630" w:firstLineChars="300"/>
              <w:jc w:val="left"/>
              <w:textAlignment w:val="baseline"/>
              <w:rPr>
                <w:b w:val="0"/>
                <w:i w:val="0"/>
                <w:caps w:val="0"/>
                <w:spacing w:val="0"/>
                <w:w w:val="100"/>
                <w:sz w:val="20"/>
                <w:u w:val="single"/>
              </w:rPr>
            </w:pPr>
            <w:r>
              <w:rPr>
                <w:rFonts w:hint="eastAsia"/>
                <w:b w:val="0"/>
                <w:i w:val="0"/>
                <w:caps w:val="0"/>
                <w:spacing w:val="0"/>
                <w:w w:val="100"/>
                <w:sz w:val="21"/>
              </w:rPr>
              <w:t>项目名称：</w:t>
            </w:r>
            <w:r>
              <w:rPr>
                <w:rFonts w:hint="eastAsia"/>
                <w:b w:val="0"/>
                <w:i w:val="0"/>
                <w:caps w:val="0"/>
                <w:spacing w:val="0"/>
                <w:w w:val="100"/>
                <w:sz w:val="21"/>
                <w:u w:val="single" w:color="000000"/>
              </w:rPr>
              <w:t xml:space="preserve">                                                      </w:t>
            </w:r>
          </w:p>
          <w:p w14:paraId="1AEB2A11">
            <w:pPr>
              <w:snapToGrid/>
              <w:spacing w:before="0" w:beforeAutospacing="0" w:after="0" w:afterAutospacing="0" w:line="240" w:lineRule="auto"/>
              <w:ind w:firstLine="630" w:firstLineChars="300"/>
              <w:jc w:val="left"/>
              <w:textAlignment w:val="baseline"/>
              <w:rPr>
                <w:b w:val="0"/>
                <w:i w:val="0"/>
                <w:caps w:val="0"/>
                <w:spacing w:val="0"/>
                <w:w w:val="100"/>
                <w:sz w:val="20"/>
                <w:u w:val="single"/>
              </w:rPr>
            </w:pPr>
            <w:r>
              <w:rPr>
                <w:rFonts w:hint="eastAsia"/>
                <w:b w:val="0"/>
                <w:i w:val="0"/>
                <w:caps w:val="0"/>
                <w:spacing w:val="0"/>
                <w:w w:val="100"/>
                <w:sz w:val="21"/>
              </w:rPr>
              <w:t>项目编号：</w:t>
            </w:r>
            <w:r>
              <w:rPr>
                <w:rFonts w:hint="eastAsia"/>
                <w:b w:val="0"/>
                <w:i w:val="0"/>
                <w:caps w:val="0"/>
                <w:spacing w:val="0"/>
                <w:w w:val="100"/>
                <w:sz w:val="21"/>
                <w:u w:val="single" w:color="000000"/>
              </w:rPr>
              <w:t xml:space="preserve">                                                      </w:t>
            </w:r>
          </w:p>
          <w:p w14:paraId="52807090">
            <w:pPr>
              <w:snapToGrid/>
              <w:spacing w:before="0" w:beforeAutospacing="0" w:after="0" w:afterAutospacing="0" w:line="240" w:lineRule="auto"/>
              <w:ind w:firstLine="630" w:firstLineChars="300"/>
              <w:jc w:val="left"/>
              <w:textAlignment w:val="baseline"/>
              <w:rPr>
                <w:b w:val="0"/>
                <w:i w:val="0"/>
                <w:caps w:val="0"/>
                <w:spacing w:val="0"/>
                <w:w w:val="100"/>
                <w:sz w:val="20"/>
                <w:u w:val="single"/>
              </w:rPr>
            </w:pPr>
            <w:r>
              <w:rPr>
                <w:rFonts w:hint="eastAsia"/>
                <w:b w:val="0"/>
                <w:i w:val="0"/>
                <w:caps w:val="0"/>
                <w:spacing w:val="0"/>
                <w:w w:val="100"/>
                <w:sz w:val="21"/>
              </w:rPr>
              <w:t>投标人地址：</w:t>
            </w:r>
          </w:p>
          <w:p w14:paraId="21123C8C">
            <w:pPr>
              <w:snapToGrid/>
              <w:spacing w:before="0" w:beforeAutospacing="0" w:after="0" w:afterAutospacing="0" w:line="240" w:lineRule="auto"/>
              <w:ind w:firstLine="630" w:firstLineChars="300"/>
              <w:jc w:val="left"/>
              <w:textAlignment w:val="baseline"/>
              <w:rPr>
                <w:b w:val="0"/>
                <w:i w:val="0"/>
                <w:caps w:val="0"/>
                <w:spacing w:val="0"/>
                <w:w w:val="100"/>
                <w:sz w:val="20"/>
                <w:u w:val="single"/>
              </w:rPr>
            </w:pPr>
            <w:r>
              <w:rPr>
                <w:rFonts w:hint="eastAsia"/>
                <w:b w:val="0"/>
                <w:i w:val="0"/>
                <w:caps w:val="0"/>
                <w:spacing w:val="0"/>
                <w:w w:val="100"/>
                <w:sz w:val="21"/>
              </w:rPr>
              <w:t>邮政编码：</w:t>
            </w:r>
            <w:r>
              <w:rPr>
                <w:rFonts w:hint="eastAsia"/>
                <w:b w:val="0"/>
                <w:i w:val="0"/>
                <w:caps w:val="0"/>
                <w:spacing w:val="0"/>
                <w:w w:val="100"/>
                <w:sz w:val="21"/>
                <w:u w:val="single" w:color="000000"/>
              </w:rPr>
              <w:t xml:space="preserve">                  </w:t>
            </w:r>
            <w:r>
              <w:rPr>
                <w:rFonts w:hint="eastAsia"/>
                <w:b w:val="0"/>
                <w:i w:val="0"/>
                <w:caps w:val="0"/>
                <w:spacing w:val="0"/>
                <w:w w:val="100"/>
                <w:sz w:val="21"/>
              </w:rPr>
              <w:t>联系电话：</w:t>
            </w:r>
            <w:r>
              <w:rPr>
                <w:rFonts w:hint="eastAsia"/>
                <w:b w:val="0"/>
                <w:i w:val="0"/>
                <w:caps w:val="0"/>
                <w:spacing w:val="0"/>
                <w:w w:val="100"/>
                <w:sz w:val="21"/>
                <w:u w:val="single" w:color="000000"/>
              </w:rPr>
              <w:t xml:space="preserve">                          </w:t>
            </w:r>
          </w:p>
          <w:p w14:paraId="1BCD5C65">
            <w:pPr>
              <w:snapToGrid/>
              <w:spacing w:before="0" w:beforeAutospacing="0" w:after="0" w:afterAutospacing="0" w:line="240" w:lineRule="auto"/>
              <w:ind w:firstLine="630" w:firstLineChars="300"/>
              <w:jc w:val="left"/>
              <w:textAlignment w:val="baseline"/>
              <w:rPr>
                <w:b w:val="0"/>
                <w:i w:val="0"/>
                <w:caps w:val="0"/>
                <w:spacing w:val="0"/>
                <w:w w:val="100"/>
                <w:sz w:val="20"/>
                <w:u w:val="single"/>
              </w:rPr>
            </w:pPr>
            <w:r>
              <w:rPr>
                <w:rFonts w:hint="eastAsia"/>
                <w:b w:val="0"/>
                <w:i w:val="0"/>
                <w:caps w:val="0"/>
                <w:spacing w:val="0"/>
                <w:w w:val="100"/>
                <w:sz w:val="21"/>
              </w:rPr>
              <w:t>在</w:t>
            </w:r>
            <w:r>
              <w:rPr>
                <w:rFonts w:hint="eastAsia"/>
                <w:b w:val="0"/>
                <w:i w:val="0"/>
                <w:caps w:val="0"/>
                <w:spacing w:val="0"/>
                <w:w w:val="100"/>
                <w:sz w:val="21"/>
                <w:u w:val="single" w:color="000000"/>
              </w:rPr>
              <w:t xml:space="preserve">      </w:t>
            </w:r>
            <w:r>
              <w:rPr>
                <w:rFonts w:hint="eastAsia"/>
                <w:b w:val="0"/>
                <w:i w:val="0"/>
                <w:caps w:val="0"/>
                <w:spacing w:val="0"/>
                <w:w w:val="100"/>
                <w:sz w:val="21"/>
              </w:rPr>
              <w:t>年</w:t>
            </w:r>
            <w:r>
              <w:rPr>
                <w:rFonts w:hint="eastAsia"/>
                <w:b w:val="0"/>
                <w:i w:val="0"/>
                <w:caps w:val="0"/>
                <w:spacing w:val="0"/>
                <w:w w:val="100"/>
                <w:sz w:val="21"/>
                <w:u w:val="single" w:color="000000"/>
              </w:rPr>
              <w:t xml:space="preserve">    </w:t>
            </w:r>
            <w:r>
              <w:rPr>
                <w:rFonts w:hint="eastAsia"/>
                <w:b w:val="0"/>
                <w:i w:val="0"/>
                <w:caps w:val="0"/>
                <w:spacing w:val="0"/>
                <w:w w:val="100"/>
                <w:sz w:val="21"/>
              </w:rPr>
              <w:t>月</w:t>
            </w:r>
            <w:r>
              <w:rPr>
                <w:rFonts w:hint="eastAsia"/>
                <w:b w:val="0"/>
                <w:i w:val="0"/>
                <w:caps w:val="0"/>
                <w:spacing w:val="0"/>
                <w:w w:val="100"/>
                <w:sz w:val="21"/>
                <w:u w:val="single" w:color="000000"/>
              </w:rPr>
              <w:t xml:space="preserve">    </w:t>
            </w:r>
            <w:r>
              <w:rPr>
                <w:rFonts w:hint="eastAsia"/>
                <w:b w:val="0"/>
                <w:i w:val="0"/>
                <w:caps w:val="0"/>
                <w:spacing w:val="0"/>
                <w:w w:val="100"/>
                <w:sz w:val="21"/>
              </w:rPr>
              <w:t>日</w:t>
            </w:r>
            <w:r>
              <w:rPr>
                <w:rFonts w:hint="eastAsia"/>
                <w:b w:val="0"/>
                <w:i w:val="0"/>
                <w:caps w:val="0"/>
                <w:spacing w:val="0"/>
                <w:w w:val="100"/>
                <w:sz w:val="21"/>
                <w:u w:val="single" w:color="000000"/>
              </w:rPr>
              <w:t xml:space="preserve">   </w:t>
            </w:r>
            <w:r>
              <w:rPr>
                <w:rFonts w:hint="eastAsia"/>
                <w:b w:val="0"/>
                <w:i w:val="0"/>
                <w:caps w:val="0"/>
                <w:spacing w:val="0"/>
                <w:w w:val="100"/>
                <w:sz w:val="21"/>
              </w:rPr>
              <w:t>_时__</w:t>
            </w:r>
            <w:r>
              <w:rPr>
                <w:rFonts w:hint="eastAsia"/>
                <w:b w:val="0"/>
                <w:i w:val="0"/>
                <w:caps w:val="0"/>
                <w:spacing w:val="0"/>
                <w:w w:val="100"/>
                <w:sz w:val="21"/>
                <w:u w:val="single" w:color="000000"/>
              </w:rPr>
              <w:t xml:space="preserve">  </w:t>
            </w:r>
            <w:r>
              <w:rPr>
                <w:rFonts w:hint="eastAsia"/>
                <w:b w:val="0"/>
                <w:i w:val="0"/>
                <w:caps w:val="0"/>
                <w:spacing w:val="0"/>
                <w:w w:val="100"/>
                <w:sz w:val="21"/>
              </w:rPr>
              <w:t>分前准时递交且不得启封</w:t>
            </w:r>
          </w:p>
          <w:p w14:paraId="3E37A3B8">
            <w:pPr>
              <w:snapToGrid/>
              <w:spacing w:before="0" w:beforeAutospacing="0" w:after="0" w:afterAutospacing="0" w:line="240" w:lineRule="auto"/>
              <w:ind w:firstLine="630" w:firstLineChars="300"/>
              <w:jc w:val="left"/>
              <w:textAlignment w:val="baseline"/>
              <w:rPr>
                <w:b w:val="0"/>
                <w:i w:val="0"/>
                <w:caps w:val="0"/>
                <w:spacing w:val="0"/>
                <w:w w:val="100"/>
                <w:sz w:val="20"/>
                <w:u w:val="single"/>
              </w:rPr>
            </w:pPr>
            <w:r>
              <w:rPr>
                <w:rFonts w:hint="eastAsia"/>
                <w:b w:val="0"/>
                <w:i w:val="0"/>
                <w:caps w:val="0"/>
                <w:spacing w:val="0"/>
                <w:w w:val="100"/>
                <w:sz w:val="21"/>
              </w:rPr>
              <w:t>递交地点：</w:t>
            </w:r>
          </w:p>
          <w:p w14:paraId="14E6A726">
            <w:pPr>
              <w:snapToGrid/>
              <w:spacing w:before="0" w:beforeAutospacing="0" w:after="0" w:afterAutospacing="0" w:line="240" w:lineRule="auto"/>
              <w:jc w:val="left"/>
              <w:textAlignment w:val="baseline"/>
              <w:rPr>
                <w:b/>
                <w:i w:val="0"/>
                <w:caps w:val="0"/>
                <w:spacing w:val="0"/>
                <w:w w:val="100"/>
                <w:sz w:val="24"/>
              </w:rPr>
            </w:pPr>
          </w:p>
        </w:tc>
      </w:tr>
    </w:tbl>
    <w:p w14:paraId="58E246D9">
      <w:pPr>
        <w:snapToGrid/>
        <w:spacing w:before="0" w:beforeAutospacing="0" w:after="0" w:afterAutospacing="0" w:line="240" w:lineRule="auto"/>
        <w:jc w:val="left"/>
        <w:textAlignment w:val="baseline"/>
        <w:rPr>
          <w:b/>
          <w:i w:val="0"/>
          <w:caps w:val="0"/>
          <w:spacing w:val="0"/>
          <w:w w:val="100"/>
          <w:sz w:val="24"/>
        </w:rPr>
      </w:pPr>
    </w:p>
    <w:sectPr>
      <w:pgMar w:top="1440" w:right="1800" w:bottom="1440" w:left="1800" w:header="720" w:footer="720" w:gutter="0"/>
      <w:pgNumType w:fmt="decimal"/>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ntury">
    <w:altName w:val="Times New Roman"/>
    <w:panose1 w:val="02040604050505020304"/>
    <w:charset w:val="00"/>
    <w:family w:val="roman"/>
    <w:pitch w:val="default"/>
    <w:sig w:usb0="00000000"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2479D">
    <w:pPr>
      <w:pStyle w:val="10"/>
      <w:framePr w:wrap="around" w:vAnchor="text" w:hAnchor="margin" w:xAlign="center" w:y="1"/>
      <w:rPr>
        <w:rStyle w:val="22"/>
      </w:rPr>
    </w:pPr>
    <w:r>
      <w:fldChar w:fldCharType="begin"/>
    </w:r>
    <w:r>
      <w:rPr>
        <w:rStyle w:val="22"/>
      </w:rPr>
      <w:instrText xml:space="preserve">PAGE  </w:instrText>
    </w:r>
    <w:r>
      <w:fldChar w:fldCharType="separate"/>
    </w:r>
    <w:r>
      <w:rPr>
        <w:rStyle w:val="22"/>
      </w:rPr>
      <w:t>7</w:t>
    </w:r>
    <w:r>
      <w:fldChar w:fldCharType="end"/>
    </w:r>
  </w:p>
  <w:p w14:paraId="27C8566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66497">
    <w:pPr>
      <w:pStyle w:val="10"/>
      <w:ind w:firstLine="3780" w:firstLineChars="2100"/>
      <w:rPr>
        <w:rFonts w:hint="default" w:eastAsiaTheme="minorEastAsia"/>
        <w:lang w:val="en-US" w:eastAsia="zh-CN"/>
      </w:rPr>
    </w:pPr>
    <w:r>
      <w:rPr>
        <w:rFonts w:hint="eastAsia"/>
        <w:lang w:val="en-US" w:eastAsia="zh-CN"/>
      </w:rPr>
      <w:t>72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F94B5">
    <w:pPr>
      <w:pStyle w:val="10"/>
    </w:pPr>
    <w:r>
      <w:rPr>
        <w:sz w:val="18"/>
      </w:rPr>
      <mc:AlternateContent>
        <mc:Choice Requires="wps">
          <w:drawing>
            <wp:anchor distT="0" distB="0" distL="114300" distR="114300" simplePos="0" relativeHeight="251661312" behindDoc="0" locked="0" layoutInCell="1" allowOverlap="1">
              <wp:simplePos x="0" y="0"/>
              <wp:positionH relativeFrom="margin">
                <wp:posOffset>2605405</wp:posOffset>
              </wp:positionH>
              <wp:positionV relativeFrom="paragraph">
                <wp:posOffset>-156845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8603F">
                          <w:pPr>
                            <w:pStyle w:val="1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15pt;margin-top:-12.35pt;height:144pt;width:144pt;mso-position-horizontal-relative:margin;mso-wrap-style:none;z-index:251661312;mso-width-relative:page;mso-height-relative:page;" filled="f" stroked="f" coordsize="21600,21600" o:gfxdata="UEsDBAoAAAAAAIdO4kAAAAAAAAAAAAAAAAAEAAAAZHJzL1BLAwQUAAAACACHTuJAeHrwuNgAAAAL&#10;AQAADwAAAGRycy9kb3ducmV2LnhtbE2Py07DMBBF90j8gzVI7Fo7D4US4lSiIiyRaFiwdOMhCcTj&#10;yHbT8PeYFSxn5ujOudV+NRNb0PnRkoRkK4AhdVaP1Et4a5vNDpgPirSaLKGEb/Swr6+vKlVqe6FX&#10;XI6hZzGEfKkkDCHMJee+G9Aov7UzUrx9WGdUiKPruXbqEsPNxFMhCm7USPHDoGY8DNh9Hc9GwqFp&#10;W7egd9M7PjfZ58tjjk+rlLc3iXgAFnANfzD86kd1qKPTyZ5JezZJyBORRVTCJs3vgEWiuN/FzUlC&#10;WmQZ8Lri/zvUP1BLAwQUAAAACACHTuJA4YDTjjICAABhBAAADgAAAGRycy9lMm9Eb2MueG1srVTN&#10;jtMwEL4j8Q6W7zRpK1Z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mb9P2wtUDcKmRI5LoHhut&#10;0Oybntne5GcQc6brDG/5pkLyLfPhgTm0Ah6MYQn3WAppkMT0FiWlcV//dR7jUSF4KanRWhnVmCRK&#10;5AeNygEwDIYbjP1g6KO6M+jVMYbQ8tbEBRfkYBbOqC+YoFXMARfTHJkyGgbzLnTtjQnkYrVqg47W&#10;VYeyu4C+syxs9c7ymCYK6e3qGCBmq3EUqFOl1w2d11apn5LY2n/u26inP8Py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h68LjYAAAACwEAAA8AAAAAAAAAAQAgAAAAIgAAAGRycy9kb3ducmV2Lnht&#10;bFBLAQIUABQAAAAIAIdO4kDhgNOOMgIAAGEEAAAOAAAAAAAAAAEAIAAAACcBAABkcnMvZTJvRG9j&#10;LnhtbFBLBQYAAAAABgAGAFkBAADLBQAAAAA=&#10;">
              <v:fill on="f" focussize="0,0"/>
              <v:stroke on="f" weight="0.5pt"/>
              <v:imagedata o:title=""/>
              <o:lock v:ext="edit" aspectratio="f"/>
              <v:textbox inset="0mm,0mm,0mm,0mm" style="mso-fit-shape-to-text:t;">
                <w:txbxContent>
                  <w:p w14:paraId="4968603F">
                    <w:pPr>
                      <w:pStyle w:val="10"/>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E8FE8">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21B77A">
                          <w:pPr>
                            <w:pStyle w:val="10"/>
                          </w:pPr>
                          <w:r>
                            <w:fldChar w:fldCharType="begin"/>
                          </w:r>
                          <w:r>
                            <w:instrText xml:space="preserve"> PAGE  \* MERGEFORMAT </w:instrText>
                          </w:r>
                          <w:r>
                            <w:fldChar w:fldCharType="separate"/>
                          </w:r>
                          <w:r>
                            <w:t>- 55 -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F21B77A">
                    <w:pPr>
                      <w:pStyle w:val="10"/>
                    </w:pPr>
                    <w:r>
                      <w:fldChar w:fldCharType="begin"/>
                    </w:r>
                    <w:r>
                      <w:instrText xml:space="preserve"> PAGE  \* MERGEFORMAT </w:instrText>
                    </w:r>
                    <w:r>
                      <w:fldChar w:fldCharType="separate"/>
                    </w:r>
                    <w:r>
                      <w:t>- 55 -</w:t>
                    </w:r>
                    <w:r>
                      <w:fldChar w:fldCharType="end"/>
                    </w:r>
                  </w:p>
                </w:txbxContent>
              </v:textbox>
            </v:shape>
          </w:pict>
        </mc:Fallback>
      </mc:AlternateContent>
    </w:r>
  </w:p>
  <w:p w14:paraId="617CBC25">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0616E">
    <w:pPr>
      <w:pStyle w:val="11"/>
      <w:pBdr>
        <w:bottom w:val="none" w:color="auto" w:sz="0" w:space="0"/>
      </w:pBdr>
      <w:ind w:right="360"/>
      <w:rPr>
        <w:rFonts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799A6">
    <w:pPr>
      <w:pStyle w:val="11"/>
      <w:framePr w:wrap="around" w:vAnchor="text" w:hAnchor="margin" w:xAlign="right" w:y="1"/>
      <w:rPr>
        <w:rStyle w:val="22"/>
      </w:rPr>
    </w:pPr>
    <w:r>
      <w:fldChar w:fldCharType="begin"/>
    </w:r>
    <w:r>
      <w:rPr>
        <w:rStyle w:val="22"/>
      </w:rPr>
      <w:instrText xml:space="preserve">PAGE  </w:instrText>
    </w:r>
    <w:r>
      <w:fldChar w:fldCharType="separate"/>
    </w:r>
    <w:r>
      <w:rPr>
        <w:rStyle w:val="22"/>
      </w:rPr>
      <w:t>7</w:t>
    </w:r>
    <w:r>
      <w:fldChar w:fldCharType="end"/>
    </w:r>
  </w:p>
  <w:p w14:paraId="1376F2BC">
    <w:pPr>
      <w:pStyle w:val="11"/>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82D6E">
    <w:pPr>
      <w:ind w:right="319" w:rightChars="15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25D43"/>
    <w:multiLevelType w:val="singleLevel"/>
    <w:tmpl w:val="9F425D43"/>
    <w:lvl w:ilvl="0" w:tentative="0">
      <w:start w:val="39"/>
      <w:numFmt w:val="decimal"/>
      <w:lvlText w:val="%1."/>
      <w:lvlJc w:val="left"/>
      <w:pPr>
        <w:tabs>
          <w:tab w:val="left" w:pos="312"/>
        </w:tabs>
      </w:pPr>
    </w:lvl>
  </w:abstractNum>
  <w:abstractNum w:abstractNumId="1">
    <w:nsid w:val="C81719C2"/>
    <w:multiLevelType w:val="singleLevel"/>
    <w:tmpl w:val="C81719C2"/>
    <w:lvl w:ilvl="0" w:tentative="0">
      <w:start w:val="3"/>
      <w:numFmt w:val="decimal"/>
      <w:suff w:val="nothing"/>
      <w:lvlText w:val="%1、"/>
      <w:lvlJc w:val="left"/>
    </w:lvl>
  </w:abstractNum>
  <w:abstractNum w:abstractNumId="2">
    <w:nsid w:val="DD6FC2D6"/>
    <w:multiLevelType w:val="singleLevel"/>
    <w:tmpl w:val="DD6FC2D6"/>
    <w:lvl w:ilvl="0" w:tentative="0">
      <w:start w:val="5"/>
      <w:numFmt w:val="decimal"/>
      <w:suff w:val="nothing"/>
      <w:lvlText w:val="（%1）"/>
      <w:lvlJc w:val="left"/>
    </w:lvl>
  </w:abstractNum>
  <w:abstractNum w:abstractNumId="3">
    <w:nsid w:val="FA217D5C"/>
    <w:multiLevelType w:val="singleLevel"/>
    <w:tmpl w:val="FA217D5C"/>
    <w:lvl w:ilvl="0" w:tentative="0">
      <w:start w:val="1"/>
      <w:numFmt w:val="chineseCounting"/>
      <w:suff w:val="nothing"/>
      <w:lvlText w:val="%1、"/>
      <w:lvlJc w:val="left"/>
      <w:rPr>
        <w:rFonts w:hint="eastAsia"/>
      </w:rPr>
    </w:lvl>
  </w:abstractNum>
  <w:abstractNum w:abstractNumId="4">
    <w:nsid w:val="50660381"/>
    <w:multiLevelType w:val="singleLevel"/>
    <w:tmpl w:val="50660381"/>
    <w:lvl w:ilvl="0" w:tentative="0">
      <w:start w:val="1"/>
      <w:numFmt w:val="decimal"/>
      <w:lvlText w:val="%1."/>
      <w:lvlJc w:val="left"/>
      <w:pPr>
        <w:tabs>
          <w:tab w:val="left" w:pos="312"/>
        </w:tabs>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E3"/>
    <w:rsid w:val="00004050"/>
    <w:rsid w:val="000123E7"/>
    <w:rsid w:val="00047292"/>
    <w:rsid w:val="0005696A"/>
    <w:rsid w:val="00086184"/>
    <w:rsid w:val="00087F3D"/>
    <w:rsid w:val="000B4CF2"/>
    <w:rsid w:val="000D1162"/>
    <w:rsid w:val="000D1F10"/>
    <w:rsid w:val="000E2533"/>
    <w:rsid w:val="00110FAE"/>
    <w:rsid w:val="001560CC"/>
    <w:rsid w:val="001926DA"/>
    <w:rsid w:val="001B56EC"/>
    <w:rsid w:val="001D0752"/>
    <w:rsid w:val="00203E8A"/>
    <w:rsid w:val="0025024F"/>
    <w:rsid w:val="002A2FAF"/>
    <w:rsid w:val="002A5DE0"/>
    <w:rsid w:val="002C3CEE"/>
    <w:rsid w:val="002E5A60"/>
    <w:rsid w:val="003265FA"/>
    <w:rsid w:val="0035726D"/>
    <w:rsid w:val="00364D8C"/>
    <w:rsid w:val="0038730F"/>
    <w:rsid w:val="003D2B42"/>
    <w:rsid w:val="003E2C77"/>
    <w:rsid w:val="0040747A"/>
    <w:rsid w:val="00440813"/>
    <w:rsid w:val="004507E4"/>
    <w:rsid w:val="00475DDB"/>
    <w:rsid w:val="004A1401"/>
    <w:rsid w:val="004A4B6E"/>
    <w:rsid w:val="004C4964"/>
    <w:rsid w:val="004D1390"/>
    <w:rsid w:val="005300F4"/>
    <w:rsid w:val="0060146E"/>
    <w:rsid w:val="00610FE3"/>
    <w:rsid w:val="0062576E"/>
    <w:rsid w:val="00654837"/>
    <w:rsid w:val="006C77B7"/>
    <w:rsid w:val="006C79B1"/>
    <w:rsid w:val="006E237B"/>
    <w:rsid w:val="006E4E43"/>
    <w:rsid w:val="00710A5A"/>
    <w:rsid w:val="007242D9"/>
    <w:rsid w:val="007866B7"/>
    <w:rsid w:val="00794CC8"/>
    <w:rsid w:val="007B1D30"/>
    <w:rsid w:val="007D4296"/>
    <w:rsid w:val="00815635"/>
    <w:rsid w:val="0082503D"/>
    <w:rsid w:val="008C3D5F"/>
    <w:rsid w:val="00917B5E"/>
    <w:rsid w:val="009803DE"/>
    <w:rsid w:val="0098258F"/>
    <w:rsid w:val="009E6B7F"/>
    <w:rsid w:val="00A553CA"/>
    <w:rsid w:val="00A655C5"/>
    <w:rsid w:val="00AD48CD"/>
    <w:rsid w:val="00B01877"/>
    <w:rsid w:val="00B96D5E"/>
    <w:rsid w:val="00BC05BF"/>
    <w:rsid w:val="00BE206D"/>
    <w:rsid w:val="00C12103"/>
    <w:rsid w:val="00C135E4"/>
    <w:rsid w:val="00C14EC7"/>
    <w:rsid w:val="00C7648B"/>
    <w:rsid w:val="00C766EB"/>
    <w:rsid w:val="00CD7F8B"/>
    <w:rsid w:val="00CE1677"/>
    <w:rsid w:val="00D066E1"/>
    <w:rsid w:val="00D24866"/>
    <w:rsid w:val="00D3218E"/>
    <w:rsid w:val="00D33886"/>
    <w:rsid w:val="00D83482"/>
    <w:rsid w:val="00D85735"/>
    <w:rsid w:val="00DA2A1C"/>
    <w:rsid w:val="00DA3ACF"/>
    <w:rsid w:val="00DD2D83"/>
    <w:rsid w:val="00DF0FFE"/>
    <w:rsid w:val="00E07D06"/>
    <w:rsid w:val="00E15FD6"/>
    <w:rsid w:val="00E251C7"/>
    <w:rsid w:val="00E34729"/>
    <w:rsid w:val="00E8293D"/>
    <w:rsid w:val="00E83DDA"/>
    <w:rsid w:val="00EF49D0"/>
    <w:rsid w:val="00F154C1"/>
    <w:rsid w:val="00F236B3"/>
    <w:rsid w:val="00F30C97"/>
    <w:rsid w:val="00F73551"/>
    <w:rsid w:val="00FB1BDA"/>
    <w:rsid w:val="00FD2E5D"/>
    <w:rsid w:val="00FD6A0E"/>
    <w:rsid w:val="01161381"/>
    <w:rsid w:val="0156177E"/>
    <w:rsid w:val="016E5167"/>
    <w:rsid w:val="01762D2C"/>
    <w:rsid w:val="01F14FF6"/>
    <w:rsid w:val="02600D9A"/>
    <w:rsid w:val="02671A0C"/>
    <w:rsid w:val="0426646C"/>
    <w:rsid w:val="04E9023D"/>
    <w:rsid w:val="051533C7"/>
    <w:rsid w:val="051538E2"/>
    <w:rsid w:val="054B79EA"/>
    <w:rsid w:val="05C321A6"/>
    <w:rsid w:val="06630B6A"/>
    <w:rsid w:val="06997DBD"/>
    <w:rsid w:val="07126147"/>
    <w:rsid w:val="074526C1"/>
    <w:rsid w:val="074D372C"/>
    <w:rsid w:val="09577D3C"/>
    <w:rsid w:val="09EA39F6"/>
    <w:rsid w:val="0A2E2718"/>
    <w:rsid w:val="0A8D740F"/>
    <w:rsid w:val="0AB47E9D"/>
    <w:rsid w:val="0AF457C8"/>
    <w:rsid w:val="0B2B1D53"/>
    <w:rsid w:val="0B8A1AC6"/>
    <w:rsid w:val="0BB2614A"/>
    <w:rsid w:val="0BB45AFD"/>
    <w:rsid w:val="0BE8397E"/>
    <w:rsid w:val="0D240982"/>
    <w:rsid w:val="0D9F44AC"/>
    <w:rsid w:val="0E9F285C"/>
    <w:rsid w:val="0F204E25"/>
    <w:rsid w:val="0F29268F"/>
    <w:rsid w:val="0F5C0131"/>
    <w:rsid w:val="0F857177"/>
    <w:rsid w:val="101654F6"/>
    <w:rsid w:val="12922EA5"/>
    <w:rsid w:val="12FB72FE"/>
    <w:rsid w:val="13533346"/>
    <w:rsid w:val="149136C7"/>
    <w:rsid w:val="15F51A15"/>
    <w:rsid w:val="16564B90"/>
    <w:rsid w:val="171C16CC"/>
    <w:rsid w:val="171C189E"/>
    <w:rsid w:val="177249E0"/>
    <w:rsid w:val="17D15EA0"/>
    <w:rsid w:val="18294A9A"/>
    <w:rsid w:val="188F15D4"/>
    <w:rsid w:val="18ED000D"/>
    <w:rsid w:val="19211ABB"/>
    <w:rsid w:val="194A5C14"/>
    <w:rsid w:val="19C758B0"/>
    <w:rsid w:val="19CA335A"/>
    <w:rsid w:val="19F93535"/>
    <w:rsid w:val="1A3A0D56"/>
    <w:rsid w:val="1A3D3083"/>
    <w:rsid w:val="1A8E7237"/>
    <w:rsid w:val="1AAA261B"/>
    <w:rsid w:val="1AF61E20"/>
    <w:rsid w:val="1C417E1E"/>
    <w:rsid w:val="1CB8107A"/>
    <w:rsid w:val="1D1D77CA"/>
    <w:rsid w:val="1D7C3E6A"/>
    <w:rsid w:val="1D8C7022"/>
    <w:rsid w:val="1D9408B5"/>
    <w:rsid w:val="1DE67354"/>
    <w:rsid w:val="1DEE1B87"/>
    <w:rsid w:val="1E717388"/>
    <w:rsid w:val="1EB678A8"/>
    <w:rsid w:val="1EFC297D"/>
    <w:rsid w:val="1F947BE9"/>
    <w:rsid w:val="1FB40953"/>
    <w:rsid w:val="20C32FFC"/>
    <w:rsid w:val="20E74F8E"/>
    <w:rsid w:val="210A61CF"/>
    <w:rsid w:val="21E0234B"/>
    <w:rsid w:val="22AB7ADF"/>
    <w:rsid w:val="233716DB"/>
    <w:rsid w:val="233F507E"/>
    <w:rsid w:val="234C2589"/>
    <w:rsid w:val="23C85028"/>
    <w:rsid w:val="23DA1943"/>
    <w:rsid w:val="24DF6C66"/>
    <w:rsid w:val="24E31B74"/>
    <w:rsid w:val="24E52E58"/>
    <w:rsid w:val="253F55D6"/>
    <w:rsid w:val="26235EFE"/>
    <w:rsid w:val="264F4B75"/>
    <w:rsid w:val="27692720"/>
    <w:rsid w:val="27BC1712"/>
    <w:rsid w:val="27D25752"/>
    <w:rsid w:val="290548E8"/>
    <w:rsid w:val="291713AF"/>
    <w:rsid w:val="299C5AE8"/>
    <w:rsid w:val="29E277A3"/>
    <w:rsid w:val="2A1755A3"/>
    <w:rsid w:val="2A1825CB"/>
    <w:rsid w:val="2A226172"/>
    <w:rsid w:val="2AD27734"/>
    <w:rsid w:val="2B760580"/>
    <w:rsid w:val="2B77090E"/>
    <w:rsid w:val="2C2063A3"/>
    <w:rsid w:val="2C6941AB"/>
    <w:rsid w:val="2C80668E"/>
    <w:rsid w:val="2CA3146B"/>
    <w:rsid w:val="2CF21B86"/>
    <w:rsid w:val="2D4B150D"/>
    <w:rsid w:val="2E2F1CD1"/>
    <w:rsid w:val="2E806920"/>
    <w:rsid w:val="2EF069F5"/>
    <w:rsid w:val="2F065CE2"/>
    <w:rsid w:val="2F837375"/>
    <w:rsid w:val="2FA32702"/>
    <w:rsid w:val="2FC5794B"/>
    <w:rsid w:val="2FF63FA8"/>
    <w:rsid w:val="304A13BD"/>
    <w:rsid w:val="30EF1355"/>
    <w:rsid w:val="30F949CF"/>
    <w:rsid w:val="31717554"/>
    <w:rsid w:val="317A6513"/>
    <w:rsid w:val="318019D6"/>
    <w:rsid w:val="320261C4"/>
    <w:rsid w:val="3209049E"/>
    <w:rsid w:val="326F1DF0"/>
    <w:rsid w:val="327F2033"/>
    <w:rsid w:val="33572FB0"/>
    <w:rsid w:val="34405F2C"/>
    <w:rsid w:val="34622994"/>
    <w:rsid w:val="34667B96"/>
    <w:rsid w:val="3488219A"/>
    <w:rsid w:val="355E0625"/>
    <w:rsid w:val="35841E81"/>
    <w:rsid w:val="35EA13E5"/>
    <w:rsid w:val="35EC42C5"/>
    <w:rsid w:val="3643623A"/>
    <w:rsid w:val="38687AA6"/>
    <w:rsid w:val="387D5D44"/>
    <w:rsid w:val="388A1731"/>
    <w:rsid w:val="38E76B84"/>
    <w:rsid w:val="39090C2A"/>
    <w:rsid w:val="396E4BAF"/>
    <w:rsid w:val="39BB0537"/>
    <w:rsid w:val="3A112BAA"/>
    <w:rsid w:val="3AC32CD9"/>
    <w:rsid w:val="3BE0528C"/>
    <w:rsid w:val="3BFF5A53"/>
    <w:rsid w:val="3C101D43"/>
    <w:rsid w:val="3C2B2378"/>
    <w:rsid w:val="3C7A2CA4"/>
    <w:rsid w:val="3D2A07F6"/>
    <w:rsid w:val="3D4506CC"/>
    <w:rsid w:val="3D74475E"/>
    <w:rsid w:val="3D9E030A"/>
    <w:rsid w:val="3DAB4D54"/>
    <w:rsid w:val="3DCB6A74"/>
    <w:rsid w:val="3DF25343"/>
    <w:rsid w:val="3E35446A"/>
    <w:rsid w:val="3EB903F1"/>
    <w:rsid w:val="3F093703"/>
    <w:rsid w:val="3F291C31"/>
    <w:rsid w:val="3F3E5024"/>
    <w:rsid w:val="3F6D1F20"/>
    <w:rsid w:val="415D577B"/>
    <w:rsid w:val="41D22B69"/>
    <w:rsid w:val="42845443"/>
    <w:rsid w:val="429D21BE"/>
    <w:rsid w:val="43374A4D"/>
    <w:rsid w:val="43555A3A"/>
    <w:rsid w:val="44456BD5"/>
    <w:rsid w:val="447A6BAC"/>
    <w:rsid w:val="44A04633"/>
    <w:rsid w:val="45392F0B"/>
    <w:rsid w:val="459B7C3D"/>
    <w:rsid w:val="461F0C80"/>
    <w:rsid w:val="46710B53"/>
    <w:rsid w:val="468A4E4A"/>
    <w:rsid w:val="471C71B9"/>
    <w:rsid w:val="47375C9B"/>
    <w:rsid w:val="47E562EF"/>
    <w:rsid w:val="48884012"/>
    <w:rsid w:val="48AC56FF"/>
    <w:rsid w:val="48E57478"/>
    <w:rsid w:val="4ABF0D28"/>
    <w:rsid w:val="4B48294B"/>
    <w:rsid w:val="4BB01057"/>
    <w:rsid w:val="4BCA036B"/>
    <w:rsid w:val="4C242F29"/>
    <w:rsid w:val="4C363892"/>
    <w:rsid w:val="4C3724EA"/>
    <w:rsid w:val="4C6E193A"/>
    <w:rsid w:val="4D662315"/>
    <w:rsid w:val="4DC721A4"/>
    <w:rsid w:val="4DE020DC"/>
    <w:rsid w:val="4EAA72A7"/>
    <w:rsid w:val="4EBB21ED"/>
    <w:rsid w:val="4F4A2A6C"/>
    <w:rsid w:val="4FC25F8E"/>
    <w:rsid w:val="502F2E28"/>
    <w:rsid w:val="509065EE"/>
    <w:rsid w:val="50EE2327"/>
    <w:rsid w:val="510E0CFA"/>
    <w:rsid w:val="517029CD"/>
    <w:rsid w:val="519A1675"/>
    <w:rsid w:val="51E2040D"/>
    <w:rsid w:val="526B22C9"/>
    <w:rsid w:val="5306291C"/>
    <w:rsid w:val="53982AFD"/>
    <w:rsid w:val="53D03945"/>
    <w:rsid w:val="54A97595"/>
    <w:rsid w:val="54CE4645"/>
    <w:rsid w:val="55DC6F81"/>
    <w:rsid w:val="56B4453D"/>
    <w:rsid w:val="56D1533F"/>
    <w:rsid w:val="57D9724D"/>
    <w:rsid w:val="594823DD"/>
    <w:rsid w:val="594D25DB"/>
    <w:rsid w:val="59690613"/>
    <w:rsid w:val="59A40C7E"/>
    <w:rsid w:val="59EE2AB4"/>
    <w:rsid w:val="5A0C56D2"/>
    <w:rsid w:val="5AA24261"/>
    <w:rsid w:val="5AF63549"/>
    <w:rsid w:val="5B1C2265"/>
    <w:rsid w:val="5B583022"/>
    <w:rsid w:val="5C2C7702"/>
    <w:rsid w:val="5D131446"/>
    <w:rsid w:val="5D4C7FC4"/>
    <w:rsid w:val="5D546CA2"/>
    <w:rsid w:val="5ED74EB0"/>
    <w:rsid w:val="60263C6B"/>
    <w:rsid w:val="60C413D5"/>
    <w:rsid w:val="60EA448B"/>
    <w:rsid w:val="61D07906"/>
    <w:rsid w:val="61E41603"/>
    <w:rsid w:val="61ED495B"/>
    <w:rsid w:val="62421C90"/>
    <w:rsid w:val="62860CA5"/>
    <w:rsid w:val="6344746F"/>
    <w:rsid w:val="635D67A5"/>
    <w:rsid w:val="637974B6"/>
    <w:rsid w:val="643305DC"/>
    <w:rsid w:val="65953468"/>
    <w:rsid w:val="67341693"/>
    <w:rsid w:val="68430416"/>
    <w:rsid w:val="68464795"/>
    <w:rsid w:val="689D114C"/>
    <w:rsid w:val="68A33FC6"/>
    <w:rsid w:val="69423A74"/>
    <w:rsid w:val="699670B1"/>
    <w:rsid w:val="69DB32EB"/>
    <w:rsid w:val="6B2F5D79"/>
    <w:rsid w:val="6BC63ED8"/>
    <w:rsid w:val="6D5614FB"/>
    <w:rsid w:val="6E22598D"/>
    <w:rsid w:val="6E564EC0"/>
    <w:rsid w:val="6EA91EB1"/>
    <w:rsid w:val="6ED34E7D"/>
    <w:rsid w:val="6EFF0408"/>
    <w:rsid w:val="6F6F075E"/>
    <w:rsid w:val="6FFD3FBC"/>
    <w:rsid w:val="70386A50"/>
    <w:rsid w:val="711A34A8"/>
    <w:rsid w:val="71486D48"/>
    <w:rsid w:val="71FF6640"/>
    <w:rsid w:val="725C293B"/>
    <w:rsid w:val="728654C5"/>
    <w:rsid w:val="742C3D60"/>
    <w:rsid w:val="748E78D8"/>
    <w:rsid w:val="74F6547D"/>
    <w:rsid w:val="75556D69"/>
    <w:rsid w:val="7575312B"/>
    <w:rsid w:val="757A1C0A"/>
    <w:rsid w:val="759B3205"/>
    <w:rsid w:val="76320BD3"/>
    <w:rsid w:val="7680450C"/>
    <w:rsid w:val="76EE5CAA"/>
    <w:rsid w:val="778A60E9"/>
    <w:rsid w:val="780A3970"/>
    <w:rsid w:val="781A1E36"/>
    <w:rsid w:val="79BC6901"/>
    <w:rsid w:val="7A514007"/>
    <w:rsid w:val="7AFC118C"/>
    <w:rsid w:val="7B86001F"/>
    <w:rsid w:val="7B9A304A"/>
    <w:rsid w:val="7BE74CFC"/>
    <w:rsid w:val="7CDE1FBF"/>
    <w:rsid w:val="7D5C2D54"/>
    <w:rsid w:val="7D8F05F4"/>
    <w:rsid w:val="7DA41F1A"/>
    <w:rsid w:val="7DD43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0" w:lineRule="atLeast"/>
    </w:pPr>
    <w:rPr>
      <w:rFonts w:ascii="Times New Roman" w:hAnsi="Times New Roman" w:eastAsia="宋体" w:cs="Times New Roman"/>
      <w:b/>
      <w:sz w:val="30"/>
      <w:szCs w:val="20"/>
    </w:rPr>
  </w:style>
  <w:style w:type="paragraph" w:styleId="3">
    <w:name w:val="Date"/>
    <w:basedOn w:val="1"/>
    <w:next w:val="1"/>
    <w:qFormat/>
    <w:uiPriority w:val="0"/>
    <w:rPr>
      <w:sz w:val="24"/>
      <w:szCs w:val="20"/>
    </w:rPr>
  </w:style>
  <w:style w:type="paragraph" w:styleId="6">
    <w:name w:val="annotation text"/>
    <w:basedOn w:val="1"/>
    <w:qFormat/>
    <w:uiPriority w:val="0"/>
    <w:pPr>
      <w:jc w:val="left"/>
    </w:pPr>
  </w:style>
  <w:style w:type="paragraph" w:styleId="7">
    <w:name w:val="Body Text Indent"/>
    <w:basedOn w:val="1"/>
    <w:next w:val="1"/>
    <w:unhideWhenUsed/>
    <w:qFormat/>
    <w:uiPriority w:val="99"/>
    <w:pPr>
      <w:spacing w:line="360" w:lineRule="auto"/>
      <w:ind w:firstLine="425"/>
    </w:pPr>
    <w:rPr>
      <w:sz w:val="28"/>
    </w:rPr>
  </w:style>
  <w:style w:type="paragraph" w:styleId="8">
    <w:name w:val="Plain Text"/>
    <w:basedOn w:val="1"/>
    <w:qFormat/>
    <w:uiPriority w:val="0"/>
    <w:rPr>
      <w:rFonts w:ascii="宋体" w:hAnsi="Courier New"/>
      <w:b/>
    </w:rPr>
  </w:style>
  <w:style w:type="paragraph" w:styleId="9">
    <w:name w:val="endnote text"/>
    <w:basedOn w:val="1"/>
    <w:link w:val="29"/>
    <w:semiHidden/>
    <w:unhideWhenUsed/>
    <w:qFormat/>
    <w:uiPriority w:val="99"/>
    <w:pPr>
      <w:snapToGrid w:val="0"/>
      <w:jc w:val="left"/>
    </w:pPr>
  </w:style>
  <w:style w:type="paragraph" w:styleId="10">
    <w:name w:val="footer"/>
    <w:basedOn w:val="1"/>
    <w:link w:val="27"/>
    <w:unhideWhenUsed/>
    <w:qFormat/>
    <w:uiPriority w:val="99"/>
    <w:pPr>
      <w:tabs>
        <w:tab w:val="center" w:pos="4153"/>
        <w:tab w:val="right" w:pos="8306"/>
      </w:tabs>
      <w:snapToGrid w:val="0"/>
      <w:jc w:val="left"/>
    </w:pPr>
    <w:rPr>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Subtitle"/>
    <w:basedOn w:val="1"/>
    <w:next w:val="1"/>
    <w:qFormat/>
    <w:uiPriority w:val="0"/>
    <w:pPr>
      <w:spacing w:before="240" w:after="60" w:line="312" w:lineRule="auto"/>
      <w:jc w:val="center"/>
      <w:outlineLvl w:val="1"/>
    </w:pPr>
    <w:rPr>
      <w:rFonts w:ascii="Tahoma" w:hAnsi="Tahoma"/>
      <w:b/>
      <w:bCs/>
      <w:kern w:val="28"/>
      <w:sz w:val="32"/>
      <w:szCs w:val="32"/>
    </w:rPr>
  </w:style>
  <w:style w:type="paragraph" w:styleId="14">
    <w:name w:val="footnote text"/>
    <w:basedOn w:val="1"/>
    <w:link w:val="28"/>
    <w:semiHidden/>
    <w:unhideWhenUsed/>
    <w:qFormat/>
    <w:uiPriority w:val="99"/>
    <w:pPr>
      <w:snapToGrid w:val="0"/>
      <w:jc w:val="left"/>
    </w:pPr>
    <w:rPr>
      <w:sz w:val="18"/>
      <w:szCs w:val="18"/>
    </w:rPr>
  </w:style>
  <w:style w:type="paragraph" w:styleId="15">
    <w:name w:val="Normal (Web)"/>
    <w:basedOn w:val="1"/>
    <w:unhideWhenUsed/>
    <w:qFormat/>
    <w:uiPriority w:val="99"/>
    <w:pPr>
      <w:widowControl/>
      <w:spacing w:before="100" w:beforeAutospacing="1" w:after="100" w:afterAutospacing="1"/>
      <w:jc w:val="left"/>
    </w:pPr>
    <w:rPr>
      <w:rFonts w:ascii="??" w:hAnsi="??" w:cs="宋体"/>
      <w:kern w:val="0"/>
      <w:sz w:val="24"/>
      <w:szCs w:val="24"/>
    </w:rPr>
  </w:style>
  <w:style w:type="paragraph" w:styleId="16">
    <w:name w:val="Body Text First Indent 2"/>
    <w:basedOn w:val="7"/>
    <w:next w:val="6"/>
    <w:unhideWhenUsed/>
    <w:qFormat/>
    <w:uiPriority w:val="99"/>
    <w:pPr>
      <w:spacing w:after="120" w:line="240" w:lineRule="auto"/>
      <w:ind w:left="420" w:leftChars="200" w:firstLine="420" w:firstLineChars="200"/>
    </w:pPr>
    <w:rPr>
      <w:sz w:val="21"/>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style>
  <w:style w:type="character" w:styleId="21">
    <w:name w:val="endnote reference"/>
    <w:basedOn w:val="19"/>
    <w:semiHidden/>
    <w:unhideWhenUsed/>
    <w:qFormat/>
    <w:uiPriority w:val="99"/>
    <w:rPr>
      <w:vertAlign w:val="superscript"/>
    </w:rPr>
  </w:style>
  <w:style w:type="character" w:styleId="22">
    <w:name w:val="page number"/>
    <w:basedOn w:val="19"/>
    <w:qFormat/>
    <w:uiPriority w:val="0"/>
  </w:style>
  <w:style w:type="character" w:styleId="23">
    <w:name w:val="footnote reference"/>
    <w:basedOn w:val="19"/>
    <w:semiHidden/>
    <w:unhideWhenUsed/>
    <w:qFormat/>
    <w:uiPriority w:val="99"/>
    <w:rPr>
      <w:vertAlign w:val="superscript"/>
    </w:rPr>
  </w:style>
  <w:style w:type="paragraph" w:styleId="24">
    <w:name w:val="List Paragraph"/>
    <w:basedOn w:val="1"/>
    <w:qFormat/>
    <w:uiPriority w:val="34"/>
    <w:pPr>
      <w:ind w:firstLine="420" w:firstLineChars="200"/>
    </w:pPr>
  </w:style>
  <w:style w:type="character" w:customStyle="1" w:styleId="25">
    <w:name w:val="标题 1 Char"/>
    <w:basedOn w:val="19"/>
    <w:link w:val="4"/>
    <w:qFormat/>
    <w:uiPriority w:val="9"/>
    <w:rPr>
      <w:b/>
      <w:bCs/>
      <w:kern w:val="44"/>
      <w:sz w:val="44"/>
      <w:szCs w:val="44"/>
    </w:rPr>
  </w:style>
  <w:style w:type="character" w:customStyle="1" w:styleId="26">
    <w:name w:val="页眉 Char"/>
    <w:basedOn w:val="19"/>
    <w:link w:val="11"/>
    <w:qFormat/>
    <w:uiPriority w:val="99"/>
    <w:rPr>
      <w:sz w:val="18"/>
      <w:szCs w:val="18"/>
    </w:rPr>
  </w:style>
  <w:style w:type="character" w:customStyle="1" w:styleId="27">
    <w:name w:val="页脚 Char"/>
    <w:basedOn w:val="19"/>
    <w:link w:val="10"/>
    <w:qFormat/>
    <w:uiPriority w:val="99"/>
    <w:rPr>
      <w:sz w:val="18"/>
      <w:szCs w:val="18"/>
    </w:rPr>
  </w:style>
  <w:style w:type="character" w:customStyle="1" w:styleId="28">
    <w:name w:val="脚注文本 Char"/>
    <w:basedOn w:val="19"/>
    <w:link w:val="14"/>
    <w:semiHidden/>
    <w:qFormat/>
    <w:uiPriority w:val="99"/>
    <w:rPr>
      <w:sz w:val="18"/>
      <w:szCs w:val="18"/>
    </w:rPr>
  </w:style>
  <w:style w:type="character" w:customStyle="1" w:styleId="29">
    <w:name w:val="尾注文本 Char"/>
    <w:basedOn w:val="19"/>
    <w:link w:val="9"/>
    <w:semiHidden/>
    <w:qFormat/>
    <w:uiPriority w:val="99"/>
  </w:style>
  <w:style w:type="paragraph" w:customStyle="1" w:styleId="30">
    <w:name w:val="+正文"/>
    <w:basedOn w:val="1"/>
    <w:qFormat/>
    <w:uiPriority w:val="0"/>
    <w:pPr>
      <w:spacing w:line="360" w:lineRule="auto"/>
      <w:ind w:firstLine="200" w:firstLineChars="200"/>
    </w:pPr>
    <w:rPr>
      <w:sz w:val="24"/>
      <w:szCs w:val="28"/>
    </w:rPr>
  </w:style>
  <w:style w:type="paragraph" w:customStyle="1" w:styleId="31">
    <w:name w:val="Table Paragraph"/>
    <w:basedOn w:val="1"/>
    <w:qFormat/>
    <w:uiPriority w:val="1"/>
    <w:rPr>
      <w:rFonts w:ascii="宋体" w:hAnsi="宋体" w:eastAsia="宋体" w:cs="宋体"/>
      <w:lang w:val="zh-CN" w:bidi="zh-CN"/>
    </w:rPr>
  </w:style>
  <w:style w:type="paragraph" w:customStyle="1" w:styleId="32">
    <w:name w:val="Default"/>
    <w:next w:val="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
    <w:name w:val="样式2"/>
    <w:basedOn w:val="1"/>
    <w:qFormat/>
    <w:uiPriority w:val="0"/>
    <w:rPr>
      <w:rFonts w:ascii="仿宋_GB2312" w:eastAsia="仿宋_GB2312"/>
      <w:sz w:val="32"/>
      <w:szCs w:val="20"/>
    </w:rPr>
  </w:style>
  <w:style w:type="paragraph" w:customStyle="1" w:styleId="34">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6D6DB4-ED0A-442A-98FC-C224C768CD09}">
  <ds:schemaRefs/>
</ds:datastoreItem>
</file>

<file path=docProps/app.xml><?xml version="1.0" encoding="utf-8"?>
<Properties xmlns="http://schemas.openxmlformats.org/officeDocument/2006/extended-properties" xmlns:vt="http://schemas.openxmlformats.org/officeDocument/2006/docPropsVTypes">
  <Template>Normal</Template>
  <Pages>79</Pages>
  <Words>156</Words>
  <Characters>179</Characters>
  <Lines>462</Lines>
  <Paragraphs>130</Paragraphs>
  <TotalTime>10</TotalTime>
  <ScaleCrop>false</ScaleCrop>
  <LinksUpToDate>false</LinksUpToDate>
  <CharactersWithSpaces>231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2021-11-26T05:55:00Z</dcterms:created>
  <dc:creator>hp</dc:creator>
  <cp:lastModifiedBy>Administrator</cp:lastModifiedBy>
  <cp:lastPrinted>2025-06-27T08:17:38Z</cp:lastPrinted>
  <dcterms:modified xsi:type="dcterms:W3CDTF">2025-06-27T08:26:10Z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C747DD842FF94D098423C7912BAED64B_13</vt:lpwstr>
  </property>
  <property fmtid="{D5CDD505-2E9C-101B-9397-08002B2CF9AE}" pid="4" name="KSOTemplateDocerSaveRecord">
    <vt:lpwstr>eyJoZGlkIjoiOTZmMTkwNWQwOTRiODRhYzY0YmM1MzQyNzk4ZGRlOWEiLCJ1c2VySWQiOiIxMDUxMjc0ODEwIn0=</vt:lpwstr>
  </property>
</Properties>
</file>