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10C1B">
      <w:pPr>
        <w:snapToGrid w:val="0"/>
        <w:spacing w:beforeLines="100" w:line="240" w:lineRule="auto"/>
        <w:jc w:val="both"/>
        <w:rPr>
          <w:rFonts w:hint="eastAsia" w:cs="Times New Roman" w:asciiTheme="minorHAnsi" w:hAnsiTheme="minorHAnsi" w:eastAsiaTheme="minorEastAsia"/>
          <w:color w:val="auto"/>
          <w:kern w:val="0"/>
          <w:sz w:val="24"/>
          <w:szCs w:val="24"/>
          <w:lang w:val="en-US" w:eastAsia="zh-CN" w:bidi="ar-SA"/>
        </w:rPr>
      </w:pPr>
      <w:bookmarkStart w:id="0" w:name="_Toc14285"/>
      <w:bookmarkStart w:id="1" w:name="_Toc30213"/>
      <w:bookmarkStart w:id="2" w:name="_Toc247085687"/>
      <w:bookmarkStart w:id="3" w:name="_Toc246996173"/>
      <w:bookmarkStart w:id="4" w:name="_Toc144974495"/>
      <w:bookmarkStart w:id="5" w:name="_Toc152042303"/>
      <w:bookmarkStart w:id="6" w:name="_Toc179632544"/>
      <w:bookmarkStart w:id="7" w:name="_Toc152045527"/>
      <w:bookmarkStart w:id="8" w:name="_Toc246996916"/>
    </w:p>
    <w:p w14:paraId="20BBB202">
      <w:pPr>
        <w:pStyle w:val="20"/>
        <w:jc w:val="center"/>
        <w:rPr>
          <w:rFonts w:hint="eastAsia" w:cs="Times New Roman"/>
          <w:color w:val="auto"/>
          <w:kern w:val="0"/>
          <w:sz w:val="36"/>
          <w:szCs w:val="36"/>
          <w:lang w:val="en-US" w:eastAsia="zh-CN" w:bidi="ar-SA"/>
        </w:rPr>
      </w:pPr>
      <w:r>
        <w:rPr>
          <w:rFonts w:hint="eastAsia" w:cs="Times New Roman"/>
          <w:color w:val="auto"/>
          <w:kern w:val="0"/>
          <w:sz w:val="36"/>
          <w:szCs w:val="36"/>
          <w:lang w:val="en-US" w:eastAsia="zh-CN" w:bidi="ar-SA"/>
        </w:rPr>
        <w:t>吉林电子信息职业技术学院</w:t>
      </w:r>
    </w:p>
    <w:p w14:paraId="2BD5C14F">
      <w:pPr>
        <w:pStyle w:val="20"/>
        <w:jc w:val="center"/>
        <w:rPr>
          <w:rFonts w:hint="default" w:cs="Times New Roman" w:asciiTheme="minorHAnsi" w:hAnsiTheme="minorHAnsi" w:eastAsiaTheme="minorEastAsia"/>
          <w:color w:val="auto"/>
          <w:kern w:val="0"/>
          <w:sz w:val="36"/>
          <w:szCs w:val="36"/>
          <w:lang w:val="en-US" w:eastAsia="zh-CN" w:bidi="ar-SA"/>
        </w:rPr>
      </w:pPr>
      <w:r>
        <w:rPr>
          <w:rFonts w:hint="eastAsia" w:cs="Times New Roman"/>
          <w:color w:val="auto"/>
          <w:kern w:val="0"/>
          <w:sz w:val="36"/>
          <w:szCs w:val="36"/>
          <w:lang w:val="en-US" w:eastAsia="zh-CN" w:bidi="ar-SA"/>
        </w:rPr>
        <w:t>特种作业高/低压电工培训考核实训室项目</w:t>
      </w:r>
    </w:p>
    <w:p w14:paraId="04DE7EBD">
      <w:pPr>
        <w:rPr>
          <w:rFonts w:hint="eastAsia"/>
          <w:color w:val="auto"/>
        </w:rPr>
      </w:pPr>
    </w:p>
    <w:p w14:paraId="0ABF55FF">
      <w:pPr>
        <w:pStyle w:val="42"/>
        <w:rPr>
          <w:rFonts w:hint="eastAsia"/>
        </w:rPr>
      </w:pPr>
    </w:p>
    <w:p w14:paraId="2959E68D">
      <w:pPr>
        <w:snapToGrid w:val="0"/>
        <w:spacing w:beforeLines="100"/>
        <w:jc w:val="center"/>
        <w:rPr>
          <w:rFonts w:hint="eastAsia" w:ascii="宋体" w:hAnsi="宋体"/>
          <w:b/>
          <w:bCs/>
          <w:color w:val="auto"/>
          <w:sz w:val="96"/>
          <w:szCs w:val="96"/>
          <w:lang w:eastAsia="zh-CN"/>
        </w:rPr>
      </w:pPr>
      <w:r>
        <w:rPr>
          <w:rFonts w:hint="eastAsia" w:ascii="宋体" w:hAnsi="宋体"/>
          <w:b/>
          <w:bCs/>
          <w:color w:val="auto"/>
          <w:sz w:val="96"/>
          <w:szCs w:val="96"/>
        </w:rPr>
        <w:t>招标文件</w:t>
      </w:r>
    </w:p>
    <w:p w14:paraId="6C3C589A">
      <w:pPr>
        <w:snapToGrid w:val="0"/>
        <w:jc w:val="center"/>
        <w:rPr>
          <w:rFonts w:hint="eastAsia" w:ascii="宋体" w:hAnsi="宋体"/>
          <w:b/>
          <w:bCs/>
          <w:color w:val="auto"/>
          <w:sz w:val="44"/>
          <w:szCs w:val="44"/>
          <w:lang w:eastAsia="zh-CN"/>
        </w:rPr>
      </w:pPr>
    </w:p>
    <w:p w14:paraId="0952172B">
      <w:pPr>
        <w:snapToGrid w:val="0"/>
        <w:rPr>
          <w:rFonts w:ascii="宋体" w:hAnsi="宋体"/>
          <w:color w:val="auto"/>
          <w:sz w:val="28"/>
          <w:szCs w:val="28"/>
        </w:rPr>
      </w:pPr>
    </w:p>
    <w:p w14:paraId="74E95A02">
      <w:pPr>
        <w:snapToGrid w:val="0"/>
        <w:rPr>
          <w:rFonts w:ascii="宋体" w:hAnsi="宋体"/>
          <w:color w:val="auto"/>
          <w:sz w:val="28"/>
          <w:szCs w:val="28"/>
        </w:rPr>
      </w:pPr>
    </w:p>
    <w:p w14:paraId="43A2DD05">
      <w:pPr>
        <w:snapToGrid w:val="0"/>
        <w:rPr>
          <w:rFonts w:ascii="宋体" w:hAnsi="宋体"/>
          <w:color w:val="auto"/>
          <w:sz w:val="28"/>
          <w:szCs w:val="28"/>
        </w:rPr>
      </w:pPr>
    </w:p>
    <w:p w14:paraId="32E6B4DB">
      <w:pPr>
        <w:pStyle w:val="12"/>
        <w:rPr>
          <w:color w:val="auto"/>
        </w:rPr>
      </w:pPr>
    </w:p>
    <w:p w14:paraId="20AA96C2">
      <w:pPr>
        <w:snapToGrid w:val="0"/>
        <w:rPr>
          <w:rFonts w:ascii="宋体" w:hAnsi="宋体"/>
          <w:color w:val="auto"/>
          <w:sz w:val="28"/>
          <w:szCs w:val="28"/>
        </w:rPr>
      </w:pPr>
    </w:p>
    <w:p w14:paraId="6646AADD">
      <w:pPr>
        <w:pStyle w:val="44"/>
        <w:rPr>
          <w:rFonts w:ascii="宋体" w:hAnsi="宋体"/>
          <w:color w:val="auto"/>
          <w:sz w:val="28"/>
          <w:szCs w:val="28"/>
        </w:rPr>
      </w:pPr>
    </w:p>
    <w:p w14:paraId="2DE4A62A">
      <w:pPr>
        <w:snapToGrid w:val="0"/>
        <w:rPr>
          <w:rFonts w:ascii="宋体" w:hAnsi="宋体"/>
          <w:color w:val="auto"/>
          <w:sz w:val="28"/>
          <w:szCs w:val="28"/>
        </w:rPr>
      </w:pPr>
    </w:p>
    <w:p w14:paraId="35E2FAF9">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rPr>
      </w:pPr>
      <w:r>
        <w:rPr>
          <w:rFonts w:hint="eastAsia" w:ascii="宋体" w:hAnsi="宋体"/>
          <w:color w:val="auto"/>
          <w:sz w:val="28"/>
          <w:szCs w:val="28"/>
          <w:highlight w:val="none"/>
        </w:rPr>
        <w:t>招标方式：公开招标</w:t>
      </w:r>
    </w:p>
    <w:p w14:paraId="430E3526">
      <w:pPr>
        <w:autoSpaceDE w:val="0"/>
        <w:autoSpaceDN w:val="0"/>
        <w:adjustRightInd w:val="0"/>
        <w:snapToGrid w:val="0"/>
        <w:spacing w:line="520" w:lineRule="exact"/>
        <w:ind w:firstLine="1960" w:firstLineChars="700"/>
        <w:jc w:val="both"/>
        <w:outlineLvl w:val="9"/>
        <w:rPr>
          <w:rFonts w:hint="eastAsia" w:ascii="宋体" w:hAnsi="宋体" w:eastAsiaTheme="minorEastAsia"/>
          <w:color w:val="auto"/>
          <w:sz w:val="28"/>
          <w:szCs w:val="28"/>
          <w:highlight w:val="none"/>
          <w:lang w:val="en-US" w:eastAsia="zh-CN"/>
        </w:rPr>
      </w:pPr>
      <w:r>
        <w:rPr>
          <w:rFonts w:hint="eastAsia" w:ascii="宋体" w:hAnsi="宋体"/>
          <w:color w:val="auto"/>
          <w:sz w:val="28"/>
          <w:szCs w:val="28"/>
          <w:highlight w:val="none"/>
          <w:lang w:val="en-US" w:eastAsia="zh-CN"/>
        </w:rPr>
        <w:t>项目</w:t>
      </w:r>
      <w:r>
        <w:rPr>
          <w:rFonts w:hint="eastAsia" w:ascii="宋体" w:hAnsi="宋体"/>
          <w:color w:val="auto"/>
          <w:sz w:val="28"/>
          <w:szCs w:val="28"/>
          <w:highlight w:val="none"/>
        </w:rPr>
        <w:t>编号：</w:t>
      </w:r>
      <w:r>
        <w:rPr>
          <w:rFonts w:hint="eastAsia" w:ascii="宋体" w:hAnsi="宋体"/>
          <w:color w:val="auto"/>
          <w:sz w:val="28"/>
          <w:szCs w:val="28"/>
          <w:highlight w:val="none"/>
          <w:lang w:eastAsia="zh-CN"/>
        </w:rPr>
        <w:t>采购计划-[2025]-06951号-01</w:t>
      </w:r>
    </w:p>
    <w:p w14:paraId="066B3E70">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标</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人：</w:t>
      </w:r>
      <w:r>
        <w:rPr>
          <w:rFonts w:hint="eastAsia" w:ascii="宋体" w:hAnsi="宋体"/>
          <w:color w:val="auto"/>
          <w:sz w:val="28"/>
          <w:szCs w:val="28"/>
          <w:highlight w:val="none"/>
          <w:lang w:eastAsia="zh-CN"/>
        </w:rPr>
        <w:t>吉林电子信息职业技术学院</w:t>
      </w:r>
    </w:p>
    <w:p w14:paraId="3CDDCAF3">
      <w:pPr>
        <w:autoSpaceDE w:val="0"/>
        <w:autoSpaceDN w:val="0"/>
        <w:adjustRightInd w:val="0"/>
        <w:snapToGrid w:val="0"/>
        <w:spacing w:line="520" w:lineRule="exact"/>
        <w:ind w:firstLine="1960" w:firstLineChars="700"/>
        <w:jc w:val="both"/>
        <w:outlineLvl w:val="9"/>
        <w:rPr>
          <w:rFonts w:hint="eastAsia" w:ascii="宋体" w:hAnsi="宋体"/>
          <w:color w:val="auto"/>
          <w:sz w:val="28"/>
          <w:szCs w:val="28"/>
          <w:highlight w:val="none"/>
          <w:lang w:eastAsia="zh-CN"/>
        </w:rPr>
      </w:pPr>
      <w:r>
        <w:rPr>
          <w:rFonts w:hint="eastAsia" w:ascii="宋体" w:hAnsi="宋体"/>
          <w:color w:val="auto"/>
          <w:sz w:val="28"/>
          <w:szCs w:val="28"/>
          <w:highlight w:val="none"/>
        </w:rPr>
        <w:t>招标代理机构：</w:t>
      </w:r>
      <w:r>
        <w:rPr>
          <w:rFonts w:hint="eastAsia" w:ascii="宋体" w:hAnsi="宋体"/>
          <w:color w:val="auto"/>
          <w:sz w:val="28"/>
          <w:szCs w:val="28"/>
          <w:highlight w:val="none"/>
          <w:lang w:eastAsia="zh-CN"/>
        </w:rPr>
        <w:t>吉林亿品工程项目管理有限公司</w:t>
      </w:r>
    </w:p>
    <w:p w14:paraId="6544A724">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p>
    <w:p w14:paraId="1C72C194">
      <w:pPr>
        <w:autoSpaceDE w:val="0"/>
        <w:autoSpaceDN w:val="0"/>
        <w:adjustRightInd w:val="0"/>
        <w:snapToGrid w:val="0"/>
        <w:spacing w:line="520" w:lineRule="exact"/>
        <w:ind w:firstLine="3360" w:firstLineChars="1200"/>
        <w:jc w:val="both"/>
        <w:outlineLvl w:val="9"/>
        <w:rPr>
          <w:rFonts w:hint="eastAsia" w:ascii="宋体" w:hAnsi="宋体"/>
          <w:color w:val="auto"/>
          <w:sz w:val="28"/>
          <w:szCs w:val="28"/>
          <w:highlight w:val="none"/>
          <w:lang w:val="zh-CN"/>
        </w:rPr>
      </w:pPr>
      <w:r>
        <w:rPr>
          <w:rFonts w:hint="eastAsia" w:ascii="宋体" w:hAnsi="宋体"/>
          <w:color w:val="auto"/>
          <w:sz w:val="28"/>
          <w:szCs w:val="28"/>
          <w:highlight w:val="none"/>
          <w:lang w:val="zh-CN"/>
        </w:rPr>
        <w:t>二〇二</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val="zh-CN"/>
        </w:rPr>
        <w:t>年</w:t>
      </w: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lang w:val="zh-CN"/>
        </w:rPr>
        <w:t>月</w:t>
      </w:r>
    </w:p>
    <w:p w14:paraId="15E09634">
      <w:pPr>
        <w:autoSpaceDE w:val="0"/>
        <w:autoSpaceDN w:val="0"/>
        <w:adjustRightInd w:val="0"/>
        <w:snapToGrid w:val="0"/>
        <w:spacing w:line="520" w:lineRule="exact"/>
        <w:jc w:val="center"/>
        <w:rPr>
          <w:rFonts w:hint="eastAsia"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14:paraId="0C9C1C56">
      <w:pPr>
        <w:autoSpaceDE w:val="0"/>
        <w:autoSpaceDN w:val="0"/>
        <w:adjustRightInd w:val="0"/>
        <w:snapToGrid w:val="0"/>
        <w:spacing w:line="520" w:lineRule="exact"/>
        <w:jc w:val="center"/>
        <w:rPr>
          <w:rFonts w:hint="eastAsia" w:ascii="宋体" w:hAnsi="宋体"/>
          <w:b/>
          <w:color w:val="auto"/>
          <w:sz w:val="44"/>
          <w:lang w:val="zh-CN"/>
        </w:rPr>
      </w:pPr>
      <w:r>
        <w:rPr>
          <w:rFonts w:hint="eastAsia" w:ascii="宋体" w:hAnsi="宋体"/>
          <w:b/>
          <w:color w:val="auto"/>
          <w:sz w:val="44"/>
          <w:lang w:val="zh-CN"/>
        </w:rPr>
        <w:t>目  录</w:t>
      </w:r>
    </w:p>
    <w:p w14:paraId="7AD14A93">
      <w:pPr>
        <w:pStyle w:val="44"/>
        <w:rPr>
          <w:color w:val="auto"/>
          <w:lang w:val="zh-CN"/>
        </w:rPr>
      </w:pPr>
    </w:p>
    <w:p w14:paraId="7D7B7AC8">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b/>
          <w:color w:val="auto"/>
          <w:sz w:val="28"/>
          <w:szCs w:val="28"/>
          <w:lang w:val="zh-CN"/>
        </w:rPr>
        <w:fldChar w:fldCharType="begin"/>
      </w:r>
      <w:r>
        <w:rPr>
          <w:rFonts w:hint="eastAsia" w:ascii="宋体" w:hAnsi="宋体" w:eastAsia="宋体" w:cs="宋体"/>
          <w:b/>
          <w:color w:val="auto"/>
          <w:sz w:val="28"/>
          <w:szCs w:val="28"/>
          <w:lang w:val="zh-CN"/>
        </w:rPr>
        <w:instrText xml:space="preserve">TOC \o "1-1" \h \u </w:instrText>
      </w:r>
      <w:r>
        <w:rPr>
          <w:rFonts w:hint="eastAsia" w:ascii="宋体" w:hAnsi="宋体" w:eastAsia="宋体" w:cs="宋体"/>
          <w:b/>
          <w:color w:val="auto"/>
          <w:sz w:val="28"/>
          <w:szCs w:val="28"/>
          <w:lang w:val="zh-CN"/>
        </w:rPr>
        <w:fldChar w:fldCharType="separate"/>
      </w: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_Toc1521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eastAsia="zh-CN"/>
        </w:rPr>
        <w:t>第一章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_Toc1521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289B74C1">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_Toc31743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第二章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475B01A7">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_Toc9393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 xml:space="preserve">第三章 </w:t>
      </w:r>
      <w:r>
        <w:rPr>
          <w:rFonts w:hint="eastAsia" w:ascii="宋体" w:hAnsi="宋体" w:eastAsia="宋体" w:cs="宋体"/>
          <w:color w:val="auto"/>
          <w:sz w:val="28"/>
          <w:szCs w:val="28"/>
        </w:rPr>
        <w:t>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_Toc9393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4D63BF46">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_Toc26551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第四章 合同条款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参考格式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_Toc26551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567EDBCE">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_Toc5903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_Toc5903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7F1BAD38">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_Toc26078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章 投标文件构成、要求及格式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_Toc26078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503C7DC5">
      <w:pPr>
        <w:pStyle w:val="19"/>
        <w:tabs>
          <w:tab w:val="right" w:leader="dot" w:pos="9581"/>
        </w:tabs>
        <w:rPr>
          <w:rFonts w:hint="eastAsia" w:ascii="宋体" w:hAnsi="宋体" w:eastAsia="宋体" w:cs="宋体"/>
          <w:color w:val="auto"/>
          <w:sz w:val="28"/>
          <w:szCs w:val="28"/>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 HYPERLINK \l _Toc25180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28"/>
          <w:szCs w:val="28"/>
          <w:lang w:val="zh-CN"/>
        </w:rPr>
        <w:t>第七章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zh-CN"/>
        </w:rPr>
        <w:t>附</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zh-CN"/>
        </w:rPr>
        <w:t>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_Toc25180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lang w:val="zh-CN"/>
        </w:rPr>
        <w:fldChar w:fldCharType="end"/>
      </w:r>
    </w:p>
    <w:p w14:paraId="5AB98B1D">
      <w:pPr>
        <w:autoSpaceDE w:val="0"/>
        <w:autoSpaceDN w:val="0"/>
        <w:adjustRightInd w:val="0"/>
        <w:snapToGrid w:val="0"/>
        <w:spacing w:beforeLines="50" w:afterLines="50" w:line="480" w:lineRule="auto"/>
        <w:ind w:firstLine="560" w:firstLineChars="200"/>
        <w:jc w:val="center"/>
        <w:rPr>
          <w:rFonts w:ascii="宋体" w:hAnsi="宋体"/>
          <w:b/>
          <w:color w:val="auto"/>
          <w:lang w:val="zh-CN"/>
        </w:rPr>
      </w:pPr>
      <w:r>
        <w:rPr>
          <w:rFonts w:hint="eastAsia" w:ascii="宋体" w:hAnsi="宋体" w:eastAsia="宋体" w:cs="宋体"/>
          <w:color w:val="auto"/>
          <w:sz w:val="28"/>
          <w:szCs w:val="28"/>
          <w:lang w:val="zh-CN"/>
        </w:rPr>
        <w:fldChar w:fldCharType="end"/>
      </w:r>
    </w:p>
    <w:p w14:paraId="1917A4AC">
      <w:pPr>
        <w:autoSpaceDE w:val="0"/>
        <w:autoSpaceDN w:val="0"/>
        <w:adjustRightInd w:val="0"/>
        <w:snapToGrid w:val="0"/>
        <w:spacing w:line="520" w:lineRule="exact"/>
        <w:jc w:val="center"/>
        <w:rPr>
          <w:rFonts w:ascii="宋体" w:hAnsi="宋体"/>
          <w:b/>
          <w:color w:val="auto"/>
          <w:lang w:val="zh-CN"/>
        </w:rPr>
      </w:pPr>
    </w:p>
    <w:p w14:paraId="4B8229C1">
      <w:pPr>
        <w:autoSpaceDE w:val="0"/>
        <w:autoSpaceDN w:val="0"/>
        <w:adjustRightInd w:val="0"/>
        <w:snapToGrid w:val="0"/>
        <w:spacing w:line="520" w:lineRule="exact"/>
        <w:jc w:val="center"/>
        <w:rPr>
          <w:rFonts w:ascii="宋体" w:hAnsi="宋体"/>
          <w:b/>
          <w:color w:val="auto"/>
          <w:lang w:val="zh-CN"/>
        </w:rPr>
      </w:pPr>
    </w:p>
    <w:p w14:paraId="0CAB0D17">
      <w:pPr>
        <w:autoSpaceDE w:val="0"/>
        <w:autoSpaceDN w:val="0"/>
        <w:adjustRightInd w:val="0"/>
        <w:snapToGrid w:val="0"/>
        <w:spacing w:line="520" w:lineRule="exact"/>
        <w:jc w:val="center"/>
        <w:rPr>
          <w:rFonts w:ascii="宋体" w:hAnsi="宋体"/>
          <w:b/>
          <w:color w:val="auto"/>
          <w:lang w:val="zh-CN"/>
        </w:rPr>
      </w:pPr>
    </w:p>
    <w:p w14:paraId="196EDFF4">
      <w:pPr>
        <w:autoSpaceDE w:val="0"/>
        <w:autoSpaceDN w:val="0"/>
        <w:adjustRightInd w:val="0"/>
        <w:snapToGrid w:val="0"/>
        <w:spacing w:line="520" w:lineRule="exact"/>
        <w:jc w:val="center"/>
        <w:rPr>
          <w:rFonts w:ascii="宋体" w:hAnsi="宋体"/>
          <w:b/>
          <w:color w:val="auto"/>
          <w:lang w:val="zh-CN"/>
        </w:rPr>
      </w:pPr>
    </w:p>
    <w:p w14:paraId="443771BC">
      <w:pPr>
        <w:autoSpaceDE w:val="0"/>
        <w:autoSpaceDN w:val="0"/>
        <w:adjustRightInd w:val="0"/>
        <w:snapToGrid w:val="0"/>
        <w:spacing w:line="520" w:lineRule="exact"/>
        <w:jc w:val="center"/>
        <w:rPr>
          <w:rFonts w:ascii="宋体" w:hAnsi="宋体"/>
          <w:b/>
          <w:color w:val="auto"/>
          <w:lang w:val="zh-CN"/>
        </w:rPr>
      </w:pPr>
    </w:p>
    <w:p w14:paraId="3D906B18">
      <w:pPr>
        <w:autoSpaceDE w:val="0"/>
        <w:autoSpaceDN w:val="0"/>
        <w:adjustRightInd w:val="0"/>
        <w:snapToGrid w:val="0"/>
        <w:spacing w:line="520" w:lineRule="exact"/>
        <w:jc w:val="center"/>
        <w:rPr>
          <w:rFonts w:ascii="宋体" w:hAnsi="宋体"/>
          <w:b/>
          <w:color w:val="auto"/>
          <w:lang w:val="zh-CN"/>
        </w:rPr>
      </w:pPr>
    </w:p>
    <w:p w14:paraId="26712F15">
      <w:pPr>
        <w:autoSpaceDE w:val="0"/>
        <w:autoSpaceDN w:val="0"/>
        <w:adjustRightInd w:val="0"/>
        <w:snapToGrid w:val="0"/>
        <w:spacing w:line="520" w:lineRule="exact"/>
        <w:jc w:val="center"/>
        <w:rPr>
          <w:rFonts w:ascii="宋体" w:hAnsi="宋体"/>
          <w:b/>
          <w:color w:val="auto"/>
          <w:lang w:val="zh-CN"/>
        </w:rPr>
      </w:pPr>
    </w:p>
    <w:p w14:paraId="34428654">
      <w:pPr>
        <w:autoSpaceDE w:val="0"/>
        <w:autoSpaceDN w:val="0"/>
        <w:adjustRightInd w:val="0"/>
        <w:snapToGrid w:val="0"/>
        <w:spacing w:line="520" w:lineRule="exact"/>
        <w:jc w:val="center"/>
        <w:rPr>
          <w:rFonts w:ascii="宋体" w:hAnsi="宋体"/>
          <w:b/>
          <w:color w:val="auto"/>
          <w:lang w:val="zh-CN"/>
        </w:rPr>
      </w:pPr>
    </w:p>
    <w:p w14:paraId="57789946">
      <w:pPr>
        <w:autoSpaceDE w:val="0"/>
        <w:autoSpaceDN w:val="0"/>
        <w:adjustRightInd w:val="0"/>
        <w:snapToGrid w:val="0"/>
        <w:spacing w:line="520" w:lineRule="exact"/>
        <w:jc w:val="center"/>
        <w:rPr>
          <w:rFonts w:ascii="宋体" w:hAnsi="宋体"/>
          <w:b/>
          <w:color w:val="auto"/>
          <w:lang w:val="zh-CN"/>
        </w:rPr>
      </w:pPr>
    </w:p>
    <w:p w14:paraId="78DC6258">
      <w:pPr>
        <w:autoSpaceDE w:val="0"/>
        <w:autoSpaceDN w:val="0"/>
        <w:adjustRightInd w:val="0"/>
        <w:snapToGrid w:val="0"/>
        <w:spacing w:line="520" w:lineRule="exact"/>
        <w:jc w:val="center"/>
        <w:rPr>
          <w:rFonts w:ascii="宋体" w:hAnsi="宋体"/>
          <w:b/>
          <w:color w:val="auto"/>
          <w:lang w:val="zh-CN"/>
        </w:rPr>
      </w:pPr>
    </w:p>
    <w:p w14:paraId="7C4A40B8">
      <w:pPr>
        <w:pStyle w:val="3"/>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14:paraId="778CD982">
      <w:pPr>
        <w:pStyle w:val="3"/>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40"/>
          <w:szCs w:val="40"/>
        </w:rPr>
      </w:pPr>
      <w:bookmarkStart w:id="9" w:name="_Toc30283"/>
      <w:bookmarkStart w:id="10" w:name="_Toc1521"/>
      <w:bookmarkStart w:id="11" w:name="_Toc17815"/>
      <w:bookmarkStart w:id="12" w:name="_Toc30082"/>
      <w:bookmarkStart w:id="13" w:name="_Toc5268"/>
      <w:r>
        <w:rPr>
          <w:rFonts w:hint="eastAsia"/>
          <w:color w:val="auto"/>
          <w:sz w:val="40"/>
          <w:szCs w:val="40"/>
          <w:lang w:eastAsia="zh-CN"/>
        </w:rPr>
        <w:t>第一章</w:t>
      </w:r>
      <w:r>
        <w:rPr>
          <w:rFonts w:hint="eastAsia"/>
          <w:color w:val="auto"/>
          <w:sz w:val="40"/>
          <w:szCs w:val="40"/>
          <w:lang w:val="en-US" w:eastAsia="zh-CN"/>
        </w:rPr>
        <w:t xml:space="preserve"> </w:t>
      </w:r>
      <w:r>
        <w:rPr>
          <w:rFonts w:hint="eastAsia"/>
          <w:color w:val="auto"/>
          <w:sz w:val="40"/>
          <w:szCs w:val="40"/>
        </w:rPr>
        <w:t>招标公告</w:t>
      </w:r>
      <w:bookmarkEnd w:id="9"/>
      <w:bookmarkEnd w:id="10"/>
    </w:p>
    <w:p w14:paraId="163A16E0">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项目概况</w:t>
      </w:r>
    </w:p>
    <w:p w14:paraId="415CA7E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highlight w:val="none"/>
          <w:lang w:val="en-US" w:eastAsia="zh-CN"/>
        </w:rPr>
        <w:t>吉林电子信息职业技术学院特种作业高/低压电工培训考核实训室项目</w:t>
      </w:r>
      <w:r>
        <w:rPr>
          <w:rFonts w:hint="eastAsia" w:ascii="宋体" w:hAnsi="宋体" w:eastAsia="宋体" w:cs="宋体"/>
          <w:color w:val="auto"/>
          <w:sz w:val="24"/>
          <w:szCs w:val="24"/>
          <w:highlight w:val="none"/>
        </w:rPr>
        <w:t>的潜在投标人应在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eastAsia="zh-CN"/>
        </w:rPr>
        <w:t>2025年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0分</w:t>
      </w:r>
      <w:r>
        <w:rPr>
          <w:rFonts w:hint="eastAsia" w:ascii="宋体" w:hAnsi="宋体" w:eastAsia="宋体" w:cs="宋体"/>
          <w:color w:val="auto"/>
          <w:sz w:val="24"/>
          <w:szCs w:val="24"/>
          <w:highlight w:val="none"/>
        </w:rPr>
        <w:t>（北京时间）前递交投标文件</w:t>
      </w:r>
      <w:r>
        <w:rPr>
          <w:rFonts w:hint="eastAsia" w:ascii="宋体" w:hAnsi="宋体" w:eastAsia="宋体" w:cs="宋体"/>
          <w:bCs/>
          <w:color w:val="auto"/>
          <w:sz w:val="24"/>
          <w:szCs w:val="24"/>
          <w:highlight w:val="none"/>
          <w:lang w:eastAsia="zh-CN"/>
        </w:rPr>
        <w:t>。</w:t>
      </w:r>
    </w:p>
    <w:p w14:paraId="6A6E3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4" w:name="_Toc35393621"/>
      <w:bookmarkStart w:id="15" w:name="_Toc28359002"/>
      <w:bookmarkStart w:id="16" w:name="_Toc28359079"/>
      <w:bookmarkStart w:id="17" w:name="_Toc35393790"/>
      <w:bookmarkStart w:id="18" w:name="_Hlk24379207"/>
      <w:r>
        <w:rPr>
          <w:rFonts w:hint="eastAsia" w:ascii="宋体" w:hAnsi="宋体" w:eastAsia="宋体" w:cs="宋体"/>
          <w:b/>
          <w:bCs/>
          <w:i w:val="0"/>
          <w:caps w:val="0"/>
          <w:color w:val="auto"/>
          <w:spacing w:val="0"/>
          <w:kern w:val="0"/>
          <w:sz w:val="24"/>
          <w:szCs w:val="24"/>
          <w:lang w:val="en-US" w:eastAsia="zh-CN" w:bidi="ar"/>
        </w:rPr>
        <w:t>一、项目基本情况</w:t>
      </w:r>
      <w:bookmarkEnd w:id="14"/>
      <w:bookmarkEnd w:id="15"/>
      <w:bookmarkEnd w:id="16"/>
      <w:bookmarkEnd w:id="17"/>
    </w:p>
    <w:p w14:paraId="49543A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项目编号：采购计划-[2025]-06951号-01；</w:t>
      </w:r>
    </w:p>
    <w:p w14:paraId="7F343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项目名称：</w:t>
      </w:r>
      <w:bookmarkEnd w:id="18"/>
      <w:r>
        <w:rPr>
          <w:rFonts w:hint="eastAsia" w:ascii="宋体" w:hAnsi="宋体" w:eastAsia="宋体" w:cs="宋体"/>
          <w:b w:val="0"/>
          <w:i w:val="0"/>
          <w:caps w:val="0"/>
          <w:color w:val="auto"/>
          <w:spacing w:val="0"/>
          <w:kern w:val="0"/>
          <w:sz w:val="24"/>
          <w:szCs w:val="24"/>
          <w:lang w:val="en-US" w:eastAsia="zh-CN" w:bidi="ar"/>
        </w:rPr>
        <w:t>吉林电子信息职业技术学院特种作业高/低压电工培训考核实训室项目；</w:t>
      </w:r>
    </w:p>
    <w:p w14:paraId="59BC8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 w:val="0"/>
          <w:i w:val="0"/>
          <w:caps w:val="0"/>
          <w:color w:val="auto"/>
          <w:spacing w:val="0"/>
          <w:kern w:val="0"/>
          <w:sz w:val="24"/>
          <w:szCs w:val="24"/>
          <w:lang w:val="en-US" w:eastAsia="zh-CN" w:bidi="ar"/>
        </w:rPr>
        <w:t>采购方式：</w:t>
      </w:r>
      <w:r>
        <w:rPr>
          <w:rFonts w:hint="eastAsia" w:ascii="宋体" w:hAnsi="宋体" w:eastAsia="宋体" w:cs="宋体"/>
          <w:b w:val="0"/>
          <w:i w:val="0"/>
          <w:caps w:val="0"/>
          <w:color w:val="auto"/>
          <w:spacing w:val="0"/>
          <w:kern w:val="0"/>
          <w:sz w:val="24"/>
          <w:szCs w:val="24"/>
          <w:highlight w:val="none"/>
          <w:lang w:val="en-US" w:eastAsia="zh-CN" w:bidi="ar"/>
        </w:rPr>
        <w:t>公开招标；</w:t>
      </w:r>
    </w:p>
    <w:p w14:paraId="4A38E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采购</w:t>
      </w:r>
      <w:r>
        <w:rPr>
          <w:rFonts w:hint="eastAsia" w:ascii="宋体" w:hAnsi="宋体" w:eastAsia="宋体" w:cs="宋体"/>
          <w:b w:val="0"/>
          <w:i w:val="0"/>
          <w:caps w:val="0"/>
          <w:color w:val="auto"/>
          <w:spacing w:val="0"/>
          <w:kern w:val="0"/>
          <w:sz w:val="24"/>
          <w:szCs w:val="24"/>
          <w:highlight w:val="none"/>
          <w:lang w:val="en-US" w:eastAsia="zh-CN" w:bidi="ar"/>
        </w:rPr>
        <w:t>任务书编号：采购计划-[2025]-06951号；</w:t>
      </w:r>
    </w:p>
    <w:p w14:paraId="0871D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预算金额(最高限价)：780000 元；</w:t>
      </w:r>
    </w:p>
    <w:p w14:paraId="2AC7B2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标包划分：本项目共划分一个包：</w:t>
      </w:r>
    </w:p>
    <w:p w14:paraId="54C644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合同履行期限/供货期：自合同签订之日起 45内；</w:t>
      </w:r>
    </w:p>
    <w:p w14:paraId="680BD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outlineLvl w:val="9"/>
        <w:rPr>
          <w:rFonts w:hint="default" w:ascii="宋体" w:hAnsi="宋体" w:cs="宋体" w:eastAsiaTheme="minorEastAsia"/>
          <w:b w:val="0"/>
          <w:i w:val="0"/>
          <w:caps w:val="0"/>
          <w:color w:val="auto"/>
          <w:spacing w:val="0"/>
          <w:kern w:val="0"/>
          <w:sz w:val="24"/>
          <w:szCs w:val="24"/>
          <w:highlight w:val="none"/>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质量标准：</w:t>
      </w:r>
      <w:r>
        <w:rPr>
          <w:rFonts w:hint="eastAsia" w:ascii="宋体" w:hAnsi="宋体" w:cs="宋体"/>
          <w:b w:val="0"/>
          <w:i w:val="0"/>
          <w:caps w:val="0"/>
          <w:color w:val="auto"/>
          <w:spacing w:val="0"/>
          <w:kern w:val="0"/>
          <w:sz w:val="24"/>
          <w:szCs w:val="24"/>
          <w:highlight w:val="none"/>
          <w:lang w:val="en-US" w:eastAsia="zh-CN" w:bidi="ar"/>
        </w:rPr>
        <w:t>符合国家及相关行业要求的合格标准，</w:t>
      </w:r>
      <w:r>
        <w:rPr>
          <w:rFonts w:hint="eastAsia" w:ascii="宋体" w:hAnsi="宋体" w:cs="宋体"/>
          <w:color w:val="auto"/>
          <w:sz w:val="24"/>
        </w:rPr>
        <w:t>并达到采购人的验收标准</w:t>
      </w:r>
      <w:r>
        <w:rPr>
          <w:rFonts w:hint="eastAsia" w:ascii="宋体" w:hAnsi="宋体" w:cs="宋体"/>
          <w:color w:val="auto"/>
          <w:sz w:val="24"/>
          <w:lang w:eastAsia="zh-CN"/>
        </w:rPr>
        <w:t>；</w:t>
      </w:r>
    </w:p>
    <w:p w14:paraId="4E0012CD">
      <w:pPr>
        <w:widowControl/>
        <w:spacing w:line="360" w:lineRule="auto"/>
        <w:ind w:firstLine="480" w:firstLineChars="200"/>
        <w:outlineLvl w:val="9"/>
        <w:rPr>
          <w:rFonts w:hint="eastAsia" w:eastAsia="宋体"/>
          <w:color w:val="auto"/>
          <w:kern w:val="0"/>
          <w:sz w:val="24"/>
          <w:highlight w:val="none"/>
          <w:lang w:eastAsia="zh-CN" w:bidi="ar"/>
        </w:rPr>
      </w:pPr>
      <w:r>
        <w:rPr>
          <w:rFonts w:hint="eastAsia"/>
          <w:color w:val="auto"/>
          <w:kern w:val="0"/>
          <w:sz w:val="24"/>
          <w:highlight w:val="none"/>
          <w:lang w:val="en-US" w:eastAsia="zh-CN" w:bidi="ar"/>
        </w:rPr>
        <w:t>供货</w:t>
      </w:r>
      <w:r>
        <w:rPr>
          <w:color w:val="auto"/>
          <w:kern w:val="0"/>
          <w:sz w:val="24"/>
          <w:highlight w:val="none"/>
          <w:lang w:bidi="ar"/>
        </w:rPr>
        <w:t>地点：</w:t>
      </w:r>
      <w:r>
        <w:rPr>
          <w:rFonts w:hint="eastAsia"/>
          <w:color w:val="auto"/>
          <w:kern w:val="0"/>
          <w:sz w:val="24"/>
          <w:highlight w:val="none"/>
          <w:lang w:eastAsia="zh-CN" w:bidi="ar"/>
        </w:rPr>
        <w:t>吉林电子信息职业技术学院</w:t>
      </w:r>
      <w:r>
        <w:rPr>
          <w:color w:val="auto"/>
          <w:kern w:val="0"/>
          <w:sz w:val="24"/>
          <w:highlight w:val="none"/>
          <w:lang w:bidi="ar"/>
        </w:rPr>
        <w:t>指定地点</w:t>
      </w:r>
      <w:r>
        <w:rPr>
          <w:rFonts w:hint="eastAsia"/>
          <w:color w:val="auto"/>
          <w:kern w:val="0"/>
          <w:sz w:val="24"/>
          <w:highlight w:val="none"/>
          <w:lang w:eastAsia="zh-CN" w:bidi="ar"/>
        </w:rPr>
        <w:t>；</w:t>
      </w:r>
    </w:p>
    <w:p w14:paraId="7F469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highlight w:val="none"/>
          <w:lang w:val="en-US" w:eastAsia="zh-CN" w:bidi="ar"/>
        </w:rPr>
        <w:t>本项目不接受联合体投标</w:t>
      </w:r>
      <w:r>
        <w:rPr>
          <w:rFonts w:hint="eastAsia" w:ascii="宋体" w:hAnsi="宋体" w:eastAsia="宋体" w:cs="宋体"/>
          <w:b w:val="0"/>
          <w:i w:val="0"/>
          <w:caps w:val="0"/>
          <w:color w:val="auto"/>
          <w:spacing w:val="0"/>
          <w:kern w:val="0"/>
          <w:sz w:val="24"/>
          <w:szCs w:val="24"/>
          <w:lang w:val="en-US" w:eastAsia="zh-CN" w:bidi="ar"/>
        </w:rPr>
        <w:t>。</w:t>
      </w:r>
    </w:p>
    <w:p w14:paraId="44E7C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i w:val="0"/>
          <w:caps w:val="0"/>
          <w:color w:val="auto"/>
          <w:spacing w:val="0"/>
          <w:kern w:val="0"/>
          <w:sz w:val="24"/>
          <w:szCs w:val="24"/>
          <w:lang w:val="en-US" w:eastAsia="zh-CN" w:bidi="ar"/>
        </w:rPr>
      </w:pPr>
      <w:bookmarkStart w:id="19" w:name="_Toc28359003"/>
      <w:bookmarkStart w:id="20" w:name="_Toc28359080"/>
      <w:bookmarkStart w:id="21" w:name="_Toc35393622"/>
      <w:bookmarkStart w:id="22" w:name="_Toc35393791"/>
      <w:r>
        <w:rPr>
          <w:rFonts w:hint="eastAsia" w:ascii="宋体" w:hAnsi="宋体" w:eastAsia="宋体" w:cs="宋体"/>
          <w:b/>
          <w:bCs/>
          <w:i w:val="0"/>
          <w:caps w:val="0"/>
          <w:color w:val="auto"/>
          <w:spacing w:val="0"/>
          <w:kern w:val="0"/>
          <w:sz w:val="24"/>
          <w:szCs w:val="24"/>
          <w:lang w:val="en-US" w:eastAsia="zh-CN" w:bidi="ar"/>
        </w:rPr>
        <w:t>二、申请人的资格要求：</w:t>
      </w:r>
      <w:bookmarkEnd w:id="19"/>
      <w:bookmarkEnd w:id="20"/>
      <w:bookmarkEnd w:id="21"/>
      <w:bookmarkEnd w:id="22"/>
    </w:p>
    <w:p w14:paraId="5E8AB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bookmarkStart w:id="23" w:name="_Toc28359004"/>
      <w:bookmarkStart w:id="24" w:name="_Toc28359081"/>
      <w:bookmarkStart w:id="25" w:name="_Toc35393792"/>
      <w:bookmarkStart w:id="26" w:name="_Toc35393623"/>
      <w:r>
        <w:rPr>
          <w:rFonts w:hint="eastAsia" w:ascii="宋体" w:hAnsi="宋体" w:eastAsia="宋体" w:cs="宋体"/>
          <w:b w:val="0"/>
          <w:i w:val="0"/>
          <w:caps w:val="0"/>
          <w:color w:val="auto"/>
          <w:spacing w:val="0"/>
          <w:kern w:val="0"/>
          <w:sz w:val="24"/>
          <w:szCs w:val="24"/>
          <w:lang w:val="en-US" w:eastAsia="zh-CN" w:bidi="ar"/>
        </w:rPr>
        <w:t>1.满足《中华人民共和国政府采购法》第二十二条规定；</w:t>
      </w:r>
    </w:p>
    <w:p w14:paraId="1003A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2.落实政府采购政策需满足的资格要求：</w:t>
      </w:r>
      <w:r>
        <w:rPr>
          <w:rFonts w:hint="eastAsia" w:ascii="宋体" w:hAnsi="宋体" w:eastAsia="宋体" w:cs="宋体"/>
          <w:b w:val="0"/>
          <w:i w:val="0"/>
          <w:caps w:val="0"/>
          <w:color w:val="auto"/>
          <w:spacing w:val="0"/>
          <w:kern w:val="0"/>
          <w:sz w:val="24"/>
          <w:szCs w:val="24"/>
          <w:highlight w:val="none"/>
          <w:lang w:val="en-US" w:eastAsia="zh-CN" w:bidi="ar"/>
        </w:rPr>
        <w:t>本项目非专门面向中小企业采购。</w:t>
      </w:r>
    </w:p>
    <w:p w14:paraId="2F92D9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73246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3.本项目的特定资格要求：</w:t>
      </w:r>
    </w:p>
    <w:p w14:paraId="505A4B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（1）投标人须是具备有效营业执照的独立法人或其他组织；</w:t>
      </w:r>
    </w:p>
    <w:p w14:paraId="025B67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（2）投标人提供2024年经会计师事务所或审计机构出具的财务审计报告或提供其基本开户银行在投标截止日前六个月内出具的资信证明（银行出具的存款证明不能替代银行资信证明）；</w:t>
      </w:r>
    </w:p>
    <w:p w14:paraId="22C5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（3）投标人提供近一年（2025年01月至今）任意一个月的依法纳税证明(依法免税的投标人可提供相应文件证明其依法免税)；</w:t>
      </w:r>
    </w:p>
    <w:p w14:paraId="0E92A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（4）投标人提供近一年（2025年01月至今）任意一个月的依法缴纳社会保障资金的证明(依法不需要缴纳社会保障资金的投标人可提供相应文件证明其依法不需要缴纳社会保障资金)；</w:t>
      </w:r>
    </w:p>
    <w:p w14:paraId="3AD9C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14:paraId="1080EC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（6）本项目不接受联合体投标，不接受合同分包；</w:t>
      </w:r>
    </w:p>
    <w:p w14:paraId="4C7B1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14:paraId="03DA3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i w:val="0"/>
          <w:caps w:val="0"/>
          <w:color w:val="auto"/>
          <w:spacing w:val="0"/>
          <w:kern w:val="0"/>
          <w:sz w:val="24"/>
          <w:szCs w:val="24"/>
          <w:lang w:val="en-US" w:eastAsia="zh-CN" w:bidi="ar"/>
        </w:rPr>
      </w:pPr>
      <w:r>
        <w:rPr>
          <w:rFonts w:hint="eastAsia" w:ascii="宋体" w:hAnsi="宋体" w:eastAsia="宋体" w:cs="宋体"/>
          <w:b w:val="0"/>
          <w:i w:val="0"/>
          <w:caps w:val="0"/>
          <w:color w:val="auto"/>
          <w:spacing w:val="0"/>
          <w:kern w:val="0"/>
          <w:sz w:val="24"/>
          <w:szCs w:val="24"/>
          <w:lang w:val="en-US" w:eastAsia="zh-CN" w:bidi="ar"/>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bookmarkEnd w:id="23"/>
    <w:bookmarkEnd w:id="24"/>
    <w:bookmarkEnd w:id="25"/>
    <w:bookmarkEnd w:id="26"/>
    <w:p w14:paraId="087EA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三、获取招标文件</w:t>
      </w:r>
    </w:p>
    <w:p w14:paraId="46732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27" w:name="_Toc28359005"/>
      <w:bookmarkStart w:id="28" w:name="_Toc28359082"/>
      <w:bookmarkStart w:id="29" w:name="_Toc35393624"/>
      <w:bookmarkStart w:id="30" w:name="_Toc35393793"/>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，每天上午00时00分至23时59分（北京时间，法定节假日</w:t>
      </w:r>
      <w:r>
        <w:rPr>
          <w:rFonts w:hint="eastAsia" w:ascii="宋体" w:hAnsi="宋体" w:eastAsia="宋体" w:cs="宋体"/>
          <w:color w:val="auto"/>
          <w:sz w:val="24"/>
          <w:szCs w:val="24"/>
          <w:highlight w:val="none"/>
          <w:lang w:eastAsia="zh-CN"/>
        </w:rPr>
        <w:t>、休息日</w:t>
      </w:r>
      <w:r>
        <w:rPr>
          <w:rFonts w:hint="eastAsia" w:ascii="宋体" w:hAnsi="宋体" w:eastAsia="宋体" w:cs="宋体"/>
          <w:color w:val="auto"/>
          <w:sz w:val="24"/>
          <w:szCs w:val="24"/>
          <w:highlight w:val="none"/>
        </w:rPr>
        <w:t>除外）</w:t>
      </w:r>
      <w:r>
        <w:rPr>
          <w:rFonts w:hint="eastAsia" w:ascii="宋体" w:hAnsi="宋体" w:eastAsia="宋体" w:cs="宋体"/>
          <w:color w:val="auto"/>
          <w:sz w:val="24"/>
          <w:szCs w:val="24"/>
          <w:highlight w:val="none"/>
          <w:lang w:eastAsia="zh-CN"/>
        </w:rPr>
        <w:t>。</w:t>
      </w:r>
    </w:p>
    <w:p w14:paraId="53A2E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地点：</w:t>
      </w:r>
      <w:r>
        <w:rPr>
          <w:rFonts w:hint="eastAsia" w:ascii="宋体" w:hAnsi="宋体" w:eastAsia="宋体" w:cs="宋体"/>
          <w:color w:val="auto"/>
          <w:sz w:val="24"/>
          <w:szCs w:val="24"/>
          <w:highlight w:val="none"/>
          <w:lang w:val="en-US" w:eastAsia="zh-CN"/>
        </w:rPr>
        <w:t>“政采云”平台（https://www.zcygov.cn/）</w:t>
      </w:r>
    </w:p>
    <w:p w14:paraId="0B7BA1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方式：网上下载。潜在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p>
    <w:p w14:paraId="059826E5">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售价：</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元</w:t>
      </w:r>
      <w:r>
        <w:rPr>
          <w:rFonts w:hint="eastAsia" w:ascii="宋体" w:hAnsi="宋体" w:eastAsia="宋体" w:cs="宋体"/>
          <w:color w:val="auto"/>
          <w:sz w:val="24"/>
          <w:szCs w:val="24"/>
          <w:highlight w:val="none"/>
          <w:lang w:eastAsia="zh-CN"/>
        </w:rPr>
        <w:t>。</w:t>
      </w:r>
    </w:p>
    <w:p w14:paraId="469A3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四、提交投标文件</w:t>
      </w:r>
      <w:bookmarkEnd w:id="27"/>
      <w:bookmarkEnd w:id="28"/>
      <w:r>
        <w:rPr>
          <w:rFonts w:hint="eastAsia" w:ascii="宋体" w:hAnsi="宋体" w:eastAsia="宋体" w:cs="宋体"/>
          <w:b/>
          <w:bCs/>
          <w:i w:val="0"/>
          <w:caps w:val="0"/>
          <w:color w:val="auto"/>
          <w:spacing w:val="0"/>
          <w:kern w:val="0"/>
          <w:sz w:val="24"/>
          <w:szCs w:val="24"/>
          <w:highlight w:val="none"/>
          <w:lang w:val="en-US" w:eastAsia="zh-CN" w:bidi="ar"/>
        </w:rPr>
        <w:t>截止时间、开标时间和地点</w:t>
      </w:r>
      <w:bookmarkEnd w:id="29"/>
      <w:bookmarkEnd w:id="30"/>
      <w:bookmarkStart w:id="31" w:name="_Toc35393625"/>
      <w:bookmarkStart w:id="32" w:name="_Toc28359007"/>
      <w:bookmarkStart w:id="33" w:name="_Toc35393794"/>
      <w:bookmarkStart w:id="34" w:name="_Toc28359084"/>
    </w:p>
    <w:p w14:paraId="310D712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截止时间：2025年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点</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0分（北京时间）。</w:t>
      </w:r>
    </w:p>
    <w:p w14:paraId="630D2527">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2.地点：二道区长春市二道区洋浦大街6669号凯利中心AB栋101开标二室（长春市同晟科技有限公司）</w:t>
      </w:r>
      <w:r>
        <w:rPr>
          <w:rFonts w:hint="eastAsia" w:ascii="宋体" w:hAnsi="宋体" w:cs="宋体"/>
          <w:color w:val="auto"/>
          <w:sz w:val="24"/>
          <w:szCs w:val="24"/>
          <w:highlight w:val="none"/>
          <w:lang w:val="en-US" w:eastAsia="zh-CN"/>
        </w:rPr>
        <w:t>。</w:t>
      </w:r>
    </w:p>
    <w:p w14:paraId="52DA0B42">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交方式：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14:paraId="52EF230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若对“政采云”电子交易系统操作有疑问，可登录“政采云”（https://www.zcygov.cn/），点击右侧咨询小采或拨打政采云服务热线95763获取服务帮助</w:t>
      </w:r>
      <w:r>
        <w:rPr>
          <w:rFonts w:hint="eastAsia" w:ascii="宋体" w:hAnsi="宋体" w:eastAsia="宋体" w:cs="宋体"/>
          <w:color w:val="auto"/>
          <w:sz w:val="24"/>
          <w:szCs w:val="24"/>
          <w:highlight w:val="none"/>
        </w:rPr>
        <w:t>。</w:t>
      </w:r>
    </w:p>
    <w:p w14:paraId="3D8B8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五、公告期限</w:t>
      </w:r>
      <w:bookmarkEnd w:id="31"/>
      <w:bookmarkEnd w:id="32"/>
      <w:bookmarkEnd w:id="33"/>
      <w:bookmarkEnd w:id="34"/>
      <w:bookmarkStart w:id="35" w:name="_Toc35393626"/>
      <w:bookmarkStart w:id="36" w:name="_Toc35393795"/>
    </w:p>
    <w:p w14:paraId="456CDB9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48544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六、其他补充事宜</w:t>
      </w:r>
      <w:bookmarkEnd w:id="35"/>
      <w:bookmarkEnd w:id="36"/>
    </w:p>
    <w:p w14:paraId="327FDD4E">
      <w:pPr>
        <w:spacing w:line="360" w:lineRule="auto"/>
        <w:ind w:firstLine="480" w:firstLineChars="200"/>
        <w:outlineLvl w:val="9"/>
        <w:rPr>
          <w:rFonts w:hint="eastAsia" w:ascii="宋体" w:hAnsi="宋体" w:eastAsia="宋体" w:cs="宋体"/>
          <w:color w:val="auto"/>
          <w:sz w:val="24"/>
          <w:szCs w:val="24"/>
          <w:highlight w:val="none"/>
        </w:rPr>
      </w:pPr>
      <w:bookmarkStart w:id="37" w:name="_Toc28359085"/>
      <w:bookmarkStart w:id="38" w:name="_Toc35393796"/>
      <w:bookmarkStart w:id="39" w:name="_Toc35393627"/>
      <w:bookmarkStart w:id="40" w:name="_Toc28359008"/>
      <w:r>
        <w:rPr>
          <w:rFonts w:hint="eastAsia" w:ascii="宋体" w:hAnsi="宋体" w:eastAsia="宋体" w:cs="宋体"/>
          <w:color w:val="auto"/>
          <w:sz w:val="24"/>
          <w:szCs w:val="24"/>
          <w:highlight w:val="none"/>
        </w:rPr>
        <w:t>1.本次招标公告在政采云平台（https://www.zcygov.cn/）（同步推送至吉林省公共资源交易公共服务平台、吉林省政府采购网、中国政府采购网）发布；</w:t>
      </w:r>
    </w:p>
    <w:p w14:paraId="47895849">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2.有效投标人不足三家时，采购人另行组织招标；</w:t>
      </w:r>
    </w:p>
    <w:p w14:paraId="2A4ACFA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3.当投标人的有效投标报价超出采购预算时，该投标报价视为无效报价。</w:t>
      </w:r>
    </w:p>
    <w:p w14:paraId="61317E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9"/>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eastAsia="宋体" w:cs="宋体"/>
          <w:b/>
          <w:bCs/>
          <w:i w:val="0"/>
          <w:caps w:val="0"/>
          <w:color w:val="auto"/>
          <w:spacing w:val="0"/>
          <w:kern w:val="0"/>
          <w:sz w:val="24"/>
          <w:szCs w:val="24"/>
          <w:highlight w:val="none"/>
          <w:lang w:val="en-US" w:eastAsia="zh-CN" w:bidi="ar"/>
        </w:rPr>
        <w:t>七、对本次招标提出询问，请按以下方式联系</w:t>
      </w:r>
      <w:bookmarkEnd w:id="37"/>
      <w:bookmarkEnd w:id="38"/>
      <w:bookmarkEnd w:id="39"/>
      <w:bookmarkEnd w:id="40"/>
    </w:p>
    <w:p w14:paraId="7436381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1.采购人信息</w:t>
      </w:r>
    </w:p>
    <w:p w14:paraId="25CC134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名称：吉林电子信息职业技术学院</w:t>
      </w:r>
    </w:p>
    <w:p w14:paraId="7D1FAB0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地址：吉林市龙潭区长青路24号</w:t>
      </w:r>
    </w:p>
    <w:p w14:paraId="7551FC4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联系人：张雷</w:t>
      </w:r>
    </w:p>
    <w:p w14:paraId="26A6154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联系电话：15567548123</w:t>
      </w:r>
    </w:p>
    <w:p w14:paraId="4C0C8B5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2.采购代理机构信息</w:t>
      </w:r>
    </w:p>
    <w:p w14:paraId="73050292">
      <w:pPr>
        <w:spacing w:line="360" w:lineRule="auto"/>
        <w:ind w:firstLine="480" w:firstLineChars="200"/>
        <w:rPr>
          <w:rFonts w:hint="eastAsia" w:ascii="宋体" w:hAnsi="宋体" w:eastAsia="宋体" w:cs="宋体"/>
          <w:color w:val="auto"/>
          <w:sz w:val="24"/>
          <w:highlight w:val="none"/>
          <w:lang w:val="en-US" w:eastAsia="zh-CN"/>
        </w:rPr>
      </w:pPr>
      <w:bookmarkStart w:id="41" w:name="_Toc19115"/>
      <w:bookmarkStart w:id="42" w:name="_Toc24773"/>
      <w:bookmarkStart w:id="43" w:name="_Toc7118"/>
      <w:r>
        <w:rPr>
          <w:rFonts w:hint="eastAsia" w:ascii="宋体" w:hAnsi="宋体" w:eastAsia="宋体" w:cs="宋体"/>
          <w:color w:val="auto"/>
          <w:sz w:val="24"/>
          <w:highlight w:val="none"/>
          <w:lang w:val="en-US" w:eastAsia="zh-CN"/>
        </w:rPr>
        <w:t>采购代理机构：吉林亿品工程项目管理有限公司</w:t>
      </w:r>
    </w:p>
    <w:p w14:paraId="7B867EF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联系方式：张舒迪 3024252375@qq.com</w:t>
      </w:r>
    </w:p>
    <w:p w14:paraId="02FFCB5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联系电话：15044059166（办公电话）</w:t>
      </w:r>
    </w:p>
    <w:p w14:paraId="30CAF63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联系地址：长春市高新区华光街与荷园路交汇安联国际1267号-1</w:t>
      </w:r>
    </w:p>
    <w:bookmarkEnd w:id="41"/>
    <w:bookmarkEnd w:id="42"/>
    <w:bookmarkEnd w:id="43"/>
    <w:p w14:paraId="7FC2398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监督部门：吉林省财政厅政府采购管理处</w:t>
      </w:r>
    </w:p>
    <w:p w14:paraId="3636991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55527B2F">
      <w:pPr>
        <w:pStyle w:val="3"/>
        <w:bidi w:val="0"/>
        <w:spacing w:line="240" w:lineRule="auto"/>
        <w:jc w:val="center"/>
        <w:rPr>
          <w:rFonts w:hint="eastAsia"/>
          <w:color w:val="auto"/>
        </w:rPr>
        <w:sectPr>
          <w:headerReference r:id="rId4" w:type="default"/>
          <w:footerReference r:id="rId5" w:type="default"/>
          <w:pgSz w:w="11906" w:h="16838"/>
          <w:pgMar w:top="1134" w:right="1134" w:bottom="1088" w:left="1361" w:header="907" w:footer="794" w:gutter="0"/>
          <w:pgBorders>
            <w:top w:val="none" w:sz="0" w:space="0"/>
            <w:left w:val="none" w:sz="0" w:space="0"/>
            <w:bottom w:val="none" w:sz="0" w:space="0"/>
            <w:right w:val="none" w:sz="0" w:space="0"/>
          </w:pgBorders>
          <w:pgNumType w:fmt="decimal"/>
          <w:cols w:space="720" w:num="1"/>
          <w:docGrid w:type="lines" w:linePitch="312" w:charSpace="0"/>
        </w:sectPr>
      </w:pPr>
      <w:bookmarkStart w:id="44" w:name="_Toc31743"/>
      <w:bookmarkStart w:id="45" w:name="_Toc17878"/>
    </w:p>
    <w:p w14:paraId="07E6C5E7">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第二章 投标人须知</w:t>
      </w:r>
      <w:bookmarkEnd w:id="2"/>
      <w:bookmarkEnd w:id="3"/>
      <w:bookmarkEnd w:id="4"/>
      <w:bookmarkEnd w:id="5"/>
      <w:bookmarkEnd w:id="6"/>
      <w:bookmarkEnd w:id="7"/>
      <w:bookmarkEnd w:id="8"/>
      <w:bookmarkEnd w:id="11"/>
      <w:bookmarkEnd w:id="12"/>
      <w:bookmarkEnd w:id="13"/>
      <w:bookmarkEnd w:id="44"/>
      <w:bookmarkEnd w:id="45"/>
    </w:p>
    <w:p w14:paraId="0409277B">
      <w:pPr>
        <w:autoSpaceDE w:val="0"/>
        <w:autoSpaceDN w:val="0"/>
        <w:adjustRightInd w:val="0"/>
        <w:snapToGrid w:val="0"/>
        <w:spacing w:line="240" w:lineRule="auto"/>
        <w:jc w:val="center"/>
        <w:outlineLvl w:val="1"/>
        <w:rPr>
          <w:rFonts w:hint="eastAsia" w:ascii="宋体" w:hAnsi="宋体" w:cs="宋体"/>
          <w:b/>
          <w:color w:val="auto"/>
          <w:sz w:val="30"/>
          <w:lang w:val="zh-CN"/>
        </w:rPr>
      </w:pPr>
      <w:bookmarkStart w:id="46" w:name="_Toc4273"/>
      <w:bookmarkStart w:id="47" w:name="_Toc5941"/>
      <w:bookmarkStart w:id="48" w:name="_Toc247085688"/>
      <w:bookmarkStart w:id="49" w:name="_Toc31146"/>
      <w:bookmarkStart w:id="50" w:name="_Toc152042304"/>
      <w:bookmarkStart w:id="51" w:name="_Toc144974496"/>
      <w:bookmarkStart w:id="52" w:name="_Toc453756894"/>
      <w:bookmarkStart w:id="53" w:name="_Toc179632545"/>
      <w:bookmarkStart w:id="54" w:name="_Toc246996917"/>
      <w:bookmarkStart w:id="55" w:name="_Toc246996174"/>
      <w:bookmarkStart w:id="56" w:name="_Toc152045528"/>
      <w:r>
        <w:rPr>
          <w:rFonts w:hint="eastAsia" w:ascii="宋体" w:hAnsi="宋体" w:cs="宋体"/>
          <w:b/>
          <w:color w:val="auto"/>
          <w:sz w:val="30"/>
          <w:lang w:val="zh-CN"/>
        </w:rPr>
        <w:t>投标须知前附表</w:t>
      </w:r>
      <w:bookmarkEnd w:id="46"/>
      <w:bookmarkEnd w:id="47"/>
    </w:p>
    <w:p w14:paraId="2E983DFF">
      <w:pPr>
        <w:autoSpaceDE w:val="0"/>
        <w:autoSpaceDN w:val="0"/>
        <w:adjustRightInd w:val="0"/>
        <w:snapToGrid w:val="0"/>
        <w:ind w:firstLine="482"/>
        <w:jc w:val="center"/>
        <w:outlineLvl w:val="9"/>
        <w:rPr>
          <w:color w:val="auto"/>
          <w:sz w:val="24"/>
        </w:rPr>
      </w:pPr>
      <w:r>
        <w:rPr>
          <w:rFonts w:hint="eastAsia" w:hAnsi="宋体" w:cs="宋体"/>
          <w:color w:val="auto"/>
          <w:sz w:val="24"/>
        </w:rPr>
        <w:t>本表的内容是对投标人须知的具体补充，如有矛盾，以本表为准。</w:t>
      </w:r>
    </w:p>
    <w:bookmarkEnd w:id="48"/>
    <w:bookmarkEnd w:id="49"/>
    <w:bookmarkEnd w:id="50"/>
    <w:bookmarkEnd w:id="51"/>
    <w:bookmarkEnd w:id="52"/>
    <w:bookmarkEnd w:id="53"/>
    <w:bookmarkEnd w:id="54"/>
    <w:bookmarkEnd w:id="55"/>
    <w:bookmarkEnd w:id="56"/>
    <w:tbl>
      <w:tblPr>
        <w:tblStyle w:val="24"/>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2"/>
        <w:gridCol w:w="1798"/>
        <w:gridCol w:w="6963"/>
      </w:tblGrid>
      <w:tr w14:paraId="15A63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2480" w:type="dxa"/>
            <w:gridSpan w:val="2"/>
            <w:tcBorders>
              <w:top w:val="single" w:color="auto" w:sz="12" w:space="0"/>
            </w:tcBorders>
            <w:noWrap w:val="0"/>
            <w:vAlign w:val="center"/>
          </w:tcPr>
          <w:p w14:paraId="14C0536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条款号</w:t>
            </w:r>
          </w:p>
        </w:tc>
        <w:tc>
          <w:tcPr>
            <w:tcW w:w="6963" w:type="dxa"/>
            <w:tcBorders>
              <w:top w:val="single" w:color="auto" w:sz="12" w:space="0"/>
            </w:tcBorders>
            <w:noWrap w:val="0"/>
            <w:vAlign w:val="center"/>
          </w:tcPr>
          <w:p w14:paraId="1671176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内容</w:t>
            </w:r>
          </w:p>
        </w:tc>
      </w:tr>
      <w:tr w14:paraId="76BB9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25BD99F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2.1</w:t>
            </w:r>
          </w:p>
        </w:tc>
        <w:tc>
          <w:tcPr>
            <w:tcW w:w="1798" w:type="dxa"/>
            <w:tcBorders>
              <w:left w:val="single" w:color="auto" w:sz="4" w:space="0"/>
            </w:tcBorders>
            <w:noWrap w:val="0"/>
            <w:vAlign w:val="center"/>
          </w:tcPr>
          <w:p w14:paraId="669F40B8">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采购人</w:t>
            </w:r>
          </w:p>
        </w:tc>
        <w:tc>
          <w:tcPr>
            <w:tcW w:w="6963" w:type="dxa"/>
            <w:noWrap w:val="0"/>
            <w:vAlign w:val="center"/>
          </w:tcPr>
          <w:p w14:paraId="44BACB4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名称：吉林电子信息职业技术学院</w:t>
            </w:r>
          </w:p>
          <w:p w14:paraId="3FBE3CA1">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地址：吉林市龙潭区长青路24号</w:t>
            </w:r>
          </w:p>
          <w:p w14:paraId="0E50EDF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联系人：张雷</w:t>
            </w:r>
          </w:p>
          <w:p w14:paraId="5A7B8F6C">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联系电话：15567548123</w:t>
            </w:r>
          </w:p>
        </w:tc>
      </w:tr>
      <w:tr w14:paraId="6AD0C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1AB6CBEB">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2.2</w:t>
            </w:r>
          </w:p>
        </w:tc>
        <w:tc>
          <w:tcPr>
            <w:tcW w:w="1798" w:type="dxa"/>
            <w:tcBorders>
              <w:left w:val="single" w:color="auto" w:sz="4" w:space="0"/>
            </w:tcBorders>
            <w:noWrap w:val="0"/>
            <w:vAlign w:val="center"/>
          </w:tcPr>
          <w:p w14:paraId="5FA459A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采购代理机构</w:t>
            </w:r>
          </w:p>
        </w:tc>
        <w:tc>
          <w:tcPr>
            <w:tcW w:w="6963" w:type="dxa"/>
            <w:noWrap w:val="0"/>
            <w:vAlign w:val="center"/>
          </w:tcPr>
          <w:p w14:paraId="3E632F59">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采购代理机构：吉林亿品工程项目管理有限公司</w:t>
            </w:r>
          </w:p>
          <w:p w14:paraId="1D295E25">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联系方式：张舒迪 3024252375@qq.com</w:t>
            </w:r>
          </w:p>
          <w:p w14:paraId="6E251D86">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联系电话：15044059166（办公电话）</w:t>
            </w:r>
          </w:p>
          <w:p w14:paraId="1F22C1EF">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i/>
                <w:iCs/>
                <w:color w:val="auto"/>
                <w:sz w:val="21"/>
                <w:szCs w:val="21"/>
              </w:rPr>
            </w:pPr>
            <w:r>
              <w:rPr>
                <w:rFonts w:hint="eastAsia" w:ascii="宋体" w:hAnsi="宋体" w:eastAsia="宋体" w:cs="宋体"/>
                <w:color w:val="auto"/>
                <w:sz w:val="21"/>
                <w:szCs w:val="21"/>
                <w:highlight w:val="none"/>
                <w:lang w:val="zh-CN" w:eastAsia="zh-CN"/>
              </w:rPr>
              <w:t>联系地址：长春市高新区华光街与荷园路交汇安联国际1267号-1</w:t>
            </w:r>
          </w:p>
        </w:tc>
      </w:tr>
      <w:tr w14:paraId="7DF7F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E2105F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3.1</w:t>
            </w:r>
          </w:p>
        </w:tc>
        <w:tc>
          <w:tcPr>
            <w:tcW w:w="1798" w:type="dxa"/>
            <w:tcBorders>
              <w:left w:val="single" w:color="auto" w:sz="4" w:space="0"/>
              <w:right w:val="single" w:color="auto" w:sz="4" w:space="0"/>
            </w:tcBorders>
            <w:noWrap w:val="0"/>
            <w:vAlign w:val="center"/>
          </w:tcPr>
          <w:p w14:paraId="75DA3A1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*投标人资格</w:t>
            </w:r>
          </w:p>
          <w:p w14:paraId="75B43B40">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要求</w:t>
            </w:r>
          </w:p>
        </w:tc>
        <w:tc>
          <w:tcPr>
            <w:tcW w:w="6963" w:type="dxa"/>
            <w:tcBorders>
              <w:left w:val="single" w:color="auto" w:sz="4" w:space="0"/>
            </w:tcBorders>
            <w:noWrap w:val="0"/>
            <w:vAlign w:val="top"/>
          </w:tcPr>
          <w:p w14:paraId="164F2C38">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1.满足《中华人民共和国政府采购法》第二十二条规定；</w:t>
            </w:r>
          </w:p>
          <w:p w14:paraId="288EEF4E">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highlight w:val="none"/>
              </w:rPr>
            </w:pPr>
            <w:r>
              <w:rPr>
                <w:rFonts w:hint="eastAsia" w:ascii="宋体" w:hAnsi="宋体"/>
                <w:color w:val="auto"/>
                <w:spacing w:val="6"/>
                <w:sz w:val="21"/>
                <w:szCs w:val="21"/>
              </w:rPr>
              <w:t>2.落实政府采购政策需满足的资格要求：</w:t>
            </w:r>
            <w:r>
              <w:rPr>
                <w:rFonts w:hint="eastAsia" w:ascii="宋体" w:hAnsi="宋体"/>
                <w:color w:val="auto"/>
                <w:spacing w:val="6"/>
                <w:sz w:val="21"/>
                <w:szCs w:val="21"/>
                <w:highlight w:val="none"/>
              </w:rPr>
              <w:t>本项目非专门面向中小企业采购。</w:t>
            </w:r>
          </w:p>
          <w:p w14:paraId="4D5C9F39">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2C5D1F5B">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3.本项目的特定资格要求：</w:t>
            </w:r>
          </w:p>
          <w:p w14:paraId="79523DE2">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（1）投标人须是具备有效营业执照的独立法人或其他组织；</w:t>
            </w:r>
          </w:p>
          <w:p w14:paraId="3B73659C">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（2）投标人提供202</w:t>
            </w:r>
            <w:r>
              <w:rPr>
                <w:rFonts w:hint="eastAsia" w:ascii="宋体" w:hAnsi="宋体"/>
                <w:color w:val="auto"/>
                <w:spacing w:val="6"/>
                <w:sz w:val="21"/>
                <w:szCs w:val="21"/>
                <w:lang w:val="en-US" w:eastAsia="zh-CN"/>
              </w:rPr>
              <w:t>4</w:t>
            </w:r>
            <w:r>
              <w:rPr>
                <w:rFonts w:hint="eastAsia" w:ascii="宋体" w:hAnsi="宋体"/>
                <w:color w:val="auto"/>
                <w:spacing w:val="6"/>
                <w:sz w:val="21"/>
                <w:szCs w:val="21"/>
              </w:rPr>
              <w:t>年经会计师事务所或审计机构出具的财务审计报告或提供其基本开户银行在投标截止日前六个月内出具的资信证明（银行出具的存款证明不能替代银行资信证明）；</w:t>
            </w:r>
          </w:p>
          <w:p w14:paraId="779E4E9C">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（3）投标人提供近一年（202</w:t>
            </w:r>
            <w:r>
              <w:rPr>
                <w:rFonts w:hint="eastAsia" w:ascii="宋体" w:hAnsi="宋体"/>
                <w:color w:val="auto"/>
                <w:spacing w:val="6"/>
                <w:sz w:val="21"/>
                <w:szCs w:val="21"/>
                <w:lang w:val="en-US" w:eastAsia="zh-CN"/>
              </w:rPr>
              <w:t>5</w:t>
            </w:r>
            <w:r>
              <w:rPr>
                <w:rFonts w:hint="eastAsia" w:ascii="宋体" w:hAnsi="宋体"/>
                <w:color w:val="auto"/>
                <w:spacing w:val="6"/>
                <w:sz w:val="21"/>
                <w:szCs w:val="21"/>
              </w:rPr>
              <w:t>年0</w:t>
            </w:r>
            <w:r>
              <w:rPr>
                <w:rFonts w:hint="eastAsia" w:ascii="宋体" w:hAnsi="宋体"/>
                <w:color w:val="auto"/>
                <w:spacing w:val="6"/>
                <w:sz w:val="21"/>
                <w:szCs w:val="21"/>
                <w:lang w:val="en-US" w:eastAsia="zh-CN"/>
              </w:rPr>
              <w:t>1</w:t>
            </w:r>
            <w:r>
              <w:rPr>
                <w:rFonts w:hint="eastAsia" w:ascii="宋体" w:hAnsi="宋体"/>
                <w:color w:val="auto"/>
                <w:spacing w:val="6"/>
                <w:sz w:val="21"/>
                <w:szCs w:val="21"/>
              </w:rPr>
              <w:t>月至今）任意一个月的依法纳税证明(依法免税的投标人可提供相应文件证明其依法免税)；</w:t>
            </w:r>
          </w:p>
          <w:p w14:paraId="21B66067">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（4）投标人提供近一年（202</w:t>
            </w:r>
            <w:r>
              <w:rPr>
                <w:rFonts w:hint="eastAsia" w:ascii="宋体" w:hAnsi="宋体"/>
                <w:color w:val="auto"/>
                <w:spacing w:val="6"/>
                <w:sz w:val="21"/>
                <w:szCs w:val="21"/>
                <w:lang w:val="en-US" w:eastAsia="zh-CN"/>
              </w:rPr>
              <w:t>5</w:t>
            </w:r>
            <w:r>
              <w:rPr>
                <w:rFonts w:hint="eastAsia" w:ascii="宋体" w:hAnsi="宋体"/>
                <w:color w:val="auto"/>
                <w:spacing w:val="6"/>
                <w:sz w:val="21"/>
                <w:szCs w:val="21"/>
              </w:rPr>
              <w:t>年0</w:t>
            </w:r>
            <w:r>
              <w:rPr>
                <w:rFonts w:hint="eastAsia" w:ascii="宋体" w:hAnsi="宋体"/>
                <w:color w:val="auto"/>
                <w:spacing w:val="6"/>
                <w:sz w:val="21"/>
                <w:szCs w:val="21"/>
                <w:lang w:val="en-US" w:eastAsia="zh-CN"/>
              </w:rPr>
              <w:t>1</w:t>
            </w:r>
            <w:r>
              <w:rPr>
                <w:rFonts w:hint="eastAsia" w:ascii="宋体" w:hAnsi="宋体"/>
                <w:color w:val="auto"/>
                <w:spacing w:val="6"/>
                <w:sz w:val="21"/>
                <w:szCs w:val="21"/>
              </w:rPr>
              <w:t>月至今）任意一个月的依法缴纳社会保障资金的证明(依法不需要缴纳社会保障资金的投标人可提供相应文件证明其依法不需要缴纳社会保障资金)；</w:t>
            </w:r>
          </w:p>
          <w:p w14:paraId="4341C607">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  （www.creditchina.gov.cn）、中国政府采购网（www.ccgp.gov.cn）等,查询截止时点：公告发布之日起至投标截止时间；</w:t>
            </w:r>
          </w:p>
          <w:p w14:paraId="7430D49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（6）本项目不接受联合体投标，不接受合同分包；</w:t>
            </w:r>
          </w:p>
          <w:p w14:paraId="0272903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7）与采购人存在利害关系可能影响采购公正性的法人、其它组织或者个人，不得参加投标；单位负责人为同一人或者存在直接控股、管理关系的不同投标人，不得参加同一合同项下的政府采购活动。违反这两款规定的，相关投标均无效。</w:t>
            </w:r>
          </w:p>
          <w:p w14:paraId="07D012AF">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olor w:val="auto"/>
                <w:spacing w:val="6"/>
                <w:sz w:val="21"/>
                <w:szCs w:val="21"/>
              </w:rPr>
            </w:pPr>
            <w:r>
              <w:rPr>
                <w:rFonts w:hint="eastAsia" w:ascii="宋体" w:hAnsi="宋体"/>
                <w:color w:val="auto"/>
                <w:spacing w:val="6"/>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14:paraId="0AF6B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82" w:type="dxa"/>
            <w:tcBorders>
              <w:right w:val="single" w:color="auto" w:sz="4" w:space="0"/>
            </w:tcBorders>
            <w:noWrap w:val="0"/>
            <w:vAlign w:val="center"/>
          </w:tcPr>
          <w:p w14:paraId="3925FBEA">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eastAsia="zh-CN"/>
              </w:rPr>
            </w:pPr>
            <w:r>
              <w:rPr>
                <w:rFonts w:hint="eastAsia" w:ascii="宋体" w:hAnsi="宋体" w:cs="宋体"/>
                <w:color w:val="auto"/>
                <w:sz w:val="21"/>
                <w:szCs w:val="21"/>
              </w:rPr>
              <w:t>3.</w:t>
            </w:r>
            <w:r>
              <w:rPr>
                <w:rFonts w:hint="eastAsia" w:ascii="宋体" w:hAnsi="宋体" w:cs="宋体"/>
                <w:color w:val="auto"/>
                <w:sz w:val="21"/>
                <w:szCs w:val="21"/>
                <w:lang w:val="en-US" w:eastAsia="zh-CN"/>
              </w:rPr>
              <w:t>1</w:t>
            </w:r>
          </w:p>
        </w:tc>
        <w:tc>
          <w:tcPr>
            <w:tcW w:w="1798" w:type="dxa"/>
            <w:tcBorders>
              <w:left w:val="single" w:color="auto" w:sz="4" w:space="0"/>
              <w:right w:val="single" w:color="auto" w:sz="4" w:space="0"/>
            </w:tcBorders>
            <w:noWrap w:val="0"/>
            <w:vAlign w:val="center"/>
          </w:tcPr>
          <w:p w14:paraId="3774154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招标文件的</w:t>
            </w:r>
          </w:p>
          <w:p w14:paraId="018FC77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获取</w:t>
            </w:r>
          </w:p>
        </w:tc>
        <w:tc>
          <w:tcPr>
            <w:tcW w:w="6963" w:type="dxa"/>
            <w:tcBorders>
              <w:left w:val="single" w:color="auto" w:sz="4" w:space="0"/>
            </w:tcBorders>
            <w:noWrap w:val="0"/>
            <w:vAlign w:val="top"/>
          </w:tcPr>
          <w:p w14:paraId="3CF45E9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eastAsia="宋体"/>
                <w:color w:val="auto"/>
                <w:spacing w:val="6"/>
                <w:sz w:val="21"/>
                <w:szCs w:val="21"/>
                <w:lang w:eastAsia="zh-CN"/>
              </w:rPr>
            </w:pPr>
            <w:r>
              <w:rPr>
                <w:rFonts w:hint="eastAsia" w:ascii="宋体" w:hAnsi="宋体" w:eastAsia="宋体"/>
                <w:color w:val="auto"/>
                <w:spacing w:val="6"/>
                <w:sz w:val="21"/>
                <w:szCs w:val="21"/>
                <w:lang w:val="zh-CN" w:eastAsia="zh-CN"/>
              </w:rPr>
              <w:t>投标人首先在政采云平台（https://www.zcygov.cn/）上免费进行供应商注册（政采云供应商注册流程：https://middle.zcygov.cn/v-settle-front/registry），注册后可在政采云平台免费自行下载招标文件（下载地址：https://www.zcygov.cn/；下载招标文件操作路径：进入政采云平台-登录账号-我的工作台-项目采购-获取采购文件-找到本项目-点击“申请获取文件”），其他途径获取的招标文件一律按无效处理</w:t>
            </w:r>
            <w:r>
              <w:rPr>
                <w:rFonts w:hint="eastAsia" w:ascii="宋体" w:hAnsi="宋体" w:eastAsia="宋体"/>
                <w:color w:val="auto"/>
                <w:spacing w:val="6"/>
                <w:sz w:val="21"/>
                <w:szCs w:val="21"/>
                <w:lang w:eastAsia="zh-CN"/>
              </w:rPr>
              <w:t>。</w:t>
            </w:r>
          </w:p>
        </w:tc>
      </w:tr>
      <w:tr w14:paraId="07D44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5E01014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5</w:t>
            </w:r>
          </w:p>
        </w:tc>
        <w:tc>
          <w:tcPr>
            <w:tcW w:w="1798" w:type="dxa"/>
            <w:tcBorders>
              <w:left w:val="single" w:color="auto" w:sz="4" w:space="0"/>
              <w:right w:val="single" w:color="auto" w:sz="4" w:space="0"/>
            </w:tcBorders>
            <w:noWrap w:val="0"/>
            <w:vAlign w:val="center"/>
          </w:tcPr>
          <w:p w14:paraId="0D72DDF7">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招标范围</w:t>
            </w:r>
          </w:p>
        </w:tc>
        <w:tc>
          <w:tcPr>
            <w:tcW w:w="6963" w:type="dxa"/>
            <w:tcBorders>
              <w:left w:val="single" w:color="auto" w:sz="4" w:space="0"/>
            </w:tcBorders>
            <w:noWrap w:val="0"/>
            <w:vAlign w:val="center"/>
          </w:tcPr>
          <w:p w14:paraId="2A19A36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eastAsia="宋体"/>
                <w:color w:val="auto"/>
                <w:spacing w:val="6"/>
                <w:sz w:val="21"/>
                <w:szCs w:val="21"/>
                <w:highlight w:val="none"/>
                <w:lang w:eastAsia="zh-CN"/>
              </w:rPr>
              <w:t>技术需求详见</w:t>
            </w:r>
            <w:r>
              <w:rPr>
                <w:rFonts w:hint="eastAsia" w:ascii="宋体" w:hAnsi="宋体" w:eastAsia="宋体"/>
                <w:color w:val="auto"/>
                <w:spacing w:val="6"/>
                <w:sz w:val="21"/>
                <w:szCs w:val="21"/>
                <w:highlight w:val="none"/>
                <w:lang w:val="en-US" w:eastAsia="zh-CN"/>
              </w:rPr>
              <w:t>招标</w:t>
            </w:r>
            <w:r>
              <w:rPr>
                <w:rFonts w:hint="eastAsia" w:ascii="宋体" w:hAnsi="宋体" w:eastAsia="宋体"/>
                <w:color w:val="auto"/>
                <w:spacing w:val="6"/>
                <w:sz w:val="21"/>
                <w:szCs w:val="21"/>
                <w:highlight w:val="none"/>
                <w:lang w:eastAsia="zh-CN"/>
              </w:rPr>
              <w:t>文件文件“第五章技术标准和要求”</w:t>
            </w:r>
          </w:p>
        </w:tc>
      </w:tr>
      <w:tr w14:paraId="6578B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62773B3">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8</w:t>
            </w:r>
          </w:p>
        </w:tc>
        <w:tc>
          <w:tcPr>
            <w:tcW w:w="1798" w:type="dxa"/>
            <w:tcBorders>
              <w:left w:val="single" w:color="auto" w:sz="4" w:space="0"/>
              <w:right w:val="single" w:color="auto" w:sz="4" w:space="0"/>
            </w:tcBorders>
            <w:noWrap w:val="0"/>
            <w:vAlign w:val="center"/>
          </w:tcPr>
          <w:p w14:paraId="068F3A0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*构成投标文件的其他材料</w:t>
            </w:r>
          </w:p>
        </w:tc>
        <w:tc>
          <w:tcPr>
            <w:tcW w:w="6963" w:type="dxa"/>
            <w:tcBorders>
              <w:left w:val="single" w:color="auto" w:sz="4" w:space="0"/>
            </w:tcBorders>
            <w:noWrap w:val="0"/>
            <w:vAlign w:val="center"/>
          </w:tcPr>
          <w:p w14:paraId="111C3664">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ascii="宋体" w:hAnsi="宋体" w:cs="宋体"/>
                <w:color w:val="auto"/>
                <w:sz w:val="21"/>
                <w:szCs w:val="21"/>
              </w:rPr>
            </w:pPr>
            <w:r>
              <w:rPr>
                <w:rFonts w:hint="eastAsia" w:ascii="宋体" w:hAnsi="宋体"/>
                <w:color w:val="auto"/>
                <w:sz w:val="21"/>
                <w:szCs w:val="21"/>
                <w:lang w:eastAsia="zh-CN"/>
              </w:rPr>
              <w:t>评标办法中要求的</w:t>
            </w:r>
            <w:r>
              <w:rPr>
                <w:rFonts w:hint="eastAsia" w:ascii="宋体" w:hAnsi="宋体"/>
                <w:color w:val="auto"/>
                <w:sz w:val="21"/>
                <w:szCs w:val="21"/>
                <w:lang w:val="en-US" w:eastAsia="zh-CN"/>
              </w:rPr>
              <w:t>证明文件</w:t>
            </w:r>
            <w:r>
              <w:rPr>
                <w:rFonts w:hint="eastAsia" w:ascii="宋体" w:hAnsi="宋体"/>
                <w:color w:val="auto"/>
                <w:sz w:val="21"/>
                <w:szCs w:val="21"/>
                <w:lang w:eastAsia="zh-CN"/>
              </w:rPr>
              <w:t>及</w:t>
            </w:r>
            <w:r>
              <w:rPr>
                <w:rFonts w:hint="eastAsia" w:ascii="宋体" w:hAnsi="宋体"/>
                <w:color w:val="auto"/>
                <w:sz w:val="21"/>
                <w:szCs w:val="21"/>
              </w:rPr>
              <w:t>投标人认为对本项目有利的其他证明文件。</w:t>
            </w:r>
          </w:p>
        </w:tc>
      </w:tr>
      <w:tr w14:paraId="22D3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restart"/>
            <w:tcBorders>
              <w:top w:val="single" w:color="auto" w:sz="4" w:space="0"/>
              <w:right w:val="single" w:color="auto" w:sz="4" w:space="0"/>
            </w:tcBorders>
            <w:noWrap w:val="0"/>
            <w:vAlign w:val="center"/>
          </w:tcPr>
          <w:p w14:paraId="68D21E4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10</w:t>
            </w:r>
          </w:p>
        </w:tc>
        <w:tc>
          <w:tcPr>
            <w:tcW w:w="1798" w:type="dxa"/>
            <w:tcBorders>
              <w:top w:val="single" w:color="auto" w:sz="4" w:space="0"/>
              <w:left w:val="single" w:color="auto" w:sz="4" w:space="0"/>
            </w:tcBorders>
            <w:noWrap w:val="0"/>
            <w:vAlign w:val="center"/>
          </w:tcPr>
          <w:p w14:paraId="3CF33A7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*投标保证金</w:t>
            </w:r>
          </w:p>
          <w:p w14:paraId="709401F0">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金额</w:t>
            </w:r>
          </w:p>
        </w:tc>
        <w:tc>
          <w:tcPr>
            <w:tcW w:w="6963" w:type="dxa"/>
            <w:tcBorders>
              <w:top w:val="single" w:color="auto" w:sz="4" w:space="0"/>
            </w:tcBorders>
            <w:noWrap w:val="0"/>
            <w:vAlign w:val="center"/>
          </w:tcPr>
          <w:p w14:paraId="220582DB">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default"/>
                <w:color w:val="auto"/>
                <w:lang w:val="en-US" w:eastAsia="zh-CN"/>
              </w:rPr>
            </w:pPr>
            <w:r>
              <w:rPr>
                <w:rFonts w:hint="eastAsia" w:ascii="宋体" w:hAnsi="宋体"/>
                <w:color w:val="auto"/>
                <w:sz w:val="21"/>
                <w:szCs w:val="21"/>
                <w:lang w:val="en-US" w:eastAsia="zh-CN"/>
              </w:rPr>
              <w:t>吉林电子信息职业技术学院特种作业高/低压电工培训考核实训室项目：15600元；</w:t>
            </w:r>
          </w:p>
        </w:tc>
      </w:tr>
      <w:tr w14:paraId="570DC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14:paraId="6A9AE39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14:paraId="58A0EDC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*投标保证金</w:t>
            </w:r>
          </w:p>
          <w:p w14:paraId="474940C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形式</w:t>
            </w:r>
          </w:p>
        </w:tc>
        <w:tc>
          <w:tcPr>
            <w:tcW w:w="6963" w:type="dxa"/>
            <w:tcBorders>
              <w:top w:val="single" w:color="auto" w:sz="4" w:space="0"/>
            </w:tcBorders>
            <w:noWrap w:val="0"/>
            <w:vAlign w:val="center"/>
          </w:tcPr>
          <w:p w14:paraId="0362FBF1">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投标保证金形式：投标人应在投标截止时间前将投标保证金采用电汇、转账、支票、汇票、本票或者金融机构、担保机构出具的保函等形式交纳，投标保证金应当从供应商的基本账户转出。</w:t>
            </w:r>
          </w:p>
          <w:p w14:paraId="7AD597EE">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投标保证金账户：</w:t>
            </w:r>
          </w:p>
          <w:p w14:paraId="71D68716">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val="zh-CN" w:eastAsia="zh-CN"/>
              </w:rPr>
              <w:t>户名：吉林亿品工程项目管理有限公司</w:t>
            </w:r>
          </w:p>
          <w:p w14:paraId="44727666">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val="zh-CN" w:eastAsia="zh-CN"/>
              </w:rPr>
              <w:t>账    号：431901878010902</w:t>
            </w:r>
          </w:p>
          <w:p w14:paraId="7A8C38AB">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val="zh-CN" w:eastAsia="zh-CN"/>
              </w:rPr>
              <w:t>开  户  行：招商银行股份有限公司长春分行</w:t>
            </w:r>
          </w:p>
          <w:p w14:paraId="2D8CAF89">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zh-CN" w:eastAsia="zh-CN"/>
              </w:rPr>
            </w:pPr>
            <w:r>
              <w:rPr>
                <w:rFonts w:hint="eastAsia" w:ascii="宋体" w:hAnsi="宋体"/>
                <w:color w:val="auto"/>
                <w:sz w:val="21"/>
                <w:szCs w:val="21"/>
                <w:lang w:eastAsia="zh-CN"/>
              </w:rPr>
              <w:t>保证金的缴纳以到账时间为准，投标保证金截止时间同投标截止时间（开标时间）。</w:t>
            </w:r>
          </w:p>
          <w:p w14:paraId="1BA19343">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要求：（1）投标人提供基本账户开户许可证复印件及投标保证金缴纳凭证复印件装入到投标文件中。</w:t>
            </w:r>
          </w:p>
          <w:p w14:paraId="613D93CA">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（2）以保函形式提交投标保证金的，须在开标截止时间前将保函电子版扫描件提交到招标代理机构邮箱（3024252375</w:t>
            </w:r>
            <w:r>
              <w:rPr>
                <w:rFonts w:hint="eastAsia" w:ascii="宋体" w:hAnsi="宋体"/>
                <w:color w:val="auto"/>
                <w:sz w:val="21"/>
                <w:szCs w:val="21"/>
                <w:lang w:eastAsia="zh-CN"/>
              </w:rPr>
              <w:t>@qq.com</w:t>
            </w:r>
            <w:r>
              <w:rPr>
                <w:rFonts w:hint="eastAsia" w:ascii="宋体" w:hAnsi="宋体"/>
                <w:color w:val="auto"/>
                <w:sz w:val="21"/>
                <w:szCs w:val="21"/>
                <w:lang w:val="en-US" w:eastAsia="zh-CN"/>
              </w:rPr>
              <w:t>），原件递交至招标代理机构，复印件装入投标文件中。</w:t>
            </w:r>
          </w:p>
          <w:p w14:paraId="50859107">
            <w:pPr>
              <w:keepNext w:val="0"/>
              <w:keepLines w:val="0"/>
              <w:pageBreakBefore w:val="0"/>
              <w:widowControl w:val="0"/>
              <w:kinsoku/>
              <w:wordWrap/>
              <w:overflowPunct/>
              <w:topLinePunct w:val="0"/>
              <w:autoSpaceDE/>
              <w:autoSpaceDN/>
              <w:bidi w:val="0"/>
              <w:adjustRightInd w:val="0"/>
              <w:snapToGrid/>
              <w:spacing w:line="360" w:lineRule="exact"/>
              <w:jc w:val="both"/>
              <w:textAlignment w:val="auto"/>
              <w:outlineLvl w:val="9"/>
              <w:rPr>
                <w:rFonts w:hint="eastAsia" w:ascii="宋体" w:hAnsi="宋体" w:cs="宋体"/>
                <w:color w:val="auto"/>
                <w:sz w:val="21"/>
                <w:szCs w:val="21"/>
                <w:highlight w:val="none"/>
              </w:rPr>
            </w:pPr>
            <w:r>
              <w:rPr>
                <w:rFonts w:hint="eastAsia" w:ascii="宋体" w:hAnsi="宋体"/>
                <w:color w:val="auto"/>
                <w:sz w:val="21"/>
                <w:szCs w:val="21"/>
                <w:lang w:val="en-US" w:eastAsia="zh-CN"/>
              </w:rPr>
              <w:t>注：投标保证金是投标文件的组成部分，未按要求提交的，视为放弃投标，采购人将不接受其投标文件。投标人应在银行进账单明确用途、投标项目名称、投标单位、联系人及电话，以便核对查实。</w:t>
            </w:r>
          </w:p>
        </w:tc>
      </w:tr>
      <w:tr w14:paraId="05F53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3290A82">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11.1</w:t>
            </w:r>
          </w:p>
        </w:tc>
        <w:tc>
          <w:tcPr>
            <w:tcW w:w="1798" w:type="dxa"/>
            <w:tcBorders>
              <w:left w:val="single" w:color="auto" w:sz="4" w:space="0"/>
            </w:tcBorders>
            <w:noWrap w:val="0"/>
            <w:vAlign w:val="center"/>
          </w:tcPr>
          <w:p w14:paraId="686A7025">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投标有效期</w:t>
            </w:r>
          </w:p>
        </w:tc>
        <w:tc>
          <w:tcPr>
            <w:tcW w:w="6963" w:type="dxa"/>
            <w:noWrap w:val="0"/>
            <w:vAlign w:val="center"/>
          </w:tcPr>
          <w:p w14:paraId="1ACA8811">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sz w:val="21"/>
                <w:szCs w:val="21"/>
              </w:rPr>
            </w:pPr>
            <w:r>
              <w:rPr>
                <w:rFonts w:hint="eastAsia" w:ascii="宋体" w:hAnsi="宋体" w:cs="宋体"/>
                <w:color w:val="auto"/>
                <w:sz w:val="21"/>
                <w:szCs w:val="21"/>
              </w:rPr>
              <w:t>投标有效期：90天。</w:t>
            </w:r>
          </w:p>
          <w:p w14:paraId="49D9E1DF">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i/>
                <w:iCs/>
                <w:color w:val="auto"/>
                <w:sz w:val="21"/>
                <w:szCs w:val="21"/>
              </w:rPr>
            </w:pPr>
            <w:r>
              <w:rPr>
                <w:rFonts w:hint="eastAsia" w:ascii="宋体" w:hAnsi="宋体" w:cs="宋体"/>
                <w:color w:val="auto"/>
                <w:sz w:val="21"/>
                <w:szCs w:val="21"/>
              </w:rPr>
              <w:t>投标保证金有效期应与投标有效期一致。</w:t>
            </w:r>
          </w:p>
        </w:tc>
      </w:tr>
      <w:tr w14:paraId="2FE2D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BEFB08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sz w:val="21"/>
                <w:szCs w:val="21"/>
                <w:lang w:val="en-US" w:eastAsia="zh-CN"/>
              </w:rPr>
            </w:pPr>
            <w:r>
              <w:rPr>
                <w:rFonts w:hint="eastAsia" w:ascii="宋体" w:hAnsi="宋体" w:cs="宋体"/>
                <w:color w:val="auto"/>
                <w:sz w:val="21"/>
                <w:szCs w:val="21"/>
              </w:rPr>
              <w:t>14.</w:t>
            </w:r>
            <w:r>
              <w:rPr>
                <w:rFonts w:hint="eastAsia" w:ascii="宋体" w:hAnsi="宋体" w:cs="宋体"/>
                <w:color w:val="auto"/>
                <w:sz w:val="21"/>
                <w:szCs w:val="21"/>
                <w:lang w:val="en-US" w:eastAsia="zh-CN"/>
              </w:rPr>
              <w:t>7</w:t>
            </w:r>
          </w:p>
        </w:tc>
        <w:tc>
          <w:tcPr>
            <w:tcW w:w="1798" w:type="dxa"/>
            <w:tcBorders>
              <w:left w:val="single" w:color="auto" w:sz="4" w:space="0"/>
            </w:tcBorders>
            <w:noWrap w:val="0"/>
            <w:vAlign w:val="center"/>
          </w:tcPr>
          <w:p w14:paraId="7F39F639">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投标文件份数</w:t>
            </w:r>
          </w:p>
        </w:tc>
        <w:tc>
          <w:tcPr>
            <w:tcW w:w="6963" w:type="dxa"/>
            <w:noWrap w:val="0"/>
            <w:vAlign w:val="center"/>
          </w:tcPr>
          <w:p w14:paraId="516255FD">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本项目为全流程电子化项目，供应商须通过政府采购云平台（网址：http://www.zcygov.cn）递交电子版投标文件。操作流程：供应商在政府采购云平台网注册入库成为正式供应商后，在平台上按《政府采购项目电子交易管理操作指南-供应商》进行投标操作。投标文件须在投标文件提交截止时间前上传平台，并在投标文件提交截止时间后30分钟内完成解密。由于供应商自身原因在提交投标文件截止时间前无法完成办理的，后果自负。</w:t>
            </w:r>
          </w:p>
          <w:p w14:paraId="301ECC9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lang w:val="en-US" w:eastAsia="zh-CN"/>
              </w:rPr>
              <w:t>若对“政采云”电子交易系统操作有疑问，可登录“政采云”（https://www.zcygov.cn/），点击右侧咨询小采或拨打政采云服务热线95763获取服务帮助。</w:t>
            </w:r>
          </w:p>
          <w:p w14:paraId="25EB37FA">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纸质版</w:t>
            </w:r>
            <w:r>
              <w:rPr>
                <w:rFonts w:hint="eastAsia" w:ascii="宋体" w:hAnsi="宋体" w:cs="宋体"/>
                <w:color w:val="auto"/>
                <w:sz w:val="21"/>
                <w:szCs w:val="21"/>
                <w:lang w:eastAsia="zh-CN"/>
              </w:rPr>
              <w:t>投标文件</w:t>
            </w:r>
            <w:r>
              <w:rPr>
                <w:rFonts w:hint="eastAsia" w:ascii="宋体" w:hAnsi="宋体" w:cs="宋体"/>
                <w:color w:val="auto"/>
                <w:sz w:val="21"/>
                <w:szCs w:val="21"/>
              </w:rPr>
              <w:t>份数</w:t>
            </w:r>
            <w:r>
              <w:rPr>
                <w:rFonts w:hint="eastAsia" w:ascii="宋体" w:hAnsi="宋体" w:cs="宋体"/>
                <w:color w:val="auto"/>
                <w:sz w:val="21"/>
                <w:szCs w:val="21"/>
                <w:lang w:eastAsia="zh-CN"/>
              </w:rPr>
              <w:t>：</w:t>
            </w:r>
            <w:r>
              <w:rPr>
                <w:rFonts w:hint="eastAsia" w:ascii="宋体" w:hAnsi="宋体" w:cs="宋体"/>
                <w:color w:val="auto"/>
                <w:sz w:val="21"/>
                <w:szCs w:val="21"/>
              </w:rPr>
              <w:t>（</w:t>
            </w:r>
            <w:r>
              <w:rPr>
                <w:rFonts w:hint="eastAsia" w:ascii="宋体" w:hAnsi="宋体" w:cs="宋体"/>
                <w:color w:val="auto"/>
                <w:sz w:val="21"/>
                <w:szCs w:val="21"/>
                <w:lang w:val="en-US" w:eastAsia="zh-CN"/>
              </w:rPr>
              <w:t>无</w:t>
            </w:r>
            <w:r>
              <w:rPr>
                <w:rFonts w:hint="eastAsia" w:ascii="宋体" w:hAnsi="宋体" w:cs="宋体"/>
                <w:color w:val="auto"/>
                <w:sz w:val="21"/>
                <w:szCs w:val="21"/>
              </w:rPr>
              <w:t>）</w:t>
            </w:r>
          </w:p>
        </w:tc>
      </w:tr>
      <w:tr w14:paraId="6732A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restart"/>
            <w:tcBorders>
              <w:right w:val="single" w:color="auto" w:sz="4" w:space="0"/>
            </w:tcBorders>
            <w:noWrap w:val="0"/>
            <w:vAlign w:val="center"/>
          </w:tcPr>
          <w:p w14:paraId="69A8837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w:t>
            </w:r>
          </w:p>
        </w:tc>
        <w:tc>
          <w:tcPr>
            <w:tcW w:w="1798" w:type="dxa"/>
            <w:tcBorders>
              <w:left w:val="single" w:color="auto" w:sz="4" w:space="0"/>
              <w:bottom w:val="single" w:color="auto" w:sz="4" w:space="0"/>
            </w:tcBorders>
            <w:noWrap w:val="0"/>
            <w:vAlign w:val="center"/>
          </w:tcPr>
          <w:p w14:paraId="113A917A">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color w:val="auto"/>
                <w:highlight w:val="none"/>
              </w:rPr>
            </w:pPr>
            <w:r>
              <w:rPr>
                <w:rFonts w:hint="eastAsia"/>
                <w:color w:val="auto"/>
                <w:highlight w:val="none"/>
              </w:rPr>
              <w:t>投标截止、开标时间</w:t>
            </w:r>
          </w:p>
        </w:tc>
        <w:tc>
          <w:tcPr>
            <w:tcW w:w="6963" w:type="dxa"/>
            <w:tcBorders>
              <w:bottom w:val="single" w:color="auto" w:sz="4" w:space="0"/>
            </w:tcBorders>
            <w:noWrap w:val="0"/>
            <w:vAlign w:val="center"/>
          </w:tcPr>
          <w:p w14:paraId="347464DE">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highlight w:val="none"/>
              </w:rPr>
            </w:pPr>
            <w:r>
              <w:rPr>
                <w:rFonts w:hint="eastAsia"/>
                <w:color w:val="auto"/>
                <w:highlight w:val="none"/>
                <w:lang w:val="zh-CN" w:eastAsia="zh-CN"/>
              </w:rPr>
              <w:t>2025年</w:t>
            </w:r>
            <w:r>
              <w:rPr>
                <w:rFonts w:hint="eastAsia"/>
                <w:color w:val="auto"/>
                <w:highlight w:val="none"/>
                <w:lang w:val="en-US" w:eastAsia="zh-CN"/>
              </w:rPr>
              <w:t>7</w:t>
            </w:r>
            <w:r>
              <w:rPr>
                <w:rFonts w:hint="eastAsia"/>
                <w:color w:val="auto"/>
                <w:highlight w:val="none"/>
                <w:lang w:val="zh-CN" w:eastAsia="zh-CN"/>
              </w:rPr>
              <w:t>月</w:t>
            </w:r>
            <w:r>
              <w:rPr>
                <w:rFonts w:hint="eastAsia"/>
                <w:color w:val="auto"/>
                <w:highlight w:val="none"/>
                <w:lang w:val="en-US" w:eastAsia="zh-CN"/>
              </w:rPr>
              <w:t>29</w:t>
            </w:r>
            <w:bookmarkStart w:id="163" w:name="_GoBack"/>
            <w:bookmarkEnd w:id="163"/>
            <w:r>
              <w:rPr>
                <w:rFonts w:hint="eastAsia"/>
                <w:color w:val="auto"/>
                <w:highlight w:val="none"/>
                <w:lang w:val="zh-CN" w:eastAsia="zh-CN"/>
              </w:rPr>
              <w:t>日</w:t>
            </w:r>
            <w:r>
              <w:rPr>
                <w:rFonts w:hint="eastAsia"/>
                <w:color w:val="auto"/>
                <w:highlight w:val="none"/>
                <w:lang w:val="en-US" w:eastAsia="zh-CN"/>
              </w:rPr>
              <w:t>13</w:t>
            </w:r>
            <w:r>
              <w:rPr>
                <w:rFonts w:hint="eastAsia"/>
                <w:color w:val="auto"/>
                <w:highlight w:val="none"/>
                <w:lang w:val="zh-CN" w:eastAsia="zh-CN"/>
              </w:rPr>
              <w:t>点</w:t>
            </w:r>
            <w:r>
              <w:rPr>
                <w:rFonts w:hint="eastAsia"/>
                <w:color w:val="auto"/>
                <w:highlight w:val="none"/>
                <w:lang w:val="en-US" w:eastAsia="zh-CN"/>
              </w:rPr>
              <w:t>30</w:t>
            </w:r>
            <w:r>
              <w:rPr>
                <w:rFonts w:hint="eastAsia"/>
                <w:color w:val="auto"/>
                <w:highlight w:val="none"/>
                <w:lang w:val="zh-CN" w:eastAsia="zh-CN"/>
              </w:rPr>
              <w:t>分</w:t>
            </w:r>
            <w:r>
              <w:rPr>
                <w:rFonts w:hint="eastAsia"/>
                <w:color w:val="auto"/>
                <w:highlight w:val="none"/>
                <w:lang w:val="zh-CN"/>
              </w:rPr>
              <w:t>(北京时间)</w:t>
            </w:r>
          </w:p>
        </w:tc>
      </w:tr>
      <w:tr w14:paraId="32EA2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vMerge w:val="continue"/>
            <w:tcBorders>
              <w:right w:val="single" w:color="auto" w:sz="4" w:space="0"/>
            </w:tcBorders>
            <w:noWrap w:val="0"/>
            <w:vAlign w:val="center"/>
          </w:tcPr>
          <w:p w14:paraId="01B7EDD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p>
        </w:tc>
        <w:tc>
          <w:tcPr>
            <w:tcW w:w="1798" w:type="dxa"/>
            <w:tcBorders>
              <w:top w:val="single" w:color="auto" w:sz="4" w:space="0"/>
              <w:left w:val="single" w:color="auto" w:sz="4" w:space="0"/>
            </w:tcBorders>
            <w:noWrap w:val="0"/>
            <w:vAlign w:val="center"/>
          </w:tcPr>
          <w:p w14:paraId="481D777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投标文件递交、开标地点</w:t>
            </w:r>
          </w:p>
        </w:tc>
        <w:tc>
          <w:tcPr>
            <w:tcW w:w="6963" w:type="dxa"/>
            <w:tcBorders>
              <w:top w:val="single" w:color="auto" w:sz="4" w:space="0"/>
            </w:tcBorders>
            <w:noWrap w:val="0"/>
            <w:vAlign w:val="center"/>
          </w:tcPr>
          <w:p w14:paraId="1809E4F2">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eastAsiaTheme="minorEastAsia"/>
                <w:color w:val="auto"/>
                <w:sz w:val="21"/>
                <w:szCs w:val="21"/>
                <w:lang w:eastAsia="zh-CN"/>
              </w:rPr>
            </w:pPr>
            <w:r>
              <w:rPr>
                <w:rFonts w:hint="eastAsia" w:ascii="宋体" w:hAnsi="宋体" w:cs="宋体" w:eastAsiaTheme="minorEastAsia"/>
                <w:color w:val="auto"/>
                <w:sz w:val="21"/>
                <w:szCs w:val="21"/>
                <w:lang w:eastAsia="zh-CN"/>
              </w:rPr>
              <w:t>二道区长春市二道区洋浦大街6669号凯利中心AB栋101开标二室（长春市同晟科技有限公司）</w:t>
            </w:r>
          </w:p>
        </w:tc>
      </w:tr>
      <w:tr w14:paraId="1CC88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A2CD521">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17.3</w:t>
            </w:r>
          </w:p>
        </w:tc>
        <w:tc>
          <w:tcPr>
            <w:tcW w:w="1798" w:type="dxa"/>
            <w:tcBorders>
              <w:left w:val="single" w:color="auto" w:sz="4" w:space="0"/>
              <w:right w:val="single" w:color="auto" w:sz="4" w:space="0"/>
            </w:tcBorders>
            <w:noWrap w:val="0"/>
            <w:vAlign w:val="center"/>
          </w:tcPr>
          <w:p w14:paraId="4E0AF8D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评标委员会</w:t>
            </w:r>
          </w:p>
          <w:p w14:paraId="495B524B">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rFonts w:hint="eastAsia" w:ascii="宋体" w:hAnsi="宋体" w:cs="宋体"/>
                <w:color w:val="auto"/>
                <w:sz w:val="21"/>
                <w:szCs w:val="21"/>
              </w:rPr>
              <w:t>组成</w:t>
            </w:r>
          </w:p>
        </w:tc>
        <w:tc>
          <w:tcPr>
            <w:tcW w:w="6963" w:type="dxa"/>
            <w:tcBorders>
              <w:left w:val="single" w:color="auto" w:sz="4" w:space="0"/>
            </w:tcBorders>
            <w:noWrap w:val="0"/>
            <w:vAlign w:val="center"/>
          </w:tcPr>
          <w:p w14:paraId="2AD694CE">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lang w:val="zh-CN"/>
              </w:rPr>
            </w:pPr>
            <w:r>
              <w:rPr>
                <w:rFonts w:hint="eastAsia" w:ascii="宋体" w:hAnsi="宋体" w:cs="宋体"/>
                <w:color w:val="auto"/>
                <w:sz w:val="21"/>
                <w:szCs w:val="21"/>
                <w:lang w:val="zh-CN"/>
              </w:rPr>
              <w:t>评标委员会的构成：由</w:t>
            </w:r>
            <w:r>
              <w:rPr>
                <w:rFonts w:hint="eastAsia" w:ascii="宋体" w:hAnsi="宋体" w:cs="宋体"/>
                <w:color w:val="auto"/>
                <w:sz w:val="21"/>
                <w:szCs w:val="21"/>
              </w:rPr>
              <w:t>5</w:t>
            </w:r>
            <w:r>
              <w:rPr>
                <w:rFonts w:hint="eastAsia" w:ascii="宋体" w:hAnsi="宋体" w:cs="宋体"/>
                <w:color w:val="auto"/>
                <w:sz w:val="21"/>
                <w:szCs w:val="21"/>
                <w:lang w:val="zh-CN"/>
              </w:rPr>
              <w:t>人组成。采购人代表</w:t>
            </w:r>
            <w:r>
              <w:rPr>
                <w:rFonts w:hint="eastAsia" w:ascii="宋体" w:hAnsi="宋体" w:cs="宋体"/>
                <w:color w:val="auto"/>
                <w:sz w:val="21"/>
                <w:szCs w:val="21"/>
                <w:lang w:val="en-US" w:eastAsia="zh-CN"/>
              </w:rPr>
              <w:t>0-</w:t>
            </w:r>
            <w:r>
              <w:rPr>
                <w:rFonts w:hint="eastAsia" w:ascii="宋体" w:hAnsi="宋体" w:cs="宋体"/>
                <w:color w:val="auto"/>
                <w:sz w:val="21"/>
                <w:szCs w:val="21"/>
              </w:rPr>
              <w:t>1</w:t>
            </w:r>
            <w:r>
              <w:rPr>
                <w:rFonts w:hint="eastAsia" w:ascii="宋体" w:hAnsi="宋体" w:cs="宋体"/>
                <w:color w:val="auto"/>
                <w:sz w:val="21"/>
                <w:szCs w:val="21"/>
                <w:lang w:val="zh-CN"/>
              </w:rPr>
              <w:t>人，评审专家</w:t>
            </w:r>
            <w:r>
              <w:rPr>
                <w:rFonts w:hint="eastAsia" w:ascii="宋体" w:hAnsi="宋体" w:cs="宋体"/>
                <w:color w:val="auto"/>
                <w:sz w:val="21"/>
                <w:szCs w:val="21"/>
              </w:rPr>
              <w:t>4</w:t>
            </w:r>
            <w:r>
              <w:rPr>
                <w:rFonts w:hint="eastAsia" w:ascii="宋体" w:hAnsi="宋体" w:cs="宋体"/>
                <w:color w:val="auto"/>
                <w:sz w:val="21"/>
                <w:szCs w:val="21"/>
                <w:lang w:val="en-US" w:eastAsia="zh-CN"/>
              </w:rPr>
              <w:t>-5</w:t>
            </w:r>
            <w:r>
              <w:rPr>
                <w:rFonts w:hint="eastAsia" w:ascii="宋体" w:hAnsi="宋体" w:cs="宋体"/>
                <w:color w:val="auto"/>
                <w:sz w:val="21"/>
                <w:szCs w:val="21"/>
                <w:lang w:val="zh-CN"/>
              </w:rPr>
              <w:t>人。</w:t>
            </w:r>
          </w:p>
          <w:p w14:paraId="3EC7E5BB">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rFonts w:hint="eastAsia" w:ascii="宋体" w:hAnsi="宋体" w:cs="宋体"/>
                <w:color w:val="auto"/>
                <w:sz w:val="21"/>
                <w:szCs w:val="21"/>
                <w:lang w:val="zh-CN"/>
              </w:rPr>
              <w:t>评审专家确定方式：在政采云平台（https://www.zcygov.cn/）专家库中随机抽聘。</w:t>
            </w:r>
          </w:p>
        </w:tc>
      </w:tr>
      <w:tr w14:paraId="0BCC8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72AAA4D">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14:paraId="330B425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评标方法</w:t>
            </w:r>
          </w:p>
        </w:tc>
        <w:tc>
          <w:tcPr>
            <w:tcW w:w="6963" w:type="dxa"/>
            <w:tcBorders>
              <w:left w:val="single" w:color="auto" w:sz="4" w:space="0"/>
            </w:tcBorders>
            <w:noWrap w:val="0"/>
            <w:vAlign w:val="center"/>
          </w:tcPr>
          <w:p w14:paraId="210BE96C">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综合评分</w:t>
            </w:r>
            <w:r>
              <w:rPr>
                <w:rFonts w:hint="eastAsia" w:ascii="宋体" w:hAnsi="宋体" w:cs="宋体"/>
                <w:color w:val="auto"/>
                <w:sz w:val="21"/>
                <w:szCs w:val="21"/>
                <w:highlight w:val="none"/>
              </w:rPr>
              <w:t>法。</w:t>
            </w:r>
          </w:p>
        </w:tc>
      </w:tr>
      <w:tr w14:paraId="3C56A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443" w:type="dxa"/>
            <w:gridSpan w:val="3"/>
            <w:noWrap w:val="0"/>
            <w:vAlign w:val="center"/>
          </w:tcPr>
          <w:p w14:paraId="2749D4F7">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合同条款</w:t>
            </w:r>
          </w:p>
        </w:tc>
      </w:tr>
      <w:tr w14:paraId="74413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3D4B0AE">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14:paraId="5C11A8F0">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rPr>
              <w:t>*付款</w:t>
            </w:r>
            <w:r>
              <w:rPr>
                <w:rFonts w:hint="eastAsia" w:ascii="宋体" w:hAnsi="宋体" w:cs="宋体"/>
                <w:color w:val="auto"/>
                <w:sz w:val="21"/>
                <w:szCs w:val="21"/>
                <w:highlight w:val="none"/>
                <w:lang w:val="en-US" w:eastAsia="zh-CN"/>
              </w:rPr>
              <w:t>方式</w:t>
            </w:r>
          </w:p>
        </w:tc>
        <w:tc>
          <w:tcPr>
            <w:tcW w:w="6963" w:type="dxa"/>
            <w:tcBorders>
              <w:left w:val="single" w:color="auto" w:sz="4" w:space="0"/>
            </w:tcBorders>
            <w:noWrap w:val="0"/>
            <w:vAlign w:val="top"/>
          </w:tcPr>
          <w:p w14:paraId="202944D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color w:val="auto"/>
                <w:highlight w:val="none"/>
                <w:lang w:val="en-US" w:eastAsia="zh-CN"/>
              </w:rPr>
            </w:pPr>
            <w:r>
              <w:rPr>
                <w:rFonts w:hint="eastAsia"/>
                <w:color w:val="auto"/>
                <w:highlight w:val="none"/>
                <w:lang w:val="en-US" w:eastAsia="zh-CN"/>
              </w:rPr>
              <w:t>按照招标文件及合同执行。</w:t>
            </w:r>
          </w:p>
        </w:tc>
      </w:tr>
      <w:tr w14:paraId="76015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FB627C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w:t>
            </w:r>
          </w:p>
        </w:tc>
        <w:tc>
          <w:tcPr>
            <w:tcW w:w="1798" w:type="dxa"/>
            <w:tcBorders>
              <w:left w:val="single" w:color="auto" w:sz="4" w:space="0"/>
              <w:right w:val="single" w:color="auto" w:sz="4" w:space="0"/>
            </w:tcBorders>
            <w:noWrap w:val="0"/>
            <w:vAlign w:val="center"/>
          </w:tcPr>
          <w:p w14:paraId="7A73A066">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*履约保证金</w:t>
            </w:r>
          </w:p>
        </w:tc>
        <w:tc>
          <w:tcPr>
            <w:tcW w:w="6963" w:type="dxa"/>
            <w:tcBorders>
              <w:left w:val="single" w:color="auto" w:sz="4" w:space="0"/>
            </w:tcBorders>
            <w:noWrap w:val="0"/>
            <w:vAlign w:val="center"/>
          </w:tcPr>
          <w:p w14:paraId="08EA193B">
            <w:pPr>
              <w:keepNext w:val="0"/>
              <w:keepLines w:val="0"/>
              <w:pageBreakBefore w:val="0"/>
              <w:widowControl w:val="0"/>
              <w:kinsoku/>
              <w:wordWrap/>
              <w:overflowPunct/>
              <w:topLinePunct w:val="0"/>
              <w:autoSpaceDE/>
              <w:autoSpaceDN/>
              <w:bidi w:val="0"/>
              <w:snapToGrid/>
              <w:spacing w:line="360" w:lineRule="exact"/>
              <w:jc w:val="left"/>
              <w:textAlignment w:val="auto"/>
              <w:outlineLvl w:val="9"/>
              <w:rPr>
                <w:rFonts w:hint="default" w:eastAsia="宋体"/>
                <w:color w:val="auto"/>
                <w:kern w:val="2"/>
                <w:sz w:val="21"/>
                <w:highlight w:val="none"/>
                <w:lang w:val="en-US" w:eastAsia="zh-CN" w:bidi="ar-SA"/>
              </w:rPr>
            </w:pPr>
            <w:r>
              <w:rPr>
                <w:rFonts w:hint="eastAsia" w:eastAsia="宋体"/>
                <w:color w:val="auto"/>
                <w:kern w:val="2"/>
                <w:sz w:val="21"/>
                <w:highlight w:val="none"/>
                <w:lang w:val="en-US" w:eastAsia="zh-CN" w:bidi="ar-SA"/>
              </w:rPr>
              <w:t>无。</w:t>
            </w:r>
          </w:p>
        </w:tc>
      </w:tr>
      <w:tr w14:paraId="585F4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443" w:type="dxa"/>
            <w:gridSpan w:val="3"/>
            <w:noWrap w:val="0"/>
            <w:vAlign w:val="center"/>
          </w:tcPr>
          <w:p w14:paraId="3FE9DEEA">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b/>
                <w:bCs/>
                <w:color w:val="auto"/>
                <w:sz w:val="21"/>
                <w:szCs w:val="21"/>
              </w:rPr>
            </w:pPr>
            <w:r>
              <w:rPr>
                <w:rFonts w:hint="eastAsia" w:ascii="宋体" w:hAnsi="宋体" w:cs="宋体"/>
                <w:b/>
                <w:bCs/>
                <w:color w:val="auto"/>
                <w:sz w:val="21"/>
                <w:szCs w:val="21"/>
              </w:rPr>
              <w:t>需要补充的其他内容</w:t>
            </w:r>
          </w:p>
        </w:tc>
      </w:tr>
      <w:tr w14:paraId="03926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D18365A">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26.1</w:t>
            </w:r>
          </w:p>
        </w:tc>
        <w:tc>
          <w:tcPr>
            <w:tcW w:w="1798" w:type="dxa"/>
            <w:tcBorders>
              <w:left w:val="single" w:color="auto" w:sz="4" w:space="0"/>
              <w:right w:val="single" w:color="auto" w:sz="4" w:space="0"/>
            </w:tcBorders>
            <w:noWrap w:val="0"/>
            <w:vAlign w:val="center"/>
          </w:tcPr>
          <w:p w14:paraId="10BB29A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sz w:val="21"/>
                <w:szCs w:val="21"/>
              </w:rPr>
            </w:pPr>
            <w:r>
              <w:rPr>
                <w:rFonts w:hint="eastAsia" w:ascii="宋体" w:hAnsi="宋体" w:cs="宋体"/>
                <w:color w:val="auto"/>
                <w:sz w:val="21"/>
                <w:szCs w:val="21"/>
              </w:rPr>
              <w:t>“*”条款</w:t>
            </w:r>
          </w:p>
        </w:tc>
        <w:tc>
          <w:tcPr>
            <w:tcW w:w="6963" w:type="dxa"/>
            <w:tcBorders>
              <w:left w:val="single" w:color="auto" w:sz="4" w:space="0"/>
            </w:tcBorders>
            <w:noWrap w:val="0"/>
            <w:vAlign w:val="center"/>
          </w:tcPr>
          <w:p w14:paraId="795605A7">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ascii="宋体" w:hAnsi="宋体" w:cs="宋体"/>
                <w:color w:val="auto"/>
                <w:sz w:val="21"/>
                <w:szCs w:val="21"/>
              </w:rPr>
            </w:pPr>
            <w:r>
              <w:rPr>
                <w:rFonts w:hint="eastAsia" w:ascii="宋体" w:hAnsi="宋体" w:cs="宋体"/>
                <w:color w:val="auto"/>
                <w:sz w:val="21"/>
                <w:szCs w:val="21"/>
              </w:rPr>
              <w:t>在招标文件中，商务</w:t>
            </w:r>
            <w:r>
              <w:rPr>
                <w:rFonts w:hint="eastAsia" w:ascii="宋体" w:hAnsi="宋体" w:cs="宋体"/>
                <w:color w:val="auto"/>
                <w:sz w:val="21"/>
                <w:szCs w:val="21"/>
                <w:lang w:val="en-US" w:eastAsia="zh-CN"/>
              </w:rPr>
              <w:t>条款</w:t>
            </w:r>
            <w:r>
              <w:rPr>
                <w:rFonts w:hint="eastAsia" w:ascii="宋体" w:hAnsi="宋体" w:cs="宋体"/>
                <w:color w:val="auto"/>
                <w:sz w:val="21"/>
                <w:szCs w:val="21"/>
              </w:rPr>
              <w:t>主要条款用“*”表示</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不含第五章技术标准和要求中的</w:t>
            </w:r>
            <w:r>
              <w:rPr>
                <w:rFonts w:hint="eastAsia" w:ascii="宋体" w:hAnsi="宋体" w:cs="宋体"/>
                <w:color w:val="auto"/>
                <w:sz w:val="21"/>
                <w:szCs w:val="21"/>
              </w:rPr>
              <w:t>*</w:t>
            </w:r>
            <w:r>
              <w:rPr>
                <w:rFonts w:hint="eastAsia" w:ascii="宋体" w:hAnsi="宋体" w:cs="宋体"/>
                <w:color w:val="auto"/>
                <w:sz w:val="21"/>
                <w:szCs w:val="21"/>
                <w:lang w:val="en-US" w:eastAsia="zh-CN"/>
              </w:rPr>
              <w:t>条款）</w:t>
            </w:r>
            <w:r>
              <w:rPr>
                <w:rFonts w:hint="eastAsia" w:ascii="宋体" w:hAnsi="宋体" w:cs="宋体"/>
                <w:color w:val="auto"/>
                <w:sz w:val="21"/>
                <w:szCs w:val="21"/>
              </w:rPr>
              <w:t>，这些主要条款的任何负偏离将否决其投标。</w:t>
            </w:r>
          </w:p>
        </w:tc>
      </w:tr>
      <w:tr w14:paraId="39F25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AB31290">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26.2</w:t>
            </w:r>
          </w:p>
        </w:tc>
        <w:tc>
          <w:tcPr>
            <w:tcW w:w="1798" w:type="dxa"/>
            <w:tcBorders>
              <w:left w:val="single" w:color="auto" w:sz="4" w:space="0"/>
              <w:right w:val="single" w:color="auto" w:sz="4" w:space="0"/>
            </w:tcBorders>
            <w:noWrap w:val="0"/>
            <w:vAlign w:val="center"/>
          </w:tcPr>
          <w:p w14:paraId="4B69C22B">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*中标服务费</w:t>
            </w:r>
          </w:p>
        </w:tc>
        <w:tc>
          <w:tcPr>
            <w:tcW w:w="6963" w:type="dxa"/>
            <w:tcBorders>
              <w:left w:val="single" w:color="auto" w:sz="4" w:space="0"/>
            </w:tcBorders>
            <w:noWrap w:val="0"/>
            <w:vAlign w:val="center"/>
          </w:tcPr>
          <w:p w14:paraId="5B469B87">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中标人在接到中标通知书后，应向采购代理机构足额缴纳中标服务费。</w:t>
            </w:r>
          </w:p>
          <w:p w14:paraId="27116FF6">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color w:val="auto"/>
                <w:kern w:val="2"/>
                <w:sz w:val="21"/>
                <w:szCs w:val="21"/>
                <w:lang w:val="en-US" w:eastAsia="zh-CN" w:bidi="ar-SA"/>
              </w:rPr>
              <w:t>招标代理服务费向中标人收取，</w:t>
            </w:r>
          </w:p>
          <w:p w14:paraId="0BA3F739">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color w:val="auto"/>
                <w:kern w:val="2"/>
                <w:sz w:val="21"/>
                <w:szCs w:val="21"/>
                <w:lang w:val="en-US" w:eastAsia="zh-CN" w:bidi="ar-SA"/>
              </w:rPr>
            </w:pPr>
            <w:r>
              <w:rPr>
                <w:rFonts w:hint="eastAsia"/>
                <w:color w:val="auto"/>
                <w:kern w:val="2"/>
                <w:sz w:val="21"/>
                <w:szCs w:val="21"/>
                <w:lang w:val="en-US" w:eastAsia="zh-CN" w:bidi="ar-SA"/>
              </w:rPr>
              <w:t>收取金额为：中标金额×2%</w:t>
            </w:r>
          </w:p>
        </w:tc>
      </w:tr>
      <w:tr w14:paraId="5C49F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638EF5F7">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26.3</w:t>
            </w:r>
          </w:p>
        </w:tc>
        <w:tc>
          <w:tcPr>
            <w:tcW w:w="1798" w:type="dxa"/>
            <w:tcBorders>
              <w:left w:val="single" w:color="auto" w:sz="4" w:space="0"/>
              <w:right w:val="single" w:color="auto" w:sz="4" w:space="0"/>
            </w:tcBorders>
            <w:noWrap w:val="0"/>
            <w:vAlign w:val="center"/>
          </w:tcPr>
          <w:p w14:paraId="4A860B33">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rPr>
            </w:pPr>
            <w:r>
              <w:rPr>
                <w:color w:val="auto"/>
                <w:highlight w:val="none"/>
              </w:rPr>
              <w:t>投标人信用信息的查询</w:t>
            </w:r>
          </w:p>
        </w:tc>
        <w:tc>
          <w:tcPr>
            <w:tcW w:w="6963" w:type="dxa"/>
            <w:tcBorders>
              <w:left w:val="single" w:color="auto" w:sz="4" w:space="0"/>
            </w:tcBorders>
            <w:noWrap w:val="0"/>
            <w:vAlign w:val="center"/>
          </w:tcPr>
          <w:p w14:paraId="4F86BA66">
            <w:pPr>
              <w:keepNext w:val="0"/>
              <w:keepLines w:val="0"/>
              <w:pageBreakBefore w:val="0"/>
              <w:widowControl w:val="0"/>
              <w:numPr>
                <w:ilvl w:val="0"/>
                <w:numId w:val="0"/>
              </w:numPr>
              <w:kinsoku/>
              <w:wordWrap/>
              <w:overflowPunct/>
              <w:topLinePunct w:val="0"/>
              <w:autoSpaceDE/>
              <w:autoSpaceDN/>
              <w:bidi w:val="0"/>
              <w:snapToGrid/>
              <w:spacing w:line="360" w:lineRule="exact"/>
              <w:jc w:val="left"/>
              <w:textAlignment w:val="auto"/>
              <w:outlineLvl w:val="9"/>
              <w:rPr>
                <w:rFonts w:hint="eastAsia" w:ascii="宋体" w:hAnsi="宋体" w:cs="宋体"/>
                <w:color w:val="auto"/>
                <w:sz w:val="21"/>
                <w:szCs w:val="21"/>
              </w:rPr>
            </w:pPr>
            <w:r>
              <w:rPr>
                <w:color w:val="auto"/>
                <w:highlight w:val="none"/>
              </w:rPr>
              <w:t>查询渠道：</w:t>
            </w:r>
            <w:r>
              <w:rPr>
                <w:rFonts w:hint="eastAsia" w:ascii="宋体" w:hAnsi="宋体" w:cs="宋体"/>
                <w:color w:val="auto"/>
                <w:highlight w:val="none"/>
              </w:rPr>
              <w:t>①</w:t>
            </w:r>
            <w:r>
              <w:rPr>
                <w:color w:val="auto"/>
                <w:highlight w:val="none"/>
              </w:rPr>
              <w:t>“信用中国”网站（www.creditchina.gov.cn）：失信被执行人、重大税收违法案件当事人名单</w:t>
            </w:r>
            <w:r>
              <w:rPr>
                <w:rFonts w:hint="eastAsia"/>
                <w:color w:val="auto"/>
                <w:highlight w:val="none"/>
                <w:lang w:eastAsia="zh-CN"/>
              </w:rPr>
              <w:t>、政府采购严重违法失信名单</w:t>
            </w:r>
            <w:r>
              <w:rPr>
                <w:color w:val="auto"/>
                <w:highlight w:val="none"/>
              </w:rPr>
              <w:t>。</w:t>
            </w:r>
            <w:r>
              <w:rPr>
                <w:color w:val="auto"/>
                <w:highlight w:val="none"/>
              </w:rPr>
              <w:br w:type="textWrapping"/>
            </w:r>
            <w:r>
              <w:rPr>
                <w:rFonts w:hint="eastAsia" w:ascii="宋体" w:hAnsi="宋体" w:cs="宋体"/>
                <w:color w:val="auto"/>
                <w:highlight w:val="none"/>
              </w:rPr>
              <w:t>②</w:t>
            </w:r>
            <w:r>
              <w:rPr>
                <w:color w:val="auto"/>
                <w:highlight w:val="none"/>
              </w:rPr>
              <w:t>中国政府采购网(www.ccgp.gov.cn)：政府采购严重违法失信行为信息记录。</w:t>
            </w:r>
            <w:r>
              <w:rPr>
                <w:color w:val="auto"/>
                <w:highlight w:val="none"/>
              </w:rPr>
              <w:br w:type="textWrapping"/>
            </w:r>
            <w:r>
              <w:rPr>
                <w:color w:val="auto"/>
                <w:highlight w:val="none"/>
              </w:rPr>
              <w:t>查询截止时点：</w:t>
            </w:r>
            <w:r>
              <w:rPr>
                <w:rFonts w:hint="eastAsia"/>
                <w:color w:val="auto"/>
                <w:highlight w:val="none"/>
                <w:lang w:val="en-US" w:eastAsia="zh-CN"/>
              </w:rPr>
              <w:t>公告发布之日起至投标截止时间</w:t>
            </w:r>
            <w:r>
              <w:rPr>
                <w:color w:val="auto"/>
                <w:highlight w:val="none"/>
              </w:rPr>
              <w:t>同投标截止时间</w:t>
            </w:r>
            <w:r>
              <w:rPr>
                <w:rFonts w:hint="eastAsia"/>
                <w:color w:val="auto"/>
                <w:highlight w:val="none"/>
                <w:lang w:eastAsia="zh-CN"/>
              </w:rPr>
              <w:t>。</w:t>
            </w:r>
            <w:r>
              <w:rPr>
                <w:color w:val="auto"/>
                <w:highlight w:val="none"/>
              </w:rPr>
              <w:br w:type="textWrapping"/>
            </w:r>
            <w:r>
              <w:rPr>
                <w:color w:val="auto"/>
                <w:highlight w:val="none"/>
              </w:rPr>
              <w:t>信用信息查询记录的具体方式：</w:t>
            </w:r>
            <w:r>
              <w:rPr>
                <w:color w:val="auto"/>
                <w:highlight w:val="none"/>
              </w:rPr>
              <w:br w:type="textWrapping"/>
            </w:r>
            <w:r>
              <w:rPr>
                <w:color w:val="auto"/>
                <w:highlight w:val="none"/>
              </w:rPr>
              <w:t>采购人或采购代理机构将按查询截止时点对所有投标人的信用信息进行查询。</w:t>
            </w:r>
            <w:r>
              <w:rPr>
                <w:color w:val="auto"/>
                <w:highlight w:val="none"/>
              </w:rPr>
              <w:br w:type="textWrapping"/>
            </w:r>
            <w:r>
              <w:rPr>
                <w:color w:val="auto"/>
                <w:highlight w:val="none"/>
              </w:rPr>
              <w:t>信用信息的使用规则：</w:t>
            </w:r>
            <w:r>
              <w:rPr>
                <w:color w:val="auto"/>
                <w:highlight w:val="none"/>
              </w:rPr>
              <w:br w:type="textWrapping"/>
            </w:r>
            <w:r>
              <w:rPr>
                <w:color w:val="auto"/>
                <w:highlight w:val="none"/>
              </w:rPr>
              <w:t>对列入失信被执行人、重大税收违法案件当事人名单、政府采购严重违法失信行为记录名单的投标人，投标文件作无效处理。</w:t>
            </w:r>
          </w:p>
        </w:tc>
      </w:tr>
      <w:tr w14:paraId="32ABD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1466557D">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26.4</w:t>
            </w:r>
          </w:p>
        </w:tc>
        <w:tc>
          <w:tcPr>
            <w:tcW w:w="1798" w:type="dxa"/>
            <w:tcBorders>
              <w:left w:val="single" w:color="auto" w:sz="4" w:space="0"/>
              <w:right w:val="single" w:color="auto" w:sz="4" w:space="0"/>
            </w:tcBorders>
            <w:noWrap w:val="0"/>
            <w:vAlign w:val="center"/>
          </w:tcPr>
          <w:p w14:paraId="2071861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违法行为</w:t>
            </w:r>
          </w:p>
        </w:tc>
        <w:tc>
          <w:tcPr>
            <w:tcW w:w="6963" w:type="dxa"/>
            <w:tcBorders>
              <w:left w:val="single" w:color="auto" w:sz="4" w:space="0"/>
            </w:tcBorders>
            <w:noWrap w:val="0"/>
            <w:vAlign w:val="center"/>
          </w:tcPr>
          <w:p w14:paraId="41A8EBB9">
            <w:pPr>
              <w:keepNext w:val="0"/>
              <w:keepLines w:val="0"/>
              <w:pageBreakBefore w:val="0"/>
              <w:widowControl w:val="0"/>
              <w:kinsoku/>
              <w:wordWrap/>
              <w:overflowPunct/>
              <w:topLinePunct w:val="0"/>
              <w:autoSpaceDE/>
              <w:autoSpaceDN/>
              <w:bidi w:val="0"/>
              <w:snapToGrid/>
              <w:spacing w:line="360" w:lineRule="exact"/>
              <w:textAlignment w:val="auto"/>
              <w:outlineLvl w:val="9"/>
              <w:rPr>
                <w:rFonts w:ascii="宋体" w:hAnsi="宋体" w:cs="宋体"/>
                <w:color w:val="auto"/>
                <w:kern w:val="2"/>
                <w:sz w:val="21"/>
                <w:szCs w:val="21"/>
                <w:lang w:val="en-US" w:eastAsia="zh-CN" w:bidi="ar-SA"/>
              </w:rPr>
            </w:pPr>
            <w:r>
              <w:rPr>
                <w:rFonts w:hint="eastAsia" w:ascii="宋体" w:hAnsi="宋体"/>
                <w:color w:val="auto"/>
                <w:sz w:val="21"/>
                <w:szCs w:val="21"/>
              </w:rPr>
              <w:t>一、有下列情形之一的，属于投标人相互串通投标：</w:t>
            </w:r>
            <w:r>
              <w:rPr>
                <w:rFonts w:hint="eastAsia" w:ascii="宋体" w:hAnsi="宋体"/>
                <w:color w:val="auto"/>
                <w:sz w:val="21"/>
                <w:szCs w:val="21"/>
              </w:rPr>
              <w:br w:type="textWrapping"/>
            </w:r>
            <w:r>
              <w:rPr>
                <w:rFonts w:hint="eastAsia" w:ascii="宋体" w:hAnsi="宋体"/>
                <w:color w:val="auto"/>
                <w:sz w:val="21"/>
                <w:szCs w:val="21"/>
              </w:rPr>
              <w:t>（一）投标人之间协商投标报价等投标文件的实质性内容；</w:t>
            </w:r>
            <w:r>
              <w:rPr>
                <w:rFonts w:hint="eastAsia" w:ascii="宋体" w:hAnsi="宋体"/>
                <w:color w:val="auto"/>
                <w:sz w:val="21"/>
                <w:szCs w:val="21"/>
              </w:rPr>
              <w:br w:type="textWrapping"/>
            </w:r>
            <w:r>
              <w:rPr>
                <w:rFonts w:hint="eastAsia" w:ascii="宋体" w:hAnsi="宋体"/>
                <w:color w:val="auto"/>
                <w:sz w:val="21"/>
                <w:szCs w:val="21"/>
              </w:rPr>
              <w:t>（二）投标人之间约定中标人；</w:t>
            </w:r>
            <w:r>
              <w:rPr>
                <w:rFonts w:hint="eastAsia" w:ascii="宋体" w:hAnsi="宋体"/>
                <w:color w:val="auto"/>
                <w:sz w:val="21"/>
                <w:szCs w:val="21"/>
              </w:rPr>
              <w:br w:type="textWrapping"/>
            </w:r>
            <w:r>
              <w:rPr>
                <w:rFonts w:hint="eastAsia" w:ascii="宋体" w:hAnsi="宋体"/>
                <w:color w:val="auto"/>
                <w:sz w:val="21"/>
                <w:szCs w:val="21"/>
              </w:rPr>
              <w:t>（三）投标人之间约定部分投标人放弃投标或者中标；</w:t>
            </w:r>
            <w:r>
              <w:rPr>
                <w:rFonts w:hint="eastAsia" w:ascii="宋体" w:hAnsi="宋体"/>
                <w:color w:val="auto"/>
                <w:sz w:val="21"/>
                <w:szCs w:val="21"/>
              </w:rPr>
              <w:br w:type="textWrapping"/>
            </w:r>
            <w:r>
              <w:rPr>
                <w:rFonts w:hint="eastAsia" w:ascii="宋体" w:hAnsi="宋体"/>
                <w:color w:val="auto"/>
                <w:sz w:val="21"/>
                <w:szCs w:val="21"/>
              </w:rPr>
              <w:t>（四）属于同一集团、协会、商会等组织成员的投标人按照该组织要求协同投标；</w:t>
            </w:r>
            <w:r>
              <w:rPr>
                <w:rFonts w:hint="eastAsia" w:ascii="宋体" w:hAnsi="宋体"/>
                <w:color w:val="auto"/>
                <w:sz w:val="21"/>
                <w:szCs w:val="21"/>
              </w:rPr>
              <w:br w:type="textWrapping"/>
            </w:r>
            <w:r>
              <w:rPr>
                <w:rFonts w:hint="eastAsia" w:ascii="宋体" w:hAnsi="宋体"/>
                <w:color w:val="auto"/>
                <w:sz w:val="21"/>
                <w:szCs w:val="21"/>
              </w:rPr>
              <w:t>（五）投标人之间为谋取中标或者排斥特定投标人而采取的其他联合行动。</w:t>
            </w:r>
            <w:r>
              <w:rPr>
                <w:rFonts w:hint="eastAsia" w:ascii="宋体" w:hAnsi="宋体"/>
                <w:color w:val="auto"/>
                <w:sz w:val="21"/>
                <w:szCs w:val="21"/>
              </w:rPr>
              <w:br w:type="textWrapping"/>
            </w:r>
            <w:r>
              <w:rPr>
                <w:rFonts w:hint="eastAsia" w:ascii="宋体" w:hAnsi="宋体"/>
                <w:color w:val="auto"/>
                <w:sz w:val="21"/>
                <w:szCs w:val="21"/>
              </w:rPr>
              <w:t>二、有下列情形之一的，视为投标人相互串通投标：</w:t>
            </w:r>
            <w:r>
              <w:rPr>
                <w:rFonts w:hint="eastAsia" w:ascii="宋体" w:hAnsi="宋体"/>
                <w:color w:val="auto"/>
                <w:sz w:val="21"/>
                <w:szCs w:val="21"/>
              </w:rPr>
              <w:br w:type="textWrapping"/>
            </w:r>
            <w:r>
              <w:rPr>
                <w:rFonts w:hint="eastAsia" w:ascii="宋体" w:hAnsi="宋体"/>
                <w:color w:val="auto"/>
                <w:sz w:val="21"/>
                <w:szCs w:val="21"/>
              </w:rPr>
              <w:t>（一）不同投标人的投标文件由同一单位或者个人编制；</w:t>
            </w:r>
            <w:r>
              <w:rPr>
                <w:rFonts w:hint="eastAsia" w:ascii="宋体" w:hAnsi="宋体"/>
                <w:color w:val="auto"/>
                <w:sz w:val="21"/>
                <w:szCs w:val="21"/>
              </w:rPr>
              <w:br w:type="textWrapping"/>
            </w:r>
            <w:r>
              <w:rPr>
                <w:rFonts w:hint="eastAsia" w:ascii="宋体" w:hAnsi="宋体"/>
                <w:color w:val="auto"/>
                <w:sz w:val="21"/>
                <w:szCs w:val="21"/>
              </w:rPr>
              <w:t>（二）不同投标人委托同一单位或者个人办理投标事宜；</w:t>
            </w:r>
            <w:r>
              <w:rPr>
                <w:rFonts w:hint="eastAsia" w:ascii="宋体" w:hAnsi="宋体"/>
                <w:color w:val="auto"/>
                <w:sz w:val="21"/>
                <w:szCs w:val="21"/>
              </w:rPr>
              <w:br w:type="textWrapping"/>
            </w:r>
            <w:r>
              <w:rPr>
                <w:rFonts w:hint="eastAsia" w:ascii="宋体" w:hAnsi="宋体"/>
                <w:color w:val="auto"/>
                <w:sz w:val="21"/>
                <w:szCs w:val="21"/>
              </w:rPr>
              <w:t>（三）不同投标人的投标文件载明的项目管理成员为同一人；</w:t>
            </w:r>
            <w:r>
              <w:rPr>
                <w:rFonts w:hint="eastAsia" w:ascii="宋体" w:hAnsi="宋体"/>
                <w:color w:val="auto"/>
                <w:sz w:val="21"/>
                <w:szCs w:val="21"/>
              </w:rPr>
              <w:br w:type="textWrapping"/>
            </w:r>
            <w:r>
              <w:rPr>
                <w:rFonts w:hint="eastAsia" w:ascii="宋体" w:hAnsi="宋体"/>
                <w:color w:val="auto"/>
                <w:sz w:val="21"/>
                <w:szCs w:val="21"/>
              </w:rPr>
              <w:t>（四）不同投标人的投标文件异常一致或者投标报价呈规律性差异；</w:t>
            </w:r>
            <w:r>
              <w:rPr>
                <w:rFonts w:hint="eastAsia" w:ascii="宋体" w:hAnsi="宋体"/>
                <w:color w:val="auto"/>
                <w:sz w:val="21"/>
                <w:szCs w:val="21"/>
              </w:rPr>
              <w:br w:type="textWrapping"/>
            </w:r>
            <w:r>
              <w:rPr>
                <w:rFonts w:hint="eastAsia" w:ascii="宋体" w:hAnsi="宋体"/>
                <w:color w:val="auto"/>
                <w:sz w:val="21"/>
                <w:szCs w:val="21"/>
              </w:rPr>
              <w:t>（五）不同投标人的投标文件相互混装；</w:t>
            </w:r>
            <w:r>
              <w:rPr>
                <w:rFonts w:hint="eastAsia" w:ascii="宋体" w:hAnsi="宋体"/>
                <w:color w:val="auto"/>
                <w:sz w:val="21"/>
                <w:szCs w:val="21"/>
              </w:rPr>
              <w:br w:type="textWrapping"/>
            </w:r>
            <w:r>
              <w:rPr>
                <w:rFonts w:hint="eastAsia" w:ascii="宋体" w:hAnsi="宋体"/>
                <w:color w:val="auto"/>
                <w:sz w:val="21"/>
                <w:szCs w:val="21"/>
              </w:rPr>
              <w:t>（六）不同投标人的投标保证金从同一单位或者个人的账户转出。</w:t>
            </w:r>
            <w:r>
              <w:rPr>
                <w:rFonts w:hint="eastAsia" w:ascii="宋体" w:hAnsi="宋体"/>
                <w:color w:val="auto"/>
                <w:sz w:val="21"/>
                <w:szCs w:val="21"/>
              </w:rPr>
              <w:br w:type="textWrapping"/>
            </w:r>
            <w:r>
              <w:rPr>
                <w:rFonts w:hint="eastAsia" w:ascii="宋体" w:hAnsi="宋体"/>
                <w:color w:val="auto"/>
                <w:sz w:val="21"/>
                <w:szCs w:val="21"/>
              </w:rPr>
              <w:t>三、有下列情形之一的，属于招标人与投标人串通投标：</w:t>
            </w:r>
            <w:r>
              <w:rPr>
                <w:rFonts w:hint="eastAsia" w:ascii="宋体" w:hAnsi="宋体"/>
                <w:color w:val="auto"/>
                <w:sz w:val="21"/>
                <w:szCs w:val="21"/>
              </w:rPr>
              <w:br w:type="textWrapping"/>
            </w:r>
            <w:r>
              <w:rPr>
                <w:rFonts w:hint="eastAsia" w:ascii="宋体" w:hAnsi="宋体"/>
                <w:color w:val="auto"/>
                <w:sz w:val="21"/>
                <w:szCs w:val="21"/>
              </w:rPr>
              <w:t>（一）招标人在开标前开启投标文件并将有关信息泄露给其他投标人;</w:t>
            </w:r>
            <w:r>
              <w:rPr>
                <w:rFonts w:hint="eastAsia" w:ascii="宋体" w:hAnsi="宋体"/>
                <w:color w:val="auto"/>
                <w:sz w:val="21"/>
                <w:szCs w:val="21"/>
              </w:rPr>
              <w:br w:type="textWrapping"/>
            </w:r>
            <w:r>
              <w:rPr>
                <w:rFonts w:hint="eastAsia" w:ascii="宋体" w:hAnsi="宋体"/>
                <w:color w:val="auto"/>
                <w:sz w:val="21"/>
                <w:szCs w:val="21"/>
              </w:rPr>
              <w:t>（二）招标人直接或者间接向投标人泄露标底、评标委员会成员等信息；</w:t>
            </w:r>
            <w:r>
              <w:rPr>
                <w:rFonts w:hint="eastAsia" w:ascii="宋体" w:hAnsi="宋体"/>
                <w:color w:val="auto"/>
                <w:sz w:val="21"/>
                <w:szCs w:val="21"/>
              </w:rPr>
              <w:br w:type="textWrapping"/>
            </w:r>
            <w:r>
              <w:rPr>
                <w:rFonts w:hint="eastAsia" w:ascii="宋体" w:hAnsi="宋体"/>
                <w:color w:val="auto"/>
                <w:sz w:val="21"/>
                <w:szCs w:val="21"/>
              </w:rPr>
              <w:t>（三）招标人明示或者暗示投标人压低或者抬高投标报价；</w:t>
            </w:r>
            <w:r>
              <w:rPr>
                <w:rFonts w:hint="eastAsia" w:ascii="宋体" w:hAnsi="宋体"/>
                <w:color w:val="auto"/>
                <w:sz w:val="21"/>
                <w:szCs w:val="21"/>
              </w:rPr>
              <w:br w:type="textWrapping"/>
            </w:r>
            <w:r>
              <w:rPr>
                <w:rFonts w:hint="eastAsia" w:ascii="宋体" w:hAnsi="宋体"/>
                <w:color w:val="auto"/>
                <w:sz w:val="21"/>
                <w:szCs w:val="21"/>
              </w:rPr>
              <w:t>（四）招标人授意投标人撤换、修改投标文件；</w:t>
            </w:r>
            <w:r>
              <w:rPr>
                <w:rFonts w:hint="eastAsia" w:ascii="宋体" w:hAnsi="宋体"/>
                <w:color w:val="auto"/>
                <w:sz w:val="21"/>
                <w:szCs w:val="21"/>
              </w:rPr>
              <w:br w:type="textWrapping"/>
            </w:r>
            <w:r>
              <w:rPr>
                <w:rFonts w:hint="eastAsia" w:ascii="宋体" w:hAnsi="宋体"/>
                <w:color w:val="auto"/>
                <w:sz w:val="21"/>
                <w:szCs w:val="21"/>
              </w:rPr>
              <w:t>（五）招标人明示或者暗示投标人为特定投标人中标提供方便；</w:t>
            </w:r>
            <w:r>
              <w:rPr>
                <w:rFonts w:hint="eastAsia" w:ascii="宋体" w:hAnsi="宋体"/>
                <w:color w:val="auto"/>
                <w:sz w:val="21"/>
                <w:szCs w:val="21"/>
              </w:rPr>
              <w:br w:type="textWrapping"/>
            </w:r>
            <w:r>
              <w:rPr>
                <w:rFonts w:hint="eastAsia" w:ascii="宋体" w:hAnsi="宋体"/>
                <w:color w:val="auto"/>
                <w:sz w:val="21"/>
                <w:szCs w:val="21"/>
              </w:rPr>
              <w:t>（六）招标人与投标人为谋求特定投标人中标而采取的其他串通行为。</w:t>
            </w:r>
          </w:p>
        </w:tc>
      </w:tr>
      <w:tr w14:paraId="6EB36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B729F1E">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26.5</w:t>
            </w:r>
          </w:p>
        </w:tc>
        <w:tc>
          <w:tcPr>
            <w:tcW w:w="1798" w:type="dxa"/>
            <w:tcBorders>
              <w:left w:val="single" w:color="auto" w:sz="4" w:space="0"/>
              <w:right w:val="single" w:color="auto" w:sz="4" w:space="0"/>
            </w:tcBorders>
            <w:noWrap w:val="0"/>
            <w:vAlign w:val="center"/>
          </w:tcPr>
          <w:p w14:paraId="2545294F">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ascii="宋体" w:hAnsi="宋体" w:cs="宋体"/>
                <w:color w:val="auto"/>
                <w:kern w:val="2"/>
                <w:sz w:val="21"/>
                <w:szCs w:val="21"/>
                <w:lang w:val="en-US" w:eastAsia="zh-CN" w:bidi="ar-SA"/>
              </w:rPr>
            </w:pPr>
            <w:r>
              <w:rPr>
                <w:rFonts w:hint="eastAsia" w:ascii="宋体" w:hAnsi="宋体" w:cs="宋体"/>
                <w:color w:val="auto"/>
                <w:sz w:val="21"/>
                <w:szCs w:val="21"/>
              </w:rPr>
              <w:t>有下列情形之一的应当在资格性、符合性检查时按照无效投标处理</w:t>
            </w:r>
          </w:p>
        </w:tc>
        <w:tc>
          <w:tcPr>
            <w:tcW w:w="6963" w:type="dxa"/>
            <w:tcBorders>
              <w:left w:val="single" w:color="auto" w:sz="4" w:space="0"/>
            </w:tcBorders>
            <w:noWrap w:val="0"/>
            <w:vAlign w:val="center"/>
          </w:tcPr>
          <w:p w14:paraId="084C5003">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（一）应交未交投标保证金的；</w:t>
            </w:r>
          </w:p>
          <w:p w14:paraId="7A60BCDA">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（二）未按照招标文件规定要求密封、签署、盖章的；</w:t>
            </w:r>
          </w:p>
          <w:p w14:paraId="55A2D85E">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（三）不具备招标文件中规定资格要求的；</w:t>
            </w:r>
          </w:p>
          <w:p w14:paraId="1FE39199">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（四）报价超过招标文件中规定的预算金额或者最高限价的；</w:t>
            </w:r>
          </w:p>
          <w:p w14:paraId="2C258B78">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rPr>
              <w:t>（五）投标文件含有采购人不能接受的附加条件的;</w:t>
            </w:r>
          </w:p>
          <w:p w14:paraId="4387F10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rPr>
              <w:t>（六）不符合法律、法规和招标文件中规定的其他实质性要求的。</w:t>
            </w:r>
          </w:p>
        </w:tc>
      </w:tr>
      <w:tr w14:paraId="37319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3C323CA1">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lang w:val="en-US" w:eastAsia="zh-CN"/>
              </w:rPr>
              <w:t>26.6</w:t>
            </w:r>
          </w:p>
        </w:tc>
        <w:tc>
          <w:tcPr>
            <w:tcW w:w="1798" w:type="dxa"/>
            <w:tcBorders>
              <w:left w:val="single" w:color="auto" w:sz="4" w:space="0"/>
              <w:right w:val="single" w:color="auto" w:sz="4" w:space="0"/>
            </w:tcBorders>
            <w:noWrap w:val="0"/>
            <w:vAlign w:val="center"/>
          </w:tcPr>
          <w:p w14:paraId="0EA5D514">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资金来源</w:t>
            </w:r>
          </w:p>
        </w:tc>
        <w:tc>
          <w:tcPr>
            <w:tcW w:w="6963" w:type="dxa"/>
            <w:tcBorders>
              <w:left w:val="single" w:color="auto" w:sz="4" w:space="0"/>
            </w:tcBorders>
            <w:noWrap w:val="0"/>
            <w:vAlign w:val="top"/>
          </w:tcPr>
          <w:p w14:paraId="3D314BB3">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eastAsia="宋体" w:cs="宋体"/>
                <w:color w:val="auto"/>
                <w:kern w:val="2"/>
                <w:sz w:val="21"/>
                <w:szCs w:val="21"/>
                <w:lang w:val="en-US" w:eastAsia="zh-CN" w:bidi="ar-SA"/>
              </w:rPr>
            </w:pPr>
            <w:r>
              <w:rPr>
                <w:rFonts w:hint="eastAsia" w:eastAsia="宋体" w:cs="Times New Roman"/>
                <w:color w:val="auto"/>
                <w:kern w:val="2"/>
                <w:szCs w:val="22"/>
                <w:highlight w:val="none"/>
                <w:lang w:val="en-US" w:eastAsia="zh-CN"/>
              </w:rPr>
              <w:t>财政</w:t>
            </w:r>
            <w:r>
              <w:rPr>
                <w:rFonts w:hint="eastAsia" w:eastAsia="宋体" w:cs="Times New Roman"/>
                <w:color w:val="auto"/>
                <w:kern w:val="2"/>
                <w:szCs w:val="22"/>
                <w:highlight w:val="none"/>
              </w:rPr>
              <w:t>资金</w:t>
            </w:r>
          </w:p>
        </w:tc>
      </w:tr>
      <w:tr w14:paraId="32EA1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2131CE34">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highlight w:val="none"/>
                <w:lang w:val="en-US" w:eastAsia="zh-CN"/>
              </w:rPr>
              <w:t>26.7</w:t>
            </w:r>
          </w:p>
        </w:tc>
        <w:tc>
          <w:tcPr>
            <w:tcW w:w="1798" w:type="dxa"/>
            <w:tcBorders>
              <w:left w:val="single" w:color="auto" w:sz="4" w:space="0"/>
              <w:right w:val="single" w:color="auto" w:sz="4" w:space="0"/>
            </w:tcBorders>
            <w:noWrap w:val="0"/>
            <w:vAlign w:val="center"/>
          </w:tcPr>
          <w:p w14:paraId="504AFEC5">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lang w:val="en-US" w:eastAsia="zh-CN"/>
              </w:rPr>
            </w:pPr>
            <w:r>
              <w:rPr>
                <w:rFonts w:hint="eastAsia" w:ascii="宋体" w:hAnsi="宋体" w:cs="宋体"/>
                <w:color w:val="auto"/>
                <w:sz w:val="21"/>
                <w:szCs w:val="21"/>
              </w:rPr>
              <w:t>采购预算</w:t>
            </w:r>
          </w:p>
        </w:tc>
        <w:tc>
          <w:tcPr>
            <w:tcW w:w="6963" w:type="dxa"/>
            <w:tcBorders>
              <w:left w:val="single" w:color="auto" w:sz="4" w:space="0"/>
            </w:tcBorders>
            <w:noWrap w:val="0"/>
            <w:vAlign w:val="top"/>
          </w:tcPr>
          <w:p w14:paraId="5DEA697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吉林电子信息职业技术学院特种作业高/低压电工培训考核实训室项目：78万元</w:t>
            </w:r>
          </w:p>
          <w:p w14:paraId="2F398B55">
            <w:pPr>
              <w:keepNext w:val="0"/>
              <w:keepLines w:val="0"/>
              <w:pageBreakBefore w:val="0"/>
              <w:widowControl w:val="0"/>
              <w:kinsoku/>
              <w:wordWrap/>
              <w:overflowPunct/>
              <w:topLinePunct w:val="0"/>
              <w:autoSpaceDE/>
              <w:autoSpaceDN/>
              <w:bidi w:val="0"/>
              <w:snapToGrid/>
              <w:spacing w:line="360" w:lineRule="exact"/>
              <w:textAlignment w:val="auto"/>
              <w:outlineLvl w:val="9"/>
              <w:rPr>
                <w:rFonts w:hint="eastAsia" w:ascii="宋体" w:hAnsi="宋体" w:cs="宋体"/>
                <w:color w:val="auto"/>
                <w:sz w:val="21"/>
                <w:szCs w:val="21"/>
              </w:rPr>
            </w:pPr>
            <w:r>
              <w:rPr>
                <w:rFonts w:hint="eastAsia" w:ascii="宋体" w:hAnsi="宋体" w:cs="宋体"/>
                <w:color w:val="auto"/>
                <w:sz w:val="21"/>
                <w:szCs w:val="21"/>
                <w:lang w:val="en-US" w:eastAsia="zh-CN"/>
              </w:rPr>
              <w:t>投标报价不允许超过本项目的预算金额，超过本项目的预算金额作为无效标处理。</w:t>
            </w:r>
          </w:p>
        </w:tc>
      </w:tr>
      <w:tr w14:paraId="6DCB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6ACAE84B">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26.8</w:t>
            </w:r>
          </w:p>
        </w:tc>
        <w:tc>
          <w:tcPr>
            <w:tcW w:w="1798" w:type="dxa"/>
            <w:tcBorders>
              <w:left w:val="single" w:color="auto" w:sz="4" w:space="0"/>
              <w:right w:val="single" w:color="auto" w:sz="4" w:space="0"/>
            </w:tcBorders>
            <w:noWrap w:val="0"/>
            <w:vAlign w:val="center"/>
          </w:tcPr>
          <w:p w14:paraId="6AA6C69A">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低于成本价</w:t>
            </w:r>
          </w:p>
          <w:p w14:paraId="1D546F28">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right="0"/>
              <w:jc w:val="center"/>
              <w:textAlignment w:val="auto"/>
              <w:rPr>
                <w:rFonts w:hint="eastAsia"/>
                <w:color w:val="auto"/>
                <w:sz w:val="21"/>
                <w:szCs w:val="21"/>
                <w:highlight w:val="none"/>
              </w:rPr>
            </w:pPr>
            <w:r>
              <w:rPr>
                <w:rFonts w:hint="eastAsia"/>
                <w:color w:val="auto"/>
                <w:sz w:val="21"/>
                <w:szCs w:val="21"/>
                <w:highlight w:val="none"/>
              </w:rPr>
              <w:t>不正当竞争预防措施</w:t>
            </w:r>
          </w:p>
          <w:p w14:paraId="5EFDE1DC">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rPr>
            </w:pPr>
          </w:p>
        </w:tc>
        <w:tc>
          <w:tcPr>
            <w:tcW w:w="6963" w:type="dxa"/>
            <w:tcBorders>
              <w:left w:val="single" w:color="auto" w:sz="4" w:space="0"/>
            </w:tcBorders>
            <w:noWrap w:val="0"/>
            <w:vAlign w:val="center"/>
          </w:tcPr>
          <w:p w14:paraId="07C7584B">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1.</w:t>
            </w:r>
            <w:r>
              <w:rPr>
                <w:rFonts w:hint="eastAsia" w:ascii="宋体" w:hAnsi="宋体"/>
                <w:color w:val="auto"/>
                <w:szCs w:val="21"/>
                <w:highlight w:val="none"/>
                <w:lang w:val="zh-CN"/>
              </w:rPr>
              <w:t>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14:paraId="76AA07A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 xml:space="preserve">投标人书面说明应当签字确认或者加盖公章，否则无效。书面说明的签字确认，由其法定代表人或主要负责人或其授权代表签字确认。 </w:t>
            </w:r>
          </w:p>
          <w:p w14:paraId="01ED98ED">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cs="宋体"/>
                <w:color w:val="auto"/>
                <w:sz w:val="21"/>
                <w:szCs w:val="21"/>
                <w:lang w:val="en-US" w:eastAsia="zh-CN"/>
              </w:rPr>
            </w:pPr>
            <w:r>
              <w:rPr>
                <w:rFonts w:hint="eastAsia" w:ascii="宋体" w:hAnsi="宋体"/>
                <w:color w:val="auto"/>
                <w:szCs w:val="21"/>
                <w:highlight w:val="none"/>
              </w:rPr>
              <w:t>3.</w:t>
            </w:r>
            <w:r>
              <w:rPr>
                <w:rFonts w:hint="eastAsia" w:ascii="宋体" w:hAnsi="宋体"/>
                <w:color w:val="auto"/>
                <w:szCs w:val="21"/>
                <w:highlight w:val="none"/>
                <w:lang w:val="zh-CN"/>
              </w:rPr>
              <w:t>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r>
              <w:rPr>
                <w:rFonts w:hint="eastAsia" w:ascii="宋体" w:hAnsi="宋体"/>
                <w:color w:val="auto"/>
                <w:szCs w:val="21"/>
                <w:highlight w:val="none"/>
              </w:rPr>
              <w:t>。</w:t>
            </w:r>
          </w:p>
        </w:tc>
      </w:tr>
      <w:tr w14:paraId="2DF8C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25B56F3D">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26.9</w:t>
            </w:r>
          </w:p>
        </w:tc>
        <w:tc>
          <w:tcPr>
            <w:tcW w:w="1798" w:type="dxa"/>
            <w:tcBorders>
              <w:left w:val="single" w:color="auto" w:sz="4" w:space="0"/>
              <w:right w:val="single" w:color="auto" w:sz="4" w:space="0"/>
            </w:tcBorders>
            <w:noWrap w:val="0"/>
            <w:vAlign w:val="center"/>
          </w:tcPr>
          <w:p w14:paraId="3D7D130C">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是否授权评标委员会确定中标人</w:t>
            </w:r>
          </w:p>
        </w:tc>
        <w:tc>
          <w:tcPr>
            <w:tcW w:w="6963" w:type="dxa"/>
            <w:tcBorders>
              <w:left w:val="single" w:color="auto" w:sz="4" w:space="0"/>
            </w:tcBorders>
            <w:noWrap w:val="0"/>
            <w:vAlign w:val="center"/>
          </w:tcPr>
          <w:p w14:paraId="1A8D3F03">
            <w:pPr>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0" w:leftChars="0" w:right="105" w:rightChars="50"/>
              <w:textAlignment w:val="auto"/>
              <w:rPr>
                <w:rFonts w:hint="eastAsia" w:ascii="宋体" w:hAnsi="宋体" w:eastAsiaTheme="minorEastAsia"/>
                <w:color w:val="auto"/>
                <w:szCs w:val="21"/>
                <w:highlight w:val="none"/>
                <w:lang w:eastAsia="zh-CN"/>
              </w:rPr>
            </w:pPr>
            <w:r>
              <w:rPr>
                <w:rFonts w:hint="eastAsia" w:ascii="宋体" w:hAnsi="宋体"/>
                <w:color w:val="auto"/>
                <w:szCs w:val="21"/>
                <w:highlight w:val="none"/>
              </w:rPr>
              <w:t>否，评标委员会确定3名中标候选人</w:t>
            </w:r>
            <w:r>
              <w:rPr>
                <w:rFonts w:hint="eastAsia" w:ascii="宋体" w:hAnsi="宋体"/>
                <w:color w:val="auto"/>
                <w:szCs w:val="21"/>
                <w:highlight w:val="none"/>
                <w:lang w:eastAsia="zh-CN"/>
              </w:rPr>
              <w:t>。</w:t>
            </w:r>
          </w:p>
        </w:tc>
      </w:tr>
      <w:tr w14:paraId="1E63D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6F71917B">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26.10</w:t>
            </w:r>
          </w:p>
        </w:tc>
        <w:tc>
          <w:tcPr>
            <w:tcW w:w="1798" w:type="dxa"/>
            <w:tcBorders>
              <w:left w:val="single" w:color="auto" w:sz="4" w:space="0"/>
              <w:right w:val="single" w:color="auto" w:sz="4" w:space="0"/>
            </w:tcBorders>
            <w:noWrap w:val="0"/>
            <w:vAlign w:val="center"/>
          </w:tcPr>
          <w:p w14:paraId="055182AE">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w:t>
            </w:r>
          </w:p>
        </w:tc>
        <w:tc>
          <w:tcPr>
            <w:tcW w:w="6963" w:type="dxa"/>
            <w:tcBorders>
              <w:left w:val="single" w:color="auto" w:sz="4" w:space="0"/>
            </w:tcBorders>
            <w:noWrap w:val="0"/>
            <w:vAlign w:val="center"/>
          </w:tcPr>
          <w:p w14:paraId="54D382A6">
            <w:pPr>
              <w:pStyle w:val="100"/>
              <w:keepNext w:val="0"/>
              <w:keepLines w:val="0"/>
              <w:pageBreakBefore w:val="0"/>
              <w:widowControl w:val="0"/>
              <w:suppressLineNumbers w:val="0"/>
              <w:kinsoku/>
              <w:wordWrap/>
              <w:overflowPunct/>
              <w:topLinePunct w:val="0"/>
              <w:bidi w:val="0"/>
              <w:snapToGrid/>
              <w:spacing w:before="0" w:beforeAutospacing="0" w:after="0" w:afterAutospacing="0" w:line="320" w:lineRule="exact"/>
              <w:ind w:left="38"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Theme="minorEastAsia" w:cstheme="minorBidi"/>
                <w:color w:val="auto"/>
                <w:kern w:val="2"/>
                <w:sz w:val="21"/>
                <w:szCs w:val="21"/>
                <w:highlight w:val="none"/>
                <w:lang w:val="zh-CN" w:eastAsia="zh-CN" w:bidi="ar-SA"/>
              </w:rPr>
              <w:t>中标</w:t>
            </w:r>
            <w:r>
              <w:rPr>
                <w:rFonts w:hint="eastAsia" w:ascii="宋体" w:hAnsi="宋体" w:eastAsiaTheme="minorEastAsia" w:cstheme="minorBidi"/>
                <w:color w:val="auto"/>
                <w:kern w:val="2"/>
                <w:sz w:val="21"/>
                <w:szCs w:val="21"/>
                <w:highlight w:val="none"/>
                <w:lang w:val="en-US" w:eastAsia="zh-CN" w:bidi="ar-SA"/>
              </w:rPr>
              <w:t>结果</w:t>
            </w:r>
            <w:r>
              <w:rPr>
                <w:rFonts w:hint="eastAsia" w:ascii="宋体" w:hAnsi="宋体" w:eastAsiaTheme="minorEastAsia" w:cstheme="minorBidi"/>
                <w:color w:val="auto"/>
                <w:kern w:val="2"/>
                <w:sz w:val="21"/>
                <w:szCs w:val="21"/>
                <w:highlight w:val="none"/>
                <w:lang w:val="zh-CN" w:eastAsia="zh-CN" w:bidi="ar-SA"/>
              </w:rPr>
              <w:t>公告</w:t>
            </w:r>
            <w:r>
              <w:rPr>
                <w:rFonts w:hint="eastAsia" w:ascii="宋体" w:hAnsi="宋体" w:eastAsiaTheme="minorEastAsia" w:cstheme="minorBidi"/>
                <w:color w:val="auto"/>
                <w:kern w:val="2"/>
                <w:sz w:val="21"/>
                <w:szCs w:val="21"/>
                <w:highlight w:val="none"/>
                <w:lang w:val="en-US" w:eastAsia="zh-CN" w:bidi="ar-SA"/>
              </w:rPr>
              <w:t>在政采云平台（https://www.zcygov.cn/）（同步推送至吉林省公共资源交易公共服务平台、吉林省政府采购网、中国政府采购网）发布，公告期限为1个工作日。</w:t>
            </w:r>
          </w:p>
        </w:tc>
      </w:tr>
      <w:tr w14:paraId="448EA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4243C723">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26.11</w:t>
            </w:r>
          </w:p>
        </w:tc>
        <w:tc>
          <w:tcPr>
            <w:tcW w:w="1798" w:type="dxa"/>
            <w:tcBorders>
              <w:left w:val="single" w:color="auto" w:sz="4" w:space="0"/>
              <w:right w:val="single" w:color="auto" w:sz="4" w:space="0"/>
            </w:tcBorders>
            <w:noWrap w:val="0"/>
            <w:vAlign w:val="center"/>
          </w:tcPr>
          <w:p w14:paraId="175EED5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cs="宋体"/>
                <w:color w:val="auto"/>
                <w:sz w:val="21"/>
                <w:szCs w:val="21"/>
              </w:rPr>
            </w:pPr>
            <w:r>
              <w:rPr>
                <w:rFonts w:hint="eastAsia" w:ascii="宋体" w:hAnsi="宋体"/>
                <w:bCs/>
                <w:color w:val="auto"/>
                <w:szCs w:val="21"/>
                <w:highlight w:val="none"/>
                <w:lang w:val="zh-CN"/>
              </w:rPr>
              <w:t>政府采购合同融资</w:t>
            </w:r>
          </w:p>
        </w:tc>
        <w:tc>
          <w:tcPr>
            <w:tcW w:w="6963" w:type="dxa"/>
            <w:tcBorders>
              <w:left w:val="single" w:color="auto" w:sz="4" w:space="0"/>
            </w:tcBorders>
            <w:noWrap w:val="0"/>
            <w:vAlign w:val="center"/>
          </w:tcPr>
          <w:p w14:paraId="5E5B25A5">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color w:val="auto"/>
                <w:sz w:val="21"/>
                <w:szCs w:val="21"/>
                <w:lang w:val="en-US" w:eastAsia="zh-CN"/>
              </w:rPr>
            </w:pPr>
            <w:r>
              <w:rPr>
                <w:rFonts w:hint="eastAsia"/>
                <w:color w:val="auto"/>
                <w:sz w:val="21"/>
                <w:szCs w:val="21"/>
                <w:highlight w:val="none"/>
              </w:rPr>
              <w:t>吉林省政府采购网已开通“政府采购合同融资”服务专区，中标人凭政府采购合同等相关材料可通过融资专区获得融资贷款支持。</w:t>
            </w:r>
          </w:p>
        </w:tc>
      </w:tr>
      <w:tr w14:paraId="7C140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54A96CDF">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26.12</w:t>
            </w:r>
          </w:p>
        </w:tc>
        <w:tc>
          <w:tcPr>
            <w:tcW w:w="1798" w:type="dxa"/>
            <w:tcBorders>
              <w:left w:val="single" w:color="auto" w:sz="4" w:space="0"/>
              <w:right w:val="single" w:color="auto" w:sz="4" w:space="0"/>
            </w:tcBorders>
            <w:noWrap w:val="0"/>
            <w:vAlign w:val="center"/>
          </w:tcPr>
          <w:p w14:paraId="2C025B0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bCs/>
                <w:color w:val="auto"/>
                <w:szCs w:val="21"/>
                <w:highlight w:val="none"/>
                <w:lang w:val="zh-CN"/>
              </w:rPr>
            </w:pPr>
            <w:r>
              <w:rPr>
                <w:rFonts w:hint="eastAsia" w:ascii="宋体" w:hAnsi="宋体"/>
                <w:bCs/>
                <w:color w:val="auto"/>
                <w:szCs w:val="21"/>
                <w:highlight w:val="none"/>
                <w:lang w:val="zh-CN"/>
              </w:rPr>
              <w:t>充分、公平竞争保障措施</w:t>
            </w:r>
          </w:p>
        </w:tc>
        <w:tc>
          <w:tcPr>
            <w:tcW w:w="6963" w:type="dxa"/>
            <w:tcBorders>
              <w:left w:val="single" w:color="auto" w:sz="4" w:space="0"/>
            </w:tcBorders>
            <w:noWrap w:val="0"/>
            <w:vAlign w:val="center"/>
          </w:tcPr>
          <w:p w14:paraId="4E8C9D7C">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（1）利害关系投标人处理。单位负责人为同一人或者存在直接控股、管理关系的不同投标人不得参加同一合同项下的政府采购活动，否则，均作无效处理。</w:t>
            </w:r>
          </w:p>
          <w:p w14:paraId="3BC00272">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（2）前期参与投标人处理。为采购项目提供整体设计、规范编制或者项目管理、监理、检测等服务的投标人，不得再参加该采购项目的其他采购活动。否则，其投标文件作为无效处理。</w:t>
            </w:r>
          </w:p>
          <w:p w14:paraId="08D7309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（3）利害关系代理人处理。两家以上的投标人不得在同一合同项下的采购项目中，同时委托同一个自然人、同一家庭的人员、同一单位的人员作为其代理人，否则，其投标文件均作为无效处理。</w:t>
            </w:r>
          </w:p>
          <w:p w14:paraId="2175A12F">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（4）投标人实际控制人或者中高级管理人员，同时是采购代理机构工作人员，不得参与本项目政府采购活动。</w:t>
            </w:r>
          </w:p>
          <w:p w14:paraId="6E9F5A4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（5）同一母公司的两家以上的子公司只能组成联合体参加本项目同一合同项下的采购活动，不得以不同投标人身份同时参加本项目同一合同项下的采购活动。</w:t>
            </w:r>
          </w:p>
          <w:p w14:paraId="530F54A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（6）投标人与采购代理机构存在关联关系，或者是采购代理机构的母公司或子公司，不得参加本项目政府采购活动。</w:t>
            </w:r>
          </w:p>
          <w:p w14:paraId="7711ACA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（7）回避。政府采购活动中，采购人员及相关人员与投标人有下列利害关系之一的，应当回避：</w:t>
            </w:r>
          </w:p>
          <w:p w14:paraId="67BE593F">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1）参加采购活动前3年内与投标人存在劳动关系；</w:t>
            </w:r>
          </w:p>
          <w:p w14:paraId="2051AAE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2）参加采购活动前3年内担任投标人的董事、监事；</w:t>
            </w:r>
          </w:p>
          <w:p w14:paraId="0B773DB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3）参加采购活动前3年内是投标人的控股股东或者实际控制人；</w:t>
            </w:r>
          </w:p>
          <w:p w14:paraId="667A6EE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4）与投标人的法定代表人或者负责人有夫妻、直系血亲、三代以内旁系血亲或者近姻亲关系；</w:t>
            </w:r>
          </w:p>
          <w:p w14:paraId="40BAC10E">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5）与投标人有其他可能影响政府采购活动公平、公正进行的关系。</w:t>
            </w:r>
          </w:p>
          <w:p w14:paraId="0710133A">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0D79845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rPr>
            </w:pPr>
            <w:r>
              <w:rPr>
                <w:rFonts w:hint="eastAsia"/>
                <w:color w:val="auto"/>
                <w:sz w:val="21"/>
                <w:szCs w:val="21"/>
                <w:highlight w:val="none"/>
              </w:rPr>
              <w:t>投标人认为采购人员及相关人员与其他投标人有利害关系的，可以向采购代理机构书面提出回避申请，并说明理由。采购代理机构将及时询问被申请回避人员，有利害关系的被申请回避人员应当回避。</w:t>
            </w:r>
          </w:p>
        </w:tc>
      </w:tr>
      <w:tr w14:paraId="6D800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49" w:hRule="atLeast"/>
          <w:jc w:val="center"/>
        </w:trPr>
        <w:tc>
          <w:tcPr>
            <w:tcW w:w="682" w:type="dxa"/>
            <w:tcBorders>
              <w:right w:val="single" w:color="auto" w:sz="4" w:space="0"/>
            </w:tcBorders>
            <w:noWrap w:val="0"/>
            <w:vAlign w:val="center"/>
          </w:tcPr>
          <w:p w14:paraId="6B0F9A81">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26.13</w:t>
            </w:r>
          </w:p>
        </w:tc>
        <w:tc>
          <w:tcPr>
            <w:tcW w:w="1798" w:type="dxa"/>
            <w:tcBorders>
              <w:left w:val="single" w:color="auto" w:sz="4" w:space="0"/>
              <w:right w:val="single" w:color="auto" w:sz="4" w:space="0"/>
            </w:tcBorders>
            <w:noWrap w:val="0"/>
            <w:vAlign w:val="center"/>
          </w:tcPr>
          <w:p w14:paraId="458ACEA2">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宋体" w:hAnsi="宋体" w:cs="宋体" w:eastAsiaTheme="minorEastAsia"/>
                <w:color w:val="auto"/>
                <w:sz w:val="21"/>
                <w:szCs w:val="21"/>
                <w:highlight w:val="none"/>
                <w:lang w:val="en-US" w:eastAsia="zh-CN"/>
              </w:rPr>
            </w:pPr>
            <w:r>
              <w:rPr>
                <w:rFonts w:hint="default" w:ascii="宋体" w:hAnsi="宋体" w:cs="宋体" w:eastAsiaTheme="minorEastAsia"/>
                <w:color w:val="auto"/>
                <w:sz w:val="21"/>
                <w:szCs w:val="21"/>
                <w:highlight w:val="none"/>
                <w:lang w:val="en-US" w:eastAsia="zh-CN"/>
              </w:rPr>
              <w:t>落实政府采购政策</w:t>
            </w:r>
          </w:p>
        </w:tc>
        <w:tc>
          <w:tcPr>
            <w:tcW w:w="6963" w:type="dxa"/>
            <w:tcBorders>
              <w:left w:val="single" w:color="auto" w:sz="4" w:space="0"/>
            </w:tcBorders>
            <w:noWrap w:val="0"/>
            <w:vAlign w:val="top"/>
          </w:tcPr>
          <w:p w14:paraId="08BE7872">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1.根据工信部等部委发布的《关于印发中小企业划型标准规定的通知》（工信部联企业〔2011〕300号），符合相关条件的为中小微型企业。</w:t>
            </w:r>
          </w:p>
          <w:p w14:paraId="199F4E93">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2.专门面向中小企业采购的项目,供应商须提供中小企业声明函。</w:t>
            </w:r>
          </w:p>
          <w:p w14:paraId="20235B9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3.非专门面向中小企业采购的项目,根据财库【2022】19号文件规定，对于小型企业、微企业的产品给予 10% 的价格扣除，并按照扣除后的价格参加评审。</w:t>
            </w:r>
          </w:p>
          <w:p w14:paraId="358E65C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4.符合要求的中小企业应当提供《政府采购促进中小企业发展管理办法》（财库[2020]46号）规定的《中小企业声明函》。无论实际情况如何，未提供《中小企业声明函》视为不符合条件。</w:t>
            </w:r>
          </w:p>
          <w:p w14:paraId="06D7D42B">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5.以联合体形式参加政府采购活动，联合体各方均为中小企业的，联合体视同中小企业。其中，联合体各方均为小微企业的，联合体视同小微企业。</w:t>
            </w:r>
          </w:p>
          <w:p w14:paraId="01102680">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6.按照《政府采购促进中小企业发展管理办法》（财库[2020]46号）规定，享受扶持政策获得政府采购合同的，小微企业不得将合同分包给大中型企业，中型企业不得将合同分包给大型企业。</w:t>
            </w:r>
          </w:p>
          <w:p w14:paraId="7FE22256">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本项目落实政府采购政策：</w:t>
            </w:r>
          </w:p>
          <w:p w14:paraId="56B52675">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《政府采购促进中小企业发展管理办法》（财库〔2020〕46号）。</w:t>
            </w:r>
          </w:p>
          <w:p w14:paraId="55887268">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《关于进一步加大政府采购支持中小企业力度的通知》（详见财库〔2022〕19 号）</w:t>
            </w:r>
          </w:p>
          <w:p w14:paraId="0D8A6443">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（2）《关于政府采购支持监狱企业发展有关问题的通知》（财库〔2014〕68号）。</w:t>
            </w:r>
          </w:p>
          <w:p w14:paraId="30610104">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（3）《三部门联合发布关于促进残疾人就业政府采购政策的通知》（财库〔2017〕141号）。</w:t>
            </w:r>
          </w:p>
          <w:p w14:paraId="1D909871">
            <w:pPr>
              <w:pStyle w:val="100"/>
              <w:keepNext w:val="0"/>
              <w:keepLines w:val="0"/>
              <w:pageBreakBefore w:val="0"/>
              <w:suppressLineNumbers w:val="0"/>
              <w:kinsoku/>
              <w:wordWrap/>
              <w:overflowPunct/>
              <w:topLinePunct w:val="0"/>
              <w:bidi w:val="0"/>
              <w:snapToGrid/>
              <w:spacing w:before="0" w:beforeAutospacing="0" w:after="0" w:afterAutospacing="0" w:line="320" w:lineRule="exact"/>
              <w:ind w:left="0" w:leftChars="0" w:right="0" w:rightChars="0"/>
              <w:jc w:val="both"/>
              <w:textAlignment w:val="auto"/>
              <w:rPr>
                <w:rFonts w:hint="eastAsia" w:ascii="宋体" w:hAnsi="宋体" w:cs="宋体" w:eastAsiaTheme="minorEastAsia"/>
                <w:color w:val="auto"/>
                <w:sz w:val="21"/>
                <w:szCs w:val="21"/>
                <w:highlight w:val="none"/>
                <w:lang w:val="en-US" w:eastAsia="zh-CN"/>
              </w:rPr>
            </w:pPr>
            <w:r>
              <w:rPr>
                <w:rFonts w:hint="eastAsia"/>
                <w:color w:val="auto"/>
                <w:sz w:val="21"/>
                <w:szCs w:val="21"/>
                <w:highlight w:val="none"/>
                <w:lang w:val="en-US" w:eastAsia="zh-CN"/>
              </w:rPr>
              <w:t>（4）《关于调整优化节能产品、环境标志产品政府采购执行机制的通知》（财库〔2019〕9号）等。</w:t>
            </w:r>
          </w:p>
        </w:tc>
      </w:tr>
      <w:tr w14:paraId="60361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682" w:type="dxa"/>
            <w:tcBorders>
              <w:right w:val="single" w:color="auto" w:sz="4" w:space="0"/>
            </w:tcBorders>
            <w:noWrap w:val="0"/>
            <w:vAlign w:val="center"/>
          </w:tcPr>
          <w:p w14:paraId="7DA4E203">
            <w:pPr>
              <w:keepNext w:val="0"/>
              <w:keepLines w:val="0"/>
              <w:pageBreakBefore w:val="0"/>
              <w:widowControl w:val="0"/>
              <w:tabs>
                <w:tab w:val="left" w:pos="260"/>
              </w:tabs>
              <w:kinsoku/>
              <w:wordWrap/>
              <w:overflowPunct/>
              <w:topLinePunct w:val="0"/>
              <w:autoSpaceDE/>
              <w:autoSpaceDN/>
              <w:bidi w:val="0"/>
              <w:snapToGrid/>
              <w:spacing w:line="36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26.14</w:t>
            </w:r>
          </w:p>
        </w:tc>
        <w:tc>
          <w:tcPr>
            <w:tcW w:w="1798" w:type="dxa"/>
            <w:tcBorders>
              <w:left w:val="single" w:color="auto" w:sz="4" w:space="0"/>
              <w:right w:val="single" w:color="auto" w:sz="4" w:space="0"/>
            </w:tcBorders>
            <w:noWrap w:val="0"/>
            <w:vAlign w:val="center"/>
          </w:tcPr>
          <w:p w14:paraId="125BB83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default" w:ascii="宋体" w:hAnsi="宋体" w:cs="宋体" w:eastAsiaTheme="minorEastAsia"/>
                <w:color w:val="auto"/>
                <w:sz w:val="21"/>
                <w:szCs w:val="21"/>
                <w:highlight w:val="none"/>
                <w:lang w:val="en-US" w:eastAsia="zh-CN"/>
              </w:rPr>
            </w:pPr>
            <w:r>
              <w:rPr>
                <w:rFonts w:hint="eastAsia" w:hAnsi="宋体" w:cs="宋体"/>
                <w:color w:val="auto"/>
                <w:kern w:val="2"/>
                <w:sz w:val="21"/>
                <w:szCs w:val="21"/>
                <w:highlight w:val="none"/>
                <w:lang w:val="en-US" w:eastAsia="zh-CN"/>
              </w:rPr>
              <w:t>其他</w:t>
            </w:r>
          </w:p>
        </w:tc>
        <w:tc>
          <w:tcPr>
            <w:tcW w:w="6963" w:type="dxa"/>
            <w:tcBorders>
              <w:left w:val="single" w:color="auto" w:sz="4" w:space="0"/>
            </w:tcBorders>
            <w:noWrap w:val="0"/>
            <w:vAlign w:val="center"/>
          </w:tcPr>
          <w:p w14:paraId="3C014B17">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cs="Times New Roman"/>
                <w:color w:val="auto"/>
                <w:kern w:val="15"/>
                <w:sz w:val="21"/>
                <w:szCs w:val="21"/>
                <w:highlight w:val="none"/>
                <w:lang w:eastAsia="zh-CN"/>
              </w:rPr>
            </w:pPr>
            <w:r>
              <w:rPr>
                <w:rFonts w:hint="eastAsia" w:cs="Times New Roman"/>
                <w:color w:val="auto"/>
                <w:kern w:val="15"/>
                <w:sz w:val="21"/>
                <w:szCs w:val="21"/>
                <w:highlight w:val="none"/>
                <w:lang w:val="en-US" w:eastAsia="zh-CN"/>
              </w:rPr>
              <w:t>1.</w:t>
            </w:r>
            <w:r>
              <w:rPr>
                <w:rFonts w:hint="eastAsia" w:cs="Times New Roman"/>
                <w:color w:val="auto"/>
                <w:kern w:val="15"/>
                <w:sz w:val="21"/>
                <w:szCs w:val="21"/>
                <w:highlight w:val="none"/>
                <w:lang w:eastAsia="zh-CN"/>
              </w:rPr>
              <w:t>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文件中所引相关法律制度规定，在政府采购中有变化的，按照变化后的相关法律制度规定执行。本</w:t>
            </w:r>
            <w:r>
              <w:rPr>
                <w:rFonts w:hint="eastAsia" w:cs="Times New Roman"/>
                <w:color w:val="auto"/>
                <w:kern w:val="15"/>
                <w:sz w:val="21"/>
                <w:szCs w:val="21"/>
                <w:highlight w:val="none"/>
                <w:lang w:val="en-US" w:eastAsia="zh-CN"/>
              </w:rPr>
              <w:t>文件</w:t>
            </w:r>
            <w:r>
              <w:rPr>
                <w:rFonts w:hint="eastAsia" w:cs="Times New Roman"/>
                <w:color w:val="auto"/>
                <w:kern w:val="15"/>
                <w:sz w:val="21"/>
                <w:szCs w:val="21"/>
                <w:highlight w:val="none"/>
                <w:lang w:eastAsia="zh-CN"/>
              </w:rPr>
              <w:t>规定的内容条款，在本项目递交</w:t>
            </w:r>
            <w:r>
              <w:rPr>
                <w:rFonts w:hint="eastAsia" w:cs="Times New Roman"/>
                <w:color w:val="auto"/>
                <w:kern w:val="15"/>
                <w:sz w:val="21"/>
                <w:szCs w:val="21"/>
                <w:highlight w:val="none"/>
                <w:lang w:val="en-US" w:eastAsia="zh-CN"/>
              </w:rPr>
              <w:t>投标</w:t>
            </w:r>
            <w:r>
              <w:rPr>
                <w:rFonts w:hint="eastAsia" w:cs="Times New Roman"/>
                <w:color w:val="auto"/>
                <w:kern w:val="15"/>
                <w:sz w:val="21"/>
                <w:szCs w:val="21"/>
                <w:highlight w:val="none"/>
                <w:lang w:eastAsia="zh-CN"/>
              </w:rPr>
              <w:t>文件截止时间届满后，因相关法律制度规定的变化导致不符合相关法律制度规定的，直接按照变化后的相关法律制度规定执行，本</w:t>
            </w:r>
            <w:r>
              <w:rPr>
                <w:rFonts w:hint="eastAsia" w:cs="Times New Roman"/>
                <w:color w:val="auto"/>
                <w:kern w:val="15"/>
                <w:sz w:val="21"/>
                <w:szCs w:val="21"/>
                <w:highlight w:val="none"/>
                <w:lang w:val="en-US" w:eastAsia="zh-CN"/>
              </w:rPr>
              <w:t>招标</w:t>
            </w:r>
            <w:r>
              <w:rPr>
                <w:rFonts w:hint="eastAsia" w:cs="Times New Roman"/>
                <w:color w:val="auto"/>
                <w:kern w:val="15"/>
                <w:sz w:val="21"/>
                <w:szCs w:val="21"/>
                <w:highlight w:val="none"/>
                <w:lang w:eastAsia="zh-CN"/>
              </w:rPr>
              <w:t>文件不再做调整。</w:t>
            </w:r>
          </w:p>
          <w:p w14:paraId="709E05D3">
            <w:pPr>
              <w:keepNext w:val="0"/>
              <w:keepLines w:val="0"/>
              <w:pageBreakBefore w:val="0"/>
              <w:widowControl/>
              <w:suppressLineNumbers w:val="0"/>
              <w:kinsoku/>
              <w:wordWrap/>
              <w:overflowPunct/>
              <w:topLinePunct w:val="0"/>
              <w:bidi w:val="0"/>
              <w:snapToGrid/>
              <w:spacing w:before="0" w:beforeAutospacing="0" w:after="0" w:afterAutospacing="0" w:line="320" w:lineRule="exact"/>
              <w:ind w:left="0" w:leftChars="0" w:right="0" w:rightChars="0"/>
              <w:jc w:val="left"/>
              <w:textAlignment w:val="auto"/>
              <w:rPr>
                <w:rFonts w:hint="eastAsia" w:ascii="宋体" w:hAnsi="宋体" w:cs="宋体"/>
                <w:color w:val="auto"/>
                <w:sz w:val="21"/>
                <w:szCs w:val="21"/>
                <w:highlight w:val="none"/>
              </w:rPr>
            </w:pPr>
            <w:r>
              <w:rPr>
                <w:rFonts w:hint="eastAsia" w:cs="Times New Roman"/>
                <w:color w:val="auto"/>
                <w:kern w:val="15"/>
                <w:sz w:val="21"/>
                <w:szCs w:val="21"/>
                <w:highlight w:val="none"/>
                <w:lang w:val="en-US" w:eastAsia="zh-CN"/>
              </w:rPr>
              <w:t>2.</w:t>
            </w:r>
            <w:r>
              <w:rPr>
                <w:rFonts w:hint="eastAsia" w:cs="Times New Roman"/>
                <w:color w:val="auto"/>
                <w:kern w:val="15"/>
                <w:sz w:val="21"/>
                <w:szCs w:val="21"/>
                <w:highlight w:val="none"/>
                <w:lang w:eastAsia="zh-CN"/>
              </w:rPr>
              <w:t>国家或行业主管部门对</w:t>
            </w:r>
            <w:r>
              <w:rPr>
                <w:rFonts w:hint="eastAsia" w:cs="Times New Roman"/>
                <w:color w:val="auto"/>
                <w:kern w:val="15"/>
                <w:sz w:val="21"/>
                <w:szCs w:val="21"/>
                <w:highlight w:val="none"/>
                <w:lang w:val="en-US" w:eastAsia="zh-CN"/>
              </w:rPr>
              <w:t>供应商</w:t>
            </w:r>
            <w:r>
              <w:rPr>
                <w:rFonts w:hint="eastAsia" w:cs="Times New Roman"/>
                <w:color w:val="auto"/>
                <w:kern w:val="15"/>
                <w:sz w:val="21"/>
                <w:szCs w:val="21"/>
                <w:highlight w:val="none"/>
                <w:lang w:eastAsia="zh-CN"/>
              </w:rPr>
              <w:t>和采购产品的技术标准、质量标准和资格资质条件等有强制性规定的，必须符合其要求。</w:t>
            </w:r>
          </w:p>
        </w:tc>
      </w:tr>
    </w:tbl>
    <w:p w14:paraId="2337D59C">
      <w:pPr>
        <w:adjustRightInd w:val="0"/>
        <w:snapToGrid w:val="0"/>
        <w:spacing w:line="360" w:lineRule="auto"/>
        <w:jc w:val="center"/>
        <w:rPr>
          <w:rFonts w:hint="eastAsia" w:ascii="宋体" w:hAnsi="宋体" w:eastAsia="宋体" w:cs="宋体"/>
          <w:color w:val="auto"/>
          <w:sz w:val="24"/>
          <w:szCs w:val="24"/>
        </w:rPr>
      </w:pPr>
    </w:p>
    <w:p w14:paraId="27C047CC">
      <w:pPr>
        <w:rPr>
          <w:rFonts w:hint="eastAsia" w:ascii="宋体" w:hAnsi="宋体" w:cs="黑体"/>
          <w:b/>
          <w:bCs/>
          <w:color w:val="auto"/>
          <w:sz w:val="30"/>
          <w:szCs w:val="30"/>
          <w:lang w:val="zh-CN"/>
        </w:rPr>
      </w:pPr>
      <w:bookmarkStart w:id="57" w:name="_Toc13774"/>
      <w:r>
        <w:rPr>
          <w:rFonts w:hint="eastAsia" w:ascii="宋体" w:hAnsi="宋体" w:cs="黑体"/>
          <w:b/>
          <w:bCs/>
          <w:color w:val="auto"/>
          <w:sz w:val="30"/>
          <w:szCs w:val="30"/>
          <w:lang w:val="zh-CN"/>
        </w:rPr>
        <w:br w:type="page"/>
      </w:r>
    </w:p>
    <w:bookmarkEnd w:id="57"/>
    <w:p w14:paraId="540674A3">
      <w:pPr>
        <w:spacing w:before="0" w:after="0" w:line="360" w:lineRule="auto"/>
        <w:jc w:val="center"/>
        <w:outlineLvl w:val="1"/>
        <w:rPr>
          <w:rFonts w:hint="eastAsia" w:ascii="宋体" w:hAnsi="宋体" w:eastAsia="宋体" w:cs="宋体"/>
          <w:b/>
          <w:bCs/>
          <w:color w:val="auto"/>
          <w:sz w:val="24"/>
          <w:szCs w:val="24"/>
        </w:rPr>
      </w:pPr>
      <w:bookmarkStart w:id="58" w:name="_Toc16450"/>
      <w:bookmarkStart w:id="59" w:name="_Toc28946"/>
      <w:bookmarkStart w:id="60" w:name="_Toc29732"/>
      <w:bookmarkStart w:id="61" w:name="_Toc16335"/>
      <w:bookmarkStart w:id="62" w:name="_Toc24574"/>
      <w:bookmarkStart w:id="63" w:name="_Toc28340"/>
      <w:r>
        <w:rPr>
          <w:rFonts w:hint="eastAsia" w:ascii="宋体" w:hAnsi="宋体" w:eastAsia="宋体" w:cs="宋体"/>
          <w:b/>
          <w:bCs/>
          <w:color w:val="auto"/>
          <w:sz w:val="24"/>
          <w:szCs w:val="24"/>
        </w:rPr>
        <w:t>一、总  则</w:t>
      </w:r>
      <w:bookmarkEnd w:id="58"/>
      <w:bookmarkEnd w:id="59"/>
    </w:p>
    <w:p w14:paraId="3FD244F3">
      <w:pPr>
        <w:keepNext w:val="0"/>
        <w:keepLines w:val="0"/>
        <w:widowControl/>
        <w:suppressLineNumbers w:val="0"/>
        <w:spacing w:line="360" w:lineRule="auto"/>
        <w:ind w:firstLine="422" w:firstLineChars="200"/>
        <w:jc w:val="left"/>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kern w:val="0"/>
          <w:sz w:val="21"/>
          <w:szCs w:val="21"/>
          <w:lang w:val="en-US" w:eastAsia="zh-CN" w:bidi="ar"/>
        </w:rPr>
        <w:t>适用法律：</w:t>
      </w:r>
      <w:r>
        <w:rPr>
          <w:rFonts w:hint="eastAsia" w:ascii="宋体" w:hAnsi="宋体" w:eastAsia="宋体" w:cs="宋体"/>
          <w:color w:val="auto"/>
          <w:kern w:val="0"/>
          <w:sz w:val="21"/>
          <w:szCs w:val="21"/>
          <w:lang w:val="en-US" w:eastAsia="zh-CN" w:bidi="ar"/>
        </w:rPr>
        <w:t>本次招标适用法律法规为《中华人民共和国政府采购法》、《中华人民共和国政府采购法实施条例》、《政府采购服务和服务招标投标管理办法》及政府采购其它相关法规。</w:t>
      </w:r>
    </w:p>
    <w:p w14:paraId="733AD415">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2、采购人、采购代理机构、投标人</w:t>
      </w:r>
    </w:p>
    <w:p w14:paraId="3E482E7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 “采购人”系指依法进行政府采购的国家机关、事业单位、团体组织</w:t>
      </w:r>
      <w:r>
        <w:rPr>
          <w:rFonts w:hint="eastAsia" w:ascii="宋体" w:hAnsi="宋体" w:eastAsia="宋体" w:cs="宋体"/>
          <w:color w:val="auto"/>
          <w:sz w:val="21"/>
          <w:szCs w:val="21"/>
          <w:lang w:eastAsia="zh-CN"/>
        </w:rPr>
        <w:t>等</w:t>
      </w:r>
      <w:r>
        <w:rPr>
          <w:rFonts w:hint="eastAsia" w:ascii="宋体" w:hAnsi="宋体" w:eastAsia="宋体" w:cs="宋体"/>
          <w:color w:val="auto"/>
          <w:sz w:val="21"/>
          <w:szCs w:val="21"/>
        </w:rPr>
        <w:t>。</w:t>
      </w:r>
    </w:p>
    <w:p w14:paraId="20533DF7">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2.2 </w:t>
      </w:r>
      <w:r>
        <w:rPr>
          <w:rFonts w:hint="eastAsia" w:ascii="宋体" w:hAnsi="宋体"/>
          <w:color w:val="auto"/>
          <w:szCs w:val="21"/>
          <w:highlight w:val="none"/>
        </w:rPr>
        <w:t>“采购代理机构” 系指根据采购人的委托依法办理采购事宜的采购机构（简称“采购人”）</w:t>
      </w:r>
      <w:r>
        <w:rPr>
          <w:rFonts w:hint="eastAsia" w:ascii="宋体" w:hAnsi="宋体" w:eastAsia="宋体" w:cs="宋体"/>
          <w:color w:val="auto"/>
          <w:sz w:val="21"/>
          <w:szCs w:val="21"/>
        </w:rPr>
        <w:t>。</w:t>
      </w:r>
    </w:p>
    <w:p w14:paraId="0ABB6A5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 “采购单位”系指“采购人”和“采购代理机构”的统称。</w:t>
      </w:r>
    </w:p>
    <w:p w14:paraId="64C3CB50">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3、合格投标人</w:t>
      </w:r>
    </w:p>
    <w:p w14:paraId="0D356E2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投标人指领取了招标文件并完成登记备案拟参加投标和向采购人提供相应服务的投标人。</w:t>
      </w:r>
    </w:p>
    <w:p w14:paraId="55B8A1E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应符合投标人须知及前附表中合格投标人的全部要求。</w:t>
      </w:r>
    </w:p>
    <w:p w14:paraId="31379D8E">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4、投标费用</w:t>
      </w:r>
    </w:p>
    <w:p w14:paraId="276437B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投标人应承担所有与编写和提交投标文件有关的费用，无论投标的结果如何，采购人和采购代理机构在任何情况下均无义务和责任承担这些费用。</w:t>
      </w:r>
    </w:p>
    <w:p w14:paraId="2310C277">
      <w:pPr>
        <w:spacing w:line="360" w:lineRule="auto"/>
        <w:jc w:val="center"/>
        <w:outlineLvl w:val="1"/>
        <w:rPr>
          <w:rFonts w:hint="eastAsia" w:ascii="宋体" w:hAnsi="宋体" w:eastAsia="宋体" w:cs="宋体"/>
          <w:b/>
          <w:color w:val="auto"/>
          <w:sz w:val="21"/>
          <w:szCs w:val="21"/>
        </w:rPr>
      </w:pPr>
      <w:bookmarkStart w:id="64" w:name="_Toc14446"/>
      <w:bookmarkStart w:id="65" w:name="_Toc30276"/>
      <w:r>
        <w:rPr>
          <w:rFonts w:hint="eastAsia" w:ascii="宋体" w:hAnsi="宋体" w:eastAsia="宋体" w:cs="宋体"/>
          <w:b/>
          <w:color w:val="auto"/>
          <w:sz w:val="21"/>
          <w:szCs w:val="21"/>
        </w:rPr>
        <w:t>二、招标文件</w:t>
      </w:r>
      <w:bookmarkEnd w:id="64"/>
      <w:bookmarkEnd w:id="65"/>
    </w:p>
    <w:p w14:paraId="7DBB1B84">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5、招标文件</w:t>
      </w:r>
    </w:p>
    <w:p w14:paraId="0DA4F72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5.1 招标文件的构成</w:t>
      </w:r>
    </w:p>
    <w:p w14:paraId="512AC137">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第一章  招标公告</w:t>
      </w:r>
    </w:p>
    <w:p w14:paraId="369CE25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第二章  投标人须知</w:t>
      </w:r>
    </w:p>
    <w:p w14:paraId="71689A9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第三章  评标办法</w:t>
      </w:r>
    </w:p>
    <w:p w14:paraId="3F46BD8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第四章  合同条款(参考格式)</w:t>
      </w:r>
    </w:p>
    <w:p w14:paraId="3908BB9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第五章  </w:t>
      </w:r>
      <w:r>
        <w:rPr>
          <w:rFonts w:hint="eastAsia" w:ascii="宋体" w:hAnsi="宋体" w:eastAsia="宋体" w:cs="宋体"/>
          <w:color w:val="auto"/>
          <w:sz w:val="21"/>
          <w:szCs w:val="21"/>
          <w:lang w:val="en-US" w:eastAsia="zh-CN"/>
        </w:rPr>
        <w:t>技术标准和要求</w:t>
      </w:r>
    </w:p>
    <w:p w14:paraId="08B66E9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第六章  投标文件构成及格式</w:t>
      </w:r>
    </w:p>
    <w:p w14:paraId="66C2C0B8">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第七章</w:t>
      </w:r>
      <w:r>
        <w:rPr>
          <w:rFonts w:hint="eastAsia" w:ascii="宋体" w:hAnsi="宋体" w:eastAsia="宋体" w:cs="宋体"/>
          <w:color w:val="auto"/>
          <w:sz w:val="21"/>
          <w:szCs w:val="21"/>
          <w:lang w:val="en-US" w:eastAsia="zh-CN"/>
        </w:rPr>
        <w:t xml:space="preserve">  附件</w:t>
      </w:r>
    </w:p>
    <w:p w14:paraId="1A26763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5.2投标人应认真阅读招标文件中所有的事项、格式、条款和规范等要求。如果投标人没有按照招标文件要求提交全部资料或投标文件没有对招标文件在各方面都做出实质性响应，是投标人的风险。</w:t>
      </w:r>
    </w:p>
    <w:p w14:paraId="20E0409D">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投标人收到招标文件时，应检查页数和附件数量。投标人发现任何页数或附件数量的遗缺，任何数字或词汇模糊不清，任何词义含混不清，应告知采购单位补全或澄清。如果投标人不按上述提出要求而造成不良后果，采购单位不承担责任。</w:t>
      </w:r>
    </w:p>
    <w:p w14:paraId="0CF87B0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6、招标文件的澄清和修改</w:t>
      </w:r>
    </w:p>
    <w:p w14:paraId="51D3918E">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w:t>
      </w:r>
      <w:r>
        <w:rPr>
          <w:rFonts w:hint="eastAsia" w:ascii="宋体" w:hAnsi="宋体" w:eastAsia="宋体" w:cs="宋体"/>
          <w:color w:val="auto"/>
          <w:sz w:val="21"/>
          <w:szCs w:val="21"/>
          <w:lang w:val="en-US" w:eastAsia="zh-CN"/>
        </w:rPr>
        <w:t>在相关媒体上发布</w:t>
      </w:r>
      <w:r>
        <w:rPr>
          <w:rFonts w:hint="eastAsia" w:ascii="宋体" w:hAnsi="宋体" w:eastAsia="宋体" w:cs="宋体"/>
          <w:color w:val="auto"/>
          <w:sz w:val="21"/>
          <w:szCs w:val="21"/>
        </w:rPr>
        <w:t>。潜在投标人应在1日内确认已收到该答复，未回复的潜在投标人视为已经收到该答复。答复中包括所提的问题，但不包括问题的来源。</w:t>
      </w:r>
    </w:p>
    <w:p w14:paraId="7CC1A03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14:paraId="6D47C4B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澄清或者修改的内容可能影响投标文件编制的，采购人或者采购代理机构将在投标截止时间15日前，</w:t>
      </w:r>
      <w:r>
        <w:rPr>
          <w:rFonts w:hint="eastAsia" w:ascii="宋体" w:hAnsi="宋体" w:eastAsia="宋体" w:cs="宋体"/>
          <w:color w:val="auto"/>
          <w:sz w:val="21"/>
          <w:szCs w:val="21"/>
          <w:lang w:val="en-US" w:eastAsia="zh-CN"/>
        </w:rPr>
        <w:t>将在网站上</w:t>
      </w:r>
      <w:r>
        <w:rPr>
          <w:rFonts w:hint="eastAsia" w:ascii="宋体" w:hAnsi="宋体" w:eastAsia="宋体" w:cs="宋体"/>
          <w:color w:val="auto"/>
          <w:sz w:val="21"/>
          <w:szCs w:val="21"/>
        </w:rPr>
        <w:t>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14:paraId="4565445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6.3本项目不召开答疑会。</w:t>
      </w:r>
    </w:p>
    <w:p w14:paraId="4E137BF7">
      <w:pPr>
        <w:spacing w:line="360" w:lineRule="auto"/>
        <w:jc w:val="center"/>
        <w:outlineLvl w:val="1"/>
        <w:rPr>
          <w:rFonts w:hint="eastAsia" w:ascii="宋体" w:hAnsi="宋体" w:eastAsia="宋体" w:cs="宋体"/>
          <w:b/>
          <w:color w:val="auto"/>
          <w:sz w:val="21"/>
          <w:szCs w:val="21"/>
        </w:rPr>
      </w:pPr>
      <w:bookmarkStart w:id="66" w:name="_Toc13388"/>
      <w:bookmarkStart w:id="67" w:name="_Toc19185"/>
      <w:r>
        <w:rPr>
          <w:rFonts w:hint="eastAsia" w:ascii="宋体" w:hAnsi="宋体" w:eastAsia="宋体" w:cs="宋体"/>
          <w:b/>
          <w:color w:val="auto"/>
          <w:sz w:val="21"/>
          <w:szCs w:val="21"/>
        </w:rPr>
        <w:t>三、投标文件</w:t>
      </w:r>
      <w:bookmarkEnd w:id="66"/>
      <w:bookmarkEnd w:id="67"/>
    </w:p>
    <w:p w14:paraId="532996D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7、投标文件的编制</w:t>
      </w:r>
    </w:p>
    <w:p w14:paraId="601EE06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7.1投标语言：投标人的投标文件以及投标人与就有关投标的所有来往函电均应使用中文。(注：投标人所投产品及设备的相关资料非中文文本无效)</w:t>
      </w:r>
    </w:p>
    <w:p w14:paraId="486BF04A">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7.2计量单位：中华人民共和国法定计量单位。</w:t>
      </w:r>
    </w:p>
    <w:p w14:paraId="5D0899C0">
      <w:pPr>
        <w:spacing w:line="360" w:lineRule="auto"/>
        <w:ind w:firstLine="420" w:firstLineChars="2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7.3投标文件应编排有序，并编制文件目录，准确标明文件内容所在位置。</w:t>
      </w:r>
    </w:p>
    <w:p w14:paraId="0EE52B5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8、投标文件构成</w:t>
      </w:r>
    </w:p>
    <w:p w14:paraId="3D062E5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8.1投标人应按照招标文件的规定和要求编制投标文件。投标人编写的投标文件应包括的内容见“第六章投标文件构成及格式”要求。</w:t>
      </w:r>
    </w:p>
    <w:p w14:paraId="6D5D468A">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r>
        <w:rPr>
          <w:rFonts w:hint="eastAsia" w:ascii="宋体" w:hAnsi="宋体" w:eastAsia="宋体" w:cs="宋体"/>
          <w:color w:val="auto"/>
          <w:sz w:val="21"/>
          <w:szCs w:val="21"/>
        </w:rPr>
        <w:t>对于没有格式要求的部分由投标人自行编写</w:t>
      </w:r>
      <w:r>
        <w:rPr>
          <w:rFonts w:hint="eastAsia" w:ascii="宋体" w:hAnsi="宋体" w:eastAsia="宋体" w:cs="宋体"/>
          <w:color w:val="auto"/>
          <w:sz w:val="21"/>
          <w:szCs w:val="21"/>
          <w:lang w:eastAsia="zh-CN"/>
        </w:rPr>
        <w:t>。</w:t>
      </w:r>
    </w:p>
    <w:p w14:paraId="7B44240A">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9、投标报价</w:t>
      </w:r>
    </w:p>
    <w:p w14:paraId="16799A4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9.1报价原则：所有投标均以人民币元为计算单位。</w:t>
      </w:r>
    </w:p>
    <w:p w14:paraId="70D6D9D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9.2投标人所报的价格在合同执行过程中是固定不变的，不得以任何理由予以变更。以可调整的价格提交的投标将作为非响应性投标而予以拒绝。</w:t>
      </w:r>
    </w:p>
    <w:p w14:paraId="4141800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9.3投标人报价应为优惠条件折算后的最终价格。评标过程中不再接受优惠条件的价格折算。</w:t>
      </w:r>
    </w:p>
    <w:p w14:paraId="41348536">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10、投标保证金</w:t>
      </w:r>
    </w:p>
    <w:p w14:paraId="6C88B12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14:paraId="15C46A7F">
      <w:pPr>
        <w:spacing w:line="360" w:lineRule="auto"/>
        <w:ind w:left="13" w:leftChars="6" w:firstLine="464" w:firstLineChars="221"/>
        <w:outlineLvl w:val="9"/>
        <w:rPr>
          <w:rFonts w:hint="eastAsia" w:ascii="宋体" w:hAnsi="宋体" w:eastAsia="宋体" w:cs="宋体"/>
          <w:color w:val="auto"/>
          <w:sz w:val="21"/>
          <w:szCs w:val="21"/>
        </w:rPr>
      </w:pPr>
      <w:r>
        <w:rPr>
          <w:rFonts w:hint="eastAsia" w:ascii="宋体" w:hAnsi="宋体" w:eastAsia="宋体" w:cs="宋体"/>
          <w:color w:val="auto"/>
          <w:sz w:val="21"/>
          <w:szCs w:val="21"/>
        </w:rPr>
        <w:t>10.2投标保证金是为了弥补采购人因投标人的违规行为而蒙受的损失。采购人在因投标人的违规行为而受到损害时将没收投标人的投标保证金作为所受损害的补偿。</w:t>
      </w:r>
    </w:p>
    <w:p w14:paraId="158E03E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10.3投标保证金是投标文件的一个组成部分，没有按要求提交投标保证金的投标，将被视为非响应性投标予以拒绝。</w:t>
      </w:r>
    </w:p>
    <w:p w14:paraId="0E364F0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10.4落标人的投标保证金在中标通知书发出后5个工作日内退还，不计利息。</w:t>
      </w:r>
    </w:p>
    <w:p w14:paraId="465B21D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10.5中标人的投标保证金，在中标人按规定签署合同，并交纳了履约保证金后5个工作日予以退还，不计利息。</w:t>
      </w:r>
    </w:p>
    <w:p w14:paraId="5EC70A4A">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10.6中标供应商有下列情况之一的，采购人和采购代理机构不予退还其交纳的投标保证金：</w:t>
      </w:r>
    </w:p>
    <w:p w14:paraId="5BF1895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（1）投标人在招标文件规定的投标有效期内撤回其投标；</w:t>
      </w:r>
    </w:p>
    <w:p w14:paraId="2A3D1E1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（2）中标人未按规定提交履约保证金的；</w:t>
      </w:r>
    </w:p>
    <w:p w14:paraId="29B37D8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（3）中标人未按规定时间、地点与采购人签订合同的；</w:t>
      </w:r>
    </w:p>
    <w:p w14:paraId="1DCEB99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（4）投标人存在严重违法行为：如提供虚假材料谋取中标，恶意串通，以及行贿或者提供其他不正当利益等；</w:t>
      </w:r>
    </w:p>
    <w:p w14:paraId="3720703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（5）招标文件规定不予退还投标保证金的其他情形。</w:t>
      </w:r>
    </w:p>
    <w:p w14:paraId="7D31F888">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11、投标有效期</w:t>
      </w:r>
    </w:p>
    <w:p w14:paraId="2B3F6E1D">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11.1投标有效期为自开标之时起90天，投标文件在这个规定期限内应保持有效。</w:t>
      </w:r>
    </w:p>
    <w:p w14:paraId="51DF0921">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11.2在特殊情况下，</w:t>
      </w:r>
      <w:r>
        <w:rPr>
          <w:rFonts w:hint="eastAsia" w:ascii="宋体" w:hAnsi="宋体" w:eastAsia="宋体" w:cs="宋体"/>
          <w:color w:val="auto"/>
          <w:sz w:val="21"/>
          <w:szCs w:val="21"/>
          <w:lang w:val="en-US" w:eastAsia="zh-CN"/>
        </w:rPr>
        <w:t>采购单位</w:t>
      </w:r>
      <w:r>
        <w:rPr>
          <w:rFonts w:hint="eastAsia" w:ascii="宋体" w:hAnsi="宋体" w:eastAsia="宋体" w:cs="宋体"/>
          <w:color w:val="auto"/>
          <w:sz w:val="21"/>
          <w:szCs w:val="21"/>
        </w:rPr>
        <w:t>可与投标人协商延长投标有效期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投标人可以拒绝接受延期要求而不会被没收投标保证金。同意延长投标有效期的投标人除按照要求修改投标文件的有效期外，不能修改投标文件的其他内容。</w:t>
      </w:r>
    </w:p>
    <w:p w14:paraId="0C41C9F2">
      <w:pPr>
        <w:spacing w:line="360" w:lineRule="auto"/>
        <w:ind w:firstLine="422" w:firstLineChars="200"/>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12、</w:t>
      </w:r>
      <w:r>
        <w:rPr>
          <w:rFonts w:hint="eastAsia" w:ascii="宋体" w:hAnsi="宋体"/>
          <w:b/>
          <w:bCs/>
          <w:color w:val="auto"/>
          <w:szCs w:val="21"/>
          <w:highlight w:val="none"/>
        </w:rPr>
        <w:t>投标文件的</w:t>
      </w:r>
      <w:r>
        <w:rPr>
          <w:rFonts w:hint="eastAsia" w:ascii="宋体" w:hAnsi="宋体"/>
          <w:b/>
          <w:bCs/>
          <w:color w:val="auto"/>
          <w:szCs w:val="21"/>
          <w:highlight w:val="none"/>
          <w:lang w:eastAsia="zh-CN"/>
        </w:rPr>
        <w:t>编制</w:t>
      </w:r>
      <w:r>
        <w:rPr>
          <w:rFonts w:hint="eastAsia" w:ascii="宋体" w:hAnsi="宋体"/>
          <w:b/>
          <w:bCs/>
          <w:color w:val="auto"/>
          <w:szCs w:val="21"/>
          <w:highlight w:val="none"/>
        </w:rPr>
        <w:t>和签署</w:t>
      </w:r>
    </w:p>
    <w:p w14:paraId="6F401D20">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lang w:eastAsia="zh-CN"/>
        </w:rPr>
        <w:t>投标文件应按招标文件要求的投标文件格式编制并使用下载的政采云投标客户端（下载链接：https://customer.zcygov.cn/CA-driver-download?utm=web-login-front.52cebfa2.0.0.04df4040034511edaac705fda12edb43）制作并上传，上传的投标文件文本格式未按照电子化采购系统要求制作，出现乱码等情况不能进行评审的，其投标无效。</w:t>
      </w:r>
    </w:p>
    <w:p w14:paraId="05C06B32">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lang w:eastAsia="zh-CN"/>
        </w:rPr>
        <w:t>招标文件要求的投标文件格式中须加盖单位公章的部分均采用CA签章，并根据规定的格式和顺序编制电子投标文件并进行关联定位，以便评标委员会在评审时，点击评分项可直接定位到该评分项内容。如对招标文件的某项要求，投标单位的电子投标文件未能关联定位提供相应的内容与其对应，则评标委员会在评审时如做出对投标单位不利的评审由投标单位自行承担。电子投标文件如内容不完整、编排混乱导致投标文件被误读、漏读，或者在按招标文件规定的部位查找不到相关内容的，由投标单位自行承担。</w:t>
      </w:r>
    </w:p>
    <w:p w14:paraId="2DCCE636">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lang w:eastAsia="zh-CN"/>
        </w:rPr>
        <w:t xml:space="preserve">投标人法定代表人或主要负责人或其授权代表持有政采云个人CA签章的，应在投标文件中涉及到签字的位置使用个人CA签章，没有办理政采云个人CA签章的可在投标文件中涉及到签字的位置手写签字后扫描或者拍照做成 PDF 的格式上传即可。 </w:t>
      </w:r>
    </w:p>
    <w:p w14:paraId="6DA63EC3">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12.4</w:t>
      </w:r>
      <w:r>
        <w:rPr>
          <w:rFonts w:hint="eastAsia" w:ascii="宋体" w:hAnsi="宋体" w:eastAsia="宋体" w:cs="宋体"/>
          <w:color w:val="auto"/>
          <w:sz w:val="21"/>
          <w:szCs w:val="21"/>
          <w:lang w:eastAsia="zh-CN"/>
        </w:rPr>
        <w:t>投标文件不得涂改，若有修改错漏处，须法定代表人或主要负责人或其授权代表签字（或个人CA签章）。文件加盖CA签章时，请勿遮挡文件中关键信息。投标文件因字迹潦草或表达不清所引起的后果由投标单位负责。</w:t>
      </w:r>
    </w:p>
    <w:p w14:paraId="47ECC218">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投标人应按本招标文件规定的格式和顺序编制投标文件并编制完整的页码、目录，投标文件内容不完整、编排混乱导致投标文件被误读、漏读或者查找不到相关内容的，由投标人自行负责。</w:t>
      </w:r>
    </w:p>
    <w:p w14:paraId="5F933797">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12.6</w:t>
      </w:r>
      <w:r>
        <w:rPr>
          <w:rFonts w:hint="eastAsia" w:ascii="宋体" w:hAnsi="宋体" w:eastAsia="宋体" w:cs="宋体"/>
          <w:color w:val="auto"/>
          <w:sz w:val="21"/>
          <w:szCs w:val="21"/>
        </w:rPr>
        <w:t>投标文件按照招标文件“第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章投标文件构成及格式”要求在规定位置进行签署、盖章。投标人的投标文件未按照招标文件要求签署、盖章的，其投标无效。</w:t>
      </w:r>
    </w:p>
    <w:p w14:paraId="15E412E5">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w:t>
      </w:r>
      <w:r>
        <w:rPr>
          <w:rFonts w:hint="eastAsia" w:ascii="宋体" w:hAnsi="宋体" w:eastAsia="宋体" w:cs="宋体"/>
          <w:color w:val="auto"/>
          <w:sz w:val="21"/>
          <w:szCs w:val="21"/>
        </w:rPr>
        <w:t>为确保网上操作合法、有效和安全，投标人应当在投标文件递交截止时间前完成在政采云平台的身份认证，确保在电子投标过程中能够对相关数据电文进行加密和使用电子签名。</w:t>
      </w:r>
    </w:p>
    <w:p w14:paraId="6A174364">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12.8</w:t>
      </w:r>
      <w:r>
        <w:rPr>
          <w:rFonts w:hint="eastAsia" w:ascii="宋体" w:hAnsi="宋体" w:eastAsia="宋体" w:cs="宋体"/>
          <w:color w:val="auto"/>
          <w:sz w:val="21"/>
          <w:szCs w:val="21"/>
        </w:rPr>
        <w:t>投标文件中标注的投标人名称应与主体资格证明（如营业执照、事业单位法人证书、执业许可证、个体工商户营业执照、自然人身份证等）和公章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电子签章一致，否则作无效投标处理。</w:t>
      </w:r>
    </w:p>
    <w:p w14:paraId="66614B61">
      <w:pPr>
        <w:spacing w:line="360" w:lineRule="auto"/>
        <w:ind w:firstLine="413" w:firstLineChars="196"/>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13、投标文件的修改和撤回</w:t>
      </w:r>
    </w:p>
    <w:p w14:paraId="584EC9B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应当在</w:t>
      </w:r>
      <w:r>
        <w:rPr>
          <w:rFonts w:hint="eastAsia" w:ascii="宋体" w:hAnsi="宋体" w:eastAsia="宋体" w:cs="宋体"/>
          <w:color w:val="auto"/>
          <w:sz w:val="21"/>
          <w:szCs w:val="21"/>
          <w:lang w:val="en-US" w:eastAsia="zh-CN"/>
        </w:rPr>
        <w:t>开标</w:t>
      </w:r>
      <w:r>
        <w:rPr>
          <w:rFonts w:hint="eastAsia" w:ascii="宋体" w:hAnsi="宋体" w:eastAsia="宋体" w:cs="宋体"/>
          <w:color w:val="auto"/>
          <w:sz w:val="21"/>
          <w:szCs w:val="21"/>
          <w:lang w:val="zh-CN"/>
        </w:rPr>
        <w:t>截止时间前完成</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文件的传输递交，并可以补充、修改或者撤回</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val="zh-CN"/>
        </w:rPr>
        <w:t>文件。补充或者修改</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的，应当先行撤回原文件，补充、修改后重新传输递交。提交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截止时间前未完成传输的，视为撤回投标文件。提交</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截止时间后递交的</w:t>
      </w:r>
      <w:r>
        <w:rPr>
          <w:rFonts w:hint="eastAsia" w:ascii="宋体" w:hAnsi="宋体" w:eastAsia="宋体" w:cs="宋体"/>
          <w:color w:val="auto"/>
          <w:sz w:val="21"/>
          <w:szCs w:val="21"/>
          <w:lang w:val="en-US" w:eastAsia="zh-CN"/>
        </w:rPr>
        <w:t>投标文件</w:t>
      </w:r>
      <w:r>
        <w:rPr>
          <w:rFonts w:hint="eastAsia" w:ascii="宋体" w:hAnsi="宋体" w:eastAsia="宋体" w:cs="宋体"/>
          <w:color w:val="auto"/>
          <w:sz w:val="21"/>
          <w:szCs w:val="21"/>
          <w:lang w:val="zh-CN"/>
        </w:rPr>
        <w:t>，政采云平台将拒收</w:t>
      </w:r>
      <w:r>
        <w:rPr>
          <w:rFonts w:hint="eastAsia" w:ascii="宋体" w:hAnsi="宋体" w:eastAsia="宋体" w:cs="宋体"/>
          <w:color w:val="auto"/>
          <w:sz w:val="21"/>
          <w:szCs w:val="21"/>
        </w:rPr>
        <w:t>。</w:t>
      </w:r>
    </w:p>
    <w:p w14:paraId="12103C33">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14、投标</w:t>
      </w:r>
    </w:p>
    <w:p w14:paraId="1AE5186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必须在招标文件规定的提交投标文件截止时间前提交电子版投标文件。电子投标文件应在制作完成后，在提交投标文件截止时间前通过有效数字证书（CA锁）进行电子签章、加密，然后通过网络将加密的电子投标文件递交至政采云平台。</w:t>
      </w:r>
    </w:p>
    <w:p w14:paraId="0B3C5AE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rPr>
        <w:t xml:space="preserve">未在规定时间内提交投标文件或者未按照招标文件要求签章、加密的电子投标文件，政采云平台将拒收。 </w:t>
      </w:r>
    </w:p>
    <w:p w14:paraId="40320A3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14.3</w:t>
      </w:r>
      <w:r>
        <w:rPr>
          <w:rFonts w:hint="eastAsia" w:ascii="宋体" w:hAnsi="宋体" w:eastAsia="宋体" w:cs="宋体"/>
          <w:color w:val="auto"/>
          <w:sz w:val="21"/>
          <w:szCs w:val="21"/>
        </w:rPr>
        <w:t>在提交投标文件截止时间前，除投标人补充、修改或者撤回投标文件外，任何单位和个人不得解密或提取投标文件。</w:t>
      </w:r>
    </w:p>
    <w:p w14:paraId="7A50F34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14.4</w:t>
      </w:r>
      <w:r>
        <w:rPr>
          <w:rFonts w:hint="eastAsia" w:ascii="宋体" w:hAnsi="宋体" w:eastAsia="宋体" w:cs="宋体"/>
          <w:color w:val="auto"/>
          <w:sz w:val="21"/>
          <w:szCs w:val="21"/>
        </w:rPr>
        <w:t>在提交投标文件截止时间止提交电子版投标文件的投标人不足3家时，按废标处理。</w:t>
      </w:r>
    </w:p>
    <w:p w14:paraId="7CCC3DF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14.5</w:t>
      </w:r>
      <w:r>
        <w:rPr>
          <w:rFonts w:hint="eastAsia" w:ascii="宋体" w:hAnsi="宋体" w:eastAsia="宋体" w:cs="宋体"/>
          <w:color w:val="auto"/>
          <w:sz w:val="21"/>
          <w:szCs w:val="21"/>
        </w:rPr>
        <w:t>招标文件未允许同一投标人提交两个或以上不同的投标文件，但存在同一投标人提交两个或以上不同的投标文件的，其投标无效。投标人在同一投标文件中对某项技术、商务要求提供有选择性的投标参数或方案等同于提交两个或以上不同的投标文件。</w:t>
      </w:r>
    </w:p>
    <w:p w14:paraId="3E19367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rPr>
        <w:t>本项目提交投标文件截止时间、开标时间和地点详见招标公告中规定。</w:t>
      </w:r>
    </w:p>
    <w:p w14:paraId="1811261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代理机构将按照招标文件规定的时间通过政采云平台组织线上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0FD2A95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如投标人成功解密投标文件，但未在政采云电子开标大厅参加开标的，视同认可开标过程和结果，由此产生的后果由投标人自行负责。</w:t>
      </w:r>
    </w:p>
    <w:p w14:paraId="35E0DD83">
      <w:pPr>
        <w:spacing w:line="360" w:lineRule="auto"/>
        <w:jc w:val="center"/>
        <w:outlineLvl w:val="1"/>
        <w:rPr>
          <w:rFonts w:hint="eastAsia" w:ascii="宋体" w:hAnsi="宋体" w:eastAsia="宋体" w:cs="宋体"/>
          <w:b/>
          <w:bCs/>
          <w:color w:val="auto"/>
          <w:sz w:val="21"/>
          <w:szCs w:val="21"/>
        </w:rPr>
      </w:pPr>
      <w:bookmarkStart w:id="68" w:name="_Toc3960"/>
      <w:bookmarkStart w:id="69" w:name="_Toc25429"/>
      <w:r>
        <w:rPr>
          <w:rFonts w:hint="eastAsia" w:ascii="宋体" w:hAnsi="宋体" w:eastAsia="宋体" w:cs="宋体"/>
          <w:b/>
          <w:bCs/>
          <w:color w:val="auto"/>
          <w:sz w:val="21"/>
          <w:szCs w:val="21"/>
        </w:rPr>
        <w:t>四、开标与评标</w:t>
      </w:r>
      <w:bookmarkEnd w:id="68"/>
      <w:bookmarkEnd w:id="69"/>
    </w:p>
    <w:p w14:paraId="792C2A46">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15、开标</w:t>
      </w:r>
    </w:p>
    <w:p w14:paraId="351D819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15.1</w:t>
      </w:r>
      <w:r>
        <w:rPr>
          <w:rFonts w:hint="eastAsia" w:ascii="宋体" w:hAnsi="宋体" w:eastAsia="宋体" w:cs="宋体"/>
          <w:color w:val="auto"/>
          <w:sz w:val="21"/>
          <w:szCs w:val="21"/>
        </w:rPr>
        <w:t>投标人登录政采云平台进入开标大厅签到。请投标人提前阅读《政府采购项目电子交易操作指南-供应商（政采云）》。</w:t>
      </w:r>
    </w:p>
    <w:p w14:paraId="392FC93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rPr>
        <w:t>解密电子投标文件。政采云平台按投标截止时间自动提取所有投标文件。采购代理机构在政采云平台向各投标人发出电子加密投标文件开始解密通知，由投标人平台设置时间内自行进行投标文件解密。投标人须使用加密时所用的CA锁准时登录到政采云平台电子开标大厅签到并对电子投标文件解密。投标截止后投标人未及时进行解密的，采购代理机构可通知投标人。通知后投标人仍未在上述规定时间内解密投标文件，或者投标人没有预留联系方式或预留联系方式无效导致采购代理机构无法联系到投标人的，均视为无效投标。</w:t>
      </w:r>
    </w:p>
    <w:p w14:paraId="730F42A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rPr>
        <w:t>解密异常情况处理：电子交易活动的中止。招标过程中出现以下情形，导致电子交易平台无法正常运行，或者无法保证电子交易的公平、公正和安全时，采购代理机构可中止电子交易活动：</w:t>
      </w:r>
    </w:p>
    <w:p w14:paraId="04751F4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①电子交易平台发生故障而无法登录访问的； </w:t>
      </w:r>
    </w:p>
    <w:p w14:paraId="2C72BC7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②电子交易平台应用或数据库出现错误，不能进行正常操作的；</w:t>
      </w:r>
    </w:p>
    <w:p w14:paraId="09C6023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③电子交易平台发现严重安全漏洞，有潜在泄密危险的；</w:t>
      </w:r>
    </w:p>
    <w:p w14:paraId="6254CF9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④电子化采购系统感染病毒不能进行正常操作的； </w:t>
      </w:r>
    </w:p>
    <w:p w14:paraId="1CB281F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⑤因电子化开评标场所停电、断网等原因，导致采购活动无法继续进行的；</w:t>
      </w:r>
    </w:p>
    <w:p w14:paraId="75DC9CC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⑥其他无法保证电子化采购活动公平、公正和安全的情况。</w:t>
      </w:r>
    </w:p>
    <w:p w14:paraId="123C252E">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68C7A3C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15.4</w:t>
      </w:r>
      <w:r>
        <w:rPr>
          <w:rFonts w:hint="eastAsia" w:ascii="宋体" w:hAnsi="宋体" w:eastAsia="宋体" w:cs="宋体"/>
          <w:color w:val="auto"/>
          <w:sz w:val="21"/>
          <w:szCs w:val="21"/>
        </w:rPr>
        <w:t>特别说明：如遇政采云平台相关程序调整的，按调整后的程序执行。</w:t>
      </w:r>
    </w:p>
    <w:p w14:paraId="267680F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15.5</w:t>
      </w:r>
      <w:r>
        <w:rPr>
          <w:rFonts w:hint="eastAsia" w:ascii="宋体" w:hAnsi="宋体" w:eastAsia="宋体" w:cs="宋体"/>
          <w:color w:val="auto"/>
          <w:sz w:val="21"/>
          <w:szCs w:val="21"/>
        </w:rPr>
        <w:t>开标时有下列情形之一的为无效投标：</w:t>
      </w:r>
    </w:p>
    <w:p w14:paraId="05D6609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①投标文件在规定的投标截止时间以后送达的；</w:t>
      </w:r>
    </w:p>
    <w:p w14:paraId="326AC90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②投标文件未按招标文件规定加密的；</w:t>
      </w:r>
    </w:p>
    <w:p w14:paraId="7902ECCE">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③招标文件规定开标时属于无效投标的其他情形。</w:t>
      </w:r>
    </w:p>
    <w:p w14:paraId="0252DDD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15.6</w:t>
      </w:r>
      <w:r>
        <w:rPr>
          <w:rFonts w:hint="eastAsia" w:ascii="宋体" w:hAnsi="宋体" w:eastAsia="宋体" w:cs="宋体"/>
          <w:color w:val="auto"/>
          <w:sz w:val="21"/>
          <w:szCs w:val="21"/>
        </w:rPr>
        <w:t>开标时有下列情形之一的，采购人有权宣布本项目废标：</w:t>
      </w:r>
    </w:p>
    <w:p w14:paraId="5D89D6C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①所有投标人的报价均超过采购项目预算，采购人不能支付的。</w:t>
      </w:r>
    </w:p>
    <w:p w14:paraId="6C5478B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首次招标废标后将重新招标，重新招标仍出现本款情形的，按相关规定处理。</w:t>
      </w:r>
    </w:p>
    <w:p w14:paraId="5A47AAAC">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16、评标过程的保密性</w:t>
      </w:r>
    </w:p>
    <w:p w14:paraId="5D6E8E5D">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16.1公开开标后，直至向中标的投标人授予合同时止，除按招标文件规定予以公开的评标结果外，凡与审查、澄清、评价和比较投标有关的资料以及授标意见等，均不得向投标人及与评标无关的其他人透露。</w:t>
      </w:r>
    </w:p>
    <w:p w14:paraId="2EAA005A">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17、评标</w:t>
      </w:r>
    </w:p>
    <w:p w14:paraId="14BB1B2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17.1采购代理机构负责组织评标工作，并履行下列职责：</w:t>
      </w:r>
    </w:p>
    <w:p w14:paraId="78C09772">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（一）核对评审专家身份和采购人代表授权函，对评审专家在政府采购活动中的职责履行情况予以记录，并及时将有关违法违规行为向财政部门报告；</w:t>
      </w:r>
    </w:p>
    <w:p w14:paraId="4ACEDFD4">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（二）宣布评标纪律；</w:t>
      </w:r>
    </w:p>
    <w:p w14:paraId="23B1DD96">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（三）公布投标人名单，告知评审专家应当回避的情形；</w:t>
      </w:r>
    </w:p>
    <w:p w14:paraId="5CFD9B9E">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（四）组织评标委员会推选评标组长，采购人代表不得担任组长；</w:t>
      </w:r>
    </w:p>
    <w:p w14:paraId="7847E916">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（五）在评标期间采取必要的通讯管理措施，保证评标活动不受外界干扰；</w:t>
      </w:r>
    </w:p>
    <w:p w14:paraId="6CBA33E5">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（六）根据评标委员会的要求介绍政府采购相关政策法规、招标文件；</w:t>
      </w:r>
    </w:p>
    <w:p w14:paraId="10D3111C">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（七）维护评标秩序，监督评标委员会依照招标文件规定的评标程序、方法和标准进行独立评审，及时制止和纠正采购人代表、评审专家的倾向性言论或者违法违规行为；</w:t>
      </w:r>
    </w:p>
    <w:p w14:paraId="766EB35D">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（八）核对评标结果，要求评标委员会复核或者书面说明理由，评标委员会拒绝的，应予记录并向本级财政部门报告；</w:t>
      </w:r>
    </w:p>
    <w:p w14:paraId="6ED605FF">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（九）评审工作完成后，按照规定向评审专家支付劳务报酬和异地评审差旅费，不得向评审专家以外的其他人员支付评审劳务报酬；</w:t>
      </w:r>
    </w:p>
    <w:p w14:paraId="6841EC05">
      <w:pPr>
        <w:spacing w:line="360" w:lineRule="auto"/>
        <w:ind w:firstLine="315" w:firstLineChars="150"/>
        <w:outlineLvl w:val="9"/>
        <w:rPr>
          <w:rFonts w:hint="eastAsia" w:ascii="宋体" w:hAnsi="宋体" w:eastAsia="宋体" w:cs="宋体"/>
          <w:color w:val="auto"/>
          <w:sz w:val="21"/>
          <w:szCs w:val="21"/>
        </w:rPr>
      </w:pPr>
      <w:r>
        <w:rPr>
          <w:rFonts w:hint="eastAsia" w:ascii="宋体" w:hAnsi="宋体" w:eastAsia="宋体" w:cs="宋体"/>
          <w:color w:val="auto"/>
          <w:sz w:val="21"/>
          <w:szCs w:val="21"/>
        </w:rPr>
        <w:t>（十）处理与评标有关的其他事项。</w:t>
      </w:r>
    </w:p>
    <w:p w14:paraId="38A49C8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17.2采购人可以在评标前说明项目背景和采购需求，说明内容不得含有歧视性、倾向性意见，不得超出招标文件所述范围。说明应当提交书面材料，并随采购文件一并存档。</w:t>
      </w:r>
    </w:p>
    <w:p w14:paraId="12C1A3D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17.3</w:t>
      </w:r>
      <w:r>
        <w:rPr>
          <w:rFonts w:hint="eastAsia" w:ascii="宋体" w:hAnsi="宋体" w:eastAsia="宋体" w:cs="宋体"/>
          <w:color w:val="auto"/>
          <w:sz w:val="21"/>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 w:val="21"/>
          <w:szCs w:val="21"/>
        </w:rPr>
        <w:t>评标委员会根据有关法律法规和招标文件规定的方法和标准独立评标，负责完成评标的全过程直至评定预中标人，成员人数应当为5人以上单数，其中评审专家不得少于成员总数的三分之二。</w:t>
      </w:r>
    </w:p>
    <w:p w14:paraId="696444B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采购项目符合下列情形之一的，评标委员会成员人数应当为7人以上单数：</w:t>
      </w:r>
    </w:p>
    <w:p w14:paraId="17401993">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（一）采购预算金额在1000万元以上；</w:t>
      </w:r>
    </w:p>
    <w:p w14:paraId="141ED9D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（二）技术复杂；</w:t>
      </w:r>
    </w:p>
    <w:p w14:paraId="4C6CE4F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（三）社会影响较大。</w:t>
      </w:r>
    </w:p>
    <w:p w14:paraId="3D16F18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评标委员会负责具体评标事物，并独立履行下列职责：</w:t>
      </w:r>
    </w:p>
    <w:p w14:paraId="42558C43">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（一）审查、评价投标文件是否符合招标文件的商务、技术等实质性要求；</w:t>
      </w:r>
    </w:p>
    <w:p w14:paraId="7D9B5972">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（二）要求投标人对投标文件有关事项作出澄清或者说明；</w:t>
      </w:r>
    </w:p>
    <w:p w14:paraId="14F9D67C">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（三）对投标文件进行比较和评价；</w:t>
      </w:r>
    </w:p>
    <w:p w14:paraId="2F050EAE">
      <w:pPr>
        <w:spacing w:line="360" w:lineRule="auto"/>
        <w:ind w:firstLine="420" w:firstLineChars="20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（四）确定中标候选人名单；</w:t>
      </w:r>
    </w:p>
    <w:p w14:paraId="50A7BD2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（五）向采购人、采购代理机构或者有关部门报告评标中发现的违法行为</w:t>
      </w:r>
      <w:r>
        <w:rPr>
          <w:rFonts w:hint="eastAsia" w:ascii="宋体" w:hAnsi="宋体" w:eastAsia="宋体" w:cs="宋体"/>
          <w:color w:val="auto"/>
          <w:sz w:val="21"/>
          <w:szCs w:val="21"/>
        </w:rPr>
        <w:t>。</w:t>
      </w:r>
    </w:p>
    <w:p w14:paraId="47824C0F">
      <w:pPr>
        <w:spacing w:line="360" w:lineRule="auto"/>
        <w:ind w:firstLine="316" w:firstLineChars="15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18、政府采购进口产品的规定</w:t>
      </w:r>
    </w:p>
    <w:p w14:paraId="4FE0E9A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1559EFE8">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在中国境内生产或组装的外国品牌产品须标明该产品在中国国内制造厂商名称。否则，按进口产品对待。</w:t>
      </w:r>
    </w:p>
    <w:p w14:paraId="16C2F438">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19、政府强制采购节能产品的规定</w:t>
      </w:r>
    </w:p>
    <w:p w14:paraId="169EEBE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19.1 按照财政部、发展改革委最新发布执行的《节能产品政府采购清单》的规定，《</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需求及技术规格要求》中凡包含强制采购产品的，供应商必须提供列入《节能产品政府采购清单》的产品，否则投标无效。</w:t>
      </w:r>
    </w:p>
    <w:p w14:paraId="2AE52A0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需求及技术规格要求》中包含计算机设备的，供应商必须投标预装正版操作系统软件的计算机产品，否则无效。</w:t>
      </w:r>
    </w:p>
    <w:p w14:paraId="6EEE275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19.2《</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需求及技术规格要求》中包含计算机设备的，投标人必须投标预装正版操作系统软件的计算机产品，否则无效。</w:t>
      </w:r>
    </w:p>
    <w:p w14:paraId="2DFBAAE2">
      <w:pPr>
        <w:spacing w:line="360" w:lineRule="auto"/>
        <w:jc w:val="center"/>
        <w:outlineLvl w:val="1"/>
        <w:rPr>
          <w:rFonts w:hint="eastAsia" w:ascii="宋体" w:hAnsi="宋体" w:eastAsia="宋体" w:cs="宋体"/>
          <w:b/>
          <w:color w:val="auto"/>
          <w:sz w:val="21"/>
          <w:szCs w:val="21"/>
        </w:rPr>
      </w:pPr>
      <w:bookmarkStart w:id="70" w:name="_Toc24025"/>
      <w:bookmarkStart w:id="71" w:name="_Toc19797"/>
      <w:r>
        <w:rPr>
          <w:rFonts w:hint="eastAsia" w:ascii="宋体" w:hAnsi="宋体" w:eastAsia="宋体" w:cs="宋体"/>
          <w:b/>
          <w:color w:val="auto"/>
          <w:sz w:val="21"/>
          <w:szCs w:val="21"/>
        </w:rPr>
        <w:t>五、中标与合同</w:t>
      </w:r>
      <w:bookmarkEnd w:id="70"/>
      <w:bookmarkEnd w:id="71"/>
    </w:p>
    <w:p w14:paraId="0A5BF4C9">
      <w:pPr>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20、</w:t>
      </w:r>
      <w:bookmarkStart w:id="72" w:name="OLE_LINK3"/>
      <w:r>
        <w:rPr>
          <w:rFonts w:hint="eastAsia" w:ascii="宋体" w:hAnsi="宋体" w:eastAsia="宋体" w:cs="宋体"/>
          <w:b/>
          <w:color w:val="auto"/>
          <w:sz w:val="21"/>
          <w:szCs w:val="21"/>
        </w:rPr>
        <w:t>中标</w:t>
      </w:r>
    </w:p>
    <w:p w14:paraId="00501966">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20.1采购代理机构应当在评标结束后2个工作日内将评标报告送采购人。</w:t>
      </w:r>
    </w:p>
    <w:p w14:paraId="1172F91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20.2 采购人应当自收到评标报告之日起5个工作日内，在评标报告确定的中标候选人名单中按顺序确定中标人。中标候选人并列的，采购人可采取随机抽取的方式确定。</w:t>
      </w:r>
    </w:p>
    <w:p w14:paraId="5D31633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20.3采购人在收到评标报告5个工作日内未按评标报告推荐的中标候选人顺序确定中标人，又不能说明合法理由的，视同按评标报告推荐的顺序确定排名第一的中标候选人为中标人。</w:t>
      </w:r>
    </w:p>
    <w:p w14:paraId="295EAC6A">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20.4采购代理机构应当自评标委员会中标人确定之日起2个工作日内，在省级以上财政部门指定的媒体上公告中标结果，招标文件应当随中标结果同时公告。中标公告期限为1个工作日。</w:t>
      </w:r>
    </w:p>
    <w:p w14:paraId="4DEA7D5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72"/>
    <w:p w14:paraId="6FBE5818">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21、授标时更改数量的权利</w:t>
      </w:r>
    </w:p>
    <w:p w14:paraId="4A69C871">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21.1采购人在授予合同时有权在一定幅度内对《</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需求及技术规格》中规定的货物数量和服务予以增加或减少，但不得改变单价和其他条款和条件。</w:t>
      </w:r>
    </w:p>
    <w:p w14:paraId="7A06DA87">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14:paraId="394E645C">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22、签订合同</w:t>
      </w:r>
    </w:p>
    <w:p w14:paraId="7062C1D4">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22.1 中标通知书发出后，采购人不得违法改变中标结果，中标人无正当理由不得放弃中标。</w:t>
      </w:r>
    </w:p>
    <w:p w14:paraId="2A51B4AD">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22.2采购人应当自中标通知书发出之日起30日内，按照招标文件和中标人投标文件的规定，与中标人签订书面合同。所签订的合同不得对招标文件确定的事项和中标人投标文件作实质性修改。</w:t>
      </w:r>
    </w:p>
    <w:p w14:paraId="570BDF02">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22.3采购人不得向中标人提出任何不合理的要求作为签订合同的条件。</w:t>
      </w:r>
    </w:p>
    <w:p w14:paraId="0E9093D0">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22.4 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14:paraId="408FC6E4">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23、保密和披露</w:t>
      </w:r>
    </w:p>
    <w:p w14:paraId="55C0EC6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23.1 投标人自购买招标文件之日起，须承诺承担本招标项目下的保密义务，不得将因本次招标获得的信息向第三人外传。</w:t>
      </w:r>
    </w:p>
    <w:p w14:paraId="185351FF">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23.2 采购人有权将投标人提供的所有资料向其他政府部门或有关的非政府机构负责评审标书的人员或与评标有关的人员披露。</w:t>
      </w:r>
    </w:p>
    <w:p w14:paraId="5A94183C">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23.3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D2D6CD3">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24、质疑和投诉</w:t>
      </w:r>
    </w:p>
    <w:p w14:paraId="056EC839">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 w:val="21"/>
          <w:szCs w:val="21"/>
          <w:lang w:val="en-US" w:eastAsia="zh-CN"/>
        </w:rPr>
        <w:t>张舒迪</w:t>
      </w:r>
      <w:r>
        <w:rPr>
          <w:rFonts w:hint="eastAsia" w:ascii="宋体" w:hAnsi="宋体" w:eastAsia="宋体" w:cs="宋体"/>
          <w:color w:val="auto"/>
          <w:sz w:val="21"/>
          <w:szCs w:val="21"/>
          <w:lang w:eastAsia="zh-CN"/>
        </w:rPr>
        <w:t>15044059166</w:t>
      </w:r>
      <w:r>
        <w:rPr>
          <w:rFonts w:hint="eastAsia" w:ascii="宋体" w:hAnsi="宋体" w:eastAsia="宋体" w:cs="宋体"/>
          <w:color w:val="auto"/>
          <w:sz w:val="21"/>
          <w:szCs w:val="21"/>
        </w:rPr>
        <w:t>）投标人对采购人的质疑答复不满意或者采购人未在规定时间内作出答复的，可以在答复期满后十五个工作日内向同级采购监管部门投诉。</w:t>
      </w:r>
    </w:p>
    <w:p w14:paraId="356CFC25">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24.2质疑书、投诉书均应明确阐述招标文件、招标过程和中标结果中使自己合法权益受到损害的实质性内容，提供相关事实、依据和证据及其来源或线索，便于有关单位调查、答复和处理。</w:t>
      </w:r>
    </w:p>
    <w:p w14:paraId="320C916E">
      <w:pPr>
        <w:spacing w:line="360" w:lineRule="auto"/>
        <w:ind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25、中标服务费</w:t>
      </w:r>
    </w:p>
    <w:p w14:paraId="6C0B5F2B">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14:paraId="185323C2">
      <w:pPr>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收取标准：</w:t>
      </w:r>
      <w:r>
        <w:rPr>
          <w:rFonts w:hint="eastAsia" w:ascii="宋体" w:hAnsi="宋体" w:eastAsia="宋体" w:cs="宋体"/>
          <w:color w:val="auto"/>
          <w:sz w:val="21"/>
          <w:szCs w:val="21"/>
          <w:lang w:val="en-US" w:eastAsia="zh-CN"/>
        </w:rPr>
        <w:t>招标代理服务费向中标人收取，</w:t>
      </w:r>
    </w:p>
    <w:p w14:paraId="7689CC07">
      <w:pPr>
        <w:spacing w:line="360" w:lineRule="auto"/>
        <w:ind w:firstLine="420" w:firstLineChars="200"/>
        <w:outlineLvl w:val="9"/>
        <w:rPr>
          <w:rFonts w:hint="eastAsia"/>
          <w:color w:val="auto"/>
          <w:sz w:val="21"/>
          <w:szCs w:val="21"/>
          <w:lang w:val="zh-CN"/>
        </w:rPr>
      </w:pPr>
      <w:r>
        <w:rPr>
          <w:rFonts w:hint="eastAsia" w:ascii="宋体" w:hAnsi="宋体" w:eastAsia="宋体" w:cs="宋体"/>
          <w:color w:val="auto"/>
          <w:sz w:val="21"/>
          <w:szCs w:val="21"/>
          <w:lang w:val="en-US" w:eastAsia="zh-CN"/>
        </w:rPr>
        <w:t>收取金额为：中标金额×2%</w:t>
      </w:r>
      <w:r>
        <w:rPr>
          <w:rFonts w:hint="eastAsia"/>
          <w:color w:val="auto"/>
          <w:sz w:val="21"/>
          <w:szCs w:val="21"/>
          <w:lang w:val="zh-CN"/>
        </w:rPr>
        <w:br w:type="page"/>
      </w:r>
    </w:p>
    <w:p w14:paraId="6B7A67FD">
      <w:pPr>
        <w:pStyle w:val="3"/>
        <w:numPr>
          <w:ilvl w:val="0"/>
          <w:numId w:val="1"/>
        </w:numPr>
        <w:bidi w:val="0"/>
        <w:spacing w:line="240" w:lineRule="auto"/>
        <w:jc w:val="center"/>
        <w:rPr>
          <w:rFonts w:hint="eastAsia"/>
          <w:color w:val="auto"/>
        </w:rPr>
      </w:pPr>
      <w:bookmarkStart w:id="73" w:name="_Toc9393"/>
      <w:bookmarkStart w:id="74" w:name="_Toc246996252"/>
      <w:bookmarkStart w:id="75" w:name="_Toc152042387"/>
      <w:bookmarkStart w:id="76" w:name="_Toc246996995"/>
      <w:bookmarkStart w:id="77" w:name="_Toc247085767"/>
      <w:bookmarkStart w:id="78" w:name="_Toc144974577"/>
      <w:bookmarkStart w:id="79" w:name="_Toc179632627"/>
      <w:bookmarkStart w:id="80" w:name="_Toc152045609"/>
      <w:r>
        <w:rPr>
          <w:rFonts w:hint="eastAsia"/>
          <w:color w:val="auto"/>
        </w:rPr>
        <w:t>评标办法</w:t>
      </w:r>
      <w:bookmarkEnd w:id="60"/>
      <w:bookmarkEnd w:id="61"/>
      <w:bookmarkEnd w:id="62"/>
      <w:bookmarkEnd w:id="63"/>
      <w:bookmarkEnd w:id="73"/>
      <w:bookmarkEnd w:id="74"/>
      <w:bookmarkEnd w:id="75"/>
      <w:bookmarkEnd w:id="76"/>
      <w:bookmarkEnd w:id="77"/>
      <w:bookmarkEnd w:id="78"/>
      <w:bookmarkEnd w:id="79"/>
      <w:bookmarkEnd w:id="80"/>
      <w:bookmarkStart w:id="81" w:name="_Toc12089"/>
      <w:bookmarkStart w:id="82" w:name="_Toc32564"/>
      <w:bookmarkStart w:id="83" w:name="_Toc31131"/>
      <w:bookmarkStart w:id="84" w:name="_Toc28446"/>
    </w:p>
    <w:p w14:paraId="38838CED">
      <w:pPr>
        <w:spacing w:line="360" w:lineRule="auto"/>
        <w:ind w:firstLine="480" w:firstLineChars="200"/>
        <w:outlineLvl w:val="9"/>
        <w:rPr>
          <w:rFonts w:hint="eastAsia"/>
          <w:color w:val="auto"/>
          <w:sz w:val="24"/>
          <w:szCs w:val="24"/>
          <w:lang w:val="zh-CN" w:eastAsia="zh-CN"/>
        </w:rPr>
      </w:pPr>
    </w:p>
    <w:p w14:paraId="6C5062FB">
      <w:pPr>
        <w:jc w:val="center"/>
        <w:rPr>
          <w:rFonts w:ascii="宋体" w:hAnsi="宋体"/>
          <w:b/>
          <w:iCs/>
          <w:sz w:val="36"/>
          <w:szCs w:val="36"/>
          <w:lang w:val="en-GB"/>
        </w:rPr>
      </w:pPr>
      <w:r>
        <w:rPr>
          <w:rFonts w:hint="eastAsia" w:ascii="宋体" w:hAnsi="宋体"/>
          <w:b/>
          <w:iCs/>
          <w:sz w:val="36"/>
          <w:szCs w:val="36"/>
          <w:lang w:val="en-GB"/>
        </w:rPr>
        <w:t xml:space="preserve"> 评标办法</w:t>
      </w:r>
    </w:p>
    <w:p w14:paraId="7899C525">
      <w:pPr>
        <w:rPr>
          <w:rFonts w:ascii="宋体" w:hAnsi="宋体"/>
          <w:bCs/>
          <w:sz w:val="24"/>
          <w:szCs w:val="24"/>
        </w:rPr>
      </w:pPr>
    </w:p>
    <w:p w14:paraId="296CE4A3">
      <w:pPr>
        <w:rPr>
          <w:rFonts w:ascii="宋体" w:hAnsi="宋体"/>
          <w:bCs/>
          <w:sz w:val="24"/>
          <w:szCs w:val="24"/>
        </w:rPr>
      </w:pPr>
      <w:r>
        <w:rPr>
          <w:rFonts w:hint="eastAsia" w:ascii="宋体" w:hAnsi="宋体"/>
          <w:bCs/>
          <w:sz w:val="24"/>
          <w:szCs w:val="24"/>
        </w:rPr>
        <w:t>附：评标标准及主要原则方法</w:t>
      </w:r>
    </w:p>
    <w:p w14:paraId="00033D99">
      <w:pPr>
        <w:spacing w:line="460" w:lineRule="exact"/>
        <w:ind w:firstLine="480" w:firstLineChars="200"/>
        <w:rPr>
          <w:rFonts w:ascii="宋体" w:hAnsi="宋体"/>
          <w:color w:val="000000"/>
          <w:sz w:val="24"/>
          <w:szCs w:val="24"/>
        </w:rPr>
      </w:pPr>
      <w:r>
        <w:rPr>
          <w:rFonts w:hint="eastAsia" w:ascii="宋体" w:hAnsi="宋体"/>
          <w:sz w:val="24"/>
          <w:szCs w:val="24"/>
        </w:rPr>
        <w:t>按照《中华人民共和国政府采购法》和《政府采购货物和服务招标投标管理办法》及国家有关部委的联合制定的《评标委员会和评标方法暂行规定》的有关规定，遵循公开、公平、公正和诚实信用的原则，结合本项目的实际情况，制定吉林省吉林中西医结合医院食堂食材采购项目米面油采购招标评标办法。</w:t>
      </w:r>
    </w:p>
    <w:p w14:paraId="2C0A6465">
      <w:pPr>
        <w:pStyle w:val="5"/>
        <w:spacing w:line="460" w:lineRule="exact"/>
        <w:ind w:left="481" w:hanging="481"/>
        <w:rPr>
          <w:rFonts w:ascii="宋体" w:hAnsi="宋体"/>
          <w:b w:val="0"/>
          <w:sz w:val="24"/>
          <w:szCs w:val="24"/>
        </w:rPr>
      </w:pPr>
      <w:r>
        <w:rPr>
          <w:rFonts w:hint="eastAsia" w:ascii="宋体" w:hAnsi="宋体"/>
          <w:b w:val="0"/>
          <w:sz w:val="24"/>
          <w:szCs w:val="24"/>
        </w:rPr>
        <w:t>一、评标程序</w:t>
      </w:r>
    </w:p>
    <w:p w14:paraId="470477CE">
      <w:pPr>
        <w:spacing w:line="460" w:lineRule="exact"/>
        <w:rPr>
          <w:rFonts w:ascii="宋体" w:hAnsi="宋体"/>
          <w:bCs/>
          <w:color w:val="000000"/>
          <w:sz w:val="24"/>
          <w:szCs w:val="24"/>
        </w:rPr>
      </w:pPr>
      <w:r>
        <w:rPr>
          <w:rFonts w:hint="eastAsia" w:ascii="宋体" w:hAnsi="宋体"/>
          <w:bCs/>
          <w:sz w:val="24"/>
          <w:szCs w:val="24"/>
        </w:rPr>
        <w:t>（一）组成评标委员会</w:t>
      </w:r>
    </w:p>
    <w:p w14:paraId="759F2D20">
      <w:pPr>
        <w:spacing w:line="460" w:lineRule="exact"/>
        <w:ind w:firstLine="480" w:firstLineChars="200"/>
        <w:rPr>
          <w:rFonts w:hint="eastAsia" w:ascii="宋体" w:hAnsi="宋体"/>
          <w:sz w:val="24"/>
          <w:szCs w:val="24"/>
        </w:rPr>
      </w:pPr>
      <w:r>
        <w:rPr>
          <w:rFonts w:hint="eastAsia" w:ascii="宋体" w:hAnsi="宋体"/>
          <w:sz w:val="24"/>
          <w:szCs w:val="24"/>
        </w:rPr>
        <w:t>按照国家有关部委及</w:t>
      </w:r>
      <w:r>
        <w:rPr>
          <w:rFonts w:hint="eastAsia" w:ascii="宋体" w:hAnsi="宋体"/>
          <w:sz w:val="24"/>
          <w:szCs w:val="24"/>
          <w:lang w:eastAsia="zh-CN"/>
        </w:rPr>
        <w:t>吉林</w:t>
      </w:r>
      <w:r>
        <w:rPr>
          <w:rFonts w:hint="eastAsia" w:ascii="宋体" w:hAnsi="宋体"/>
          <w:sz w:val="24"/>
          <w:szCs w:val="24"/>
        </w:rPr>
        <w:t>省的相关规定，从专家库中随机抽取技术、经济等方面的专家4人，采购人代表1人，共5人组成评标委员会（以下简称“评委会”）。为保证评标工作的顺利进行，推荐一名</w:t>
      </w:r>
      <w:r>
        <w:rPr>
          <w:rFonts w:hint="eastAsia" w:ascii="宋体" w:hAnsi="宋体"/>
          <w:sz w:val="24"/>
          <w:szCs w:val="24"/>
          <w:lang w:eastAsia="zh-CN"/>
        </w:rPr>
        <w:t>专家</w:t>
      </w:r>
      <w:r>
        <w:rPr>
          <w:rFonts w:hint="eastAsia" w:ascii="宋体" w:hAnsi="宋体"/>
          <w:sz w:val="24"/>
          <w:szCs w:val="24"/>
        </w:rPr>
        <w:t>担任评委会主任，负责评标全面工作。</w:t>
      </w:r>
    </w:p>
    <w:p w14:paraId="7037C337">
      <w:pPr>
        <w:spacing w:line="460" w:lineRule="exact"/>
        <w:ind w:left="359" w:hanging="359"/>
        <w:rPr>
          <w:rFonts w:ascii="宋体" w:hAnsi="宋体"/>
          <w:bCs/>
          <w:color w:val="000000"/>
          <w:sz w:val="24"/>
          <w:szCs w:val="24"/>
        </w:rPr>
      </w:pPr>
      <w:r>
        <w:rPr>
          <w:rFonts w:hint="eastAsia" w:ascii="宋体" w:hAnsi="宋体"/>
          <w:bCs/>
          <w:sz w:val="24"/>
          <w:szCs w:val="24"/>
        </w:rPr>
        <w:t>（二）评审方法：</w:t>
      </w:r>
      <w:r>
        <w:rPr>
          <w:rFonts w:hint="eastAsia" w:ascii="宋体" w:hAnsi="宋体"/>
          <w:bCs/>
          <w:sz w:val="24"/>
          <w:szCs w:val="24"/>
          <w:lang w:val="zh-CN"/>
        </w:rPr>
        <w:t>本项目评标采取技术标加商务标的综合评标法，并按有效投标人的技术标和商务标的综合得分由高到低推荐中标候选人（得分相同，报价低者排序第一）。评标过程中遇到特殊情况，由评标委员会遵循公平、公正原则，采取记名投票方式按照少数服从多数原则决定。</w:t>
      </w:r>
    </w:p>
    <w:p w14:paraId="55F1C603">
      <w:pPr>
        <w:spacing w:line="460" w:lineRule="exact"/>
        <w:ind w:left="359" w:hanging="359"/>
        <w:rPr>
          <w:rFonts w:ascii="宋体" w:hAnsi="宋体"/>
          <w:bCs/>
          <w:color w:val="000000"/>
          <w:sz w:val="24"/>
          <w:szCs w:val="24"/>
        </w:rPr>
      </w:pPr>
      <w:r>
        <w:rPr>
          <w:rFonts w:hint="eastAsia" w:ascii="宋体" w:hAnsi="宋体"/>
          <w:bCs/>
          <w:sz w:val="24"/>
          <w:szCs w:val="24"/>
        </w:rPr>
        <w:t>（三）评标工作</w:t>
      </w:r>
    </w:p>
    <w:p w14:paraId="17B39115">
      <w:pPr>
        <w:spacing w:line="460" w:lineRule="exact"/>
        <w:ind w:firstLine="480" w:firstLineChars="200"/>
        <w:rPr>
          <w:rFonts w:ascii="宋体" w:hAnsi="宋体"/>
          <w:sz w:val="24"/>
          <w:szCs w:val="24"/>
        </w:rPr>
      </w:pPr>
      <w:r>
        <w:rPr>
          <w:rFonts w:hint="eastAsia" w:ascii="宋体" w:hAnsi="宋体"/>
          <w:sz w:val="24"/>
          <w:szCs w:val="24"/>
        </w:rPr>
        <w:t>评标工作应本着客观公正、公平竞争、择优推荐、规范合法的原则进行。本次评标采用综合评分法，评标工作分初步评审和详细评审，初步评审不合格的投标单位不进入详细评审。</w:t>
      </w:r>
    </w:p>
    <w:p w14:paraId="181BBE60">
      <w:pPr>
        <w:spacing w:line="500" w:lineRule="exact"/>
        <w:ind w:left="550" w:hanging="550"/>
        <w:rPr>
          <w:bCs/>
          <w:sz w:val="24"/>
          <w:szCs w:val="24"/>
        </w:rPr>
      </w:pPr>
      <w:r>
        <w:rPr>
          <w:rFonts w:hint="eastAsia"/>
          <w:bCs/>
          <w:sz w:val="24"/>
          <w:szCs w:val="24"/>
        </w:rPr>
        <w:t>（四）确定中标候选人</w:t>
      </w:r>
    </w:p>
    <w:p w14:paraId="55C131D6">
      <w:pPr>
        <w:spacing w:line="500" w:lineRule="exact"/>
        <w:ind w:left="550" w:hanging="550"/>
        <w:rPr>
          <w:bCs/>
          <w:sz w:val="24"/>
          <w:szCs w:val="24"/>
        </w:rPr>
      </w:pPr>
      <w:r>
        <w:rPr>
          <w:rFonts w:hint="eastAsia"/>
          <w:bCs/>
          <w:sz w:val="24"/>
          <w:szCs w:val="24"/>
        </w:rPr>
        <w:t xml:space="preserve">    按最终得分由高到低的顺序推荐预中标候选人前三名。</w:t>
      </w:r>
    </w:p>
    <w:p w14:paraId="46769198">
      <w:pPr>
        <w:spacing w:line="500" w:lineRule="exact"/>
        <w:ind w:left="550" w:hanging="550"/>
        <w:rPr>
          <w:bCs/>
          <w:sz w:val="24"/>
          <w:szCs w:val="24"/>
        </w:rPr>
      </w:pPr>
      <w:r>
        <w:rPr>
          <w:rFonts w:hint="eastAsia"/>
          <w:bCs/>
          <w:sz w:val="24"/>
          <w:szCs w:val="24"/>
        </w:rPr>
        <w:t>（五）初步评审</w:t>
      </w:r>
    </w:p>
    <w:p w14:paraId="72EB8323">
      <w:pPr>
        <w:spacing w:line="460" w:lineRule="exact"/>
        <w:ind w:firstLine="480" w:firstLineChars="200"/>
        <w:rPr>
          <w:rFonts w:hint="eastAsia" w:ascii="宋体" w:hAnsi="宋体"/>
          <w:sz w:val="24"/>
          <w:szCs w:val="24"/>
        </w:rPr>
      </w:pPr>
      <w:r>
        <w:rPr>
          <w:rFonts w:hint="eastAsia" w:ascii="宋体" w:hAnsi="宋体"/>
          <w:sz w:val="24"/>
          <w:szCs w:val="24"/>
        </w:rPr>
        <w:t>1.资格审查。采购人或代理机构对各</w:t>
      </w:r>
      <w:r>
        <w:rPr>
          <w:rFonts w:hint="eastAsia" w:ascii="宋体" w:hAnsi="宋体"/>
          <w:sz w:val="24"/>
          <w:szCs w:val="24"/>
          <w:lang w:eastAsia="zh-CN"/>
        </w:rPr>
        <w:t>投标人</w:t>
      </w:r>
      <w:r>
        <w:rPr>
          <w:rFonts w:hint="eastAsia" w:ascii="宋体" w:hAnsi="宋体"/>
          <w:sz w:val="24"/>
          <w:szCs w:val="24"/>
        </w:rPr>
        <w:t>的资格进行审查。资格审查合格的</w:t>
      </w:r>
      <w:r>
        <w:rPr>
          <w:rFonts w:hint="eastAsia" w:ascii="宋体" w:hAnsi="宋体"/>
          <w:sz w:val="24"/>
          <w:szCs w:val="24"/>
          <w:lang w:eastAsia="zh-CN"/>
        </w:rPr>
        <w:t>投标人</w:t>
      </w:r>
      <w:r>
        <w:rPr>
          <w:rFonts w:hint="eastAsia" w:ascii="宋体" w:hAnsi="宋体"/>
          <w:sz w:val="24"/>
          <w:szCs w:val="24"/>
        </w:rPr>
        <w:t>方可进入符合性审查。不具备招标文件中规定的资格要求的，投标无效。合格</w:t>
      </w:r>
      <w:r>
        <w:rPr>
          <w:rFonts w:hint="eastAsia" w:ascii="宋体" w:hAnsi="宋体"/>
          <w:sz w:val="24"/>
          <w:szCs w:val="24"/>
          <w:lang w:eastAsia="zh-CN"/>
        </w:rPr>
        <w:t>投标人</w:t>
      </w:r>
      <w:r>
        <w:rPr>
          <w:rFonts w:hint="eastAsia" w:ascii="宋体" w:hAnsi="宋体"/>
          <w:sz w:val="24"/>
          <w:szCs w:val="24"/>
        </w:rPr>
        <w:t>不足3家的，不得评标。</w:t>
      </w:r>
    </w:p>
    <w:p w14:paraId="5C2643B5">
      <w:pPr>
        <w:spacing w:line="460" w:lineRule="exact"/>
        <w:ind w:firstLine="480" w:firstLineChars="200"/>
        <w:rPr>
          <w:rFonts w:hint="eastAsia" w:ascii="宋体" w:hAnsi="宋体"/>
          <w:sz w:val="24"/>
          <w:szCs w:val="24"/>
        </w:rPr>
      </w:pPr>
      <w:r>
        <w:rPr>
          <w:rFonts w:hint="eastAsia" w:ascii="宋体" w:hAnsi="宋体"/>
          <w:sz w:val="24"/>
          <w:szCs w:val="24"/>
        </w:rPr>
        <w:t>2.符合性审查。评委会对</w:t>
      </w:r>
      <w:r>
        <w:rPr>
          <w:rFonts w:hint="eastAsia" w:ascii="宋体" w:hAnsi="宋体"/>
          <w:sz w:val="24"/>
          <w:szCs w:val="24"/>
          <w:lang w:eastAsia="zh-CN"/>
        </w:rPr>
        <w:t>投标人</w:t>
      </w:r>
      <w:r>
        <w:rPr>
          <w:rFonts w:hint="eastAsia" w:ascii="宋体" w:hAnsi="宋体"/>
          <w:sz w:val="24"/>
          <w:szCs w:val="24"/>
        </w:rPr>
        <w:t>的投标文件进行符合性审查。符合性审查合格的</w:t>
      </w:r>
      <w:r>
        <w:rPr>
          <w:rFonts w:hint="eastAsia" w:ascii="宋体" w:hAnsi="宋体"/>
          <w:sz w:val="24"/>
          <w:szCs w:val="24"/>
          <w:lang w:eastAsia="zh-CN"/>
        </w:rPr>
        <w:t>投标人</w:t>
      </w:r>
      <w:r>
        <w:rPr>
          <w:rFonts w:hint="eastAsia" w:ascii="宋体" w:hAnsi="宋体"/>
          <w:sz w:val="24"/>
          <w:szCs w:val="24"/>
        </w:rPr>
        <w:t>方可进入详细评审。有一项不符合的，投标无效。</w:t>
      </w:r>
    </w:p>
    <w:p w14:paraId="7CEDF5C5">
      <w:pPr>
        <w:spacing w:line="440" w:lineRule="exact"/>
        <w:ind w:firstLine="480" w:firstLineChars="200"/>
        <w:rPr>
          <w:rFonts w:hint="eastAsia"/>
          <w:bCs/>
          <w:sz w:val="24"/>
          <w:szCs w:val="24"/>
          <w:lang w:val="en-US" w:eastAsia="zh-CN"/>
        </w:rPr>
      </w:pPr>
      <w:r>
        <w:rPr>
          <w:rFonts w:hint="eastAsia"/>
          <w:bCs/>
          <w:sz w:val="24"/>
          <w:szCs w:val="24"/>
          <w:lang w:val="en-US" w:eastAsia="zh-CN"/>
        </w:rPr>
        <w:t>3.详细评审：采用综合评分进行评标， 按最终得分由高到低的顺序推荐预中标候选人前三名。</w:t>
      </w:r>
    </w:p>
    <w:p w14:paraId="2A6F8095">
      <w:pPr>
        <w:spacing w:line="440" w:lineRule="exact"/>
        <w:ind w:firstLine="480" w:firstLineChars="200"/>
        <w:rPr>
          <w:rFonts w:hint="eastAsia"/>
          <w:bCs/>
          <w:sz w:val="24"/>
          <w:szCs w:val="24"/>
          <w:lang w:val="en-US" w:eastAsia="zh-CN"/>
        </w:rPr>
      </w:pPr>
      <w:r>
        <w:rPr>
          <w:rFonts w:hint="eastAsia"/>
          <w:bCs/>
          <w:sz w:val="24"/>
          <w:szCs w:val="24"/>
          <w:lang w:val="en-US" w:eastAsia="zh-CN"/>
        </w:rPr>
        <w:t>3.1在投标过程中，评标委员会认为投标人的报价明显低于其他通过资格、符合性审查投标人的报价，有可能影响质量或者不能诚信履约的，应当要求其在现场合理的时间内提供书面说明，必要时提交相关证明材料；投标人不能证明其报价合理性的，评标委员会应当将其投标文件作无效处理。投标人的书面说明材料应当按照国家财务会计制度的规定要求，逐项就投标人提供的服务的主营业务成本、税金及附加、销售费用、管理费用、财务费用等成本构成事项详细陈述。</w:t>
      </w:r>
    </w:p>
    <w:p w14:paraId="6076A1AC">
      <w:pPr>
        <w:spacing w:line="440" w:lineRule="exact"/>
        <w:ind w:firstLine="480" w:firstLineChars="200"/>
        <w:rPr>
          <w:rFonts w:hint="eastAsia"/>
          <w:bCs/>
          <w:sz w:val="24"/>
          <w:szCs w:val="24"/>
          <w:lang w:val="en-US" w:eastAsia="zh-CN"/>
        </w:rPr>
      </w:pPr>
      <w:r>
        <w:rPr>
          <w:rFonts w:hint="eastAsia"/>
          <w:bCs/>
          <w:sz w:val="24"/>
          <w:szCs w:val="24"/>
          <w:lang w:val="en-US" w:eastAsia="zh-CN"/>
        </w:rPr>
        <w:t xml:space="preserve">3.2投标人书面说明应当签字确认或者加盖公章，否则无效。书面说明的签字确认，由其法定代表人或主要负责人或其授权代表签字确认。 </w:t>
      </w:r>
    </w:p>
    <w:p w14:paraId="3FF49A97">
      <w:pPr>
        <w:spacing w:line="440" w:lineRule="exact"/>
        <w:ind w:firstLine="480" w:firstLineChars="200"/>
        <w:rPr>
          <w:rFonts w:hint="eastAsia"/>
          <w:bCs/>
          <w:sz w:val="24"/>
          <w:szCs w:val="24"/>
          <w:lang w:val="en-US" w:eastAsia="zh-CN"/>
        </w:rPr>
      </w:pPr>
      <w:r>
        <w:rPr>
          <w:rFonts w:hint="eastAsia"/>
          <w:bCs/>
          <w:sz w:val="24"/>
          <w:szCs w:val="24"/>
          <w:lang w:val="en-US" w:eastAsia="zh-CN"/>
        </w:rPr>
        <w:t>3.3投标人提供书面说明后，评标委员会应当结合采购项目实际内容、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p w14:paraId="6C92BD84">
      <w:pPr>
        <w:spacing w:line="440" w:lineRule="exact"/>
        <w:ind w:firstLine="480" w:firstLineChars="200"/>
        <w:rPr>
          <w:rFonts w:hint="eastAsia"/>
          <w:bCs/>
          <w:sz w:val="24"/>
          <w:szCs w:val="24"/>
          <w:lang w:val="en-US" w:eastAsia="zh-CN"/>
        </w:rPr>
      </w:pPr>
      <w:r>
        <w:rPr>
          <w:rFonts w:hint="eastAsia"/>
          <w:bCs/>
          <w:sz w:val="24"/>
          <w:szCs w:val="24"/>
          <w:lang w:val="en-US" w:eastAsia="zh-CN"/>
        </w:rPr>
        <w:t>4.评标委员会发现有下列情形之一的，视为投标人串通投标，其投标无效：</w:t>
      </w:r>
    </w:p>
    <w:p w14:paraId="3BF56099">
      <w:pPr>
        <w:spacing w:line="440" w:lineRule="exact"/>
        <w:ind w:firstLine="480" w:firstLineChars="200"/>
        <w:rPr>
          <w:rFonts w:hint="eastAsia"/>
          <w:bCs/>
          <w:sz w:val="24"/>
          <w:szCs w:val="24"/>
          <w:lang w:val="zh-CN" w:eastAsia="zh-CN"/>
        </w:rPr>
      </w:pPr>
      <w:r>
        <w:rPr>
          <w:rFonts w:hint="eastAsia"/>
          <w:bCs/>
          <w:sz w:val="24"/>
          <w:szCs w:val="24"/>
          <w:lang w:val="zh-CN" w:eastAsia="zh-CN"/>
        </w:rPr>
        <w:t>一、有下列情形之一的，属于投标人相互串通投标：</w:t>
      </w:r>
    </w:p>
    <w:p w14:paraId="26D64F6A">
      <w:pPr>
        <w:spacing w:line="440" w:lineRule="exact"/>
        <w:ind w:firstLine="480" w:firstLineChars="200"/>
        <w:rPr>
          <w:rFonts w:hint="eastAsia"/>
          <w:bCs/>
          <w:sz w:val="24"/>
          <w:szCs w:val="24"/>
          <w:lang w:val="zh-CN" w:eastAsia="zh-CN"/>
        </w:rPr>
      </w:pPr>
      <w:r>
        <w:rPr>
          <w:rFonts w:hint="eastAsia"/>
          <w:bCs/>
          <w:sz w:val="24"/>
          <w:szCs w:val="24"/>
          <w:lang w:val="zh-CN" w:eastAsia="zh-CN"/>
        </w:rPr>
        <w:t>（一）投标人之间协商投标报价等投标文件的实质性内容；</w:t>
      </w:r>
    </w:p>
    <w:p w14:paraId="002872C7">
      <w:pPr>
        <w:spacing w:line="440" w:lineRule="exact"/>
        <w:ind w:firstLine="480" w:firstLineChars="200"/>
        <w:rPr>
          <w:rFonts w:hint="eastAsia"/>
          <w:bCs/>
          <w:sz w:val="24"/>
          <w:szCs w:val="24"/>
          <w:lang w:val="zh-CN" w:eastAsia="zh-CN"/>
        </w:rPr>
      </w:pPr>
      <w:r>
        <w:rPr>
          <w:rFonts w:hint="eastAsia"/>
          <w:bCs/>
          <w:sz w:val="24"/>
          <w:szCs w:val="24"/>
          <w:lang w:val="zh-CN" w:eastAsia="zh-CN"/>
        </w:rPr>
        <w:t>（二）投标人之间约定中标人；</w:t>
      </w:r>
    </w:p>
    <w:p w14:paraId="39417F28">
      <w:pPr>
        <w:spacing w:line="440" w:lineRule="exact"/>
        <w:ind w:firstLine="480" w:firstLineChars="200"/>
        <w:rPr>
          <w:rFonts w:hint="eastAsia"/>
          <w:bCs/>
          <w:sz w:val="24"/>
          <w:szCs w:val="24"/>
          <w:lang w:val="zh-CN" w:eastAsia="zh-CN"/>
        </w:rPr>
      </w:pPr>
      <w:r>
        <w:rPr>
          <w:rFonts w:hint="eastAsia"/>
          <w:bCs/>
          <w:sz w:val="24"/>
          <w:szCs w:val="24"/>
          <w:lang w:val="zh-CN" w:eastAsia="zh-CN"/>
        </w:rPr>
        <w:t>（三）投标人之间约定部分投标人放弃投标或者中标；</w:t>
      </w:r>
    </w:p>
    <w:p w14:paraId="0C254A6F">
      <w:pPr>
        <w:spacing w:line="440" w:lineRule="exact"/>
        <w:ind w:firstLine="480" w:firstLineChars="200"/>
        <w:rPr>
          <w:rFonts w:hint="eastAsia"/>
          <w:bCs/>
          <w:sz w:val="24"/>
          <w:szCs w:val="24"/>
          <w:lang w:val="zh-CN" w:eastAsia="zh-CN"/>
        </w:rPr>
      </w:pPr>
      <w:r>
        <w:rPr>
          <w:rFonts w:hint="eastAsia"/>
          <w:bCs/>
          <w:sz w:val="24"/>
          <w:szCs w:val="24"/>
          <w:lang w:val="zh-CN" w:eastAsia="zh-CN"/>
        </w:rPr>
        <w:t>（四）属于同一集团、协会、商会等组织成员的投标人按照该组织要求协同投标；</w:t>
      </w:r>
    </w:p>
    <w:p w14:paraId="4543425D">
      <w:pPr>
        <w:spacing w:line="440" w:lineRule="exact"/>
        <w:ind w:firstLine="480" w:firstLineChars="200"/>
        <w:rPr>
          <w:rFonts w:hint="eastAsia"/>
          <w:bCs/>
          <w:sz w:val="24"/>
          <w:szCs w:val="24"/>
          <w:lang w:val="zh-CN" w:eastAsia="zh-CN"/>
        </w:rPr>
      </w:pPr>
      <w:r>
        <w:rPr>
          <w:rFonts w:hint="eastAsia"/>
          <w:bCs/>
          <w:sz w:val="24"/>
          <w:szCs w:val="24"/>
          <w:lang w:val="zh-CN" w:eastAsia="zh-CN"/>
        </w:rPr>
        <w:t>（五）投标人之间为谋取中标或者排斥特定投标人而采取的其他联合行动。</w:t>
      </w:r>
    </w:p>
    <w:p w14:paraId="0F4CA56D">
      <w:pPr>
        <w:spacing w:line="440" w:lineRule="exact"/>
        <w:ind w:firstLine="480" w:firstLineChars="200"/>
        <w:rPr>
          <w:rFonts w:hint="eastAsia"/>
          <w:bCs/>
          <w:sz w:val="24"/>
          <w:szCs w:val="24"/>
          <w:lang w:val="zh-CN" w:eastAsia="zh-CN"/>
        </w:rPr>
      </w:pPr>
      <w:r>
        <w:rPr>
          <w:rFonts w:hint="eastAsia"/>
          <w:bCs/>
          <w:sz w:val="24"/>
          <w:szCs w:val="24"/>
          <w:lang w:val="zh-CN" w:eastAsia="zh-CN"/>
        </w:rPr>
        <w:t>二、 有下列情形之一的，视为投标人相互串通投标：</w:t>
      </w:r>
    </w:p>
    <w:p w14:paraId="55D92100">
      <w:pPr>
        <w:spacing w:line="440" w:lineRule="exact"/>
        <w:ind w:firstLine="480" w:firstLineChars="200"/>
        <w:rPr>
          <w:rFonts w:hint="eastAsia"/>
          <w:bCs/>
          <w:sz w:val="24"/>
          <w:szCs w:val="24"/>
          <w:lang w:val="zh-CN" w:eastAsia="zh-CN"/>
        </w:rPr>
      </w:pPr>
      <w:r>
        <w:rPr>
          <w:rFonts w:hint="eastAsia"/>
          <w:bCs/>
          <w:sz w:val="24"/>
          <w:szCs w:val="24"/>
          <w:lang w:val="zh-CN" w:eastAsia="zh-CN"/>
        </w:rPr>
        <w:t>（一）不同投标人的投标文件由同一单位或者个人编制；</w:t>
      </w:r>
    </w:p>
    <w:p w14:paraId="5FD0B117">
      <w:pPr>
        <w:spacing w:line="440" w:lineRule="exact"/>
        <w:ind w:firstLine="480" w:firstLineChars="200"/>
        <w:rPr>
          <w:rFonts w:hint="eastAsia"/>
          <w:bCs/>
          <w:sz w:val="24"/>
          <w:szCs w:val="24"/>
          <w:lang w:val="zh-CN" w:eastAsia="zh-CN"/>
        </w:rPr>
      </w:pPr>
      <w:r>
        <w:rPr>
          <w:rFonts w:hint="eastAsia"/>
          <w:bCs/>
          <w:sz w:val="24"/>
          <w:szCs w:val="24"/>
          <w:lang w:val="zh-CN" w:eastAsia="zh-CN"/>
        </w:rPr>
        <w:t>（二）不同投标人委托同一单位或者个人办理投标事宜；</w:t>
      </w:r>
    </w:p>
    <w:p w14:paraId="3463B210">
      <w:pPr>
        <w:spacing w:line="440" w:lineRule="exact"/>
        <w:ind w:firstLine="480" w:firstLineChars="200"/>
        <w:rPr>
          <w:rFonts w:hint="eastAsia"/>
          <w:bCs/>
          <w:sz w:val="24"/>
          <w:szCs w:val="24"/>
          <w:lang w:val="zh-CN" w:eastAsia="zh-CN"/>
        </w:rPr>
      </w:pPr>
      <w:r>
        <w:rPr>
          <w:rFonts w:hint="eastAsia"/>
          <w:bCs/>
          <w:sz w:val="24"/>
          <w:szCs w:val="24"/>
          <w:lang w:val="zh-CN" w:eastAsia="zh-CN"/>
        </w:rPr>
        <w:t>（三）不同投标人的投标文件载明的项目管理成员为同一人；</w:t>
      </w:r>
    </w:p>
    <w:p w14:paraId="4381DF34">
      <w:pPr>
        <w:spacing w:line="440" w:lineRule="exact"/>
        <w:ind w:firstLine="480" w:firstLineChars="200"/>
        <w:rPr>
          <w:rFonts w:hint="eastAsia"/>
          <w:bCs/>
          <w:sz w:val="24"/>
          <w:szCs w:val="24"/>
          <w:lang w:val="zh-CN" w:eastAsia="zh-CN"/>
        </w:rPr>
      </w:pPr>
      <w:r>
        <w:rPr>
          <w:rFonts w:hint="eastAsia"/>
          <w:bCs/>
          <w:sz w:val="24"/>
          <w:szCs w:val="24"/>
          <w:lang w:val="zh-CN" w:eastAsia="zh-CN"/>
        </w:rPr>
        <w:t>（四）不同投标人的投标文件异常一致或者投标报价呈规律性差异；</w:t>
      </w:r>
    </w:p>
    <w:p w14:paraId="5DB641FE">
      <w:pPr>
        <w:spacing w:line="440" w:lineRule="exact"/>
        <w:ind w:firstLine="480" w:firstLineChars="200"/>
        <w:rPr>
          <w:rFonts w:hint="eastAsia"/>
          <w:bCs/>
          <w:sz w:val="24"/>
          <w:szCs w:val="24"/>
          <w:lang w:val="zh-CN" w:eastAsia="zh-CN"/>
        </w:rPr>
      </w:pPr>
      <w:r>
        <w:rPr>
          <w:rFonts w:hint="eastAsia"/>
          <w:bCs/>
          <w:sz w:val="24"/>
          <w:szCs w:val="24"/>
          <w:lang w:val="zh-CN" w:eastAsia="zh-CN"/>
        </w:rPr>
        <w:t>（五）不同投标人的投标文件相互混装；</w:t>
      </w:r>
    </w:p>
    <w:p w14:paraId="32167752">
      <w:pPr>
        <w:spacing w:line="440" w:lineRule="exact"/>
        <w:ind w:firstLine="480" w:firstLineChars="200"/>
        <w:rPr>
          <w:rFonts w:hint="eastAsia"/>
          <w:bCs/>
          <w:sz w:val="24"/>
          <w:szCs w:val="24"/>
          <w:lang w:val="zh-CN" w:eastAsia="zh-CN"/>
        </w:rPr>
      </w:pPr>
      <w:r>
        <w:rPr>
          <w:rFonts w:hint="eastAsia"/>
          <w:bCs/>
          <w:sz w:val="24"/>
          <w:szCs w:val="24"/>
          <w:lang w:val="zh-CN" w:eastAsia="zh-CN"/>
        </w:rPr>
        <w:t>（六）不同投标人的投标保证金从同一单位或者个人的账户转出。</w:t>
      </w:r>
    </w:p>
    <w:p w14:paraId="72DBDE1F">
      <w:pPr>
        <w:spacing w:line="440" w:lineRule="exact"/>
        <w:ind w:firstLine="480" w:firstLineChars="200"/>
        <w:rPr>
          <w:rFonts w:hint="eastAsia"/>
          <w:bCs/>
          <w:sz w:val="24"/>
          <w:szCs w:val="24"/>
          <w:lang w:val="zh-CN" w:eastAsia="zh-CN"/>
        </w:rPr>
      </w:pPr>
      <w:r>
        <w:rPr>
          <w:rFonts w:hint="eastAsia"/>
          <w:bCs/>
          <w:sz w:val="24"/>
          <w:szCs w:val="24"/>
          <w:lang w:val="zh-CN" w:eastAsia="zh-CN"/>
        </w:rPr>
        <w:t>三、有下列情形之一的，属于采购人与投标人串通投标：</w:t>
      </w:r>
    </w:p>
    <w:p w14:paraId="6A7BB873">
      <w:pPr>
        <w:spacing w:line="440" w:lineRule="exact"/>
        <w:ind w:firstLine="480" w:firstLineChars="200"/>
        <w:rPr>
          <w:rFonts w:hint="eastAsia"/>
          <w:bCs/>
          <w:sz w:val="24"/>
          <w:szCs w:val="24"/>
          <w:lang w:val="zh-CN" w:eastAsia="zh-CN"/>
        </w:rPr>
      </w:pPr>
      <w:r>
        <w:rPr>
          <w:rFonts w:hint="eastAsia"/>
          <w:bCs/>
          <w:sz w:val="24"/>
          <w:szCs w:val="24"/>
          <w:lang w:val="zh-CN" w:eastAsia="zh-CN"/>
        </w:rPr>
        <w:t>（一）采购人在开标前开启投标文件并将有关信息泄露给其他投标人;</w:t>
      </w:r>
    </w:p>
    <w:p w14:paraId="13854B2D">
      <w:pPr>
        <w:spacing w:line="440" w:lineRule="exact"/>
        <w:ind w:firstLine="480" w:firstLineChars="200"/>
        <w:rPr>
          <w:rFonts w:hint="eastAsia"/>
          <w:bCs/>
          <w:sz w:val="24"/>
          <w:szCs w:val="24"/>
          <w:lang w:val="zh-CN" w:eastAsia="zh-CN"/>
        </w:rPr>
      </w:pPr>
      <w:r>
        <w:rPr>
          <w:rFonts w:hint="eastAsia"/>
          <w:bCs/>
          <w:sz w:val="24"/>
          <w:szCs w:val="24"/>
          <w:lang w:val="zh-CN" w:eastAsia="zh-CN"/>
        </w:rPr>
        <w:t>（二）采购人直接或者间接向投标人泄露标底、评标委员会成员等信息；</w:t>
      </w:r>
    </w:p>
    <w:p w14:paraId="64015949">
      <w:pPr>
        <w:spacing w:line="440" w:lineRule="exact"/>
        <w:ind w:firstLine="480" w:firstLineChars="200"/>
        <w:rPr>
          <w:rFonts w:hint="eastAsia"/>
          <w:bCs/>
          <w:sz w:val="24"/>
          <w:szCs w:val="24"/>
          <w:lang w:val="zh-CN" w:eastAsia="zh-CN"/>
        </w:rPr>
      </w:pPr>
      <w:r>
        <w:rPr>
          <w:rFonts w:hint="eastAsia"/>
          <w:bCs/>
          <w:sz w:val="24"/>
          <w:szCs w:val="24"/>
          <w:lang w:val="zh-CN" w:eastAsia="zh-CN"/>
        </w:rPr>
        <w:t>（三）采购人明示或者暗示投标人压低或者抬高投标报价；</w:t>
      </w:r>
    </w:p>
    <w:p w14:paraId="2E739D6D">
      <w:pPr>
        <w:spacing w:line="440" w:lineRule="exact"/>
        <w:ind w:firstLine="480" w:firstLineChars="200"/>
        <w:rPr>
          <w:rFonts w:hint="eastAsia"/>
          <w:bCs/>
          <w:sz w:val="24"/>
          <w:szCs w:val="24"/>
          <w:lang w:val="zh-CN" w:eastAsia="zh-CN"/>
        </w:rPr>
      </w:pPr>
      <w:r>
        <w:rPr>
          <w:rFonts w:hint="eastAsia"/>
          <w:bCs/>
          <w:sz w:val="24"/>
          <w:szCs w:val="24"/>
          <w:lang w:val="zh-CN" w:eastAsia="zh-CN"/>
        </w:rPr>
        <w:t>（四）采购人授意投标人撤换、修改投标文件；</w:t>
      </w:r>
    </w:p>
    <w:p w14:paraId="19E1E14C">
      <w:pPr>
        <w:spacing w:line="440" w:lineRule="exact"/>
        <w:ind w:firstLine="480" w:firstLineChars="200"/>
        <w:rPr>
          <w:rFonts w:hint="eastAsia"/>
          <w:bCs/>
          <w:sz w:val="24"/>
          <w:szCs w:val="24"/>
          <w:lang w:val="zh-CN" w:eastAsia="zh-CN"/>
        </w:rPr>
      </w:pPr>
      <w:r>
        <w:rPr>
          <w:rFonts w:hint="eastAsia"/>
          <w:bCs/>
          <w:sz w:val="24"/>
          <w:szCs w:val="24"/>
          <w:lang w:val="zh-CN" w:eastAsia="zh-CN"/>
        </w:rPr>
        <w:t>（五）采购人明示或者暗示投标人为特定投标人中标提供方便；</w:t>
      </w:r>
    </w:p>
    <w:p w14:paraId="0E88B172">
      <w:pPr>
        <w:spacing w:line="440" w:lineRule="exact"/>
        <w:ind w:firstLine="480" w:firstLineChars="200"/>
        <w:rPr>
          <w:rFonts w:hint="eastAsia"/>
          <w:bCs/>
          <w:sz w:val="24"/>
          <w:szCs w:val="24"/>
          <w:lang w:val="zh-CN" w:eastAsia="zh-CN"/>
        </w:rPr>
      </w:pPr>
      <w:r>
        <w:rPr>
          <w:rFonts w:hint="eastAsia"/>
          <w:bCs/>
          <w:sz w:val="24"/>
          <w:szCs w:val="24"/>
          <w:lang w:val="zh-CN" w:eastAsia="zh-CN"/>
        </w:rPr>
        <w:t>（六）采购人与投标人为谋求特定投标人中标而采取的其他串通行为。</w:t>
      </w:r>
    </w:p>
    <w:p w14:paraId="73E7A75C">
      <w:pPr>
        <w:spacing w:line="440" w:lineRule="exact"/>
        <w:ind w:firstLine="480" w:firstLineChars="200"/>
        <w:rPr>
          <w:rFonts w:hint="eastAsia"/>
          <w:bCs/>
          <w:sz w:val="24"/>
          <w:szCs w:val="24"/>
          <w:lang w:val="zh-CN" w:eastAsia="zh-CN"/>
        </w:rPr>
      </w:pPr>
      <w:r>
        <w:rPr>
          <w:rFonts w:hint="eastAsia"/>
          <w:bCs/>
          <w:sz w:val="24"/>
          <w:szCs w:val="24"/>
          <w:lang w:val="zh-CN" w:eastAsia="zh-CN"/>
        </w:rPr>
        <w:t>注：经评标委员会评审合格投标人的家数不足三家，该项目废标，采购人有权委托采购代理机构重新组织招标。</w:t>
      </w:r>
    </w:p>
    <w:p w14:paraId="6CE38ED0">
      <w:pPr>
        <w:spacing w:line="440" w:lineRule="exact"/>
        <w:ind w:firstLine="480" w:firstLineChars="200"/>
        <w:rPr>
          <w:rFonts w:hint="eastAsia"/>
          <w:bCs/>
          <w:sz w:val="24"/>
          <w:szCs w:val="24"/>
          <w:lang w:val="en-US" w:eastAsia="zh-CN"/>
        </w:rPr>
      </w:pPr>
      <w:r>
        <w:rPr>
          <w:rFonts w:hint="eastAsia"/>
          <w:bCs/>
          <w:sz w:val="24"/>
          <w:szCs w:val="24"/>
          <w:lang w:val="en-US" w:eastAsia="zh-CN"/>
        </w:rPr>
        <w:t>5.询标、澄清（必要时）</w:t>
      </w:r>
    </w:p>
    <w:p w14:paraId="14304A86">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5.1.</w:t>
      </w:r>
      <w:r>
        <w:rPr>
          <w:rFonts w:hint="eastAsia" w:ascii="宋体" w:hAnsi="宋体" w:eastAsia="宋体" w:cs="宋体"/>
          <w:color w:val="auto"/>
          <w:sz w:val="21"/>
          <w:szCs w:val="21"/>
          <w:lang w:val="zh-CN" w:eastAsia="zh-CN"/>
        </w:rPr>
        <w:t>评标委员会对投标文件需要澄清的问题，采用集体询标方式进行。</w:t>
      </w:r>
    </w:p>
    <w:p w14:paraId="60DE11DD">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lang w:val="zh-CN" w:eastAsia="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14:paraId="018ED9CD">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5.3.</w:t>
      </w:r>
      <w:r>
        <w:rPr>
          <w:rFonts w:hint="eastAsia" w:ascii="宋体" w:hAnsi="宋体" w:eastAsia="宋体" w:cs="宋体"/>
          <w:color w:val="auto"/>
          <w:sz w:val="21"/>
          <w:szCs w:val="21"/>
          <w:lang w:val="zh-CN" w:eastAsia="zh-CN"/>
        </w:rPr>
        <w:t>评标委员会将允许修正投标文件中不构成重大偏离的细微偏离，但这些修正应不会对实质上响应招标文件要求的投标人的竞争地位（相互排序）产生不公正的影响。</w:t>
      </w:r>
    </w:p>
    <w:p w14:paraId="7376BAEF">
      <w:pPr>
        <w:spacing w:line="440" w:lineRule="exact"/>
        <w:ind w:firstLine="420" w:firstLineChars="200"/>
        <w:rPr>
          <w:rFonts w:hint="eastAsia"/>
          <w:color w:val="auto"/>
        </w:rPr>
      </w:pPr>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lang w:val="zh-CN" w:eastAsia="zh-CN"/>
        </w:rPr>
        <w:t>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14:paraId="75D83FEF">
      <w:pPr>
        <w:rPr>
          <w:rFonts w:hint="eastAsia"/>
        </w:rPr>
      </w:pPr>
      <w:r>
        <w:rPr>
          <w:rFonts w:hint="eastAsia"/>
        </w:rPr>
        <w:br w:type="page"/>
      </w:r>
    </w:p>
    <w:p w14:paraId="5243A7DD">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资格审查表（不满足任何一项审查内容要求，资格审查即为不合格）</w:t>
      </w:r>
    </w:p>
    <w:p w14:paraId="3247BBA3">
      <w:pPr>
        <w:spacing w:line="44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开标结束后，采购人或采购代理机构将依法对投标人的资格进行审查，并详细记录。合格投标人不足3家的，不进行评标。</w:t>
      </w:r>
    </w:p>
    <w:p w14:paraId="18868880">
      <w:pPr>
        <w:ind w:left="549" w:hanging="549"/>
        <w:jc w:val="center"/>
        <w:rPr>
          <w:sz w:val="24"/>
          <w:szCs w:val="24"/>
        </w:rPr>
      </w:pPr>
      <w:r>
        <w:rPr>
          <w:rFonts w:hint="eastAsia"/>
          <w:sz w:val="24"/>
          <w:szCs w:val="24"/>
        </w:rPr>
        <w:t>初步评审表</w:t>
      </w:r>
    </w:p>
    <w:p w14:paraId="4F2C6197">
      <w:pPr>
        <w:rPr>
          <w:b/>
          <w:bCs/>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4677"/>
        <w:gridCol w:w="879"/>
      </w:tblGrid>
      <w:tr w14:paraId="6973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31" w:type="dxa"/>
            <w:vAlign w:val="center"/>
          </w:tcPr>
          <w:p w14:paraId="2C1E4151">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名称</w:t>
            </w:r>
          </w:p>
        </w:tc>
        <w:tc>
          <w:tcPr>
            <w:tcW w:w="2410" w:type="dxa"/>
            <w:vAlign w:val="center"/>
          </w:tcPr>
          <w:p w14:paraId="5490DA7C">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评审因素</w:t>
            </w:r>
          </w:p>
        </w:tc>
        <w:tc>
          <w:tcPr>
            <w:tcW w:w="4677" w:type="dxa"/>
            <w:vAlign w:val="center"/>
          </w:tcPr>
          <w:p w14:paraId="28884A2A">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评审标准</w:t>
            </w:r>
          </w:p>
        </w:tc>
        <w:tc>
          <w:tcPr>
            <w:tcW w:w="879" w:type="dxa"/>
            <w:vAlign w:val="center"/>
          </w:tcPr>
          <w:p w14:paraId="7B9A5344">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投标人</w:t>
            </w:r>
          </w:p>
        </w:tc>
      </w:tr>
      <w:tr w14:paraId="1F0B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7F17B939">
            <w:pPr>
              <w:autoSpaceDE w:val="0"/>
              <w:autoSpaceDN w:val="0"/>
              <w:adjustRightInd w:val="0"/>
              <w:spacing w:line="400" w:lineRule="exact"/>
              <w:rPr>
                <w:rFonts w:ascii="宋体" w:hAnsi="宋体" w:cs="宋体"/>
                <w:bCs/>
                <w:lang w:val="zh-CN"/>
              </w:rPr>
            </w:pPr>
          </w:p>
          <w:p w14:paraId="34EDC4D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形</w:t>
            </w:r>
          </w:p>
          <w:p w14:paraId="506A8477">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式</w:t>
            </w:r>
          </w:p>
          <w:p w14:paraId="462A4900">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w:t>
            </w:r>
          </w:p>
          <w:p w14:paraId="364A4FF8">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审</w:t>
            </w:r>
          </w:p>
          <w:p w14:paraId="570B6D42">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标</w:t>
            </w:r>
          </w:p>
          <w:p w14:paraId="4149D056">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准</w:t>
            </w:r>
          </w:p>
        </w:tc>
        <w:tc>
          <w:tcPr>
            <w:tcW w:w="2410" w:type="dxa"/>
            <w:vAlign w:val="center"/>
          </w:tcPr>
          <w:p w14:paraId="3E1DC4A8">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投标人名称</w:t>
            </w:r>
          </w:p>
        </w:tc>
        <w:tc>
          <w:tcPr>
            <w:tcW w:w="4677" w:type="dxa"/>
            <w:vAlign w:val="center"/>
          </w:tcPr>
          <w:p w14:paraId="4B97E7E9">
            <w:pPr>
              <w:autoSpaceDE w:val="0"/>
              <w:autoSpaceDN w:val="0"/>
              <w:adjustRightInd w:val="0"/>
              <w:spacing w:line="300" w:lineRule="exact"/>
              <w:rPr>
                <w:rFonts w:ascii="宋体" w:hAnsi="宋体" w:cs="宋体"/>
                <w:bCs/>
              </w:rPr>
            </w:pPr>
            <w:r>
              <w:rPr>
                <w:rFonts w:hint="eastAsia" w:ascii="宋体" w:hAnsi="宋体" w:cs="宋体"/>
                <w:bCs/>
                <w:lang w:val="zh-CN"/>
              </w:rPr>
              <w:t>与营业执照、税务登记证、组织机构代码证一致。</w:t>
            </w:r>
          </w:p>
        </w:tc>
        <w:tc>
          <w:tcPr>
            <w:tcW w:w="879" w:type="dxa"/>
          </w:tcPr>
          <w:p w14:paraId="4450D785">
            <w:pPr>
              <w:autoSpaceDE w:val="0"/>
              <w:autoSpaceDN w:val="0"/>
              <w:adjustRightInd w:val="0"/>
              <w:spacing w:line="300" w:lineRule="exact"/>
              <w:rPr>
                <w:rFonts w:ascii="宋体" w:hAnsi="宋体" w:cs="宋体"/>
                <w:bCs/>
                <w:lang w:val="zh-CN"/>
              </w:rPr>
            </w:pPr>
          </w:p>
        </w:tc>
      </w:tr>
      <w:tr w14:paraId="4CE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02B4401D">
            <w:pPr>
              <w:autoSpaceDE w:val="0"/>
              <w:autoSpaceDN w:val="0"/>
              <w:adjustRightInd w:val="0"/>
              <w:spacing w:line="300" w:lineRule="exact"/>
              <w:jc w:val="center"/>
              <w:rPr>
                <w:rFonts w:ascii="宋体" w:hAnsi="宋体" w:cs="宋体"/>
                <w:bCs/>
                <w:lang w:val="zh-CN"/>
              </w:rPr>
            </w:pPr>
          </w:p>
        </w:tc>
        <w:tc>
          <w:tcPr>
            <w:tcW w:w="2410" w:type="dxa"/>
            <w:vAlign w:val="center"/>
          </w:tcPr>
          <w:p w14:paraId="1844348A">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投标函签字盖章</w:t>
            </w:r>
          </w:p>
        </w:tc>
        <w:tc>
          <w:tcPr>
            <w:tcW w:w="4677" w:type="dxa"/>
            <w:vAlign w:val="center"/>
          </w:tcPr>
          <w:p w14:paraId="2B87DC08">
            <w:pPr>
              <w:autoSpaceDE w:val="0"/>
              <w:autoSpaceDN w:val="0"/>
              <w:adjustRightInd w:val="0"/>
              <w:spacing w:line="300" w:lineRule="exact"/>
              <w:rPr>
                <w:rFonts w:ascii="宋体" w:hAnsi="宋体" w:cs="宋体"/>
                <w:bCs/>
              </w:rPr>
            </w:pPr>
            <w:r>
              <w:rPr>
                <w:rFonts w:hint="eastAsia" w:ascii="宋体" w:hAnsi="宋体" w:cs="宋体"/>
                <w:bCs/>
                <w:lang w:val="zh-CN"/>
              </w:rPr>
              <w:t>有投标单位印章并经法定代表人签字。</w:t>
            </w:r>
          </w:p>
        </w:tc>
        <w:tc>
          <w:tcPr>
            <w:tcW w:w="879" w:type="dxa"/>
          </w:tcPr>
          <w:p w14:paraId="03A4A410">
            <w:pPr>
              <w:autoSpaceDE w:val="0"/>
              <w:autoSpaceDN w:val="0"/>
              <w:adjustRightInd w:val="0"/>
              <w:spacing w:line="300" w:lineRule="exact"/>
              <w:rPr>
                <w:rFonts w:ascii="宋体" w:hAnsi="宋体" w:cs="宋体"/>
                <w:bCs/>
                <w:lang w:val="zh-CN"/>
              </w:rPr>
            </w:pPr>
          </w:p>
        </w:tc>
      </w:tr>
      <w:tr w14:paraId="60C2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3167FEE6">
            <w:pPr>
              <w:autoSpaceDE w:val="0"/>
              <w:autoSpaceDN w:val="0"/>
              <w:adjustRightInd w:val="0"/>
              <w:spacing w:line="300" w:lineRule="exact"/>
              <w:jc w:val="center"/>
              <w:rPr>
                <w:rFonts w:ascii="宋体" w:hAnsi="宋体" w:cs="宋体"/>
                <w:bCs/>
                <w:lang w:val="zh-CN"/>
              </w:rPr>
            </w:pPr>
          </w:p>
        </w:tc>
        <w:tc>
          <w:tcPr>
            <w:tcW w:w="2410" w:type="dxa"/>
            <w:vAlign w:val="center"/>
          </w:tcPr>
          <w:p w14:paraId="49FD7844">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投标文件格式</w:t>
            </w:r>
          </w:p>
        </w:tc>
        <w:tc>
          <w:tcPr>
            <w:tcW w:w="4677" w:type="dxa"/>
            <w:vAlign w:val="center"/>
          </w:tcPr>
          <w:p w14:paraId="0038E9F5">
            <w:pPr>
              <w:autoSpaceDE w:val="0"/>
              <w:autoSpaceDN w:val="0"/>
              <w:adjustRightInd w:val="0"/>
              <w:spacing w:line="300" w:lineRule="exact"/>
              <w:rPr>
                <w:rFonts w:ascii="宋体" w:hAnsi="宋体" w:cs="宋体"/>
                <w:bCs/>
                <w:lang w:val="zh-CN"/>
              </w:rPr>
            </w:pPr>
            <w:r>
              <w:rPr>
                <w:rFonts w:hint="eastAsia" w:ascii="宋体" w:hAnsi="宋体" w:cs="宋体"/>
                <w:bCs/>
                <w:lang w:val="zh-CN"/>
              </w:rPr>
              <w:t>符合第</w:t>
            </w:r>
            <w:r>
              <w:rPr>
                <w:rFonts w:hint="eastAsia" w:ascii="宋体" w:hAnsi="宋体" w:cs="宋体"/>
                <w:bCs/>
              </w:rPr>
              <w:t>六</w:t>
            </w:r>
            <w:r>
              <w:rPr>
                <w:rFonts w:hint="eastAsia" w:ascii="宋体" w:hAnsi="宋体" w:cs="宋体"/>
                <w:bCs/>
                <w:lang w:val="zh-CN"/>
              </w:rPr>
              <w:t>章“投标文件构成、要求及格式”的要求，按招标文件的要求盖章、签署。</w:t>
            </w:r>
          </w:p>
        </w:tc>
        <w:tc>
          <w:tcPr>
            <w:tcW w:w="879" w:type="dxa"/>
          </w:tcPr>
          <w:p w14:paraId="494D3428">
            <w:pPr>
              <w:autoSpaceDE w:val="0"/>
              <w:autoSpaceDN w:val="0"/>
              <w:adjustRightInd w:val="0"/>
              <w:spacing w:line="300" w:lineRule="exact"/>
              <w:rPr>
                <w:rFonts w:ascii="宋体" w:hAnsi="宋体" w:cs="宋体"/>
                <w:bCs/>
                <w:lang w:val="zh-CN"/>
              </w:rPr>
            </w:pPr>
          </w:p>
        </w:tc>
      </w:tr>
      <w:tr w14:paraId="0F3C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410FD3FE">
            <w:pPr>
              <w:autoSpaceDE w:val="0"/>
              <w:autoSpaceDN w:val="0"/>
              <w:adjustRightInd w:val="0"/>
              <w:spacing w:line="300" w:lineRule="exact"/>
              <w:jc w:val="center"/>
              <w:rPr>
                <w:rFonts w:ascii="宋体" w:hAnsi="宋体" w:cs="宋体"/>
                <w:bCs/>
                <w:lang w:val="zh-CN"/>
              </w:rPr>
            </w:pPr>
          </w:p>
        </w:tc>
        <w:tc>
          <w:tcPr>
            <w:tcW w:w="2410" w:type="dxa"/>
            <w:tcBorders>
              <w:bottom w:val="single" w:color="auto" w:sz="4" w:space="0"/>
            </w:tcBorders>
            <w:vAlign w:val="center"/>
          </w:tcPr>
          <w:p w14:paraId="469BC745">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电子投标文件</w:t>
            </w:r>
          </w:p>
        </w:tc>
        <w:tc>
          <w:tcPr>
            <w:tcW w:w="4677" w:type="dxa"/>
            <w:tcBorders>
              <w:bottom w:val="single" w:color="auto" w:sz="4" w:space="0"/>
            </w:tcBorders>
            <w:vAlign w:val="center"/>
          </w:tcPr>
          <w:p w14:paraId="13EA080D">
            <w:pPr>
              <w:autoSpaceDE w:val="0"/>
              <w:autoSpaceDN w:val="0"/>
              <w:adjustRightInd w:val="0"/>
              <w:spacing w:line="300" w:lineRule="exact"/>
              <w:rPr>
                <w:rFonts w:ascii="宋体" w:hAnsi="宋体" w:cs="宋体"/>
                <w:bCs/>
              </w:rPr>
            </w:pPr>
            <w:r>
              <w:rPr>
                <w:rFonts w:hint="eastAsia" w:ascii="宋体" w:hAnsi="宋体" w:cs="宋体"/>
                <w:bCs/>
                <w:lang w:val="zh-CN"/>
              </w:rPr>
              <w:t>符合第二章投标人须知关于远程不见面开标要</w:t>
            </w:r>
            <w:r>
              <w:rPr>
                <w:rFonts w:hint="eastAsia" w:ascii="宋体" w:hAnsi="宋体" w:cs="宋体"/>
                <w:bCs/>
                <w:lang w:val="en-US" w:eastAsia="zh-CN"/>
              </w:rPr>
              <w:t>求，正确上传电子投标文件</w:t>
            </w:r>
            <w:r>
              <w:rPr>
                <w:rFonts w:hint="eastAsia" w:ascii="宋体" w:hAnsi="宋体" w:cs="宋体"/>
                <w:bCs/>
                <w:lang w:val="zh-CN"/>
              </w:rPr>
              <w:t>。</w:t>
            </w:r>
          </w:p>
        </w:tc>
        <w:tc>
          <w:tcPr>
            <w:tcW w:w="879" w:type="dxa"/>
            <w:tcBorders>
              <w:bottom w:val="single" w:color="auto" w:sz="4" w:space="0"/>
            </w:tcBorders>
          </w:tcPr>
          <w:p w14:paraId="411FDE75">
            <w:pPr>
              <w:autoSpaceDE w:val="0"/>
              <w:autoSpaceDN w:val="0"/>
              <w:adjustRightInd w:val="0"/>
              <w:spacing w:line="300" w:lineRule="exact"/>
              <w:rPr>
                <w:rFonts w:ascii="宋体" w:hAnsi="宋体" w:cs="宋体"/>
                <w:bCs/>
                <w:lang w:val="zh-CN"/>
              </w:rPr>
            </w:pPr>
          </w:p>
        </w:tc>
      </w:tr>
      <w:tr w14:paraId="76F1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continue"/>
            <w:tcBorders>
              <w:bottom w:val="single" w:color="auto" w:sz="4" w:space="0"/>
            </w:tcBorders>
            <w:vAlign w:val="center"/>
          </w:tcPr>
          <w:p w14:paraId="57AECAC4">
            <w:pPr>
              <w:autoSpaceDE w:val="0"/>
              <w:autoSpaceDN w:val="0"/>
              <w:adjustRightInd w:val="0"/>
              <w:spacing w:line="300" w:lineRule="exact"/>
              <w:jc w:val="center"/>
              <w:rPr>
                <w:rFonts w:ascii="宋体" w:hAnsi="宋体" w:cs="宋体"/>
                <w:bCs/>
                <w:lang w:val="zh-CN"/>
              </w:rPr>
            </w:pPr>
          </w:p>
        </w:tc>
        <w:tc>
          <w:tcPr>
            <w:tcW w:w="2410" w:type="dxa"/>
            <w:tcBorders>
              <w:bottom w:val="single" w:color="auto" w:sz="4" w:space="0"/>
            </w:tcBorders>
            <w:vAlign w:val="center"/>
          </w:tcPr>
          <w:p w14:paraId="249D8981">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报价唯一</w:t>
            </w:r>
          </w:p>
        </w:tc>
        <w:tc>
          <w:tcPr>
            <w:tcW w:w="4677" w:type="dxa"/>
            <w:tcBorders>
              <w:bottom w:val="single" w:color="auto" w:sz="4" w:space="0"/>
            </w:tcBorders>
            <w:vAlign w:val="center"/>
          </w:tcPr>
          <w:p w14:paraId="07ED1E0D">
            <w:pPr>
              <w:autoSpaceDE w:val="0"/>
              <w:autoSpaceDN w:val="0"/>
              <w:adjustRightInd w:val="0"/>
              <w:spacing w:line="300" w:lineRule="exact"/>
              <w:rPr>
                <w:rFonts w:ascii="宋体" w:hAnsi="宋体" w:cs="宋体"/>
                <w:bCs/>
                <w:lang w:val="zh-CN"/>
              </w:rPr>
            </w:pPr>
            <w:r>
              <w:rPr>
                <w:rFonts w:hint="eastAsia" w:ascii="宋体" w:hAnsi="宋体" w:cs="宋体"/>
                <w:bCs/>
                <w:lang w:val="zh-CN"/>
              </w:rPr>
              <w:t>只能有一个有效报价。</w:t>
            </w:r>
          </w:p>
        </w:tc>
        <w:tc>
          <w:tcPr>
            <w:tcW w:w="879" w:type="dxa"/>
            <w:tcBorders>
              <w:bottom w:val="single" w:color="auto" w:sz="4" w:space="0"/>
            </w:tcBorders>
          </w:tcPr>
          <w:p w14:paraId="585D2394">
            <w:pPr>
              <w:autoSpaceDE w:val="0"/>
              <w:autoSpaceDN w:val="0"/>
              <w:adjustRightInd w:val="0"/>
              <w:spacing w:line="300" w:lineRule="exact"/>
              <w:rPr>
                <w:rFonts w:ascii="宋体" w:hAnsi="宋体" w:cs="宋体"/>
                <w:bCs/>
                <w:lang w:val="zh-CN"/>
              </w:rPr>
            </w:pPr>
          </w:p>
        </w:tc>
      </w:tr>
      <w:tr w14:paraId="5AF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115F99B4">
            <w:pPr>
              <w:autoSpaceDE w:val="0"/>
              <w:autoSpaceDN w:val="0"/>
              <w:adjustRightInd w:val="0"/>
              <w:spacing w:line="400" w:lineRule="exact"/>
              <w:rPr>
                <w:rFonts w:ascii="宋体" w:hAnsi="宋体" w:cs="宋体"/>
                <w:bCs/>
                <w:lang w:val="zh-CN"/>
              </w:rPr>
            </w:pPr>
          </w:p>
          <w:p w14:paraId="46D52E09">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资</w:t>
            </w:r>
          </w:p>
          <w:p w14:paraId="6384B0F8">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格</w:t>
            </w:r>
          </w:p>
          <w:p w14:paraId="109A1335">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w:t>
            </w:r>
          </w:p>
          <w:p w14:paraId="1A770A9F">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审</w:t>
            </w:r>
          </w:p>
          <w:p w14:paraId="3C667AB1">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标</w:t>
            </w:r>
          </w:p>
          <w:p w14:paraId="38D7A244">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准</w:t>
            </w:r>
          </w:p>
          <w:p w14:paraId="59A2C28B">
            <w:pPr>
              <w:autoSpaceDE w:val="0"/>
              <w:autoSpaceDN w:val="0"/>
              <w:adjustRightInd w:val="0"/>
              <w:spacing w:line="300" w:lineRule="exact"/>
              <w:jc w:val="center"/>
              <w:rPr>
                <w:rFonts w:ascii="宋体" w:hAnsi="宋体" w:cs="宋体"/>
                <w:bCs/>
                <w:lang w:val="zh-CN"/>
              </w:rPr>
            </w:pPr>
          </w:p>
        </w:tc>
        <w:tc>
          <w:tcPr>
            <w:tcW w:w="2410" w:type="dxa"/>
            <w:vAlign w:val="center"/>
          </w:tcPr>
          <w:p w14:paraId="091A35A2">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营业执照</w:t>
            </w:r>
          </w:p>
        </w:tc>
        <w:tc>
          <w:tcPr>
            <w:tcW w:w="4677" w:type="dxa"/>
            <w:vAlign w:val="center"/>
          </w:tcPr>
          <w:p w14:paraId="5906ACA8">
            <w:pPr>
              <w:autoSpaceDE w:val="0"/>
              <w:autoSpaceDN w:val="0"/>
              <w:adjustRightInd w:val="0"/>
              <w:spacing w:line="300" w:lineRule="exact"/>
              <w:rPr>
                <w:rFonts w:ascii="宋体" w:hAnsi="宋体" w:cs="宋体"/>
                <w:bCs/>
                <w:lang w:val="zh-CN"/>
              </w:rPr>
            </w:pPr>
            <w:r>
              <w:rPr>
                <w:rFonts w:hint="eastAsia" w:ascii="宋体" w:hAnsi="宋体" w:cs="宋体"/>
                <w:bCs/>
                <w:lang w:val="zh-CN"/>
              </w:rPr>
              <w:t>具备有效的营业执照。</w:t>
            </w:r>
          </w:p>
        </w:tc>
        <w:tc>
          <w:tcPr>
            <w:tcW w:w="879" w:type="dxa"/>
          </w:tcPr>
          <w:p w14:paraId="3D85D70A">
            <w:pPr>
              <w:autoSpaceDE w:val="0"/>
              <w:autoSpaceDN w:val="0"/>
              <w:adjustRightInd w:val="0"/>
              <w:spacing w:line="300" w:lineRule="exact"/>
              <w:rPr>
                <w:rFonts w:ascii="宋体" w:hAnsi="宋体" w:cs="宋体"/>
                <w:bCs/>
                <w:lang w:val="zh-CN"/>
              </w:rPr>
            </w:pPr>
          </w:p>
        </w:tc>
      </w:tr>
      <w:tr w14:paraId="7885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31" w:type="dxa"/>
            <w:vMerge w:val="continue"/>
            <w:vAlign w:val="center"/>
          </w:tcPr>
          <w:p w14:paraId="49EA2807">
            <w:pPr>
              <w:autoSpaceDE w:val="0"/>
              <w:autoSpaceDN w:val="0"/>
              <w:adjustRightInd w:val="0"/>
              <w:spacing w:line="300" w:lineRule="exact"/>
              <w:rPr>
                <w:rFonts w:ascii="宋体" w:hAnsi="宋体" w:cs="宋体"/>
                <w:bCs/>
                <w:lang w:val="zh-CN"/>
              </w:rPr>
            </w:pPr>
          </w:p>
        </w:tc>
        <w:tc>
          <w:tcPr>
            <w:tcW w:w="2410" w:type="dxa"/>
            <w:vAlign w:val="center"/>
          </w:tcPr>
          <w:p w14:paraId="66ACD70A">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财务状况</w:t>
            </w:r>
          </w:p>
        </w:tc>
        <w:tc>
          <w:tcPr>
            <w:tcW w:w="4677" w:type="dxa"/>
            <w:vAlign w:val="center"/>
          </w:tcPr>
          <w:p w14:paraId="0A2ADD3D">
            <w:pPr>
              <w:autoSpaceDE w:val="0"/>
              <w:autoSpaceDN w:val="0"/>
              <w:adjustRightInd w:val="0"/>
              <w:spacing w:line="300" w:lineRule="exact"/>
              <w:rPr>
                <w:rFonts w:hint="default" w:ascii="宋体" w:hAnsi="宋体" w:eastAsia="宋体" w:cs="宋体"/>
                <w:bCs/>
                <w:lang w:val="en-US" w:eastAsia="zh-CN"/>
              </w:rPr>
            </w:pPr>
            <w:r>
              <w:rPr>
                <w:rFonts w:hint="default" w:ascii="宋体" w:hAnsi="宋体" w:eastAsia="宋体" w:cs="宋体"/>
                <w:bCs/>
                <w:lang w:val="en-US" w:eastAsia="zh-CN"/>
              </w:rPr>
              <w:t>投标人提供202</w:t>
            </w:r>
            <w:r>
              <w:rPr>
                <w:rFonts w:hint="eastAsia" w:ascii="宋体" w:hAnsi="宋体" w:eastAsia="宋体" w:cs="宋体"/>
                <w:bCs/>
                <w:lang w:val="en-US" w:eastAsia="zh-CN"/>
              </w:rPr>
              <w:t>4</w:t>
            </w:r>
            <w:r>
              <w:rPr>
                <w:rFonts w:hint="default" w:ascii="宋体" w:hAnsi="宋体" w:eastAsia="宋体" w:cs="宋体"/>
                <w:bCs/>
                <w:lang w:val="en-US" w:eastAsia="zh-CN"/>
              </w:rPr>
              <w:t>年经会计师事务所或审计机构出具的财务审计报告或提供其基本开户银行在投标截止日前六个月内出具的资信证明（银行出具的存款证明不能替代银行资信证明）</w:t>
            </w:r>
          </w:p>
        </w:tc>
        <w:tc>
          <w:tcPr>
            <w:tcW w:w="879" w:type="dxa"/>
          </w:tcPr>
          <w:p w14:paraId="39D72013">
            <w:pPr>
              <w:autoSpaceDE w:val="0"/>
              <w:autoSpaceDN w:val="0"/>
              <w:adjustRightInd w:val="0"/>
              <w:spacing w:line="300" w:lineRule="exact"/>
              <w:rPr>
                <w:rFonts w:ascii="宋体" w:hAnsi="宋体" w:cs="宋体"/>
                <w:lang w:val="zh-CN"/>
              </w:rPr>
            </w:pPr>
          </w:p>
        </w:tc>
      </w:tr>
      <w:tr w14:paraId="2454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25278A65">
            <w:pPr>
              <w:autoSpaceDE w:val="0"/>
              <w:autoSpaceDN w:val="0"/>
              <w:adjustRightInd w:val="0"/>
              <w:spacing w:line="300" w:lineRule="exact"/>
              <w:rPr>
                <w:rFonts w:ascii="宋体" w:hAnsi="宋体" w:cs="宋体"/>
                <w:bCs/>
                <w:lang w:val="zh-CN"/>
              </w:rPr>
            </w:pPr>
          </w:p>
        </w:tc>
        <w:tc>
          <w:tcPr>
            <w:tcW w:w="2410" w:type="dxa"/>
            <w:vAlign w:val="center"/>
          </w:tcPr>
          <w:p w14:paraId="7484629A">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法人授权委托书</w:t>
            </w:r>
          </w:p>
        </w:tc>
        <w:tc>
          <w:tcPr>
            <w:tcW w:w="4677" w:type="dxa"/>
            <w:vAlign w:val="center"/>
          </w:tcPr>
          <w:p w14:paraId="14BD94B7">
            <w:pPr>
              <w:autoSpaceDE w:val="0"/>
              <w:autoSpaceDN w:val="0"/>
              <w:adjustRightInd w:val="0"/>
              <w:spacing w:line="300" w:lineRule="exact"/>
              <w:rPr>
                <w:rFonts w:ascii="宋体" w:hAnsi="宋体" w:cs="宋体"/>
                <w:bCs/>
              </w:rPr>
            </w:pPr>
            <w:r>
              <w:rPr>
                <w:rFonts w:hint="eastAsia" w:ascii="宋体" w:hAnsi="宋体" w:cs="宋体"/>
                <w:bCs/>
                <w:lang w:val="zh-CN"/>
              </w:rPr>
              <w:t>非法定代表人亲自投标时提供。</w:t>
            </w:r>
          </w:p>
        </w:tc>
        <w:tc>
          <w:tcPr>
            <w:tcW w:w="879" w:type="dxa"/>
          </w:tcPr>
          <w:p w14:paraId="44EA9542">
            <w:pPr>
              <w:autoSpaceDE w:val="0"/>
              <w:autoSpaceDN w:val="0"/>
              <w:adjustRightInd w:val="0"/>
              <w:spacing w:line="300" w:lineRule="exact"/>
              <w:rPr>
                <w:rFonts w:ascii="宋体" w:hAnsi="宋体" w:cs="宋体"/>
                <w:lang w:val="zh-CN"/>
              </w:rPr>
            </w:pPr>
          </w:p>
        </w:tc>
      </w:tr>
      <w:tr w14:paraId="3D41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4616EDB4">
            <w:pPr>
              <w:autoSpaceDE w:val="0"/>
              <w:autoSpaceDN w:val="0"/>
              <w:adjustRightInd w:val="0"/>
              <w:spacing w:line="300" w:lineRule="exact"/>
              <w:rPr>
                <w:rFonts w:ascii="宋体" w:hAnsi="宋体" w:cs="宋体"/>
                <w:bCs/>
                <w:lang w:val="zh-CN"/>
              </w:rPr>
            </w:pPr>
          </w:p>
        </w:tc>
        <w:tc>
          <w:tcPr>
            <w:tcW w:w="2410" w:type="dxa"/>
            <w:vAlign w:val="center"/>
          </w:tcPr>
          <w:p w14:paraId="5E55FA34">
            <w:pPr>
              <w:autoSpaceDE w:val="0"/>
              <w:autoSpaceDN w:val="0"/>
              <w:adjustRightInd w:val="0"/>
              <w:spacing w:line="300" w:lineRule="exact"/>
              <w:jc w:val="left"/>
              <w:rPr>
                <w:rFonts w:hint="default" w:ascii="宋体" w:hAnsi="宋体" w:cs="宋体" w:eastAsiaTheme="minorEastAsia"/>
                <w:bCs/>
                <w:lang w:val="en-US" w:eastAsia="zh-CN"/>
              </w:rPr>
            </w:pPr>
            <w:r>
              <w:rPr>
                <w:rFonts w:hint="eastAsia" w:ascii="宋体" w:hAnsi="宋体" w:cs="宋体"/>
                <w:bCs/>
                <w:lang w:val="en-US" w:eastAsia="zh-CN"/>
              </w:rPr>
              <w:t>纳税和社保</w:t>
            </w:r>
          </w:p>
        </w:tc>
        <w:tc>
          <w:tcPr>
            <w:tcW w:w="4677" w:type="dxa"/>
            <w:vAlign w:val="center"/>
          </w:tcPr>
          <w:p w14:paraId="08253CD8">
            <w:pPr>
              <w:numPr>
                <w:ilvl w:val="0"/>
                <w:numId w:val="2"/>
              </w:numPr>
              <w:autoSpaceDE w:val="0"/>
              <w:autoSpaceDN w:val="0"/>
              <w:adjustRightInd w:val="0"/>
              <w:spacing w:line="300" w:lineRule="exact"/>
              <w:rPr>
                <w:rFonts w:hint="eastAsia"/>
                <w:color w:val="auto"/>
                <w:highlight w:val="none"/>
                <w:lang w:val="zh-CN"/>
              </w:rPr>
            </w:pPr>
            <w:r>
              <w:rPr>
                <w:rFonts w:hint="eastAsia"/>
                <w:color w:val="auto"/>
                <w:highlight w:val="none"/>
                <w:lang w:val="zh-CN"/>
              </w:rPr>
              <w:t>投标人提供近一年（202</w:t>
            </w:r>
            <w:r>
              <w:rPr>
                <w:rFonts w:hint="eastAsia"/>
                <w:color w:val="auto"/>
                <w:highlight w:val="none"/>
                <w:lang w:val="en-US" w:eastAsia="zh-CN"/>
              </w:rPr>
              <w:t>5</w:t>
            </w:r>
            <w:r>
              <w:rPr>
                <w:rFonts w:hint="eastAsia"/>
                <w:color w:val="auto"/>
                <w:highlight w:val="none"/>
                <w:lang w:val="zh-CN"/>
              </w:rPr>
              <w:t>年0</w:t>
            </w:r>
            <w:r>
              <w:rPr>
                <w:rFonts w:hint="eastAsia"/>
                <w:color w:val="auto"/>
                <w:highlight w:val="none"/>
                <w:lang w:val="en-US" w:eastAsia="zh-CN"/>
              </w:rPr>
              <w:t>1</w:t>
            </w:r>
            <w:r>
              <w:rPr>
                <w:rFonts w:hint="eastAsia"/>
                <w:color w:val="auto"/>
                <w:highlight w:val="none"/>
                <w:lang w:val="zh-CN"/>
              </w:rPr>
              <w:t>月至今）任意一个月的依法纳税证明(依法免税的投标人可提供相应文件证明其依法免税)</w:t>
            </w:r>
          </w:p>
          <w:p w14:paraId="06E96E2F">
            <w:pPr>
              <w:numPr>
                <w:ilvl w:val="0"/>
                <w:numId w:val="2"/>
              </w:numPr>
              <w:autoSpaceDE w:val="0"/>
              <w:autoSpaceDN w:val="0"/>
              <w:adjustRightInd w:val="0"/>
              <w:spacing w:line="300" w:lineRule="exact"/>
              <w:rPr>
                <w:rFonts w:hint="default"/>
                <w:color w:val="auto"/>
                <w:highlight w:val="none"/>
                <w:lang w:val="en-US" w:eastAsia="zh-CN"/>
              </w:rPr>
            </w:pPr>
            <w:r>
              <w:rPr>
                <w:rFonts w:hint="eastAsia"/>
                <w:color w:val="auto"/>
                <w:highlight w:val="none"/>
                <w:lang w:val="zh-CN"/>
              </w:rPr>
              <w:t>投标人提供近一年（202</w:t>
            </w:r>
            <w:r>
              <w:rPr>
                <w:rFonts w:hint="eastAsia"/>
                <w:color w:val="auto"/>
                <w:highlight w:val="none"/>
                <w:lang w:val="en-US" w:eastAsia="zh-CN"/>
              </w:rPr>
              <w:t>5</w:t>
            </w:r>
            <w:r>
              <w:rPr>
                <w:rFonts w:hint="eastAsia"/>
                <w:color w:val="auto"/>
                <w:highlight w:val="none"/>
                <w:lang w:val="zh-CN"/>
              </w:rPr>
              <w:t>年0</w:t>
            </w:r>
            <w:r>
              <w:rPr>
                <w:rFonts w:hint="eastAsia"/>
                <w:color w:val="auto"/>
                <w:highlight w:val="none"/>
                <w:lang w:val="en-US" w:eastAsia="zh-CN"/>
              </w:rPr>
              <w:t>1</w:t>
            </w:r>
            <w:r>
              <w:rPr>
                <w:rFonts w:hint="eastAsia"/>
                <w:color w:val="auto"/>
                <w:highlight w:val="none"/>
                <w:lang w:val="zh-CN"/>
              </w:rPr>
              <w:t>月至今）任意一个月的依法缴纳社会保障资金的证明(依法不需要缴纳社会保障资金的投标人可提供相应文件证明其依法不需要缴纳社会保障资金)</w:t>
            </w:r>
          </w:p>
        </w:tc>
        <w:tc>
          <w:tcPr>
            <w:tcW w:w="879" w:type="dxa"/>
          </w:tcPr>
          <w:p w14:paraId="78929845">
            <w:pPr>
              <w:autoSpaceDE w:val="0"/>
              <w:autoSpaceDN w:val="0"/>
              <w:adjustRightInd w:val="0"/>
              <w:spacing w:line="300" w:lineRule="exact"/>
              <w:rPr>
                <w:rFonts w:ascii="宋体" w:hAnsi="宋体" w:cs="宋体"/>
                <w:lang w:val="zh-CN"/>
              </w:rPr>
            </w:pPr>
          </w:p>
        </w:tc>
      </w:tr>
      <w:tr w14:paraId="011D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vAlign w:val="center"/>
          </w:tcPr>
          <w:p w14:paraId="0ED82E49">
            <w:pPr>
              <w:autoSpaceDE w:val="0"/>
              <w:autoSpaceDN w:val="0"/>
              <w:adjustRightInd w:val="0"/>
              <w:spacing w:line="300" w:lineRule="exact"/>
              <w:rPr>
                <w:rFonts w:ascii="宋体" w:hAnsi="宋体" w:cs="宋体"/>
                <w:bCs/>
                <w:lang w:val="zh-CN"/>
              </w:rPr>
            </w:pPr>
          </w:p>
        </w:tc>
        <w:tc>
          <w:tcPr>
            <w:tcW w:w="2410" w:type="dxa"/>
            <w:vAlign w:val="center"/>
          </w:tcPr>
          <w:p w14:paraId="0C6FA9DF">
            <w:pPr>
              <w:autoSpaceDE w:val="0"/>
              <w:autoSpaceDN w:val="0"/>
              <w:adjustRightInd w:val="0"/>
              <w:spacing w:line="300" w:lineRule="exact"/>
              <w:jc w:val="left"/>
              <w:rPr>
                <w:rFonts w:ascii="宋体" w:hAnsi="宋体" w:cs="宋体"/>
                <w:bCs/>
                <w:lang w:val="zh-CN"/>
              </w:rPr>
            </w:pPr>
            <w:r>
              <w:rPr>
                <w:rFonts w:hint="eastAsia" w:ascii="宋体" w:hAnsi="宋体" w:cs="宋体"/>
                <w:bCs/>
                <w:lang w:val="zh-CN"/>
              </w:rPr>
              <w:t>其他要求</w:t>
            </w:r>
          </w:p>
        </w:tc>
        <w:tc>
          <w:tcPr>
            <w:tcW w:w="4677" w:type="dxa"/>
            <w:vAlign w:val="center"/>
          </w:tcPr>
          <w:p w14:paraId="7A6FB390">
            <w:pPr>
              <w:autoSpaceDE w:val="0"/>
              <w:autoSpaceDN w:val="0"/>
              <w:adjustRightInd w:val="0"/>
              <w:spacing w:line="300" w:lineRule="exact"/>
              <w:rPr>
                <w:rFonts w:ascii="宋体" w:hAnsi="宋体" w:cs="宋体"/>
                <w:bCs/>
                <w:color w:val="FF0000"/>
                <w:lang w:val="zh-CN"/>
              </w:rPr>
            </w:pPr>
            <w:r>
              <w:rPr>
                <w:rFonts w:hint="eastAsia" w:ascii="宋体" w:hAnsi="宋体" w:cs="宋体"/>
                <w:bCs/>
                <w:lang w:val="zh-CN"/>
              </w:rPr>
              <w:t xml:space="preserve">1、参加政府采购活动前3年内在经营活动中没有重大违法记录的书面声明。 </w:t>
            </w:r>
            <w:r>
              <w:rPr>
                <w:rFonts w:hint="eastAsia" w:ascii="宋体" w:hAnsi="宋体" w:cs="宋体"/>
                <w:bCs/>
                <w:color w:val="FF0000"/>
                <w:lang w:val="zh-CN"/>
              </w:rPr>
              <w:t xml:space="preserve"> </w:t>
            </w:r>
          </w:p>
          <w:p w14:paraId="66757A5E">
            <w:pPr>
              <w:autoSpaceDE w:val="0"/>
              <w:autoSpaceDN w:val="0"/>
              <w:adjustRightInd w:val="0"/>
              <w:spacing w:line="300" w:lineRule="exact"/>
              <w:rPr>
                <w:rFonts w:ascii="宋体" w:hAnsi="宋体" w:cs="宋体"/>
                <w:bCs/>
                <w:lang w:val="zh-CN"/>
              </w:rPr>
            </w:pPr>
            <w:r>
              <w:rPr>
                <w:rFonts w:hint="eastAsia" w:ascii="宋体" w:hAnsi="宋体" w:cs="宋体"/>
                <w:bCs/>
                <w:lang w:val="en-US" w:eastAsia="zh-CN"/>
              </w:rPr>
              <w:t>2</w:t>
            </w:r>
            <w:r>
              <w:rPr>
                <w:rFonts w:hint="eastAsia" w:ascii="宋体" w:hAnsi="宋体" w:cs="宋体"/>
                <w:bCs/>
                <w:lang w:val="zh-CN"/>
              </w:rPr>
              <w:t>、“中国裁判文书网”“信用中国”“中国政府采购网”</w:t>
            </w:r>
            <w:r>
              <w:rPr>
                <w:rFonts w:hint="eastAsia" w:ascii="宋体" w:hAnsi="宋体" w:cs="宋体"/>
                <w:bCs/>
                <w:lang w:val="en-US" w:eastAsia="zh-CN"/>
              </w:rPr>
              <w:t>查询记录</w:t>
            </w:r>
            <w:r>
              <w:rPr>
                <w:rFonts w:hint="eastAsia" w:ascii="宋体" w:hAnsi="宋体" w:cs="宋体"/>
                <w:bCs/>
                <w:lang w:val="zh-CN"/>
              </w:rPr>
              <w:t>。</w:t>
            </w:r>
            <w:r>
              <w:rPr>
                <w:rFonts w:hint="eastAsia"/>
                <w:color w:val="auto"/>
                <w:highlight w:val="none"/>
              </w:rPr>
              <w:t>查询截止时点：公告发布之日起至投标截止时间</w:t>
            </w:r>
          </w:p>
        </w:tc>
        <w:tc>
          <w:tcPr>
            <w:tcW w:w="879" w:type="dxa"/>
          </w:tcPr>
          <w:p w14:paraId="21CAECAE">
            <w:pPr>
              <w:autoSpaceDE w:val="0"/>
              <w:autoSpaceDN w:val="0"/>
              <w:adjustRightInd w:val="0"/>
              <w:spacing w:line="300" w:lineRule="exact"/>
              <w:rPr>
                <w:rFonts w:ascii="宋体" w:hAnsi="宋体" w:cs="宋体"/>
                <w:lang w:val="zh-CN"/>
              </w:rPr>
            </w:pPr>
          </w:p>
        </w:tc>
      </w:tr>
      <w:tr w14:paraId="7792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restart"/>
            <w:vAlign w:val="center"/>
          </w:tcPr>
          <w:p w14:paraId="5A85DB4C">
            <w:pPr>
              <w:autoSpaceDE w:val="0"/>
              <w:autoSpaceDN w:val="0"/>
              <w:adjustRightInd w:val="0"/>
              <w:spacing w:line="400" w:lineRule="exact"/>
              <w:rPr>
                <w:rFonts w:ascii="宋体" w:hAnsi="宋体" w:cs="宋体"/>
                <w:bCs/>
                <w:lang w:val="zh-CN"/>
              </w:rPr>
            </w:pPr>
          </w:p>
          <w:p w14:paraId="0B3AE8E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响</w:t>
            </w:r>
          </w:p>
          <w:p w14:paraId="708A385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应</w:t>
            </w:r>
          </w:p>
          <w:p w14:paraId="09D46FE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性</w:t>
            </w:r>
          </w:p>
          <w:p w14:paraId="1475CFC8">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评</w:t>
            </w:r>
          </w:p>
          <w:p w14:paraId="229C673F">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审</w:t>
            </w:r>
          </w:p>
          <w:p w14:paraId="444E885B">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标</w:t>
            </w:r>
          </w:p>
          <w:p w14:paraId="4D4FA1EE">
            <w:pPr>
              <w:autoSpaceDE w:val="0"/>
              <w:autoSpaceDN w:val="0"/>
              <w:adjustRightInd w:val="0"/>
              <w:spacing w:line="300" w:lineRule="exact"/>
              <w:jc w:val="center"/>
              <w:rPr>
                <w:rFonts w:ascii="宋体" w:hAnsi="宋体" w:cs="宋体"/>
                <w:bCs/>
                <w:lang w:val="zh-CN"/>
              </w:rPr>
            </w:pPr>
            <w:r>
              <w:rPr>
                <w:rFonts w:hint="eastAsia" w:ascii="宋体" w:hAnsi="宋体" w:cs="宋体"/>
                <w:bCs/>
                <w:lang w:val="zh-CN"/>
              </w:rPr>
              <w:t>准</w:t>
            </w:r>
          </w:p>
          <w:p w14:paraId="3AD8AFEC">
            <w:pPr>
              <w:autoSpaceDE w:val="0"/>
              <w:autoSpaceDN w:val="0"/>
              <w:adjustRightInd w:val="0"/>
              <w:spacing w:line="300" w:lineRule="exact"/>
              <w:rPr>
                <w:rFonts w:ascii="宋体" w:hAnsi="宋体" w:cs="宋体"/>
                <w:bCs/>
                <w:lang w:val="zh-CN"/>
              </w:rPr>
            </w:pPr>
          </w:p>
        </w:tc>
        <w:tc>
          <w:tcPr>
            <w:tcW w:w="2410" w:type="dxa"/>
            <w:vAlign w:val="center"/>
          </w:tcPr>
          <w:p w14:paraId="156F6A8E">
            <w:pPr>
              <w:autoSpaceDE w:val="0"/>
              <w:autoSpaceDN w:val="0"/>
              <w:adjustRightInd w:val="0"/>
              <w:spacing w:line="300" w:lineRule="exact"/>
              <w:rPr>
                <w:rFonts w:ascii="宋体" w:hAnsi="宋体" w:cs="宋体"/>
                <w:bCs/>
                <w:lang w:val="zh-CN"/>
              </w:rPr>
            </w:pPr>
            <w:r>
              <w:rPr>
                <w:rFonts w:hint="eastAsia" w:ascii="宋体" w:hAnsi="宋体" w:cs="宋体"/>
                <w:bCs/>
                <w:lang w:val="zh-CN"/>
              </w:rPr>
              <w:t>投标内容</w:t>
            </w:r>
          </w:p>
        </w:tc>
        <w:tc>
          <w:tcPr>
            <w:tcW w:w="4677" w:type="dxa"/>
            <w:vAlign w:val="center"/>
          </w:tcPr>
          <w:p w14:paraId="1F315D11">
            <w:pPr>
              <w:autoSpaceDE w:val="0"/>
              <w:autoSpaceDN w:val="0"/>
              <w:adjustRightInd w:val="0"/>
              <w:spacing w:line="300" w:lineRule="exact"/>
              <w:rPr>
                <w:rFonts w:hint="eastAsia" w:ascii="宋体" w:hAnsi="宋体" w:eastAsia="宋体" w:cs="宋体"/>
                <w:bCs/>
                <w:lang w:eastAsia="zh-CN"/>
              </w:rPr>
            </w:pPr>
            <w:r>
              <w:rPr>
                <w:rFonts w:hint="eastAsia" w:ascii="宋体" w:hAnsi="宋体" w:cs="宋体"/>
                <w:bCs/>
                <w:lang w:val="zh-CN"/>
              </w:rPr>
              <w:t>满足采购人（招标文件）采购需求，无缺项漏项；技术参数满足招标文件第</w:t>
            </w:r>
            <w:r>
              <w:rPr>
                <w:rFonts w:hint="eastAsia" w:ascii="宋体" w:hAnsi="宋体" w:cs="宋体"/>
                <w:bCs/>
                <w:lang w:val="en-US" w:eastAsia="zh-CN"/>
              </w:rPr>
              <w:t>四</w:t>
            </w:r>
            <w:r>
              <w:rPr>
                <w:rFonts w:hint="eastAsia" w:ascii="宋体" w:hAnsi="宋体" w:cs="宋体"/>
                <w:bCs/>
                <w:lang w:val="zh-CN"/>
              </w:rPr>
              <w:t>章“货物需求及要求”</w:t>
            </w:r>
            <w:r>
              <w:rPr>
                <w:rFonts w:hint="eastAsia" w:ascii="宋体" w:hAnsi="宋体" w:cs="宋体"/>
                <w:bCs/>
                <w:lang w:val="en-US" w:eastAsia="zh-CN"/>
              </w:rPr>
              <w:t>的参数不允许负偏离</w:t>
            </w:r>
            <w:r>
              <w:rPr>
                <w:rFonts w:hint="eastAsia" w:ascii="宋体" w:hAnsi="宋体" w:cs="宋体"/>
                <w:bCs/>
                <w:lang w:val="zh-CN" w:eastAsia="zh-CN"/>
              </w:rPr>
              <w:t>。</w:t>
            </w:r>
          </w:p>
        </w:tc>
        <w:tc>
          <w:tcPr>
            <w:tcW w:w="879" w:type="dxa"/>
          </w:tcPr>
          <w:p w14:paraId="3D219678">
            <w:pPr>
              <w:pStyle w:val="16"/>
              <w:tabs>
                <w:tab w:val="clear" w:pos="4153"/>
                <w:tab w:val="clear" w:pos="8306"/>
              </w:tabs>
              <w:autoSpaceDE w:val="0"/>
              <w:autoSpaceDN w:val="0"/>
              <w:adjustRightInd w:val="0"/>
              <w:snapToGrid/>
              <w:spacing w:line="300" w:lineRule="exact"/>
              <w:jc w:val="both"/>
              <w:rPr>
                <w:rFonts w:ascii="宋体" w:hAnsi="宋体" w:cs="宋体"/>
                <w:b/>
                <w:bCs/>
                <w:sz w:val="21"/>
                <w:szCs w:val="21"/>
                <w:lang w:val="zh-CN"/>
              </w:rPr>
            </w:pPr>
          </w:p>
        </w:tc>
      </w:tr>
      <w:tr w14:paraId="145F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31" w:type="dxa"/>
            <w:vMerge w:val="continue"/>
          </w:tcPr>
          <w:p w14:paraId="2F579D29">
            <w:pPr>
              <w:autoSpaceDE w:val="0"/>
              <w:autoSpaceDN w:val="0"/>
              <w:adjustRightInd w:val="0"/>
              <w:spacing w:line="300" w:lineRule="exact"/>
              <w:jc w:val="left"/>
              <w:rPr>
                <w:rFonts w:ascii="宋体" w:hAnsi="宋体" w:cs="宋体"/>
                <w:bCs/>
                <w:lang w:val="zh-CN"/>
              </w:rPr>
            </w:pPr>
          </w:p>
        </w:tc>
        <w:tc>
          <w:tcPr>
            <w:tcW w:w="2410" w:type="dxa"/>
            <w:vAlign w:val="center"/>
          </w:tcPr>
          <w:p w14:paraId="58A60FA8">
            <w:pPr>
              <w:pStyle w:val="16"/>
              <w:tabs>
                <w:tab w:val="clear" w:pos="4153"/>
                <w:tab w:val="clear" w:pos="8306"/>
              </w:tabs>
              <w:autoSpaceDE w:val="0"/>
              <w:autoSpaceDN w:val="0"/>
              <w:adjustRightInd w:val="0"/>
              <w:snapToGrid/>
              <w:spacing w:line="300" w:lineRule="exact"/>
              <w:jc w:val="both"/>
              <w:rPr>
                <w:rFonts w:ascii="宋体" w:hAnsi="宋体" w:cs="宋体"/>
                <w:bCs/>
                <w:sz w:val="21"/>
                <w:szCs w:val="21"/>
                <w:lang w:val="zh-CN"/>
              </w:rPr>
            </w:pPr>
            <w:r>
              <w:rPr>
                <w:rFonts w:hint="eastAsia" w:ascii="宋体" w:hAnsi="宋体" w:cs="宋体"/>
                <w:bCs/>
                <w:sz w:val="21"/>
                <w:szCs w:val="21"/>
                <w:lang w:eastAsia="zh-CN"/>
              </w:rPr>
              <w:t>供货</w:t>
            </w:r>
            <w:r>
              <w:rPr>
                <w:rFonts w:hint="eastAsia" w:ascii="宋体" w:hAnsi="宋体" w:cs="宋体"/>
                <w:bCs/>
                <w:sz w:val="21"/>
                <w:szCs w:val="21"/>
                <w:lang w:val="zh-CN"/>
              </w:rPr>
              <w:t>期</w:t>
            </w:r>
          </w:p>
        </w:tc>
        <w:tc>
          <w:tcPr>
            <w:tcW w:w="4677" w:type="dxa"/>
            <w:vAlign w:val="center"/>
          </w:tcPr>
          <w:p w14:paraId="6CC6C036">
            <w:pPr>
              <w:autoSpaceDE w:val="0"/>
              <w:autoSpaceDN w:val="0"/>
              <w:adjustRightInd w:val="0"/>
              <w:spacing w:line="300" w:lineRule="exact"/>
              <w:rPr>
                <w:rFonts w:ascii="宋体" w:hAnsi="宋体" w:cs="宋体"/>
                <w:bCs/>
              </w:rPr>
            </w:pPr>
            <w:r>
              <w:rPr>
                <w:rFonts w:hint="eastAsia" w:ascii="宋体" w:hAnsi="宋体" w:cs="宋体"/>
                <w:bCs/>
                <w:lang w:val="zh-CN"/>
              </w:rPr>
              <w:t>满足采购人对货物的</w:t>
            </w:r>
            <w:r>
              <w:rPr>
                <w:rFonts w:hint="eastAsia" w:ascii="宋体" w:hAnsi="宋体" w:cs="宋体"/>
                <w:bCs/>
                <w:lang w:eastAsia="zh-CN"/>
              </w:rPr>
              <w:t>供货</w:t>
            </w:r>
            <w:r>
              <w:rPr>
                <w:rFonts w:hint="eastAsia" w:ascii="宋体" w:hAnsi="宋体" w:cs="宋体"/>
                <w:bCs/>
                <w:lang w:val="zh-CN"/>
              </w:rPr>
              <w:t>要求。</w:t>
            </w:r>
          </w:p>
        </w:tc>
        <w:tc>
          <w:tcPr>
            <w:tcW w:w="879" w:type="dxa"/>
          </w:tcPr>
          <w:p w14:paraId="5760FEF8">
            <w:pPr>
              <w:rPr>
                <w:rFonts w:ascii="宋体" w:hAnsi="宋体" w:cs="宋体"/>
                <w:lang w:val="zh-CN"/>
              </w:rPr>
            </w:pPr>
          </w:p>
          <w:p w14:paraId="0F5B6553">
            <w:pPr>
              <w:rPr>
                <w:rFonts w:ascii="宋体" w:hAnsi="宋体" w:cs="宋体"/>
                <w:lang w:val="zh-CN"/>
              </w:rPr>
            </w:pPr>
          </w:p>
          <w:p w14:paraId="6503C45A">
            <w:pPr>
              <w:autoSpaceDE w:val="0"/>
              <w:autoSpaceDN w:val="0"/>
              <w:adjustRightInd w:val="0"/>
              <w:spacing w:line="300" w:lineRule="exact"/>
              <w:rPr>
                <w:rFonts w:ascii="宋体" w:hAnsi="宋体" w:cs="宋体"/>
                <w:lang w:val="zh-CN"/>
              </w:rPr>
            </w:pPr>
          </w:p>
        </w:tc>
      </w:tr>
      <w:tr w14:paraId="4AAA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5F29360C">
            <w:pPr>
              <w:autoSpaceDE w:val="0"/>
              <w:autoSpaceDN w:val="0"/>
              <w:adjustRightInd w:val="0"/>
              <w:spacing w:line="300" w:lineRule="exact"/>
              <w:jc w:val="left"/>
              <w:rPr>
                <w:rFonts w:ascii="宋体" w:hAnsi="宋体" w:cs="宋体"/>
                <w:bCs/>
                <w:lang w:val="zh-CN"/>
              </w:rPr>
            </w:pPr>
          </w:p>
        </w:tc>
        <w:tc>
          <w:tcPr>
            <w:tcW w:w="2410" w:type="dxa"/>
            <w:vAlign w:val="center"/>
          </w:tcPr>
          <w:p w14:paraId="01271E9F">
            <w:pPr>
              <w:autoSpaceDE w:val="0"/>
              <w:autoSpaceDN w:val="0"/>
              <w:adjustRightInd w:val="0"/>
              <w:spacing w:line="300" w:lineRule="exact"/>
              <w:rPr>
                <w:rFonts w:hint="eastAsia" w:ascii="宋体" w:hAnsi="宋体" w:cs="宋体" w:eastAsiaTheme="minorEastAsia"/>
                <w:bCs/>
                <w:lang w:val="en-US" w:eastAsia="zh-CN"/>
              </w:rPr>
            </w:pPr>
            <w:r>
              <w:rPr>
                <w:rFonts w:hint="eastAsia" w:ascii="宋体" w:hAnsi="宋体" w:cs="宋体"/>
                <w:bCs/>
                <w:lang w:val="en-US" w:eastAsia="zh-CN"/>
              </w:rPr>
              <w:t>质保期</w:t>
            </w:r>
          </w:p>
        </w:tc>
        <w:tc>
          <w:tcPr>
            <w:tcW w:w="4677" w:type="dxa"/>
            <w:vAlign w:val="center"/>
          </w:tcPr>
          <w:p w14:paraId="4CC009EC">
            <w:pPr>
              <w:autoSpaceDE w:val="0"/>
              <w:autoSpaceDN w:val="0"/>
              <w:adjustRightInd w:val="0"/>
              <w:spacing w:line="300" w:lineRule="exact"/>
              <w:rPr>
                <w:rFonts w:hint="default" w:ascii="宋体" w:hAnsi="宋体" w:cs="宋体" w:eastAsiaTheme="minorEastAsia"/>
                <w:bCs/>
                <w:lang w:val="en-US" w:eastAsia="zh-CN"/>
              </w:rPr>
            </w:pPr>
            <w:r>
              <w:rPr>
                <w:rFonts w:hint="eastAsia" w:ascii="宋体" w:hAnsi="宋体" w:cs="宋体"/>
                <w:bCs/>
                <w:lang w:val="en-US" w:eastAsia="zh-CN"/>
              </w:rPr>
              <w:t>3年</w:t>
            </w:r>
          </w:p>
        </w:tc>
        <w:tc>
          <w:tcPr>
            <w:tcW w:w="879" w:type="dxa"/>
          </w:tcPr>
          <w:p w14:paraId="6DB353B3">
            <w:pPr>
              <w:autoSpaceDE w:val="0"/>
              <w:autoSpaceDN w:val="0"/>
              <w:adjustRightInd w:val="0"/>
              <w:spacing w:line="300" w:lineRule="exact"/>
              <w:rPr>
                <w:rFonts w:ascii="宋体" w:hAnsi="宋体" w:cs="宋体"/>
                <w:lang w:val="zh-CN"/>
              </w:rPr>
            </w:pPr>
          </w:p>
        </w:tc>
      </w:tr>
      <w:tr w14:paraId="427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2523D3CC">
            <w:pPr>
              <w:autoSpaceDE w:val="0"/>
              <w:autoSpaceDN w:val="0"/>
              <w:adjustRightInd w:val="0"/>
              <w:spacing w:line="300" w:lineRule="exact"/>
              <w:jc w:val="left"/>
              <w:rPr>
                <w:rFonts w:ascii="宋体" w:hAnsi="宋体" w:cs="宋体"/>
                <w:bCs/>
                <w:lang w:val="zh-CN"/>
              </w:rPr>
            </w:pPr>
          </w:p>
        </w:tc>
        <w:tc>
          <w:tcPr>
            <w:tcW w:w="2410" w:type="dxa"/>
            <w:vAlign w:val="center"/>
          </w:tcPr>
          <w:p w14:paraId="0405953B">
            <w:pPr>
              <w:autoSpaceDE w:val="0"/>
              <w:autoSpaceDN w:val="0"/>
              <w:adjustRightInd w:val="0"/>
              <w:spacing w:line="300" w:lineRule="exact"/>
              <w:rPr>
                <w:rFonts w:hint="eastAsia" w:ascii="宋体" w:hAnsi="宋体" w:cs="宋体"/>
                <w:bCs/>
                <w:lang w:val="zh-CN"/>
              </w:rPr>
            </w:pPr>
            <w:r>
              <w:rPr>
                <w:rFonts w:hint="eastAsia" w:ascii="宋体" w:hAnsi="宋体" w:cs="宋体"/>
                <w:bCs/>
                <w:lang w:val="en-US" w:eastAsia="zh-CN"/>
              </w:rPr>
              <w:t>质量</w:t>
            </w:r>
            <w:r>
              <w:rPr>
                <w:rFonts w:hint="eastAsia" w:ascii="宋体" w:hAnsi="宋体" w:cs="宋体"/>
                <w:bCs/>
                <w:lang w:val="zh-CN" w:eastAsia="zh-CN"/>
              </w:rPr>
              <w:t>标准</w:t>
            </w:r>
          </w:p>
        </w:tc>
        <w:tc>
          <w:tcPr>
            <w:tcW w:w="4677" w:type="dxa"/>
            <w:vAlign w:val="center"/>
          </w:tcPr>
          <w:p w14:paraId="79314B82">
            <w:pPr>
              <w:autoSpaceDE w:val="0"/>
              <w:autoSpaceDN w:val="0"/>
              <w:adjustRightInd w:val="0"/>
              <w:spacing w:line="300" w:lineRule="exact"/>
              <w:rPr>
                <w:rFonts w:hint="eastAsia" w:ascii="宋体" w:hAnsi="宋体" w:cs="宋体"/>
                <w:bCs/>
                <w:lang w:val="zh-CN"/>
              </w:rPr>
            </w:pPr>
            <w:r>
              <w:rPr>
                <w:rFonts w:hint="eastAsia" w:ascii="宋体" w:hAnsi="宋体" w:eastAsia="宋体" w:cs="宋体"/>
                <w:color w:val="auto"/>
                <w:sz w:val="21"/>
                <w:szCs w:val="21"/>
                <w:highlight w:val="none"/>
                <w:lang w:val="en-US" w:eastAsia="zh-CN"/>
              </w:rPr>
              <w:t>符合国家及相关行业要求的合格标准，并达到采购人的验收标准。</w:t>
            </w:r>
          </w:p>
        </w:tc>
        <w:tc>
          <w:tcPr>
            <w:tcW w:w="879" w:type="dxa"/>
          </w:tcPr>
          <w:p w14:paraId="4DBD41D8">
            <w:pPr>
              <w:autoSpaceDE w:val="0"/>
              <w:autoSpaceDN w:val="0"/>
              <w:adjustRightInd w:val="0"/>
              <w:spacing w:line="300" w:lineRule="exact"/>
              <w:rPr>
                <w:rFonts w:ascii="宋体" w:hAnsi="宋体" w:cs="宋体"/>
                <w:lang w:val="zh-CN"/>
              </w:rPr>
            </w:pPr>
          </w:p>
        </w:tc>
      </w:tr>
      <w:tr w14:paraId="5195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3D66D54A">
            <w:pPr>
              <w:autoSpaceDE w:val="0"/>
              <w:autoSpaceDN w:val="0"/>
              <w:adjustRightInd w:val="0"/>
              <w:spacing w:line="300" w:lineRule="exact"/>
              <w:jc w:val="left"/>
              <w:rPr>
                <w:rFonts w:ascii="宋体" w:hAnsi="宋体" w:cs="宋体"/>
                <w:bCs/>
                <w:lang w:val="zh-CN"/>
              </w:rPr>
            </w:pPr>
          </w:p>
        </w:tc>
        <w:tc>
          <w:tcPr>
            <w:tcW w:w="2410" w:type="dxa"/>
            <w:vAlign w:val="center"/>
          </w:tcPr>
          <w:p w14:paraId="623E2F26">
            <w:pPr>
              <w:autoSpaceDE w:val="0"/>
              <w:autoSpaceDN w:val="0"/>
              <w:adjustRightInd w:val="0"/>
              <w:spacing w:line="300" w:lineRule="exact"/>
              <w:rPr>
                <w:rFonts w:ascii="宋体" w:hAnsi="宋体" w:cs="宋体"/>
                <w:bCs/>
                <w:lang w:val="zh-CN"/>
              </w:rPr>
            </w:pPr>
            <w:r>
              <w:rPr>
                <w:rFonts w:hint="eastAsia" w:ascii="宋体" w:hAnsi="宋体" w:cs="宋体"/>
                <w:bCs/>
                <w:lang w:val="zh-CN"/>
              </w:rPr>
              <w:t>投标有效期</w:t>
            </w:r>
          </w:p>
        </w:tc>
        <w:tc>
          <w:tcPr>
            <w:tcW w:w="4677" w:type="dxa"/>
            <w:vAlign w:val="center"/>
          </w:tcPr>
          <w:p w14:paraId="77CD9113">
            <w:pPr>
              <w:autoSpaceDE w:val="0"/>
              <w:autoSpaceDN w:val="0"/>
              <w:adjustRightInd w:val="0"/>
              <w:spacing w:line="300" w:lineRule="exact"/>
              <w:rPr>
                <w:rFonts w:ascii="宋体" w:hAnsi="宋体" w:cs="宋体"/>
                <w:bCs/>
                <w:lang w:val="zh-CN"/>
              </w:rPr>
            </w:pPr>
            <w:r>
              <w:rPr>
                <w:rFonts w:hint="eastAsia" w:ascii="宋体" w:hAnsi="宋体" w:cs="宋体"/>
                <w:bCs/>
                <w:lang w:val="zh-CN"/>
              </w:rPr>
              <w:t>90天。</w:t>
            </w:r>
          </w:p>
        </w:tc>
        <w:tc>
          <w:tcPr>
            <w:tcW w:w="879" w:type="dxa"/>
          </w:tcPr>
          <w:p w14:paraId="120D3AE3">
            <w:pPr>
              <w:autoSpaceDE w:val="0"/>
              <w:autoSpaceDN w:val="0"/>
              <w:adjustRightInd w:val="0"/>
              <w:spacing w:line="300" w:lineRule="exact"/>
              <w:rPr>
                <w:rFonts w:ascii="宋体" w:hAnsi="宋体" w:cs="宋体"/>
                <w:lang w:val="zh-CN"/>
              </w:rPr>
            </w:pPr>
          </w:p>
        </w:tc>
      </w:tr>
      <w:tr w14:paraId="3F68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05566AE0">
            <w:pPr>
              <w:autoSpaceDE w:val="0"/>
              <w:autoSpaceDN w:val="0"/>
              <w:adjustRightInd w:val="0"/>
              <w:spacing w:line="300" w:lineRule="exact"/>
              <w:jc w:val="left"/>
              <w:rPr>
                <w:rFonts w:ascii="宋体" w:hAnsi="宋体" w:cs="宋体"/>
                <w:bCs/>
                <w:lang w:val="zh-CN"/>
              </w:rPr>
            </w:pPr>
          </w:p>
        </w:tc>
        <w:tc>
          <w:tcPr>
            <w:tcW w:w="2410" w:type="dxa"/>
            <w:vAlign w:val="center"/>
          </w:tcPr>
          <w:p w14:paraId="4188459E">
            <w:pPr>
              <w:autoSpaceDE w:val="0"/>
              <w:autoSpaceDN w:val="0"/>
              <w:adjustRightInd w:val="0"/>
              <w:spacing w:line="300" w:lineRule="exact"/>
              <w:rPr>
                <w:rFonts w:ascii="宋体" w:hAnsi="宋体" w:cs="宋体"/>
                <w:bCs/>
                <w:lang w:val="zh-CN"/>
              </w:rPr>
            </w:pPr>
            <w:r>
              <w:rPr>
                <w:rFonts w:hint="eastAsia" w:ascii="宋体" w:hAnsi="宋体" w:cs="宋体"/>
                <w:bCs/>
                <w:lang w:val="zh-CN"/>
              </w:rPr>
              <w:t>投标保证金</w:t>
            </w:r>
          </w:p>
        </w:tc>
        <w:tc>
          <w:tcPr>
            <w:tcW w:w="4677" w:type="dxa"/>
            <w:vAlign w:val="center"/>
          </w:tcPr>
          <w:p w14:paraId="7FE8D5B2">
            <w:pPr>
              <w:autoSpaceDE w:val="0"/>
              <w:autoSpaceDN w:val="0"/>
              <w:adjustRightInd w:val="0"/>
              <w:spacing w:line="300" w:lineRule="exact"/>
              <w:rPr>
                <w:rFonts w:hint="default" w:ascii="宋体" w:hAnsi="宋体" w:eastAsia="宋体" w:cs="宋体"/>
                <w:bCs/>
                <w:lang w:val="en-US" w:eastAsia="zh-CN"/>
              </w:rPr>
            </w:pPr>
            <w:r>
              <w:rPr>
                <w:rFonts w:hint="eastAsia" w:ascii="宋体" w:hAnsi="宋体" w:cs="宋体"/>
                <w:bCs/>
                <w:lang w:val="zh-CN"/>
              </w:rPr>
              <w:t>有缴纳投标保证金凭证原件加盖公章</w:t>
            </w:r>
            <w:r>
              <w:rPr>
                <w:rFonts w:hint="eastAsia" w:ascii="宋体" w:hAnsi="宋体" w:cs="宋体"/>
                <w:bCs/>
                <w:lang w:val="en-US" w:eastAsia="zh-CN"/>
              </w:rPr>
              <w:t>的扫描件</w:t>
            </w:r>
            <w:r>
              <w:rPr>
                <w:rFonts w:hint="eastAsia" w:ascii="宋体" w:hAnsi="宋体" w:cs="宋体"/>
                <w:bCs/>
                <w:lang w:val="zh-CN"/>
              </w:rPr>
              <w:t>，基本账户开户许可证复印件加盖公章【要求件清晰可见】；</w:t>
            </w:r>
            <w:r>
              <w:rPr>
                <w:rFonts w:hint="eastAsia" w:ascii="宋体" w:hAnsi="宋体" w:cs="宋体"/>
                <w:bCs/>
                <w:lang w:val="en-US" w:eastAsia="zh-CN"/>
              </w:rPr>
              <w:t>以电子</w:t>
            </w:r>
            <w:r>
              <w:rPr>
                <w:rFonts w:hint="eastAsia" w:ascii="宋体" w:hAnsi="宋体"/>
                <w:kern w:val="0"/>
              </w:rPr>
              <w:t>保函</w:t>
            </w:r>
            <w:r>
              <w:rPr>
                <w:rFonts w:hint="eastAsia" w:ascii="宋体" w:hAnsi="宋体"/>
                <w:kern w:val="0"/>
                <w:lang w:val="en-US" w:eastAsia="zh-CN"/>
              </w:rPr>
              <w:t>形式递交保证金</w:t>
            </w:r>
            <w:r>
              <w:rPr>
                <w:rFonts w:hint="eastAsia" w:ascii="宋体" w:hAnsi="宋体"/>
                <w:kern w:val="0"/>
              </w:rPr>
              <w:t>的投标人</w:t>
            </w:r>
            <w:r>
              <w:rPr>
                <w:rFonts w:hint="eastAsia" w:ascii="宋体" w:hAnsi="宋体"/>
                <w:kern w:val="0"/>
                <w:lang w:eastAsia="zh-CN"/>
              </w:rPr>
              <w:t>，</w:t>
            </w:r>
            <w:r>
              <w:rPr>
                <w:rFonts w:hint="eastAsia" w:ascii="宋体" w:hAnsi="宋体"/>
                <w:kern w:val="0"/>
                <w:lang w:val="en-US" w:eastAsia="zh-CN"/>
              </w:rPr>
              <w:t>须</w:t>
            </w:r>
            <w:r>
              <w:rPr>
                <w:rFonts w:hint="eastAsia" w:ascii="宋体" w:hAnsi="宋体" w:cs="宋体"/>
                <w:bCs/>
                <w:lang w:val="zh-CN"/>
              </w:rPr>
              <w:t>符合第二章投标人须知</w:t>
            </w:r>
            <w:r>
              <w:rPr>
                <w:rFonts w:hint="eastAsia" w:ascii="宋体" w:hAnsi="宋体" w:cs="宋体"/>
                <w:bCs/>
                <w:lang w:val="en-US" w:eastAsia="zh-CN"/>
              </w:rPr>
              <w:t>中要求。</w:t>
            </w:r>
          </w:p>
        </w:tc>
        <w:tc>
          <w:tcPr>
            <w:tcW w:w="879" w:type="dxa"/>
          </w:tcPr>
          <w:p w14:paraId="13892B23">
            <w:pPr>
              <w:autoSpaceDE w:val="0"/>
              <w:autoSpaceDN w:val="0"/>
              <w:adjustRightInd w:val="0"/>
              <w:spacing w:line="300" w:lineRule="exact"/>
              <w:rPr>
                <w:rFonts w:ascii="宋体" w:hAnsi="宋体" w:cs="宋体"/>
                <w:bCs/>
                <w:lang w:val="zh-CN"/>
              </w:rPr>
            </w:pPr>
          </w:p>
        </w:tc>
      </w:tr>
      <w:tr w14:paraId="6C7C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155CA3E3">
            <w:pPr>
              <w:autoSpaceDE w:val="0"/>
              <w:autoSpaceDN w:val="0"/>
              <w:adjustRightInd w:val="0"/>
              <w:spacing w:line="300" w:lineRule="exact"/>
              <w:jc w:val="left"/>
              <w:rPr>
                <w:rFonts w:ascii="宋体" w:hAnsi="宋体" w:cs="宋体"/>
                <w:bCs/>
                <w:lang w:val="zh-CN"/>
              </w:rPr>
            </w:pPr>
          </w:p>
        </w:tc>
        <w:tc>
          <w:tcPr>
            <w:tcW w:w="2410" w:type="dxa"/>
            <w:vAlign w:val="center"/>
          </w:tcPr>
          <w:p w14:paraId="263F6264">
            <w:pPr>
              <w:autoSpaceDE w:val="0"/>
              <w:autoSpaceDN w:val="0"/>
              <w:adjustRightInd w:val="0"/>
              <w:spacing w:line="300" w:lineRule="exact"/>
              <w:rPr>
                <w:rFonts w:ascii="宋体" w:hAnsi="宋体" w:cs="宋体"/>
                <w:bCs/>
                <w:lang w:val="zh-CN"/>
              </w:rPr>
            </w:pPr>
            <w:r>
              <w:rPr>
                <w:rFonts w:hint="eastAsia" w:ascii="宋体" w:hAnsi="宋体" w:cs="宋体"/>
                <w:bCs/>
                <w:lang w:val="zh-CN"/>
              </w:rPr>
              <w:t>投标报价</w:t>
            </w:r>
          </w:p>
        </w:tc>
        <w:tc>
          <w:tcPr>
            <w:tcW w:w="4677" w:type="dxa"/>
            <w:vAlign w:val="center"/>
          </w:tcPr>
          <w:p w14:paraId="1C8D69DB">
            <w:pPr>
              <w:autoSpaceDE w:val="0"/>
              <w:autoSpaceDN w:val="0"/>
              <w:adjustRightInd w:val="0"/>
              <w:spacing w:line="300" w:lineRule="exact"/>
              <w:rPr>
                <w:rFonts w:hint="default" w:ascii="宋体" w:hAnsi="宋体" w:eastAsia="宋体" w:cs="宋体"/>
                <w:bCs/>
                <w:lang w:val="en-US" w:eastAsia="zh-CN"/>
              </w:rPr>
            </w:pPr>
            <w:r>
              <w:rPr>
                <w:rFonts w:hint="eastAsia" w:ascii="宋体" w:hAnsi="宋体" w:cs="宋体"/>
                <w:bCs/>
                <w:lang w:val="zh-CN"/>
              </w:rPr>
              <w:t>不超过采购预算，超过采购预算的投标报价，其投标将被否决</w:t>
            </w:r>
            <w:r>
              <w:rPr>
                <w:rFonts w:hint="eastAsia" w:ascii="宋体" w:hAnsi="宋体" w:cs="宋体"/>
                <w:bCs/>
                <w:lang w:val="en-US" w:eastAsia="zh-CN"/>
              </w:rPr>
              <w:t>。</w:t>
            </w:r>
          </w:p>
        </w:tc>
        <w:tc>
          <w:tcPr>
            <w:tcW w:w="879" w:type="dxa"/>
          </w:tcPr>
          <w:p w14:paraId="6C82E1AA">
            <w:pPr>
              <w:pStyle w:val="16"/>
              <w:tabs>
                <w:tab w:val="clear" w:pos="4153"/>
                <w:tab w:val="clear" w:pos="8306"/>
              </w:tabs>
              <w:autoSpaceDE w:val="0"/>
              <w:autoSpaceDN w:val="0"/>
              <w:adjustRightInd w:val="0"/>
              <w:snapToGrid/>
              <w:spacing w:line="300" w:lineRule="exact"/>
              <w:jc w:val="both"/>
              <w:rPr>
                <w:rFonts w:ascii="宋体" w:hAnsi="宋体" w:cs="宋体"/>
                <w:b/>
                <w:bCs/>
                <w:sz w:val="21"/>
                <w:szCs w:val="21"/>
                <w:lang w:val="zh-CN"/>
              </w:rPr>
            </w:pPr>
          </w:p>
        </w:tc>
      </w:tr>
      <w:tr w14:paraId="330D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1" w:type="dxa"/>
            <w:vMerge w:val="continue"/>
          </w:tcPr>
          <w:p w14:paraId="3EA1AC1B">
            <w:pPr>
              <w:autoSpaceDE w:val="0"/>
              <w:autoSpaceDN w:val="0"/>
              <w:adjustRightInd w:val="0"/>
              <w:spacing w:line="300" w:lineRule="exact"/>
              <w:jc w:val="left"/>
              <w:rPr>
                <w:rFonts w:ascii="宋体" w:hAnsi="宋体" w:cs="宋体"/>
                <w:bCs/>
                <w:lang w:val="zh-CN"/>
              </w:rPr>
            </w:pPr>
          </w:p>
        </w:tc>
        <w:tc>
          <w:tcPr>
            <w:tcW w:w="2410" w:type="dxa"/>
            <w:vAlign w:val="center"/>
          </w:tcPr>
          <w:p w14:paraId="542206AA">
            <w:pPr>
              <w:autoSpaceDE w:val="0"/>
              <w:autoSpaceDN w:val="0"/>
              <w:adjustRightInd w:val="0"/>
              <w:spacing w:line="300" w:lineRule="exact"/>
              <w:rPr>
                <w:rFonts w:hint="default" w:ascii="宋体" w:hAnsi="宋体" w:eastAsia="宋体" w:cs="宋体"/>
                <w:bCs/>
                <w:lang w:val="en-US" w:eastAsia="zh-CN"/>
              </w:rPr>
            </w:pPr>
            <w:r>
              <w:rPr>
                <w:rFonts w:hint="eastAsia" w:ascii="宋体" w:hAnsi="宋体" w:cs="宋体"/>
                <w:bCs/>
                <w:lang w:val="en-US" w:eastAsia="zh-CN"/>
              </w:rPr>
              <w:t>联合体投标</w:t>
            </w:r>
          </w:p>
        </w:tc>
        <w:tc>
          <w:tcPr>
            <w:tcW w:w="4677" w:type="dxa"/>
            <w:vAlign w:val="center"/>
          </w:tcPr>
          <w:p w14:paraId="620BD47A">
            <w:pPr>
              <w:autoSpaceDE w:val="0"/>
              <w:autoSpaceDN w:val="0"/>
              <w:adjustRightInd w:val="0"/>
              <w:spacing w:line="300" w:lineRule="exact"/>
              <w:rPr>
                <w:rFonts w:hint="eastAsia" w:ascii="宋体" w:hAnsi="宋体" w:cs="宋体"/>
                <w:bCs/>
                <w:lang w:val="zh-CN"/>
              </w:rPr>
            </w:pPr>
            <w:r>
              <w:rPr>
                <w:rFonts w:hint="eastAsia" w:ascii="宋体" w:hAnsi="宋体" w:cs="宋体"/>
                <w:bCs/>
                <w:lang w:val="zh-CN"/>
              </w:rPr>
              <w:t>本项目</w:t>
            </w:r>
            <w:r>
              <w:rPr>
                <w:rFonts w:hint="eastAsia" w:ascii="宋体" w:hAnsi="宋体" w:cs="宋体"/>
                <w:bCs/>
                <w:lang w:val="en-US" w:eastAsia="zh-CN"/>
              </w:rPr>
              <w:t>各个标包</w:t>
            </w:r>
            <w:r>
              <w:rPr>
                <w:rFonts w:hint="eastAsia" w:ascii="宋体" w:hAnsi="宋体" w:cs="宋体"/>
                <w:bCs/>
                <w:lang w:val="zh-CN"/>
              </w:rPr>
              <w:t>不接受联合体投标、不允许分包。</w:t>
            </w:r>
          </w:p>
        </w:tc>
        <w:tc>
          <w:tcPr>
            <w:tcW w:w="879" w:type="dxa"/>
          </w:tcPr>
          <w:p w14:paraId="15F16223">
            <w:pPr>
              <w:pStyle w:val="16"/>
              <w:tabs>
                <w:tab w:val="clear" w:pos="4153"/>
                <w:tab w:val="clear" w:pos="8306"/>
              </w:tabs>
              <w:autoSpaceDE w:val="0"/>
              <w:autoSpaceDN w:val="0"/>
              <w:adjustRightInd w:val="0"/>
              <w:snapToGrid/>
              <w:spacing w:line="300" w:lineRule="exact"/>
              <w:jc w:val="both"/>
              <w:rPr>
                <w:rFonts w:ascii="宋体" w:hAnsi="宋体" w:cs="宋体"/>
                <w:b/>
                <w:bCs/>
                <w:sz w:val="21"/>
                <w:szCs w:val="21"/>
                <w:lang w:val="zh-CN"/>
              </w:rPr>
            </w:pPr>
          </w:p>
        </w:tc>
      </w:tr>
    </w:tbl>
    <w:p w14:paraId="2EB28C1B">
      <w:pPr>
        <w:ind w:left="549" w:hanging="549"/>
        <w:jc w:val="center"/>
        <w:rPr>
          <w:b/>
          <w:bCs/>
          <w:sz w:val="24"/>
          <w:szCs w:val="24"/>
        </w:rPr>
      </w:pPr>
    </w:p>
    <w:p w14:paraId="76A360E4">
      <w:pPr>
        <w:ind w:left="549" w:hanging="549"/>
        <w:jc w:val="center"/>
        <w:rPr>
          <w:b/>
          <w:bCs/>
          <w:sz w:val="32"/>
        </w:rPr>
      </w:pPr>
    </w:p>
    <w:p w14:paraId="6282404F">
      <w:pPr>
        <w:ind w:left="549" w:hanging="549"/>
        <w:jc w:val="center"/>
        <w:rPr>
          <w:b/>
          <w:bCs/>
          <w:sz w:val="32"/>
        </w:rPr>
      </w:pPr>
    </w:p>
    <w:p w14:paraId="5D243FAA">
      <w:pPr>
        <w:ind w:left="549" w:hanging="549"/>
        <w:jc w:val="center"/>
        <w:rPr>
          <w:b/>
          <w:bCs/>
          <w:sz w:val="32"/>
        </w:rPr>
      </w:pPr>
    </w:p>
    <w:p w14:paraId="680921AF">
      <w:pPr>
        <w:ind w:left="549" w:hanging="549"/>
        <w:jc w:val="center"/>
        <w:rPr>
          <w:b/>
          <w:bCs/>
          <w:sz w:val="32"/>
        </w:rPr>
      </w:pPr>
    </w:p>
    <w:p w14:paraId="62C5B1B8">
      <w:pPr>
        <w:ind w:left="549" w:hanging="549"/>
        <w:jc w:val="center"/>
        <w:rPr>
          <w:b/>
          <w:bCs/>
          <w:sz w:val="32"/>
        </w:rPr>
      </w:pPr>
    </w:p>
    <w:p w14:paraId="46744B8F">
      <w:pPr>
        <w:ind w:left="549" w:hanging="549"/>
        <w:jc w:val="center"/>
        <w:rPr>
          <w:b/>
          <w:bCs/>
          <w:sz w:val="32"/>
        </w:rPr>
      </w:pPr>
    </w:p>
    <w:p w14:paraId="12F209E6">
      <w:pPr>
        <w:ind w:left="549" w:hanging="549"/>
        <w:jc w:val="center"/>
        <w:rPr>
          <w:b/>
          <w:bCs/>
          <w:sz w:val="32"/>
        </w:rPr>
      </w:pPr>
      <w:r>
        <w:rPr>
          <w:b/>
          <w:bCs/>
          <w:sz w:val="32"/>
        </w:rPr>
        <w:br w:type="page"/>
      </w:r>
    </w:p>
    <w:p w14:paraId="13D92A8A">
      <w:pPr>
        <w:ind w:left="549" w:hanging="549"/>
        <w:jc w:val="center"/>
        <w:rPr>
          <w:b/>
          <w:bCs/>
          <w:sz w:val="32"/>
        </w:rPr>
      </w:pPr>
      <w:r>
        <w:rPr>
          <w:rFonts w:hint="eastAsia"/>
          <w:b/>
          <w:bCs/>
          <w:sz w:val="32"/>
        </w:rPr>
        <w:t>项 目 评 分 表</w:t>
      </w:r>
    </w:p>
    <w:p w14:paraId="1784F21D">
      <w:pPr>
        <w:ind w:left="424" w:leftChars="202"/>
        <w:jc w:val="left"/>
      </w:pPr>
      <w:r>
        <w:rPr>
          <w:rFonts w:hint="eastAsia" w:cs="宋体"/>
          <w:bCs/>
        </w:rPr>
        <w:t xml:space="preserve">                                                                                                                                                              </w:t>
      </w:r>
    </w:p>
    <w:p w14:paraId="368FC44F">
      <w:pPr>
        <w:ind w:left="549" w:hanging="549"/>
        <w:jc w:val="center"/>
        <w:rPr>
          <w:rFonts w:ascii="宋体" w:hAnsi="宋体" w:cs="宋体"/>
        </w:rPr>
      </w:pPr>
      <w:r>
        <w:rPr>
          <w:rFonts w:hint="eastAsia" w:ascii="宋体" w:hAnsi="宋体" w:cs="宋体"/>
        </w:rPr>
        <w:t>本项目采用综合打分法，总分为100分，按评审后得分由高到低顺序排列，得分相同的，按投标报价由低到高顺序排列，得分且投标报价相同的，按技术指标优劣顺序排列，由评标委员会确定中标候选人。具体打分方法如下：</w:t>
      </w:r>
    </w:p>
    <w:p w14:paraId="521B9949">
      <w:pPr>
        <w:ind w:left="549" w:hanging="549"/>
        <w:jc w:val="center"/>
        <w:rPr>
          <w:rFonts w:ascii="宋体" w:hAnsi="宋体" w:cs="宋体"/>
        </w:rPr>
      </w:pPr>
    </w:p>
    <w:tbl>
      <w:tblPr>
        <w:tblStyle w:val="24"/>
        <w:tblW w:w="5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20"/>
        <w:gridCol w:w="816"/>
        <w:gridCol w:w="692"/>
        <w:gridCol w:w="8416"/>
      </w:tblGrid>
      <w:tr w14:paraId="04EA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2C248B51">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条款号</w:t>
            </w:r>
          </w:p>
        </w:tc>
        <w:tc>
          <w:tcPr>
            <w:tcW w:w="375" w:type="pct"/>
            <w:tcBorders>
              <w:top w:val="single" w:color="auto" w:sz="4" w:space="0"/>
              <w:left w:val="single" w:color="auto" w:sz="4" w:space="0"/>
              <w:bottom w:val="single" w:color="auto" w:sz="4" w:space="0"/>
              <w:right w:val="single" w:color="auto" w:sz="4" w:space="0"/>
            </w:tcBorders>
            <w:vAlign w:val="center"/>
          </w:tcPr>
          <w:p w14:paraId="2EA7136B">
            <w:pPr>
              <w:jc w:val="center"/>
              <w:rPr>
                <w:rFonts w:asciiTheme="minorEastAsia" w:hAnsiTheme="minorEastAsia" w:eastAsiaTheme="minorEastAsia"/>
                <w:b/>
                <w:bCs/>
                <w:szCs w:val="21"/>
              </w:rPr>
            </w:pPr>
            <w:r>
              <w:rPr>
                <w:rFonts w:hint="eastAsia" w:asciiTheme="minorEastAsia" w:hAnsiTheme="minorEastAsia" w:eastAsiaTheme="minorEastAsia"/>
                <w:b/>
                <w:bCs/>
                <w:szCs w:val="21"/>
              </w:rPr>
              <w:t>评审</w:t>
            </w:r>
          </w:p>
          <w:p w14:paraId="71BA0C33">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因素</w:t>
            </w:r>
          </w:p>
        </w:tc>
        <w:tc>
          <w:tcPr>
            <w:tcW w:w="319" w:type="pct"/>
            <w:tcBorders>
              <w:top w:val="single" w:color="auto" w:sz="4" w:space="0"/>
              <w:left w:val="single" w:color="auto" w:sz="4" w:space="0"/>
              <w:bottom w:val="single" w:color="auto" w:sz="4" w:space="0"/>
              <w:right w:val="single" w:color="auto" w:sz="4" w:space="0"/>
            </w:tcBorders>
            <w:vAlign w:val="center"/>
          </w:tcPr>
          <w:p w14:paraId="4E6A58F0">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分值</w:t>
            </w:r>
          </w:p>
        </w:tc>
        <w:tc>
          <w:tcPr>
            <w:tcW w:w="3880" w:type="pct"/>
            <w:tcBorders>
              <w:top w:val="single" w:color="auto" w:sz="4" w:space="0"/>
              <w:left w:val="single" w:color="auto" w:sz="4" w:space="0"/>
              <w:bottom w:val="single" w:color="auto" w:sz="4" w:space="0"/>
              <w:right w:val="single" w:color="auto" w:sz="4" w:space="0"/>
            </w:tcBorders>
            <w:vAlign w:val="center"/>
          </w:tcPr>
          <w:p w14:paraId="5BF494D6">
            <w:pPr>
              <w:ind w:firstLine="422" w:firstLineChars="200"/>
              <w:jc w:val="center"/>
              <w:rPr>
                <w:rFonts w:asciiTheme="minorEastAsia" w:hAnsiTheme="minorEastAsia" w:eastAsiaTheme="minorEastAsia"/>
                <w:b/>
                <w:bCs/>
                <w:szCs w:val="21"/>
              </w:rPr>
            </w:pPr>
            <w:r>
              <w:rPr>
                <w:rFonts w:hint="eastAsia" w:asciiTheme="minorEastAsia" w:hAnsiTheme="minorEastAsia" w:eastAsiaTheme="minorEastAsia"/>
                <w:b/>
                <w:bCs/>
                <w:szCs w:val="21"/>
              </w:rPr>
              <w:t>评审标准</w:t>
            </w:r>
          </w:p>
        </w:tc>
      </w:tr>
      <w:tr w14:paraId="4968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14:paraId="7A9D50C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价格部分(30分)</w:t>
            </w:r>
          </w:p>
        </w:tc>
        <w:tc>
          <w:tcPr>
            <w:tcW w:w="375" w:type="pct"/>
            <w:tcBorders>
              <w:top w:val="single" w:color="auto" w:sz="4" w:space="0"/>
              <w:left w:val="single" w:color="auto" w:sz="4" w:space="0"/>
              <w:bottom w:val="single" w:color="auto" w:sz="4" w:space="0"/>
              <w:right w:val="single" w:color="auto" w:sz="4" w:space="0"/>
            </w:tcBorders>
            <w:vAlign w:val="center"/>
          </w:tcPr>
          <w:p w14:paraId="1FCB393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投标报价</w:t>
            </w:r>
          </w:p>
        </w:tc>
        <w:tc>
          <w:tcPr>
            <w:tcW w:w="319" w:type="pct"/>
            <w:tcBorders>
              <w:top w:val="single" w:color="auto" w:sz="4" w:space="0"/>
              <w:left w:val="single" w:color="auto" w:sz="4" w:space="0"/>
              <w:bottom w:val="single" w:color="auto" w:sz="4" w:space="0"/>
              <w:right w:val="single" w:color="auto" w:sz="4" w:space="0"/>
            </w:tcBorders>
            <w:vAlign w:val="center"/>
          </w:tcPr>
          <w:p w14:paraId="594CB3D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30分</w:t>
            </w:r>
          </w:p>
        </w:tc>
        <w:tc>
          <w:tcPr>
            <w:tcW w:w="3880" w:type="pct"/>
            <w:tcBorders>
              <w:top w:val="single" w:color="auto" w:sz="4" w:space="0"/>
              <w:left w:val="single" w:color="auto" w:sz="4" w:space="0"/>
              <w:bottom w:val="single" w:color="auto" w:sz="4" w:space="0"/>
              <w:right w:val="single" w:color="auto" w:sz="4" w:space="0"/>
            </w:tcBorders>
            <w:vAlign w:val="center"/>
          </w:tcPr>
          <w:p w14:paraId="1F56813F">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1．价格分采用低价优先法计算，即通过资格性和符合性审查且投标价格最低的报价为评标基准价，其价格得分为满分。</w:t>
            </w:r>
          </w:p>
          <w:p w14:paraId="2292AEF8">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2．其他投标人的价格分统一按照下列公式计算：</w:t>
            </w:r>
          </w:p>
          <w:p w14:paraId="0506051C">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投标报价得分=（评标基准价／最终投标报价）×30</w:t>
            </w:r>
          </w:p>
          <w:p w14:paraId="0B500951">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注：价格分计算保留小数点后两位。</w:t>
            </w:r>
          </w:p>
        </w:tc>
      </w:tr>
      <w:tr w14:paraId="33AA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restart"/>
            <w:tcBorders>
              <w:left w:val="single" w:color="auto" w:sz="4" w:space="0"/>
              <w:right w:val="single" w:color="auto" w:sz="4" w:space="0"/>
            </w:tcBorders>
            <w:vAlign w:val="center"/>
          </w:tcPr>
          <w:p w14:paraId="1F30D083">
            <w:pPr>
              <w:pStyle w:val="105"/>
              <w:spacing w:line="360" w:lineRule="auto"/>
              <w:jc w:val="center"/>
              <w:rPr>
                <w:rFonts w:hint="eastAsia" w:ascii="宋体" w:hAnsi="宋体" w:eastAsia="宋体"/>
                <w:bCs/>
                <w:lang w:val="zh-CN"/>
              </w:rPr>
            </w:pPr>
            <w:r>
              <w:rPr>
                <w:rFonts w:hint="eastAsia" w:ascii="宋体" w:hAnsi="宋体" w:eastAsia="宋体"/>
                <w:bCs/>
                <w:lang w:val="zh-CN"/>
              </w:rPr>
              <w:t>技术评分（</w:t>
            </w:r>
            <w:r>
              <w:rPr>
                <w:rFonts w:hint="eastAsia" w:ascii="宋体" w:hAnsi="宋体" w:eastAsia="宋体"/>
                <w:bCs/>
                <w:lang w:val="en-US" w:eastAsia="zh-CN"/>
              </w:rPr>
              <w:t>47</w:t>
            </w:r>
            <w:r>
              <w:rPr>
                <w:rFonts w:hint="eastAsia" w:ascii="宋体" w:hAnsi="宋体" w:eastAsia="宋体"/>
                <w:bCs/>
                <w:lang w:val="zh-CN"/>
              </w:rPr>
              <w:t>分）</w:t>
            </w:r>
          </w:p>
        </w:tc>
        <w:tc>
          <w:tcPr>
            <w:tcW w:w="375" w:type="pct"/>
            <w:vMerge w:val="restart"/>
            <w:tcBorders>
              <w:left w:val="single" w:color="auto" w:sz="4" w:space="0"/>
              <w:right w:val="single" w:color="auto" w:sz="4" w:space="0"/>
            </w:tcBorders>
            <w:vAlign w:val="center"/>
          </w:tcPr>
          <w:p w14:paraId="4A941398">
            <w:pPr>
              <w:spacing w:line="360" w:lineRule="auto"/>
              <w:jc w:val="center"/>
              <w:rPr>
                <w:rFonts w:hint="eastAsia" w:ascii="宋体" w:hAnsi="宋体" w:eastAsia="宋体"/>
                <w:bCs/>
                <w:szCs w:val="21"/>
                <w:lang w:val="zh-CN" w:eastAsia="zh-CN"/>
              </w:rPr>
            </w:pPr>
            <w:r>
              <w:rPr>
                <w:rFonts w:hint="eastAsia" w:ascii="宋体" w:hAnsi="宋体" w:eastAsia="宋体"/>
                <w:bCs/>
                <w:szCs w:val="21"/>
                <w:lang w:val="zh-CN"/>
              </w:rPr>
              <w:t>技术</w:t>
            </w:r>
            <w:r>
              <w:rPr>
                <w:rFonts w:hint="eastAsia" w:ascii="宋体" w:hAnsi="宋体" w:eastAsia="宋体"/>
                <w:bCs/>
                <w:szCs w:val="21"/>
                <w:lang w:val="en-US" w:eastAsia="zh-CN"/>
              </w:rPr>
              <w:t>因素</w:t>
            </w:r>
          </w:p>
        </w:tc>
        <w:tc>
          <w:tcPr>
            <w:tcW w:w="319" w:type="pct"/>
            <w:tcBorders>
              <w:left w:val="single" w:color="auto" w:sz="4" w:space="0"/>
              <w:bottom w:val="single" w:color="auto" w:sz="4" w:space="0"/>
              <w:right w:val="single" w:color="auto" w:sz="4" w:space="0"/>
            </w:tcBorders>
            <w:vAlign w:val="center"/>
          </w:tcPr>
          <w:p w14:paraId="4196FE6B">
            <w:pPr>
              <w:spacing w:line="360" w:lineRule="auto"/>
              <w:jc w:val="center"/>
              <w:rPr>
                <w:rFonts w:hint="default" w:ascii="宋体" w:hAnsi="宋体" w:eastAsia="宋体"/>
                <w:bCs/>
                <w:szCs w:val="21"/>
                <w:lang w:val="en-US" w:eastAsia="zh-CN"/>
              </w:rPr>
            </w:pPr>
            <w:r>
              <w:rPr>
                <w:rFonts w:hint="eastAsia" w:ascii="宋体" w:hAnsi="宋体" w:eastAsia="宋体"/>
                <w:bCs/>
                <w:szCs w:val="21"/>
                <w:lang w:val="en-US" w:eastAsia="zh-CN"/>
              </w:rPr>
              <w:t>23分</w:t>
            </w:r>
          </w:p>
        </w:tc>
        <w:tc>
          <w:tcPr>
            <w:tcW w:w="3880" w:type="pct"/>
            <w:tcBorders>
              <w:top w:val="single" w:color="auto" w:sz="4" w:space="0"/>
              <w:left w:val="single" w:color="auto" w:sz="4" w:space="0"/>
              <w:bottom w:val="single" w:color="auto" w:sz="4" w:space="0"/>
              <w:right w:val="single" w:color="auto" w:sz="4" w:space="0"/>
            </w:tcBorders>
          </w:tcPr>
          <w:p w14:paraId="71EADD72">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产品1</w:t>
            </w:r>
            <w:r>
              <w:rPr>
                <w:rFonts w:hint="eastAsia" w:ascii="宋体" w:hAnsi="宋体" w:eastAsia="宋体" w:cs="宋体"/>
                <w:color w:val="auto"/>
                <w:szCs w:val="21"/>
                <w:highlight w:val="none"/>
                <w:lang w:val="en-US" w:eastAsia="zh-CN"/>
              </w:rPr>
              <w:t>低压电工作业安全技术实操设备</w:t>
            </w:r>
            <w:r>
              <w:rPr>
                <w:rFonts w:hint="eastAsia" w:ascii="宋体" w:hAnsi="宋体" w:eastAsia="宋体" w:cs="宋体"/>
                <w:bCs/>
                <w:szCs w:val="21"/>
                <w:lang w:val="en-US" w:eastAsia="zh-CN"/>
              </w:rPr>
              <w:t>：</w:t>
            </w:r>
          </w:p>
          <w:p w14:paraId="78EA6356">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提供第三方权威检测机构出具的特种作业低压电工作业实操设备检验报告复印件，检测报告需要包含低压电工作业实操考核设备参数相关内容并加盖公章。提供得3分，不提供不得分。</w:t>
            </w:r>
          </w:p>
          <w:p w14:paraId="68E12BA5">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安全保护：漏电动作电流≤30mA ，过流保护。提供产品相关截图并加盖公章。提供得3分，不提供不得分。</w:t>
            </w:r>
          </w:p>
          <w:p w14:paraId="53D50DDE">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设备具备保护元器件和操作者功能。元器件通过导线引到接线端子上，操作者接线时可以在端子上进行接线。提供产品相关截图并加盖公章。提供得3分，不提供不得分。</w:t>
            </w:r>
          </w:p>
          <w:p w14:paraId="4E414FFE">
            <w:pPr>
              <w:numPr>
                <w:ilvl w:val="0"/>
                <w:numId w:val="3"/>
              </w:numPr>
              <w:spacing w:line="360" w:lineRule="auto"/>
              <w:jc w:val="left"/>
              <w:rPr>
                <w:rFonts w:hint="eastAsia" w:ascii="宋体" w:hAnsi="宋体" w:eastAsia="宋体" w:cs="宋体"/>
                <w:bCs/>
                <w:szCs w:val="21"/>
                <w:lang w:val="en-US" w:eastAsia="zh-CN"/>
              </w:rPr>
            </w:pPr>
            <w:r>
              <w:rPr>
                <w:rFonts w:hint="default" w:ascii="宋体" w:hAnsi="宋体" w:eastAsia="宋体" w:cs="宋体"/>
                <w:bCs/>
                <w:szCs w:val="21"/>
                <w:lang w:val="en-US" w:eastAsia="zh-CN"/>
              </w:rPr>
              <w:t>自恢复保险丝（智能保护）</w:t>
            </w:r>
            <w:r>
              <w:rPr>
                <w:rFonts w:hint="eastAsia" w:ascii="宋体" w:hAnsi="宋体" w:eastAsia="宋体" w:cs="宋体"/>
                <w:bCs/>
                <w:szCs w:val="21"/>
                <w:lang w:val="en-US" w:eastAsia="zh-CN"/>
              </w:rPr>
              <w:t>,具备</w:t>
            </w:r>
            <w:r>
              <w:rPr>
                <w:rFonts w:hint="default" w:ascii="宋体" w:hAnsi="宋体" w:eastAsia="宋体" w:cs="宋体"/>
                <w:bCs/>
                <w:szCs w:val="21"/>
                <w:lang w:val="en-US" w:eastAsia="zh-CN"/>
              </w:rPr>
              <w:t>应用场景：交流测量区及关键回路集成 PPTC 自恢复保险丝，针对过载或瞬时短路（如接线错误、负载突变），可毫秒级响应，限制电流至安全范围；故障排除后自动恢复导通，无需人工更换保险丝。</w:t>
            </w:r>
            <w:r>
              <w:rPr>
                <w:rFonts w:hint="eastAsia" w:ascii="宋体" w:hAnsi="宋体" w:eastAsia="宋体" w:cs="宋体"/>
                <w:bCs/>
                <w:szCs w:val="21"/>
                <w:lang w:val="en-US" w:eastAsia="zh-CN"/>
              </w:rPr>
              <w:t>提供产品相关截图并加盖公章。提供得3分，不提供不得分。</w:t>
            </w:r>
          </w:p>
          <w:p w14:paraId="5AA05BD2">
            <w:pPr>
              <w:numPr>
                <w:ilvl w:val="0"/>
                <w:numId w:val="3"/>
              </w:numPr>
              <w:spacing w:line="360" w:lineRule="auto"/>
              <w:jc w:val="left"/>
              <w:rPr>
                <w:rFonts w:hint="eastAsia" w:ascii="宋体" w:hAnsi="宋体" w:eastAsia="宋体" w:cs="宋体"/>
                <w:bCs/>
                <w:szCs w:val="21"/>
                <w:lang w:val="en-US" w:eastAsia="zh-CN"/>
              </w:rPr>
            </w:pPr>
            <w:r>
              <w:rPr>
                <w:rFonts w:hint="default" w:ascii="宋体" w:hAnsi="宋体" w:eastAsia="宋体" w:cs="宋体"/>
                <w:bCs/>
                <w:szCs w:val="21"/>
                <w:lang w:val="en-US" w:eastAsia="zh-CN"/>
              </w:rPr>
              <w:t>为避免知识产权侵权风险以及证明产品的技术先进性、功能真实性，投标人供应的“低压电工作业安全技术实操设备、”</w:t>
            </w:r>
            <w:r>
              <w:rPr>
                <w:rFonts w:hint="eastAsia" w:ascii="宋体" w:hAnsi="宋体" w:eastAsia="宋体" w:cs="宋体"/>
                <w:bCs/>
                <w:szCs w:val="21"/>
                <w:lang w:val="en-US" w:eastAsia="zh-CN"/>
              </w:rPr>
              <w:t>可</w:t>
            </w:r>
            <w:r>
              <w:rPr>
                <w:rFonts w:hint="default" w:ascii="宋体" w:hAnsi="宋体" w:eastAsia="宋体" w:cs="宋体"/>
                <w:bCs/>
                <w:szCs w:val="21"/>
                <w:lang w:val="en-US" w:eastAsia="zh-CN"/>
              </w:rPr>
              <w:t>提供软件著作权证书复印件</w:t>
            </w:r>
            <w:r>
              <w:rPr>
                <w:rFonts w:hint="eastAsia" w:ascii="宋体" w:hAnsi="宋体" w:eastAsia="宋体" w:cs="宋体"/>
                <w:bCs/>
                <w:szCs w:val="21"/>
                <w:lang w:val="en-US" w:eastAsia="zh-CN"/>
              </w:rPr>
              <w:t>并加盖公章。提供得3分，不提供不得分。</w:t>
            </w:r>
          </w:p>
          <w:p w14:paraId="4F0A238D">
            <w:pPr>
              <w:numPr>
                <w:ilvl w:val="0"/>
                <w:numId w:val="3"/>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产品满足低压电工作业安全技术实际操作下列项目的培训及考试需求： </w:t>
            </w:r>
          </w:p>
          <w:p w14:paraId="71DDBD20">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（1）电动机单向连续运转接线（带点动控制）（K21） </w:t>
            </w:r>
          </w:p>
          <w:p w14:paraId="02F4BD9B">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（2）三相异步电动机正反转运行的接线及安全操作（K22） </w:t>
            </w:r>
          </w:p>
          <w:p w14:paraId="3EEF6B4D">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（3）单相电能表带照明灯的安装及接线（K23） </w:t>
            </w:r>
          </w:p>
          <w:p w14:paraId="1F81E326">
            <w:pPr>
              <w:numPr>
                <w:ilvl w:val="0"/>
                <w:numId w:val="0"/>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（4）带熔断器（断路器）、仪表、电流互感器的电动机运行控制电路接线（K24） </w:t>
            </w:r>
          </w:p>
          <w:p w14:paraId="25B754CE">
            <w:pPr>
              <w:numPr>
                <w:ilvl w:val="0"/>
                <w:numId w:val="0"/>
              </w:numPr>
              <w:spacing w:line="360" w:lineRule="auto"/>
              <w:ind w:firstLine="210" w:firstLineChars="100"/>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提供产品功能截图或检验报告并加盖公章。每满足1项得2分，最多得8分，不提供不得分。</w:t>
            </w:r>
          </w:p>
        </w:tc>
      </w:tr>
      <w:tr w14:paraId="3B01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424" w:type="pct"/>
            <w:vMerge w:val="continue"/>
            <w:tcBorders>
              <w:left w:val="single" w:color="auto" w:sz="4" w:space="0"/>
              <w:right w:val="single" w:color="auto" w:sz="4" w:space="0"/>
            </w:tcBorders>
            <w:vAlign w:val="center"/>
          </w:tcPr>
          <w:p w14:paraId="1C051139">
            <w:pPr>
              <w:pStyle w:val="105"/>
              <w:spacing w:line="360" w:lineRule="auto"/>
              <w:jc w:val="center"/>
              <w:rPr>
                <w:rFonts w:hint="eastAsia" w:ascii="宋体" w:hAnsi="宋体" w:eastAsia="宋体"/>
                <w:bCs/>
                <w:lang w:val="zh-CN"/>
              </w:rPr>
            </w:pPr>
          </w:p>
        </w:tc>
        <w:tc>
          <w:tcPr>
            <w:tcW w:w="375" w:type="pct"/>
            <w:vMerge w:val="continue"/>
            <w:tcBorders>
              <w:left w:val="single" w:color="auto" w:sz="4" w:space="0"/>
              <w:bottom w:val="single" w:color="auto" w:sz="4" w:space="0"/>
              <w:right w:val="single" w:color="auto" w:sz="4" w:space="0"/>
            </w:tcBorders>
            <w:vAlign w:val="center"/>
          </w:tcPr>
          <w:p w14:paraId="799E49EA">
            <w:pPr>
              <w:spacing w:line="360" w:lineRule="auto"/>
              <w:jc w:val="center"/>
              <w:rPr>
                <w:rFonts w:hint="eastAsia" w:ascii="宋体" w:hAnsi="宋体" w:eastAsia="宋体"/>
                <w:bCs/>
                <w:szCs w:val="21"/>
                <w:lang w:val="zh-CN"/>
              </w:rPr>
            </w:pPr>
          </w:p>
        </w:tc>
        <w:tc>
          <w:tcPr>
            <w:tcW w:w="319" w:type="pct"/>
            <w:tcBorders>
              <w:top w:val="single" w:color="auto" w:sz="4" w:space="0"/>
              <w:left w:val="single" w:color="auto" w:sz="4" w:space="0"/>
              <w:bottom w:val="single" w:color="auto" w:sz="4" w:space="0"/>
              <w:right w:val="single" w:color="auto" w:sz="4" w:space="0"/>
            </w:tcBorders>
            <w:vAlign w:val="center"/>
          </w:tcPr>
          <w:p w14:paraId="526EB780">
            <w:pPr>
              <w:spacing w:line="360" w:lineRule="auto"/>
              <w:jc w:val="center"/>
              <w:rPr>
                <w:rFonts w:hint="default" w:ascii="宋体" w:hAnsi="宋体" w:eastAsia="宋体"/>
                <w:bCs/>
                <w:szCs w:val="21"/>
                <w:lang w:val="en-US" w:eastAsia="zh-CN"/>
              </w:rPr>
            </w:pPr>
            <w:r>
              <w:rPr>
                <w:rFonts w:hint="eastAsia" w:ascii="宋体" w:hAnsi="宋体" w:eastAsia="宋体"/>
                <w:bCs/>
                <w:szCs w:val="21"/>
                <w:lang w:val="en-US" w:eastAsia="zh-CN"/>
              </w:rPr>
              <w:t>24分</w:t>
            </w:r>
          </w:p>
        </w:tc>
        <w:tc>
          <w:tcPr>
            <w:tcW w:w="3880" w:type="pct"/>
            <w:tcBorders>
              <w:top w:val="single" w:color="auto" w:sz="4" w:space="0"/>
              <w:left w:val="single" w:color="auto" w:sz="4" w:space="0"/>
              <w:bottom w:val="single" w:color="auto" w:sz="4" w:space="0"/>
              <w:right w:val="single" w:color="auto" w:sz="4" w:space="0"/>
            </w:tcBorders>
          </w:tcPr>
          <w:p w14:paraId="1F7D644B">
            <w:p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产品2</w:t>
            </w:r>
            <w:r>
              <w:rPr>
                <w:rFonts w:hint="eastAsia" w:ascii="宋体" w:hAnsi="宋体" w:eastAsia="宋体" w:cs="宋体"/>
                <w:color w:val="auto"/>
                <w:szCs w:val="21"/>
                <w:highlight w:val="none"/>
                <w:lang w:val="en-US" w:eastAsia="zh-CN"/>
              </w:rPr>
              <w:t>高压电工作业安全技术实操设备</w:t>
            </w:r>
            <w:r>
              <w:rPr>
                <w:rFonts w:hint="eastAsia" w:ascii="宋体" w:hAnsi="宋体" w:eastAsia="宋体" w:cs="宋体"/>
                <w:bCs/>
                <w:szCs w:val="21"/>
                <w:lang w:val="en-US" w:eastAsia="zh-CN"/>
              </w:rPr>
              <w:t>：</w:t>
            </w:r>
          </w:p>
          <w:p w14:paraId="0F6F1332">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高压电工作业安全技术实操设备提供第三方权威检测机构出具的特种作业高压电工作业实操设备检验报告复印件，检测报告需要包含高压电工作业实操考核设备参数相关内容并加盖公章。提供得3分，不提供不得分。</w:t>
            </w:r>
          </w:p>
          <w:p w14:paraId="7AB91B7A">
            <w:pPr>
              <w:numPr>
                <w:ilvl w:val="0"/>
                <w:numId w:val="4"/>
              </w:numPr>
              <w:spacing w:line="360" w:lineRule="auto"/>
              <w:jc w:val="left"/>
              <w:rPr>
                <w:rFonts w:hint="default" w:ascii="宋体" w:hAnsi="宋体" w:eastAsia="宋体" w:cs="宋体"/>
                <w:bCs/>
                <w:szCs w:val="21"/>
                <w:lang w:val="en-US" w:eastAsia="zh-CN"/>
              </w:rPr>
            </w:pPr>
            <w:r>
              <w:rPr>
                <w:rFonts w:hint="default" w:ascii="宋体" w:hAnsi="宋体" w:eastAsia="宋体" w:cs="宋体"/>
                <w:bCs/>
                <w:szCs w:val="21"/>
                <w:lang w:val="en-US" w:eastAsia="zh-CN"/>
              </w:rPr>
              <w:t>为避免知识产权侵权风险以及证明产品的技术先进性、功能真实性，投标人供应的“</w:t>
            </w:r>
            <w:r>
              <w:rPr>
                <w:rFonts w:hint="eastAsia" w:ascii="宋体" w:hAnsi="宋体" w:eastAsia="宋体" w:cs="宋体"/>
                <w:bCs/>
                <w:szCs w:val="21"/>
                <w:lang w:val="en-US" w:eastAsia="zh-CN"/>
              </w:rPr>
              <w:t>高</w:t>
            </w:r>
            <w:r>
              <w:rPr>
                <w:rFonts w:hint="default" w:ascii="宋体" w:hAnsi="宋体" w:eastAsia="宋体" w:cs="宋体"/>
                <w:bCs/>
                <w:szCs w:val="21"/>
                <w:lang w:val="en-US" w:eastAsia="zh-CN"/>
              </w:rPr>
              <w:t>压电工作业安全技术实操设备、”</w:t>
            </w:r>
            <w:r>
              <w:rPr>
                <w:rFonts w:hint="eastAsia" w:ascii="宋体" w:hAnsi="宋体" w:eastAsia="宋体" w:cs="宋体"/>
                <w:bCs/>
                <w:szCs w:val="21"/>
                <w:lang w:val="en-US" w:eastAsia="zh-CN"/>
              </w:rPr>
              <w:t>可</w:t>
            </w:r>
            <w:r>
              <w:rPr>
                <w:rFonts w:hint="default" w:ascii="宋体" w:hAnsi="宋体" w:eastAsia="宋体" w:cs="宋体"/>
                <w:bCs/>
                <w:szCs w:val="21"/>
                <w:lang w:val="en-US" w:eastAsia="zh-CN"/>
              </w:rPr>
              <w:t>提供软件著作权证书复印件并加盖公章。提供得3分，不提供不得分。</w:t>
            </w:r>
          </w:p>
          <w:p w14:paraId="65F4EC06">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K11仪器仪表测量台设备</w:t>
            </w:r>
            <w:r>
              <w:rPr>
                <w:rFonts w:hint="default" w:ascii="宋体" w:hAnsi="宋体" w:eastAsia="宋体" w:cs="宋体"/>
                <w:bCs/>
                <w:szCs w:val="21"/>
                <w:lang w:val="en-US" w:eastAsia="zh-CN"/>
              </w:rPr>
              <w:t>安全保护：漏电动作电流≤30mA 过流保护、熔断器保护</w:t>
            </w:r>
            <w:r>
              <w:rPr>
                <w:rFonts w:hint="eastAsia" w:ascii="宋体" w:hAnsi="宋体" w:eastAsia="宋体" w:cs="宋体"/>
                <w:bCs/>
                <w:szCs w:val="21"/>
                <w:lang w:val="en-US" w:eastAsia="zh-CN"/>
              </w:rPr>
              <w:t>；提供产品相关截图并加盖公章。提供得3分，不提供不得分。</w:t>
            </w:r>
          </w:p>
          <w:p w14:paraId="17DA1D64">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K11仪器仪表测量台设备支持扩展功能或开发新实训，操作内容具有典型性和实用性，接触电压电压36V以下，能确保操作者的人身安全。提供产品相关功能截图并加盖公章。提供得3分，不提供不得分。</w:t>
            </w:r>
          </w:p>
          <w:p w14:paraId="7E363340">
            <w:pPr>
              <w:numPr>
                <w:ilvl w:val="0"/>
                <w:numId w:val="4"/>
              </w:numPr>
              <w:spacing w:line="360" w:lineRule="auto"/>
              <w:jc w:val="left"/>
              <w:rPr>
                <w:rFonts w:hint="eastAsia"/>
                <w:lang w:val="en-US" w:eastAsia="zh-CN"/>
              </w:rPr>
            </w:pPr>
            <w:r>
              <w:rPr>
                <w:rFonts w:hint="eastAsia" w:ascii="宋体" w:hAnsi="宋体" w:eastAsia="宋体" w:cs="宋体"/>
                <w:bCs/>
                <w:szCs w:val="21"/>
                <w:lang w:val="en-US" w:eastAsia="zh-CN"/>
              </w:rPr>
              <w:t>K11仪器仪表测量台支持交直流0－36电压可调节，接电阻测量区等，并可测量负载电流值及LED灯包亮度变化，通过可调电阻及功率电阻各类电气系统,并可满足低压电工安全技术实际操作考试标准要求。提供产品相关功能截图并加盖公章。提供得3分，不提供不得分。</w:t>
            </w:r>
          </w:p>
          <w:p w14:paraId="19ACF350">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K11仪器仪表测量台设备支持</w:t>
            </w:r>
            <w:r>
              <w:rPr>
                <w:rFonts w:hint="default" w:ascii="宋体" w:hAnsi="宋体" w:eastAsia="宋体" w:cs="宋体"/>
                <w:bCs/>
                <w:szCs w:val="21"/>
                <w:lang w:val="en-US" w:eastAsia="zh-CN"/>
              </w:rPr>
              <w:t>接地电阻测量区，功率电阻测量区，交直电压测量区</w:t>
            </w:r>
            <w:r>
              <w:rPr>
                <w:rFonts w:hint="eastAsia" w:ascii="宋体" w:hAnsi="宋体" w:eastAsia="宋体" w:cs="宋体"/>
                <w:bCs/>
                <w:szCs w:val="21"/>
                <w:lang w:val="en-US" w:eastAsia="zh-CN"/>
              </w:rPr>
              <w:t>；配备K11实操面板。提供产品相关功能截图并加盖公章。提供得3分，不提供不得分。</w:t>
            </w:r>
          </w:p>
          <w:p w14:paraId="5647ABE1">
            <w:pPr>
              <w:numPr>
                <w:ilvl w:val="0"/>
                <w:numId w:val="4"/>
              </w:numPr>
              <w:spacing w:line="360" w:lineRule="auto"/>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K11仪器仪表测量台</w:t>
            </w:r>
            <w:r>
              <w:rPr>
                <w:rFonts w:hint="eastAsia" w:ascii="宋体" w:hAnsi="宋体" w:eastAsia="宋体" w:cs="宋体"/>
                <w:bCs/>
                <w:kern w:val="2"/>
                <w:sz w:val="21"/>
                <w:szCs w:val="21"/>
                <w:lang w:val="en-US" w:eastAsia="zh-CN" w:bidi="ar-SA"/>
              </w:rPr>
              <w:t>低压交流电源：输出3V、6V、12V、24V、36V低压交流电源；</w:t>
            </w:r>
            <w:r>
              <w:rPr>
                <w:rFonts w:hint="eastAsia" w:ascii="宋体" w:hAnsi="宋体" w:eastAsia="宋体" w:cs="宋体"/>
                <w:bCs/>
                <w:szCs w:val="21"/>
                <w:lang w:val="en-US" w:eastAsia="zh-CN"/>
              </w:rPr>
              <w:t>提供产品相关功能截图并加盖公章。提供得3分，不提供不得分。</w:t>
            </w:r>
          </w:p>
          <w:p w14:paraId="2626410D">
            <w:pPr>
              <w:numPr>
                <w:ilvl w:val="0"/>
                <w:numId w:val="4"/>
              </w:numPr>
              <w:spacing w:line="360" w:lineRule="auto"/>
              <w:jc w:val="left"/>
              <w:rPr>
                <w:rFonts w:hint="default"/>
                <w:lang w:val="en-US" w:eastAsia="zh-CN"/>
              </w:rPr>
            </w:pPr>
            <w:r>
              <w:rPr>
                <w:rFonts w:hint="eastAsia" w:ascii="宋体" w:hAnsi="宋体" w:eastAsia="宋体" w:cs="宋体"/>
                <w:bCs/>
                <w:szCs w:val="21"/>
                <w:lang w:val="en-US" w:eastAsia="zh-CN"/>
              </w:rPr>
              <w:t>GGD型固定式低压柜</w:t>
            </w:r>
            <w:bookmarkStart w:id="85" w:name="OLE_LINK1"/>
            <w:r>
              <w:rPr>
                <w:rFonts w:hint="eastAsia" w:ascii="宋体" w:hAnsi="宋体" w:eastAsia="宋体" w:cs="宋体"/>
                <w:bCs/>
                <w:szCs w:val="21"/>
                <w:lang w:val="en-US" w:eastAsia="zh-CN"/>
              </w:rPr>
              <w:t>符合现行标准</w:t>
            </w:r>
            <w:r>
              <w:rPr>
                <w:rFonts w:hint="eastAsia" w:ascii="宋体" w:hAnsi="宋体" w:eastAsia="宋体" w:cs="宋体"/>
                <w:bCs/>
                <w:szCs w:val="21"/>
                <w:lang w:val="en-US" w:eastAsia="zh-CN"/>
              </w:rPr>
              <w:fldChar w:fldCharType="begin"/>
            </w:r>
            <w:r>
              <w:rPr>
                <w:rFonts w:hint="eastAsia" w:ascii="宋体" w:hAnsi="宋体" w:eastAsia="宋体" w:cs="宋体"/>
                <w:bCs/>
                <w:szCs w:val="21"/>
                <w:lang w:val="en-US" w:eastAsia="zh-CN"/>
              </w:rPr>
              <w:instrText xml:space="preserve"> HYPERLINK "javascript:void(0)" </w:instrText>
            </w:r>
            <w:r>
              <w:rPr>
                <w:rFonts w:hint="eastAsia" w:ascii="宋体" w:hAnsi="宋体" w:eastAsia="宋体" w:cs="宋体"/>
                <w:bCs/>
                <w:szCs w:val="21"/>
                <w:lang w:val="en-US" w:eastAsia="zh-CN"/>
              </w:rPr>
              <w:fldChar w:fldCharType="separate"/>
            </w:r>
            <w:r>
              <w:rPr>
                <w:rFonts w:hint="eastAsia" w:ascii="宋体" w:hAnsi="宋体" w:eastAsia="宋体" w:cs="宋体"/>
                <w:bCs/>
                <w:szCs w:val="21"/>
                <w:lang w:val="en-US" w:eastAsia="zh-CN"/>
              </w:rPr>
              <w:t>GB/T 7251</w:t>
            </w:r>
            <w:r>
              <w:rPr>
                <w:rFonts w:hint="eastAsia" w:ascii="宋体" w:hAnsi="宋体" w:eastAsia="宋体" w:cs="宋体"/>
                <w:bCs/>
                <w:szCs w:val="21"/>
                <w:lang w:val="en-US" w:eastAsia="zh-CN"/>
              </w:rPr>
              <w:fldChar w:fldCharType="end"/>
            </w:r>
            <w:r>
              <w:rPr>
                <w:rFonts w:hint="eastAsia" w:ascii="宋体" w:hAnsi="宋体" w:eastAsia="宋体" w:cs="宋体"/>
                <w:bCs/>
                <w:szCs w:val="21"/>
                <w:lang w:val="en-US" w:eastAsia="zh-CN"/>
              </w:rPr>
              <w:t>《</w:t>
            </w:r>
            <w:r>
              <w:rPr>
                <w:rFonts w:hint="eastAsia" w:ascii="宋体" w:hAnsi="宋体" w:eastAsia="宋体" w:cs="宋体"/>
                <w:bCs/>
                <w:szCs w:val="21"/>
                <w:lang w:val="en-US" w:eastAsia="zh-CN"/>
              </w:rPr>
              <w:fldChar w:fldCharType="begin"/>
            </w:r>
            <w:r>
              <w:rPr>
                <w:rFonts w:hint="eastAsia" w:ascii="宋体" w:hAnsi="宋体" w:eastAsia="宋体" w:cs="宋体"/>
                <w:bCs/>
                <w:szCs w:val="21"/>
                <w:lang w:val="en-US" w:eastAsia="zh-CN"/>
              </w:rPr>
              <w:instrText xml:space="preserve"> HYPERLINK "javascript:void(0)" </w:instrText>
            </w:r>
            <w:r>
              <w:rPr>
                <w:rFonts w:hint="eastAsia" w:ascii="宋体" w:hAnsi="宋体" w:eastAsia="宋体" w:cs="宋体"/>
                <w:bCs/>
                <w:szCs w:val="21"/>
                <w:lang w:val="en-US" w:eastAsia="zh-CN"/>
              </w:rPr>
              <w:fldChar w:fldCharType="separate"/>
            </w:r>
            <w:r>
              <w:rPr>
                <w:rFonts w:hint="eastAsia" w:ascii="宋体" w:hAnsi="宋体" w:eastAsia="宋体" w:cs="宋体"/>
                <w:bCs/>
                <w:szCs w:val="21"/>
                <w:lang w:val="en-US" w:eastAsia="zh-CN"/>
              </w:rPr>
              <w:t>低压成套开关设备和控制设备</w:t>
            </w:r>
            <w:r>
              <w:rPr>
                <w:rFonts w:hint="eastAsia" w:ascii="宋体" w:hAnsi="宋体" w:eastAsia="宋体" w:cs="宋体"/>
                <w:bCs/>
                <w:szCs w:val="21"/>
                <w:lang w:val="en-US" w:eastAsia="zh-CN"/>
              </w:rPr>
              <w:fldChar w:fldCharType="end"/>
            </w:r>
            <w:r>
              <w:rPr>
                <w:rFonts w:hint="eastAsia" w:ascii="宋体" w:hAnsi="宋体" w:eastAsia="宋体" w:cs="宋体"/>
                <w:bCs/>
                <w:szCs w:val="21"/>
                <w:lang w:val="en-US" w:eastAsia="zh-CN"/>
              </w:rPr>
              <w:t>》相应部分的要求</w:t>
            </w:r>
            <w:bookmarkEnd w:id="85"/>
            <w:r>
              <w:rPr>
                <w:rFonts w:hint="eastAsia" w:ascii="宋体" w:hAnsi="宋体" w:eastAsia="宋体" w:cs="宋体"/>
                <w:bCs/>
                <w:szCs w:val="21"/>
                <w:lang w:val="en-US" w:eastAsia="zh-CN"/>
              </w:rPr>
              <w:t>。提供产品相关功能截图或者检验报告并加盖公章。提供得3分，不提供不得分。</w:t>
            </w:r>
          </w:p>
        </w:tc>
      </w:tr>
      <w:tr w14:paraId="5FA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restart"/>
            <w:tcBorders>
              <w:top w:val="single" w:color="auto" w:sz="4" w:space="0"/>
              <w:left w:val="single" w:color="auto" w:sz="4" w:space="0"/>
              <w:right w:val="single" w:color="auto" w:sz="4" w:space="0"/>
            </w:tcBorders>
            <w:vAlign w:val="center"/>
          </w:tcPr>
          <w:p w14:paraId="52CC5183">
            <w:pPr>
              <w:snapToGrid w:val="0"/>
              <w:spacing w:line="360" w:lineRule="auto"/>
              <w:ind w:left="119" w:right="119"/>
              <w:jc w:val="center"/>
              <w:rPr>
                <w:rFonts w:asciiTheme="minorEastAsia" w:hAnsiTheme="minorEastAsia" w:eastAsiaTheme="minorEastAsia"/>
                <w:szCs w:val="21"/>
              </w:rPr>
            </w:pPr>
            <w:r>
              <w:rPr>
                <w:rFonts w:hint="eastAsia" w:ascii="宋体" w:hAnsi="宋体" w:eastAsia="宋体"/>
                <w:bCs/>
                <w:szCs w:val="21"/>
                <w:lang w:val="zh-CN"/>
              </w:rPr>
              <w:t>商务评分(</w:t>
            </w:r>
            <w:r>
              <w:rPr>
                <w:rFonts w:hint="eastAsia" w:ascii="宋体" w:hAnsi="宋体" w:eastAsia="宋体"/>
                <w:bCs/>
                <w:szCs w:val="21"/>
              </w:rPr>
              <w:t>2</w:t>
            </w:r>
            <w:r>
              <w:rPr>
                <w:rFonts w:hint="eastAsia" w:ascii="宋体" w:hAnsi="宋体" w:eastAsia="宋体"/>
                <w:bCs/>
                <w:szCs w:val="21"/>
                <w:lang w:val="en-US" w:eastAsia="zh-CN"/>
              </w:rPr>
              <w:t>3</w:t>
            </w:r>
            <w:r>
              <w:rPr>
                <w:rFonts w:hint="eastAsia" w:ascii="宋体" w:hAnsi="宋体" w:eastAsia="宋体"/>
                <w:bCs/>
                <w:szCs w:val="21"/>
                <w:lang w:val="zh-CN"/>
              </w:rPr>
              <w:t>分）</w:t>
            </w:r>
          </w:p>
        </w:tc>
        <w:tc>
          <w:tcPr>
            <w:tcW w:w="375" w:type="pct"/>
            <w:tcBorders>
              <w:top w:val="single" w:color="auto" w:sz="4" w:space="0"/>
              <w:left w:val="single" w:color="auto" w:sz="4" w:space="0"/>
              <w:bottom w:val="single" w:color="auto" w:sz="4" w:space="0"/>
              <w:right w:val="single" w:color="auto" w:sz="4" w:space="0"/>
            </w:tcBorders>
            <w:vAlign w:val="center"/>
          </w:tcPr>
          <w:p w14:paraId="5D52AEAC">
            <w:pPr>
              <w:spacing w:line="360" w:lineRule="auto"/>
              <w:jc w:val="center"/>
              <w:rPr>
                <w:rFonts w:ascii="宋体" w:hAnsi="宋体" w:eastAsia="宋体"/>
                <w:bCs/>
                <w:szCs w:val="21"/>
                <w:lang w:val="zh-CN"/>
              </w:rPr>
            </w:pPr>
            <w:r>
              <w:rPr>
                <w:rFonts w:hint="eastAsia" w:ascii="宋体" w:hAnsi="宋体" w:eastAsia="宋体"/>
                <w:bCs/>
                <w:szCs w:val="21"/>
                <w:lang w:val="zh-CN"/>
              </w:rPr>
              <w:t>类似</w:t>
            </w:r>
          </w:p>
          <w:p w14:paraId="4EB0C0C0">
            <w:pPr>
              <w:spacing w:line="360" w:lineRule="auto"/>
              <w:jc w:val="center"/>
              <w:rPr>
                <w:rFonts w:asciiTheme="minorEastAsia" w:hAnsiTheme="minorEastAsia" w:eastAsiaTheme="minorEastAsia"/>
                <w:szCs w:val="21"/>
              </w:rPr>
            </w:pPr>
            <w:r>
              <w:rPr>
                <w:rFonts w:hint="eastAsia" w:ascii="宋体" w:hAnsi="宋体" w:eastAsia="宋体"/>
                <w:bCs/>
                <w:szCs w:val="21"/>
                <w:lang w:val="zh-CN"/>
              </w:rPr>
              <w:t>业绩</w:t>
            </w:r>
          </w:p>
        </w:tc>
        <w:tc>
          <w:tcPr>
            <w:tcW w:w="319" w:type="pct"/>
            <w:tcBorders>
              <w:top w:val="single" w:color="auto" w:sz="4" w:space="0"/>
              <w:left w:val="single" w:color="auto" w:sz="4" w:space="0"/>
              <w:bottom w:val="single" w:color="auto" w:sz="4" w:space="0"/>
              <w:right w:val="single" w:color="auto" w:sz="4" w:space="0"/>
            </w:tcBorders>
            <w:vAlign w:val="center"/>
          </w:tcPr>
          <w:p w14:paraId="744B32BA">
            <w:pPr>
              <w:spacing w:line="360" w:lineRule="auto"/>
              <w:jc w:val="center"/>
              <w:rPr>
                <w:rFonts w:asciiTheme="minorEastAsia" w:hAnsiTheme="minorEastAsia" w:eastAsiaTheme="minorEastAsia"/>
                <w:szCs w:val="21"/>
              </w:rPr>
            </w:pPr>
            <w:r>
              <w:rPr>
                <w:rFonts w:hint="eastAsia" w:ascii="宋体" w:hAnsi="宋体" w:eastAsia="宋体"/>
                <w:bCs/>
                <w:szCs w:val="21"/>
              </w:rPr>
              <w:t>3</w:t>
            </w:r>
            <w:r>
              <w:rPr>
                <w:rFonts w:hint="eastAsia" w:ascii="宋体" w:hAnsi="宋体" w:eastAsia="宋体"/>
                <w:bCs/>
                <w:szCs w:val="21"/>
                <w:lang w:val="zh-CN"/>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3B847A99">
            <w:pPr>
              <w:spacing w:line="360" w:lineRule="auto"/>
              <w:jc w:val="left"/>
              <w:rPr>
                <w:rFonts w:asciiTheme="minorEastAsia" w:hAnsiTheme="minorEastAsia" w:eastAsiaTheme="minorEastAsia"/>
                <w:szCs w:val="21"/>
              </w:rPr>
            </w:pPr>
            <w:r>
              <w:rPr>
                <w:rFonts w:hint="eastAsia" w:ascii="宋体" w:hAnsi="宋体" w:eastAsia="宋体"/>
                <w:bCs/>
                <w:szCs w:val="21"/>
                <w:highlight w:val="none"/>
                <w:lang w:val="en-US" w:eastAsia="zh-CN"/>
              </w:rPr>
              <w:t>投标人或制造商</w:t>
            </w:r>
            <w:r>
              <w:rPr>
                <w:rFonts w:hint="eastAsia" w:ascii="宋体" w:hAnsi="宋体" w:eastAsia="宋体"/>
                <w:bCs/>
                <w:szCs w:val="21"/>
                <w:lang w:val="zh-CN"/>
              </w:rPr>
              <w:t>近三年(自招标截止之日前 36 个月），以签订合同协议书时间为准) ，提供近三年同类产品（项目）类似业绩，每提供一项业绩得</w:t>
            </w:r>
            <w:r>
              <w:rPr>
                <w:rFonts w:hint="eastAsia" w:ascii="宋体" w:hAnsi="宋体" w:eastAsia="宋体"/>
                <w:bCs/>
                <w:szCs w:val="21"/>
              </w:rPr>
              <w:t>1</w:t>
            </w:r>
            <w:r>
              <w:rPr>
                <w:rFonts w:hint="eastAsia" w:ascii="宋体" w:hAnsi="宋体" w:eastAsia="宋体"/>
                <w:bCs/>
                <w:szCs w:val="21"/>
                <w:lang w:val="zh-CN"/>
              </w:rPr>
              <w:t>分，本项满分为</w:t>
            </w:r>
            <w:r>
              <w:rPr>
                <w:rFonts w:hint="eastAsia" w:ascii="宋体" w:hAnsi="宋体" w:eastAsia="宋体"/>
                <w:bCs/>
                <w:szCs w:val="21"/>
              </w:rPr>
              <w:t>3</w:t>
            </w:r>
            <w:r>
              <w:rPr>
                <w:rFonts w:hint="eastAsia" w:ascii="宋体" w:hAnsi="宋体" w:eastAsia="宋体"/>
                <w:bCs/>
                <w:szCs w:val="21"/>
                <w:lang w:val="zh-CN"/>
              </w:rPr>
              <w:t>分。（提供中标通知书或合同扫描件复印件加盖公章）不提供不得分。</w:t>
            </w:r>
          </w:p>
        </w:tc>
      </w:tr>
      <w:tr w14:paraId="3601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5D7E5F7E">
            <w:pPr>
              <w:snapToGrid w:val="0"/>
              <w:spacing w:line="360" w:lineRule="auto"/>
              <w:ind w:left="119" w:right="119"/>
              <w:jc w:val="center"/>
              <w:rPr>
                <w:rFonts w:asciiTheme="minorEastAsia" w:hAnsiTheme="minorEastAsia" w:eastAsiaTheme="minorEastAsia"/>
                <w:szCs w:val="21"/>
              </w:rPr>
            </w:pPr>
          </w:p>
        </w:tc>
        <w:tc>
          <w:tcPr>
            <w:tcW w:w="375" w:type="pct"/>
            <w:tcBorders>
              <w:top w:val="single" w:color="auto" w:sz="4" w:space="0"/>
              <w:left w:val="single" w:color="auto" w:sz="4" w:space="0"/>
              <w:bottom w:val="single" w:color="auto" w:sz="4" w:space="0"/>
              <w:right w:val="single" w:color="auto" w:sz="4" w:space="0"/>
            </w:tcBorders>
            <w:vAlign w:val="center"/>
          </w:tcPr>
          <w:p w14:paraId="56D72C74">
            <w:pPr>
              <w:spacing w:line="360" w:lineRule="auto"/>
              <w:jc w:val="center"/>
              <w:rPr>
                <w:rFonts w:ascii="宋体" w:hAnsi="宋体" w:eastAsia="宋体"/>
                <w:bCs/>
                <w:szCs w:val="21"/>
                <w:lang w:val="zh-CN"/>
              </w:rPr>
            </w:pPr>
            <w:r>
              <w:rPr>
                <w:rFonts w:hint="eastAsia" w:ascii="宋体" w:hAnsi="宋体" w:eastAsia="宋体"/>
                <w:bCs/>
                <w:szCs w:val="21"/>
                <w:lang w:val="zh-CN"/>
              </w:rPr>
              <w:t>企业</w:t>
            </w:r>
          </w:p>
          <w:p w14:paraId="7ACF4B00">
            <w:pPr>
              <w:spacing w:line="360" w:lineRule="auto"/>
              <w:jc w:val="center"/>
              <w:rPr>
                <w:rFonts w:asciiTheme="minorEastAsia" w:hAnsiTheme="minorEastAsia" w:eastAsiaTheme="minorEastAsia"/>
                <w:szCs w:val="21"/>
              </w:rPr>
            </w:pPr>
            <w:r>
              <w:rPr>
                <w:rFonts w:hint="eastAsia" w:ascii="宋体" w:hAnsi="宋体" w:eastAsia="宋体"/>
                <w:bCs/>
                <w:szCs w:val="21"/>
                <w:lang w:val="zh-CN"/>
              </w:rPr>
              <w:t>信誉</w:t>
            </w:r>
          </w:p>
        </w:tc>
        <w:tc>
          <w:tcPr>
            <w:tcW w:w="319" w:type="pct"/>
            <w:tcBorders>
              <w:top w:val="single" w:color="auto" w:sz="4" w:space="0"/>
              <w:left w:val="single" w:color="auto" w:sz="4" w:space="0"/>
              <w:bottom w:val="single" w:color="auto" w:sz="4" w:space="0"/>
              <w:right w:val="single" w:color="auto" w:sz="4" w:space="0"/>
            </w:tcBorders>
            <w:vAlign w:val="center"/>
          </w:tcPr>
          <w:p w14:paraId="0D9B0E5C">
            <w:pPr>
              <w:spacing w:line="360" w:lineRule="auto"/>
              <w:jc w:val="center"/>
              <w:rPr>
                <w:rFonts w:asciiTheme="minorEastAsia" w:hAnsiTheme="minorEastAsia" w:eastAsiaTheme="minorEastAsia"/>
                <w:szCs w:val="21"/>
              </w:rPr>
            </w:pPr>
            <w:r>
              <w:rPr>
                <w:rFonts w:hint="eastAsia" w:ascii="宋体" w:hAnsi="宋体" w:eastAsia="宋体"/>
                <w:bCs/>
                <w:szCs w:val="21"/>
                <w:lang w:val="zh-CN"/>
              </w:rPr>
              <w:t>3分</w:t>
            </w:r>
          </w:p>
        </w:tc>
        <w:tc>
          <w:tcPr>
            <w:tcW w:w="3880" w:type="pct"/>
            <w:tcBorders>
              <w:top w:val="single" w:color="auto" w:sz="4" w:space="0"/>
              <w:left w:val="single" w:color="auto" w:sz="4" w:space="0"/>
              <w:bottom w:val="single" w:color="auto" w:sz="4" w:space="0"/>
              <w:right w:val="single" w:color="auto" w:sz="4" w:space="0"/>
            </w:tcBorders>
            <w:vAlign w:val="center"/>
          </w:tcPr>
          <w:p w14:paraId="11C255A5">
            <w:pPr>
              <w:spacing w:line="360" w:lineRule="auto"/>
              <w:jc w:val="left"/>
              <w:rPr>
                <w:rFonts w:ascii="宋体" w:hAnsi="宋体" w:eastAsia="宋体"/>
                <w:bCs/>
                <w:color w:val="auto"/>
                <w:szCs w:val="21"/>
                <w:lang w:val="zh-CN"/>
              </w:rPr>
            </w:pPr>
            <w:r>
              <w:rPr>
                <w:rFonts w:hint="eastAsia" w:ascii="宋体" w:hAnsi="宋体" w:cs="宋体"/>
                <w:bCs/>
                <w:color w:val="auto"/>
                <w:lang w:val="en-US" w:eastAsia="zh-CN"/>
              </w:rPr>
              <w:t>投标人或制造商</w:t>
            </w:r>
            <w:r>
              <w:rPr>
                <w:rFonts w:hint="eastAsia" w:ascii="宋体" w:hAnsi="宋体" w:cs="宋体"/>
                <w:bCs/>
                <w:color w:val="auto"/>
              </w:rPr>
              <w:t>具有</w:t>
            </w:r>
            <w:r>
              <w:rPr>
                <w:rFonts w:hint="eastAsia" w:ascii="宋体" w:hAnsi="宋体" w:eastAsia="宋体"/>
                <w:bCs/>
                <w:color w:val="auto"/>
                <w:szCs w:val="21"/>
                <w:lang w:val="zh-CN"/>
              </w:rPr>
              <w:t>ISO9001质量管理体系认证证书得1分；</w:t>
            </w:r>
          </w:p>
          <w:p w14:paraId="77AD595A">
            <w:pPr>
              <w:spacing w:line="360" w:lineRule="auto"/>
              <w:jc w:val="left"/>
              <w:rPr>
                <w:rFonts w:ascii="宋体" w:hAnsi="宋体" w:eastAsia="宋体"/>
                <w:bCs/>
                <w:color w:val="auto"/>
                <w:szCs w:val="21"/>
                <w:lang w:val="zh-CN"/>
              </w:rPr>
            </w:pPr>
            <w:r>
              <w:rPr>
                <w:rFonts w:hint="eastAsia" w:ascii="宋体" w:hAnsi="宋体" w:cs="宋体"/>
                <w:bCs/>
                <w:color w:val="auto"/>
                <w:lang w:val="en-US" w:eastAsia="zh-CN"/>
              </w:rPr>
              <w:t>投标人或制造商</w:t>
            </w:r>
            <w:r>
              <w:rPr>
                <w:rFonts w:hint="eastAsia" w:ascii="宋体" w:hAnsi="宋体" w:cs="宋体"/>
                <w:bCs/>
                <w:color w:val="auto"/>
              </w:rPr>
              <w:t>具有</w:t>
            </w:r>
            <w:r>
              <w:rPr>
                <w:rFonts w:hint="eastAsia" w:ascii="宋体" w:hAnsi="宋体" w:eastAsia="宋体"/>
                <w:bCs/>
                <w:color w:val="auto"/>
                <w:szCs w:val="21"/>
                <w:lang w:val="zh-CN"/>
              </w:rPr>
              <w:t>ISO45001职业健康安全管理体系认证证书得1分；</w:t>
            </w:r>
          </w:p>
          <w:p w14:paraId="07AE3BD1">
            <w:pPr>
              <w:spacing w:line="360" w:lineRule="auto"/>
              <w:jc w:val="left"/>
              <w:rPr>
                <w:rFonts w:ascii="宋体" w:hAnsi="宋体" w:eastAsia="宋体"/>
                <w:bCs/>
                <w:color w:val="auto"/>
                <w:szCs w:val="21"/>
              </w:rPr>
            </w:pPr>
            <w:r>
              <w:rPr>
                <w:rFonts w:hint="eastAsia" w:ascii="宋体" w:hAnsi="宋体" w:cs="宋体"/>
                <w:bCs/>
                <w:color w:val="auto"/>
                <w:lang w:val="en-US" w:eastAsia="zh-CN"/>
              </w:rPr>
              <w:t>投标人或制造商</w:t>
            </w:r>
            <w:r>
              <w:rPr>
                <w:rFonts w:hint="eastAsia" w:ascii="宋体" w:hAnsi="宋体" w:cs="宋体"/>
                <w:bCs/>
                <w:color w:val="auto"/>
              </w:rPr>
              <w:t>具有</w:t>
            </w:r>
            <w:r>
              <w:rPr>
                <w:rFonts w:hint="eastAsia" w:ascii="宋体" w:hAnsi="宋体" w:eastAsia="宋体"/>
                <w:bCs/>
                <w:color w:val="auto"/>
                <w:szCs w:val="21"/>
                <w:lang w:val="zh-CN"/>
              </w:rPr>
              <w:t>ISO14001环境管理体系认证证书得1分。</w:t>
            </w:r>
          </w:p>
          <w:p w14:paraId="15052201">
            <w:pPr>
              <w:spacing w:line="360" w:lineRule="auto"/>
              <w:jc w:val="left"/>
              <w:rPr>
                <w:rFonts w:asciiTheme="minorEastAsia" w:hAnsiTheme="minorEastAsia" w:eastAsiaTheme="minorEastAsia"/>
                <w:color w:val="auto"/>
                <w:szCs w:val="21"/>
              </w:rPr>
            </w:pPr>
            <w:r>
              <w:rPr>
                <w:rFonts w:hint="eastAsia" w:ascii="宋体" w:hAnsi="宋体" w:eastAsia="宋体"/>
                <w:bCs/>
                <w:color w:val="auto"/>
                <w:szCs w:val="21"/>
                <w:lang w:val="zh-CN"/>
              </w:rPr>
              <w:t>（其中证书认证范围必须包含特种作业实操考核实训设备。并须提供有效期内的认证证书复印件及全国认证认可信息公共服务平台（http://cx.cnca.cn/）网站信息截图，并加盖投标人</w:t>
            </w:r>
            <w:r>
              <w:rPr>
                <w:rFonts w:hint="eastAsia" w:ascii="宋体" w:hAnsi="宋体" w:eastAsia="宋体"/>
                <w:bCs/>
                <w:color w:val="auto"/>
                <w:szCs w:val="21"/>
                <w:lang w:val="en-US" w:eastAsia="zh-CN"/>
              </w:rPr>
              <w:t>或制造商</w:t>
            </w:r>
            <w:r>
              <w:rPr>
                <w:rFonts w:hint="eastAsia" w:ascii="宋体" w:hAnsi="宋体" w:eastAsia="宋体"/>
                <w:bCs/>
                <w:color w:val="auto"/>
                <w:szCs w:val="21"/>
                <w:lang w:val="zh-CN"/>
              </w:rPr>
              <w:t>公章）</w:t>
            </w:r>
          </w:p>
        </w:tc>
      </w:tr>
      <w:tr w14:paraId="6258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4026E940">
            <w:pPr>
              <w:snapToGrid w:val="0"/>
              <w:spacing w:line="360" w:lineRule="auto"/>
              <w:ind w:left="119" w:right="119"/>
              <w:jc w:val="center"/>
              <w:rPr>
                <w:rFonts w:asciiTheme="minorEastAsia" w:hAnsiTheme="minorEastAsia" w:eastAsiaTheme="minorEastAsia"/>
                <w:szCs w:val="21"/>
              </w:rPr>
            </w:pPr>
          </w:p>
        </w:tc>
        <w:tc>
          <w:tcPr>
            <w:tcW w:w="375" w:type="pct"/>
            <w:vMerge w:val="restart"/>
            <w:tcBorders>
              <w:top w:val="single" w:color="auto" w:sz="4" w:space="0"/>
              <w:left w:val="single" w:color="auto" w:sz="4" w:space="0"/>
              <w:bottom w:val="single" w:color="auto" w:sz="4" w:space="0"/>
              <w:right w:val="single" w:color="auto" w:sz="4" w:space="0"/>
            </w:tcBorders>
            <w:vAlign w:val="center"/>
          </w:tcPr>
          <w:p w14:paraId="7B3FA1A5">
            <w:pPr>
              <w:spacing w:line="360" w:lineRule="auto"/>
              <w:jc w:val="center"/>
              <w:rPr>
                <w:rFonts w:ascii="宋体" w:hAnsi="宋体" w:eastAsia="宋体"/>
                <w:bCs/>
                <w:szCs w:val="21"/>
                <w:lang w:eastAsia="en-US"/>
              </w:rPr>
            </w:pPr>
            <w:r>
              <w:rPr>
                <w:rFonts w:hint="eastAsia" w:ascii="宋体" w:hAnsi="宋体" w:eastAsia="宋体"/>
                <w:bCs/>
                <w:szCs w:val="21"/>
                <w:lang w:eastAsia="en-US"/>
              </w:rPr>
              <w:t>综合</w:t>
            </w:r>
          </w:p>
          <w:p w14:paraId="44719CBC">
            <w:pPr>
              <w:spacing w:line="360" w:lineRule="auto"/>
              <w:jc w:val="center"/>
              <w:rPr>
                <w:rFonts w:asciiTheme="minorEastAsia" w:hAnsiTheme="minorEastAsia" w:eastAsiaTheme="minorEastAsia"/>
                <w:szCs w:val="21"/>
              </w:rPr>
            </w:pPr>
            <w:r>
              <w:rPr>
                <w:rFonts w:hint="eastAsia" w:ascii="宋体" w:hAnsi="宋体" w:eastAsia="宋体"/>
                <w:bCs/>
                <w:szCs w:val="21"/>
                <w:lang w:eastAsia="en-US"/>
              </w:rPr>
              <w:t>实力</w:t>
            </w:r>
          </w:p>
        </w:tc>
        <w:tc>
          <w:tcPr>
            <w:tcW w:w="319" w:type="pct"/>
            <w:tcBorders>
              <w:top w:val="single" w:color="auto" w:sz="4" w:space="0"/>
              <w:left w:val="single" w:color="auto" w:sz="4" w:space="0"/>
              <w:bottom w:val="single" w:color="auto" w:sz="4" w:space="0"/>
              <w:right w:val="single" w:color="auto" w:sz="4" w:space="0"/>
            </w:tcBorders>
            <w:vAlign w:val="center"/>
          </w:tcPr>
          <w:p w14:paraId="7E93BA91">
            <w:pPr>
              <w:pStyle w:val="106"/>
              <w:widowControl/>
              <w:spacing w:line="360" w:lineRule="auto"/>
              <w:jc w:val="center"/>
              <w:rPr>
                <w:rFonts w:asciiTheme="minorEastAsia" w:hAnsiTheme="minorEastAsia" w:eastAsiaTheme="minorEastAsia"/>
              </w:rPr>
            </w:pPr>
            <w:r>
              <w:rPr>
                <w:rFonts w:hint="eastAsia" w:ascii="宋体" w:hAnsi="宋体" w:cs="宋体"/>
                <w:bCs/>
                <w:lang w:val="en-US" w:eastAsia="zh-CN"/>
              </w:rPr>
              <w:t>2</w:t>
            </w:r>
            <w:r>
              <w:rPr>
                <w:rFonts w:hint="eastAsia" w:ascii="宋体" w:hAnsi="宋体" w:cs="宋体"/>
                <w:bCs/>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6B400B98">
            <w:pPr>
              <w:pStyle w:val="106"/>
              <w:widowControl/>
              <w:spacing w:line="360" w:lineRule="auto"/>
              <w:rPr>
                <w:rFonts w:asciiTheme="minorEastAsia" w:hAnsiTheme="minorEastAsia" w:eastAsiaTheme="minorEastAsia"/>
                <w:color w:val="auto"/>
              </w:rPr>
            </w:pPr>
            <w:r>
              <w:rPr>
                <w:rFonts w:hint="eastAsia" w:ascii="宋体" w:hAnsi="宋体" w:cs="宋体"/>
                <w:bCs/>
                <w:color w:val="auto"/>
                <w:lang w:val="en-US" w:eastAsia="zh-CN"/>
              </w:rPr>
              <w:t>投标人或制造商</w:t>
            </w:r>
            <w:r>
              <w:rPr>
                <w:rFonts w:hint="eastAsia" w:ascii="宋体" w:hAnsi="宋体" w:cs="宋体"/>
                <w:bCs/>
                <w:color w:val="auto"/>
              </w:rPr>
              <w:t>具有高新技术企业认定证书得</w:t>
            </w:r>
            <w:r>
              <w:rPr>
                <w:rFonts w:hint="eastAsia" w:ascii="宋体" w:hAnsi="宋体" w:cs="宋体"/>
                <w:bCs/>
                <w:color w:val="auto"/>
                <w:lang w:val="en-US" w:eastAsia="zh-CN"/>
              </w:rPr>
              <w:t>2</w:t>
            </w:r>
            <w:r>
              <w:rPr>
                <w:rFonts w:hint="eastAsia" w:ascii="宋体" w:hAnsi="宋体" w:cs="宋体"/>
                <w:bCs/>
                <w:color w:val="auto"/>
              </w:rPr>
              <w:t>分，不提供不得分。（提供资质证书复印件并加盖投标人</w:t>
            </w:r>
            <w:r>
              <w:rPr>
                <w:rFonts w:hint="eastAsia" w:ascii="宋体" w:hAnsi="宋体" w:cs="宋体"/>
                <w:bCs/>
                <w:color w:val="auto"/>
                <w:lang w:val="en-US" w:eastAsia="zh-CN"/>
              </w:rPr>
              <w:t>或制造商</w:t>
            </w:r>
            <w:r>
              <w:rPr>
                <w:rFonts w:hint="eastAsia" w:ascii="宋体" w:hAnsi="宋体" w:cs="宋体"/>
                <w:bCs/>
                <w:color w:val="auto"/>
              </w:rPr>
              <w:t>公章）</w:t>
            </w:r>
          </w:p>
        </w:tc>
      </w:tr>
      <w:tr w14:paraId="08B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6B80B717">
            <w:pPr>
              <w:spacing w:line="360" w:lineRule="auto"/>
              <w:jc w:val="left"/>
              <w:rPr>
                <w:rFonts w:asciiTheme="minorEastAsia" w:hAnsiTheme="minorEastAsia" w:eastAsiaTheme="minorEastAsia"/>
                <w:szCs w:val="21"/>
              </w:rPr>
            </w:pPr>
          </w:p>
        </w:tc>
        <w:tc>
          <w:tcPr>
            <w:tcW w:w="375" w:type="pct"/>
            <w:vMerge w:val="continue"/>
            <w:tcBorders>
              <w:top w:val="single" w:color="auto" w:sz="4" w:space="0"/>
              <w:left w:val="single" w:color="auto" w:sz="4" w:space="0"/>
              <w:bottom w:val="single" w:color="auto" w:sz="4" w:space="0"/>
              <w:right w:val="single" w:color="auto" w:sz="4" w:space="0"/>
            </w:tcBorders>
            <w:vAlign w:val="center"/>
          </w:tcPr>
          <w:p w14:paraId="3F714C2B">
            <w:pPr>
              <w:spacing w:line="360" w:lineRule="auto"/>
              <w:jc w:val="left"/>
              <w:rPr>
                <w:rFonts w:asciiTheme="minorEastAsia" w:hAnsiTheme="minorEastAsia" w:eastAsiaTheme="minorEastAsia"/>
                <w:szCs w:val="21"/>
              </w:rPr>
            </w:pPr>
          </w:p>
        </w:tc>
        <w:tc>
          <w:tcPr>
            <w:tcW w:w="319" w:type="pct"/>
            <w:tcBorders>
              <w:top w:val="single" w:color="auto" w:sz="4" w:space="0"/>
              <w:left w:val="single" w:color="auto" w:sz="4" w:space="0"/>
              <w:bottom w:val="single" w:color="auto" w:sz="4" w:space="0"/>
              <w:right w:val="single" w:color="auto" w:sz="4" w:space="0"/>
            </w:tcBorders>
            <w:vAlign w:val="center"/>
          </w:tcPr>
          <w:p w14:paraId="512DC7E2">
            <w:pPr>
              <w:pStyle w:val="93"/>
              <w:spacing w:line="360" w:lineRule="auto"/>
              <w:jc w:val="center"/>
              <w:rPr>
                <w:rFonts w:asciiTheme="minorEastAsia" w:hAnsiTheme="minorEastAsia" w:eastAsiaTheme="minorEastAsia"/>
                <w:sz w:val="21"/>
                <w:szCs w:val="21"/>
              </w:rPr>
            </w:pPr>
            <w:r>
              <w:rPr>
                <w:rFonts w:hint="eastAsia" w:cs="宋体"/>
                <w:bCs/>
                <w:sz w:val="21"/>
                <w:szCs w:val="21"/>
                <w:lang w:val="en-US" w:eastAsia="zh-CN"/>
              </w:rPr>
              <w:t>2</w:t>
            </w:r>
            <w:r>
              <w:rPr>
                <w:rFonts w:hint="eastAsia" w:cs="宋体"/>
                <w:bCs/>
                <w:sz w:val="21"/>
                <w:szCs w:val="21"/>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3AE6B81A">
            <w:pPr>
              <w:pStyle w:val="93"/>
              <w:spacing w:before="62" w:beforeLines="20" w:after="62" w:afterLines="20" w:line="360" w:lineRule="auto"/>
              <w:rPr>
                <w:rFonts w:asciiTheme="minorEastAsia" w:hAnsiTheme="minorEastAsia" w:eastAsiaTheme="minorEastAsia"/>
                <w:color w:val="auto"/>
                <w:sz w:val="21"/>
                <w:szCs w:val="21"/>
              </w:rPr>
            </w:pPr>
            <w:r>
              <w:rPr>
                <w:rFonts w:hint="eastAsia" w:cs="宋体"/>
                <w:bCs/>
                <w:color w:val="auto"/>
                <w:sz w:val="21"/>
                <w:szCs w:val="21"/>
                <w:lang w:val="en-US" w:eastAsia="zh-CN"/>
              </w:rPr>
              <w:t>投标人或制造商</w:t>
            </w:r>
            <w:r>
              <w:rPr>
                <w:rFonts w:hint="eastAsia" w:cs="宋体"/>
                <w:bCs/>
                <w:color w:val="auto"/>
                <w:sz w:val="21"/>
                <w:szCs w:val="21"/>
              </w:rPr>
              <w:t>具有ISO27001信息安全管理体系认证证书得</w:t>
            </w:r>
            <w:r>
              <w:rPr>
                <w:rFonts w:hint="eastAsia" w:cs="宋体"/>
                <w:bCs/>
                <w:color w:val="auto"/>
                <w:sz w:val="21"/>
                <w:szCs w:val="21"/>
                <w:lang w:val="en-US" w:eastAsia="zh-CN"/>
              </w:rPr>
              <w:t>2</w:t>
            </w:r>
            <w:r>
              <w:rPr>
                <w:rFonts w:hint="eastAsia" w:cs="宋体"/>
                <w:bCs/>
                <w:color w:val="auto"/>
                <w:sz w:val="21"/>
                <w:szCs w:val="21"/>
              </w:rPr>
              <w:t>分, 不提供不得分。（须提供有效期内的认证证书复印件及全国认证认可信息公共服务平台（http://cx.cnca.cn/）网站信息截图，并加盖投标人</w:t>
            </w:r>
            <w:r>
              <w:rPr>
                <w:rFonts w:hint="eastAsia" w:cs="宋体"/>
                <w:bCs/>
                <w:color w:val="auto"/>
                <w:sz w:val="21"/>
                <w:szCs w:val="21"/>
                <w:lang w:val="en-US" w:eastAsia="zh-CN"/>
              </w:rPr>
              <w:t>或制造商</w:t>
            </w:r>
            <w:r>
              <w:rPr>
                <w:rFonts w:hint="eastAsia" w:cs="宋体"/>
                <w:bCs/>
                <w:color w:val="auto"/>
                <w:sz w:val="21"/>
                <w:szCs w:val="21"/>
              </w:rPr>
              <w:t>公章）</w:t>
            </w:r>
          </w:p>
        </w:tc>
      </w:tr>
      <w:tr w14:paraId="631B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pct"/>
            <w:vMerge w:val="continue"/>
            <w:tcBorders>
              <w:left w:val="single" w:color="auto" w:sz="4" w:space="0"/>
              <w:right w:val="single" w:color="auto" w:sz="4" w:space="0"/>
            </w:tcBorders>
            <w:vAlign w:val="center"/>
          </w:tcPr>
          <w:p w14:paraId="036E07A3">
            <w:pPr>
              <w:spacing w:line="360" w:lineRule="auto"/>
              <w:jc w:val="left"/>
              <w:rPr>
                <w:rFonts w:asciiTheme="minorEastAsia" w:hAnsiTheme="minorEastAsia" w:eastAsiaTheme="minorEastAsia"/>
                <w:szCs w:val="21"/>
              </w:rPr>
            </w:pPr>
          </w:p>
        </w:tc>
        <w:tc>
          <w:tcPr>
            <w:tcW w:w="375" w:type="pct"/>
            <w:vMerge w:val="continue"/>
            <w:tcBorders>
              <w:top w:val="single" w:color="auto" w:sz="4" w:space="0"/>
              <w:left w:val="single" w:color="auto" w:sz="4" w:space="0"/>
              <w:bottom w:val="single" w:color="auto" w:sz="4" w:space="0"/>
              <w:right w:val="single" w:color="auto" w:sz="4" w:space="0"/>
            </w:tcBorders>
            <w:vAlign w:val="center"/>
          </w:tcPr>
          <w:p w14:paraId="1872D898">
            <w:pPr>
              <w:spacing w:line="360" w:lineRule="auto"/>
              <w:jc w:val="left"/>
              <w:rPr>
                <w:rFonts w:asciiTheme="minorEastAsia" w:hAnsiTheme="minorEastAsia" w:eastAsiaTheme="minorEastAsia"/>
                <w:szCs w:val="21"/>
              </w:rPr>
            </w:pPr>
          </w:p>
        </w:tc>
        <w:tc>
          <w:tcPr>
            <w:tcW w:w="319" w:type="pct"/>
            <w:tcBorders>
              <w:top w:val="single" w:color="auto" w:sz="4" w:space="0"/>
              <w:left w:val="single" w:color="auto" w:sz="4" w:space="0"/>
              <w:bottom w:val="single" w:color="auto" w:sz="4" w:space="0"/>
              <w:right w:val="single" w:color="auto" w:sz="4" w:space="0"/>
            </w:tcBorders>
            <w:vAlign w:val="center"/>
          </w:tcPr>
          <w:p w14:paraId="25344846">
            <w:pPr>
              <w:pStyle w:val="93"/>
              <w:spacing w:line="360" w:lineRule="auto"/>
              <w:jc w:val="center"/>
              <w:rPr>
                <w:rFonts w:cs="宋体"/>
                <w:bCs/>
                <w:sz w:val="21"/>
                <w:szCs w:val="21"/>
              </w:rPr>
            </w:pPr>
            <w:r>
              <w:rPr>
                <w:rFonts w:hint="eastAsia" w:cs="宋体"/>
                <w:bCs/>
                <w:sz w:val="21"/>
                <w:szCs w:val="21"/>
                <w:lang w:val="en-US" w:eastAsia="zh-CN"/>
              </w:rPr>
              <w:t>2</w:t>
            </w:r>
            <w:r>
              <w:rPr>
                <w:rFonts w:hint="eastAsia" w:cs="宋体"/>
                <w:bCs/>
                <w:sz w:val="21"/>
                <w:szCs w:val="21"/>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0B51654E">
            <w:pPr>
              <w:pStyle w:val="93"/>
              <w:spacing w:before="62" w:beforeLines="20" w:after="62" w:afterLines="20" w:line="360" w:lineRule="auto"/>
              <w:rPr>
                <w:rFonts w:cs="宋体"/>
                <w:bCs/>
                <w:color w:val="auto"/>
                <w:sz w:val="21"/>
                <w:szCs w:val="21"/>
                <w:lang w:val="zh-CN"/>
              </w:rPr>
            </w:pPr>
            <w:r>
              <w:rPr>
                <w:rFonts w:hint="eastAsia" w:cs="宋体"/>
                <w:bCs/>
                <w:color w:val="auto"/>
                <w:sz w:val="21"/>
                <w:szCs w:val="21"/>
                <w:lang w:val="en-US" w:eastAsia="zh-CN"/>
              </w:rPr>
              <w:t>投标人或制造商需提供通过</w:t>
            </w:r>
            <w:r>
              <w:rPr>
                <w:rFonts w:hint="eastAsia" w:cs="宋体"/>
                <w:bCs/>
                <w:color w:val="auto"/>
                <w:sz w:val="21"/>
                <w:szCs w:val="21"/>
              </w:rPr>
              <w:t>GB/T 27922—2011商品售后服务评价体系评估标准获得五星级认证售后服务认证证书，并且该证书认证范围必须包含特种作业实操考核实训设备，提供得</w:t>
            </w:r>
            <w:r>
              <w:rPr>
                <w:rFonts w:hint="eastAsia" w:cs="宋体"/>
                <w:bCs/>
                <w:color w:val="auto"/>
                <w:sz w:val="21"/>
                <w:szCs w:val="21"/>
                <w:lang w:val="en-US" w:eastAsia="zh-CN"/>
              </w:rPr>
              <w:t>3</w:t>
            </w:r>
            <w:r>
              <w:rPr>
                <w:rFonts w:hint="eastAsia" w:cs="宋体"/>
                <w:bCs/>
                <w:color w:val="auto"/>
                <w:sz w:val="21"/>
                <w:szCs w:val="21"/>
              </w:rPr>
              <w:t>分，不提供不得分。（须提供有效期内的认证证书复印件及全国认证认可信息公共服务平台（http://cx.cnca.cn/）网站信息截图，并加盖投标人</w:t>
            </w:r>
            <w:r>
              <w:rPr>
                <w:rFonts w:hint="eastAsia" w:cs="宋体"/>
                <w:bCs/>
                <w:color w:val="auto"/>
                <w:sz w:val="21"/>
                <w:szCs w:val="21"/>
                <w:lang w:val="en-US" w:eastAsia="zh-CN"/>
              </w:rPr>
              <w:t>或制造商</w:t>
            </w:r>
            <w:r>
              <w:rPr>
                <w:rFonts w:hint="eastAsia" w:cs="宋体"/>
                <w:bCs/>
                <w:color w:val="auto"/>
                <w:sz w:val="21"/>
                <w:szCs w:val="21"/>
              </w:rPr>
              <w:t>公章）</w:t>
            </w:r>
          </w:p>
        </w:tc>
      </w:tr>
      <w:tr w14:paraId="1B82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6" w:hRule="atLeast"/>
          <w:jc w:val="center"/>
        </w:trPr>
        <w:tc>
          <w:tcPr>
            <w:tcW w:w="424" w:type="pct"/>
            <w:vMerge w:val="continue"/>
            <w:tcBorders>
              <w:left w:val="single" w:color="auto" w:sz="4" w:space="0"/>
              <w:right w:val="single" w:color="auto" w:sz="4" w:space="0"/>
            </w:tcBorders>
            <w:vAlign w:val="center"/>
          </w:tcPr>
          <w:p w14:paraId="37A37EDD">
            <w:pPr>
              <w:snapToGrid w:val="0"/>
              <w:spacing w:line="360" w:lineRule="auto"/>
              <w:ind w:left="119" w:right="119"/>
              <w:jc w:val="center"/>
              <w:rPr>
                <w:rFonts w:asciiTheme="minorEastAsia" w:hAnsiTheme="minorEastAsia" w:eastAsiaTheme="minorEastAsia"/>
                <w:szCs w:val="21"/>
              </w:rPr>
            </w:pPr>
          </w:p>
        </w:tc>
        <w:tc>
          <w:tcPr>
            <w:tcW w:w="375" w:type="pct"/>
            <w:vMerge w:val="restart"/>
            <w:tcBorders>
              <w:top w:val="single" w:color="auto" w:sz="4" w:space="0"/>
              <w:left w:val="single" w:color="auto" w:sz="4" w:space="0"/>
              <w:right w:val="single" w:color="auto" w:sz="4" w:space="0"/>
            </w:tcBorders>
            <w:vAlign w:val="center"/>
          </w:tcPr>
          <w:p w14:paraId="257BD066">
            <w:pPr>
              <w:pStyle w:val="105"/>
              <w:spacing w:line="360" w:lineRule="auto"/>
              <w:ind w:right="120"/>
              <w:jc w:val="center"/>
              <w:rPr>
                <w:rFonts w:hint="eastAsia" w:eastAsia="宋体" w:asciiTheme="minorEastAsia" w:hAnsiTheme="minorEastAsia"/>
                <w:lang w:eastAsia="zh-CN"/>
              </w:rPr>
            </w:pPr>
            <w:r>
              <w:rPr>
                <w:rFonts w:hint="eastAsia" w:ascii="宋体" w:hAnsi="宋体" w:eastAsia="宋体"/>
                <w:bCs/>
                <w:lang w:val="zh-CN"/>
              </w:rPr>
              <w:t>售后服务</w:t>
            </w:r>
            <w:r>
              <w:rPr>
                <w:rFonts w:hint="eastAsia" w:ascii="宋体" w:hAnsi="宋体" w:eastAsia="宋体"/>
                <w:bCs/>
                <w:lang w:val="en-US" w:eastAsia="zh-CN"/>
              </w:rPr>
              <w:t>因素</w:t>
            </w:r>
          </w:p>
        </w:tc>
        <w:tc>
          <w:tcPr>
            <w:tcW w:w="319" w:type="pct"/>
            <w:tcBorders>
              <w:top w:val="single" w:color="auto" w:sz="4" w:space="0"/>
              <w:left w:val="single" w:color="auto" w:sz="4" w:space="0"/>
              <w:bottom w:val="single" w:color="auto" w:sz="4" w:space="0"/>
              <w:right w:val="single" w:color="auto" w:sz="4" w:space="0"/>
            </w:tcBorders>
            <w:vAlign w:val="center"/>
          </w:tcPr>
          <w:p w14:paraId="5490C43B">
            <w:pPr>
              <w:pStyle w:val="105"/>
              <w:spacing w:line="360" w:lineRule="auto"/>
              <w:ind w:firstLine="105" w:firstLineChars="50"/>
              <w:jc w:val="center"/>
              <w:rPr>
                <w:rFonts w:hint="default" w:ascii="宋体" w:hAnsi="宋体" w:eastAsia="宋体"/>
                <w:bCs/>
                <w:lang w:val="en-US" w:eastAsia="zh-CN"/>
              </w:rPr>
            </w:pPr>
            <w:r>
              <w:rPr>
                <w:rFonts w:hint="eastAsia" w:ascii="宋体" w:hAnsi="宋体" w:eastAsia="宋体"/>
                <w:bCs/>
                <w:lang w:val="en-US" w:eastAsia="zh-CN"/>
              </w:rPr>
              <w:t>5分</w:t>
            </w:r>
          </w:p>
        </w:tc>
        <w:tc>
          <w:tcPr>
            <w:tcW w:w="3880" w:type="pct"/>
            <w:tcBorders>
              <w:top w:val="single" w:color="auto" w:sz="4" w:space="0"/>
              <w:left w:val="single" w:color="auto" w:sz="4" w:space="0"/>
              <w:bottom w:val="single" w:color="auto" w:sz="4" w:space="0"/>
              <w:right w:val="single" w:color="auto" w:sz="4" w:space="0"/>
            </w:tcBorders>
            <w:vAlign w:val="center"/>
          </w:tcPr>
          <w:p w14:paraId="05117825">
            <w:pPr>
              <w:widowControl/>
              <w:kinsoku w:val="0"/>
              <w:autoSpaceDE w:val="0"/>
              <w:autoSpaceDN w:val="0"/>
              <w:adjustRightInd w:val="0"/>
              <w:snapToGrid w:val="0"/>
              <w:spacing w:line="360" w:lineRule="auto"/>
              <w:textAlignment w:val="baseline"/>
              <w:rPr>
                <w:rFonts w:hint="eastAsia" w:ascii="宋体" w:hAnsi="宋体" w:eastAsia="宋体"/>
                <w:bCs/>
                <w:szCs w:val="21"/>
                <w:lang w:val="zh-CN" w:eastAsia="zh-CN"/>
              </w:rPr>
            </w:pPr>
            <w:r>
              <w:rPr>
                <w:rFonts w:hint="eastAsia" w:ascii="宋体" w:hAnsi="宋体" w:eastAsia="宋体"/>
                <w:bCs/>
                <w:szCs w:val="21"/>
                <w:lang w:val="zh-CN" w:eastAsia="zh-CN"/>
              </w:rPr>
              <w:t>根据投标供应商提供的培训服务方案进行评分，需包含以下内</w:t>
            </w:r>
            <w:r>
              <w:rPr>
                <w:rFonts w:hint="default" w:ascii="宋体" w:hAnsi="宋体" w:eastAsia="宋体"/>
                <w:bCs/>
                <w:szCs w:val="21"/>
                <w:lang w:val="zh-CN" w:eastAsia="zh-CN"/>
              </w:rPr>
              <w:t xml:space="preserve">容： </w:t>
            </w:r>
          </w:p>
          <w:p w14:paraId="74537BFF">
            <w:pPr>
              <w:widowControl/>
              <w:kinsoku w:val="0"/>
              <w:autoSpaceDE w:val="0"/>
              <w:autoSpaceDN w:val="0"/>
              <w:adjustRightInd w:val="0"/>
              <w:snapToGrid w:val="0"/>
              <w:spacing w:line="360" w:lineRule="auto"/>
              <w:textAlignment w:val="baseline"/>
              <w:rPr>
                <w:lang w:val="zh-CN"/>
              </w:rPr>
            </w:pPr>
            <w:r>
              <w:rPr>
                <w:rFonts w:hint="default" w:ascii="宋体" w:hAnsi="宋体" w:eastAsia="宋体"/>
                <w:bCs/>
                <w:szCs w:val="21"/>
                <w:lang w:val="zh-CN" w:eastAsia="zh-CN"/>
              </w:rPr>
              <w:t>1、培训的讲解内容。2、培训时间</w:t>
            </w:r>
            <w:r>
              <w:rPr>
                <w:rFonts w:hint="eastAsia" w:ascii="宋体" w:hAnsi="宋体" w:eastAsia="宋体"/>
                <w:bCs/>
                <w:szCs w:val="21"/>
                <w:lang w:val="en-US" w:eastAsia="zh-CN"/>
              </w:rPr>
              <w:t>与计划</w:t>
            </w:r>
            <w:r>
              <w:rPr>
                <w:rFonts w:hint="default" w:ascii="宋体" w:hAnsi="宋体" w:eastAsia="宋体"/>
                <w:bCs/>
                <w:szCs w:val="21"/>
                <w:lang w:val="zh-CN" w:eastAsia="zh-CN"/>
              </w:rPr>
              <w:t>。3、按管理人员、使用人员、技术人员等职能进行的分类培训方案。4、有临时性培训方案。5、</w:t>
            </w:r>
            <w:r>
              <w:rPr>
                <w:rFonts w:hint="eastAsia" w:ascii="宋体" w:hAnsi="宋体" w:eastAsia="宋体"/>
                <w:bCs/>
                <w:szCs w:val="21"/>
                <w:lang w:val="en-US" w:eastAsia="zh-CN"/>
              </w:rPr>
              <w:t>培训交底资料</w:t>
            </w:r>
            <w:r>
              <w:rPr>
                <w:rFonts w:hint="default" w:ascii="宋体" w:hAnsi="宋体" w:eastAsia="宋体"/>
                <w:bCs/>
                <w:szCs w:val="21"/>
                <w:lang w:val="zh-CN" w:eastAsia="zh-CN"/>
              </w:rPr>
              <w:t>。每提供以上一项内容得 1 分，最高得 5 分，不提供不得分。</w:t>
            </w:r>
          </w:p>
        </w:tc>
      </w:tr>
      <w:tr w14:paraId="4A5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2" w:hRule="atLeast"/>
          <w:jc w:val="center"/>
        </w:trPr>
        <w:tc>
          <w:tcPr>
            <w:tcW w:w="424" w:type="pct"/>
            <w:vMerge w:val="continue"/>
            <w:tcBorders>
              <w:left w:val="single" w:color="auto" w:sz="4" w:space="0"/>
              <w:right w:val="single" w:color="auto" w:sz="4" w:space="0"/>
            </w:tcBorders>
            <w:vAlign w:val="center"/>
          </w:tcPr>
          <w:p w14:paraId="6C470F5E">
            <w:pPr>
              <w:snapToGrid w:val="0"/>
              <w:spacing w:line="360" w:lineRule="auto"/>
              <w:ind w:left="119" w:right="119"/>
              <w:jc w:val="center"/>
              <w:rPr>
                <w:rFonts w:asciiTheme="minorEastAsia" w:hAnsiTheme="minorEastAsia" w:eastAsiaTheme="minorEastAsia"/>
                <w:szCs w:val="21"/>
              </w:rPr>
            </w:pPr>
          </w:p>
        </w:tc>
        <w:tc>
          <w:tcPr>
            <w:tcW w:w="375" w:type="pct"/>
            <w:vMerge w:val="continue"/>
            <w:tcBorders>
              <w:left w:val="single" w:color="auto" w:sz="4" w:space="0"/>
              <w:bottom w:val="single" w:color="auto" w:sz="4" w:space="0"/>
              <w:right w:val="single" w:color="auto" w:sz="4" w:space="0"/>
            </w:tcBorders>
            <w:vAlign w:val="center"/>
          </w:tcPr>
          <w:p w14:paraId="5DD46490">
            <w:pPr>
              <w:pStyle w:val="105"/>
              <w:spacing w:line="360" w:lineRule="auto"/>
              <w:ind w:right="120"/>
              <w:jc w:val="center"/>
              <w:rPr>
                <w:rFonts w:hint="eastAsia" w:ascii="宋体" w:hAnsi="宋体" w:eastAsia="宋体"/>
                <w:bCs/>
                <w:lang w:val="zh-CN"/>
              </w:rPr>
            </w:pPr>
          </w:p>
        </w:tc>
        <w:tc>
          <w:tcPr>
            <w:tcW w:w="319" w:type="pct"/>
            <w:tcBorders>
              <w:top w:val="single" w:color="auto" w:sz="4" w:space="0"/>
              <w:left w:val="single" w:color="auto" w:sz="4" w:space="0"/>
              <w:bottom w:val="single" w:color="auto" w:sz="4" w:space="0"/>
              <w:right w:val="single" w:color="auto" w:sz="4" w:space="0"/>
            </w:tcBorders>
            <w:vAlign w:val="center"/>
          </w:tcPr>
          <w:p w14:paraId="7547FA44">
            <w:pPr>
              <w:pStyle w:val="105"/>
              <w:spacing w:line="360" w:lineRule="auto"/>
              <w:ind w:firstLine="105" w:firstLineChars="50"/>
              <w:jc w:val="center"/>
              <w:rPr>
                <w:rFonts w:hint="eastAsia" w:ascii="宋体" w:hAnsi="宋体" w:eastAsia="宋体"/>
                <w:bCs/>
              </w:rPr>
            </w:pPr>
            <w:r>
              <w:rPr>
                <w:rFonts w:hint="eastAsia" w:ascii="宋体" w:hAnsi="宋体" w:eastAsia="宋体"/>
                <w:bCs/>
                <w:lang w:val="en-US" w:eastAsia="zh-CN"/>
              </w:rPr>
              <w:t>6</w:t>
            </w:r>
            <w:r>
              <w:rPr>
                <w:rFonts w:hint="eastAsia" w:ascii="宋体" w:hAnsi="宋体" w:eastAsia="宋体"/>
                <w:bCs/>
                <w:lang w:val="zh-CN"/>
              </w:rPr>
              <w:t>分</w:t>
            </w:r>
          </w:p>
        </w:tc>
        <w:tc>
          <w:tcPr>
            <w:tcW w:w="3880" w:type="pct"/>
            <w:tcBorders>
              <w:top w:val="single" w:color="auto" w:sz="4" w:space="0"/>
              <w:left w:val="single" w:color="auto" w:sz="4" w:space="0"/>
              <w:bottom w:val="single" w:color="auto" w:sz="4" w:space="0"/>
              <w:right w:val="single" w:color="auto" w:sz="4" w:space="0"/>
            </w:tcBorders>
            <w:vAlign w:val="center"/>
          </w:tcPr>
          <w:p w14:paraId="23645AA6">
            <w:pPr>
              <w:widowControl/>
              <w:kinsoku w:val="0"/>
              <w:autoSpaceDE w:val="0"/>
              <w:autoSpaceDN w:val="0"/>
              <w:adjustRightInd w:val="0"/>
              <w:snapToGrid w:val="0"/>
              <w:spacing w:line="360" w:lineRule="auto"/>
              <w:textAlignment w:val="baseline"/>
              <w:rPr>
                <w:rFonts w:hint="eastAsia" w:ascii="宋体" w:hAnsi="宋体" w:eastAsia="宋体"/>
                <w:bCs/>
                <w:szCs w:val="21"/>
                <w:lang w:val="zh-CN" w:eastAsia="zh-CN"/>
              </w:rPr>
            </w:pPr>
            <w:r>
              <w:rPr>
                <w:rFonts w:hint="eastAsia" w:ascii="宋体" w:hAnsi="宋体" w:eastAsia="宋体"/>
                <w:bCs/>
                <w:szCs w:val="21"/>
                <w:lang w:val="zh-CN" w:eastAsia="zh-CN"/>
              </w:rPr>
              <w:t>根据投标供应商提供的售后服务方案进行评分，需包含以下内容：</w:t>
            </w:r>
          </w:p>
          <w:p w14:paraId="1C27E340">
            <w:pPr>
              <w:widowControl/>
              <w:kinsoku w:val="0"/>
              <w:autoSpaceDE w:val="0"/>
              <w:autoSpaceDN w:val="0"/>
              <w:adjustRightInd w:val="0"/>
              <w:snapToGrid w:val="0"/>
              <w:spacing w:line="360" w:lineRule="auto"/>
              <w:textAlignment w:val="baseline"/>
              <w:rPr>
                <w:rFonts w:hint="eastAsia" w:ascii="宋体" w:hAnsi="宋体" w:eastAsia="宋体"/>
                <w:bCs/>
                <w:szCs w:val="21"/>
                <w:lang w:val="zh-CN" w:eastAsia="zh-CN"/>
              </w:rPr>
            </w:pPr>
            <w:r>
              <w:rPr>
                <w:rFonts w:hint="eastAsia" w:ascii="宋体" w:hAnsi="宋体" w:eastAsia="宋体"/>
                <w:bCs/>
                <w:szCs w:val="21"/>
                <w:lang w:val="en-US" w:eastAsia="zh-CN"/>
              </w:rPr>
              <w:t>1、</w:t>
            </w:r>
            <w:r>
              <w:rPr>
                <w:rFonts w:hint="eastAsia" w:ascii="宋体" w:hAnsi="宋体" w:eastAsia="宋体"/>
                <w:bCs/>
                <w:szCs w:val="21"/>
                <w:lang w:val="zh-CN" w:eastAsia="zh-CN"/>
              </w:rPr>
              <w:t>提供售后服务承诺函。</w:t>
            </w:r>
            <w:r>
              <w:rPr>
                <w:rFonts w:hint="eastAsia" w:ascii="宋体" w:hAnsi="宋体" w:eastAsia="宋体"/>
                <w:bCs/>
                <w:szCs w:val="21"/>
                <w:lang w:val="en-US" w:eastAsia="zh-CN"/>
              </w:rPr>
              <w:t>2、</w:t>
            </w:r>
            <w:r>
              <w:rPr>
                <w:rFonts w:hint="default" w:ascii="宋体" w:hAnsi="宋体" w:eastAsia="宋体"/>
                <w:bCs/>
                <w:szCs w:val="21"/>
                <w:lang w:val="zh-CN" w:eastAsia="zh-CN"/>
              </w:rPr>
              <w:t>售后服务响应机制</w:t>
            </w:r>
            <w:r>
              <w:rPr>
                <w:rFonts w:hint="eastAsia" w:ascii="宋体" w:hAnsi="宋体" w:eastAsia="宋体"/>
                <w:bCs/>
                <w:szCs w:val="21"/>
                <w:lang w:val="zh-CN" w:eastAsia="zh-CN"/>
              </w:rPr>
              <w:t>。</w:t>
            </w:r>
            <w:r>
              <w:rPr>
                <w:rFonts w:hint="eastAsia" w:ascii="宋体" w:hAnsi="宋体" w:eastAsia="宋体"/>
                <w:bCs/>
                <w:szCs w:val="21"/>
                <w:lang w:val="en-US" w:eastAsia="zh-CN"/>
              </w:rPr>
              <w:t>3、</w:t>
            </w:r>
            <w:r>
              <w:rPr>
                <w:rFonts w:hint="eastAsia" w:ascii="宋体" w:hAnsi="宋体" w:eastAsia="宋体"/>
                <w:bCs/>
                <w:szCs w:val="21"/>
                <w:lang w:val="zh-CN" w:eastAsia="zh-CN"/>
              </w:rPr>
              <w:t>售后服务体系。</w:t>
            </w:r>
            <w:r>
              <w:rPr>
                <w:rFonts w:hint="eastAsia" w:ascii="宋体" w:hAnsi="宋体" w:eastAsia="宋体"/>
                <w:bCs/>
                <w:szCs w:val="21"/>
                <w:lang w:val="en-US" w:eastAsia="zh-CN"/>
              </w:rPr>
              <w:t>4、备品备件库存情况。5、售后服务巡检机制。6、</w:t>
            </w:r>
            <w:r>
              <w:rPr>
                <w:rFonts w:hint="default" w:ascii="宋体" w:hAnsi="宋体" w:eastAsia="宋体"/>
                <w:bCs/>
                <w:szCs w:val="21"/>
                <w:lang w:val="zh-CN" w:eastAsia="zh-CN"/>
              </w:rPr>
              <w:t>质保期外售后服务承诺</w:t>
            </w:r>
            <w:r>
              <w:rPr>
                <w:rFonts w:hint="eastAsia" w:ascii="宋体" w:hAnsi="宋体" w:eastAsia="宋体"/>
                <w:bCs/>
                <w:szCs w:val="21"/>
                <w:lang w:val="zh-CN" w:eastAsia="zh-CN"/>
              </w:rPr>
              <w:t>。</w:t>
            </w:r>
            <w:r>
              <w:rPr>
                <w:rFonts w:hint="default" w:ascii="宋体" w:hAnsi="宋体" w:eastAsia="宋体"/>
                <w:bCs/>
                <w:szCs w:val="21"/>
                <w:lang w:val="zh-CN" w:eastAsia="zh-CN"/>
              </w:rPr>
              <w:t xml:space="preserve">每提供一项得 1 分，最高得 </w:t>
            </w:r>
            <w:r>
              <w:rPr>
                <w:rFonts w:hint="eastAsia" w:ascii="宋体" w:hAnsi="宋体" w:eastAsia="宋体"/>
                <w:bCs/>
                <w:szCs w:val="21"/>
                <w:lang w:val="en-US" w:eastAsia="zh-CN"/>
              </w:rPr>
              <w:t>6</w:t>
            </w:r>
            <w:r>
              <w:rPr>
                <w:rFonts w:hint="default" w:ascii="宋体" w:hAnsi="宋体" w:eastAsia="宋体"/>
                <w:bCs/>
                <w:szCs w:val="21"/>
                <w:lang w:val="zh-CN" w:eastAsia="zh-CN"/>
              </w:rPr>
              <w:t xml:space="preserve"> 分，不提供不得分。</w:t>
            </w:r>
          </w:p>
        </w:tc>
      </w:tr>
      <w:tr w14:paraId="205E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0" w:type="pct"/>
            <w:gridSpan w:val="2"/>
            <w:tcBorders>
              <w:left w:val="single" w:color="auto" w:sz="4" w:space="0"/>
              <w:right w:val="single" w:color="auto" w:sz="4" w:space="0"/>
            </w:tcBorders>
            <w:vAlign w:val="center"/>
          </w:tcPr>
          <w:p w14:paraId="5A82C60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合计</w:t>
            </w:r>
          </w:p>
        </w:tc>
        <w:tc>
          <w:tcPr>
            <w:tcW w:w="319" w:type="pct"/>
            <w:tcBorders>
              <w:top w:val="single" w:color="auto" w:sz="4" w:space="0"/>
              <w:left w:val="single" w:color="auto" w:sz="4" w:space="0"/>
              <w:bottom w:val="single" w:color="auto" w:sz="4" w:space="0"/>
              <w:right w:val="single" w:color="auto" w:sz="4" w:space="0"/>
            </w:tcBorders>
            <w:vAlign w:val="center"/>
          </w:tcPr>
          <w:p w14:paraId="6453F90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3880" w:type="pct"/>
            <w:tcBorders>
              <w:top w:val="single" w:color="auto" w:sz="4" w:space="0"/>
              <w:left w:val="single" w:color="auto" w:sz="4" w:space="0"/>
              <w:bottom w:val="single" w:color="auto" w:sz="4" w:space="0"/>
              <w:right w:val="single" w:color="auto" w:sz="4" w:space="0"/>
            </w:tcBorders>
            <w:vAlign w:val="center"/>
          </w:tcPr>
          <w:p w14:paraId="149E40BD">
            <w:pPr>
              <w:spacing w:line="360" w:lineRule="auto"/>
              <w:jc w:val="center"/>
              <w:rPr>
                <w:rFonts w:asciiTheme="minorEastAsia" w:hAnsiTheme="minorEastAsia" w:eastAsiaTheme="minorEastAsia"/>
                <w:szCs w:val="21"/>
              </w:rPr>
            </w:pPr>
          </w:p>
        </w:tc>
      </w:tr>
    </w:tbl>
    <w:p w14:paraId="19451E4B">
      <w:pPr>
        <w:bidi w:val="0"/>
        <w:spacing w:line="360" w:lineRule="auto"/>
        <w:outlineLvl w:val="9"/>
        <w:rPr>
          <w:rFonts w:hint="eastAsia"/>
          <w:b/>
          <w:bCs/>
          <w:color w:val="auto"/>
          <w:sz w:val="24"/>
          <w:szCs w:val="24"/>
          <w:lang w:val="zh-CN" w:eastAsia="zh-CN"/>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62C491A3">
      <w:pPr>
        <w:numPr>
          <w:ilvl w:val="0"/>
          <w:numId w:val="0"/>
        </w:numPr>
        <w:spacing w:line="240" w:lineRule="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政府采购政策</w:t>
      </w:r>
    </w:p>
    <w:p w14:paraId="310C6CEB">
      <w:pPr>
        <w:spacing w:line="440" w:lineRule="exact"/>
        <w:ind w:firstLine="420" w:firstLineChars="200"/>
        <w:rPr>
          <w:rFonts w:hint="eastAsia" w:ascii="宋体" w:hAnsi="宋体" w:eastAsia="宋体" w:cs="宋体"/>
          <w:color w:val="auto"/>
          <w:sz w:val="21"/>
          <w:szCs w:val="21"/>
        </w:rPr>
      </w:pPr>
      <w:bookmarkStart w:id="86" w:name="_Toc26551"/>
      <w:r>
        <w:rPr>
          <w:rFonts w:hint="eastAsia" w:ascii="宋体" w:hAnsi="宋体" w:eastAsia="宋体" w:cs="宋体"/>
          <w:color w:val="auto"/>
          <w:sz w:val="21"/>
          <w:szCs w:val="21"/>
          <w:lang w:val="en-US" w:eastAsia="zh-CN"/>
        </w:rPr>
        <w:t xml:space="preserve">3.1小型和微型企业产品价格扣除 </w:t>
      </w:r>
    </w:p>
    <w:p w14:paraId="77B5AC5E">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(一) 根据财政部、工业和信息化部印发的《政府采购促进中小企业发展管理办法》（财库[2020]46 号）、《关于进一步加大政府采购支持中小企业力度的通知》（财库〔2022〕19 号）的规定，投标人所投全部产品均为小型、微型企业的，评标价格给予对应价格 10%的扣除，用扣除后的价格参与评审。 </w:t>
      </w:r>
    </w:p>
    <w:p w14:paraId="051F068F">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(二) 如允许联合体投标，联合体投标时联合体协议约定小型和微型企业的协议合同金额占到30%以上的，可给予 4%的价格扣除。联合体各方都是小型和微型企业的，可给予 10%的价格扣除。 </w:t>
      </w:r>
    </w:p>
    <w:p w14:paraId="7803646F">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 号）规定的划分标准为准。小型、微型企业提供中型企业制造的货物的，视同为中型企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w:t>
      </w:r>
    </w:p>
    <w:p w14:paraId="476F238A">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(四) 参加政府采购活动的中小企业应当提供《中小企业声明函》（格式见第六章投标文件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1AABE765">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(五) 监狱企业产品价格扣除 </w:t>
      </w:r>
    </w:p>
    <w:p w14:paraId="4B91CD8C">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1.监狱企业视同小型、微型企业，按上述第（一）条款享受评审中价格扣除。 </w:t>
      </w:r>
    </w:p>
    <w:p w14:paraId="0C670311">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72EBF9E">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3.监狱企业参加政府采购活动时，应当提供由省级以上监狱管理局、戒毒管理局（含新疆生产建设兵团）出具的属于监狱企业的证明文件，否则不予认可。 </w:t>
      </w:r>
    </w:p>
    <w:p w14:paraId="65A75E12">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(六) 残疾人福利性单位产品价格扣除 </w:t>
      </w:r>
    </w:p>
    <w:p w14:paraId="15A84EBA">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1.残疾人福利性单位视同小型、微型企业，按上述第（一）条款享受评审中价格扣除。 </w:t>
      </w:r>
    </w:p>
    <w:p w14:paraId="52A6A8CD">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 根据财政部、民政部、中国残疾人联合会印发的《关于促进残疾人就业政府采购政策的通知》（财库〔2017〕141 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349A3A05">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3.2 投标人同时为小型、微型企业、监狱企业、残疾人福利性单位任两种或以上情况的，评审中只享受一次价格扣除，不重复进行价格扣除。 </w:t>
      </w:r>
    </w:p>
    <w:p w14:paraId="067A2BAD">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3.3节能产品、环境标志产品价格扣除 </w:t>
      </w:r>
    </w:p>
    <w:p w14:paraId="7B8F2E3E">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 拟采购产品属于节能产品政府采购品目清单规定必须强制采购的，实行强制采购。 如拟采购产品属于实施政府强制采购品目清单范围的节能产品，则投标人所投产品必须获得国家确定的认证机构出具的、处于有效期之内的节能产品认证证书，否则投标无效；</w:t>
      </w:r>
    </w:p>
    <w:p w14:paraId="413E9B8D">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(二) 本次采购产品在财政部、发展改革委、生态环境部、市场监管总局等部门最新发布的《节能产品政府采购品目清单》或《环境标志产品政府采购品目清单》的清单范围内但不属于国家强制采购的产品，对于具有国家确定的认证机构出具的、处于有效期之内的节能产品或环境标志产品认证证书的，对节能产品或环境标志产品的价格分别给予 3%的价格扣除。 </w:t>
      </w:r>
    </w:p>
    <w:p w14:paraId="7C1074B2">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 属于品目清单范围内的节能或环境标志产品，应当提供国家确定的认证机构出具的、处于有效期之内的节能产品或环境标志产品认证证书复印件，并加盖投标人单位的公章。</w:t>
      </w:r>
    </w:p>
    <w:p w14:paraId="1FE805F8">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 采购项目中既包含清单中产品也包含非清单中产品的，只对列入清单的产品按其在总报价中所占的比例给予价格扣除。投标产品同时列入上述多个清单的，将上述规定的价格扣除比例叠加后计算价格扣除。</w:t>
      </w:r>
    </w:p>
    <w:p w14:paraId="057B93F9">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3.4其他政策</w:t>
      </w:r>
    </w:p>
    <w:p w14:paraId="35457179">
      <w:pPr>
        <w:spacing w:line="44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无线局域网产品政府采购实施意见》（财库〔2005〕366号）文件要求，对于列入《无线局域网认证产品政府采购清单》的产品，对其投标价格给予3%的价格扣除，投标文件内应提供相关证明材料复印件，否则不参与价格扣除。</w:t>
      </w:r>
    </w:p>
    <w:p w14:paraId="43A3B010">
      <w:pPr>
        <w:spacing w:line="440" w:lineRule="exact"/>
        <w:ind w:firstLine="420" w:firstLineChars="200"/>
        <w:rPr>
          <w:rFonts w:hint="eastAsia" w:ascii="宋体" w:hAnsi="宋体" w:eastAsia="宋体" w:cs="宋体"/>
          <w:color w:val="auto"/>
          <w:sz w:val="21"/>
          <w:szCs w:val="21"/>
          <w:lang w:val="en-US" w:eastAsia="zh-CN"/>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eastAsia="宋体" w:cs="宋体"/>
          <w:color w:val="auto"/>
          <w:sz w:val="21"/>
          <w:szCs w:val="21"/>
          <w:lang w:val="en-US" w:eastAsia="zh-CN"/>
        </w:rPr>
        <w:t>采购项目中既包含清单中产品也包含非清单中产品的，只对列入清单的产品按其在总报价中所占的比例给予价格扣除。投标产品同时列入上述多个清单的，将上述规定的价格扣除比例叠加后计算价格扣除。</w:t>
      </w:r>
    </w:p>
    <w:p w14:paraId="7C3DDD7D">
      <w:pPr>
        <w:pStyle w:val="3"/>
        <w:keepNext w:val="0"/>
        <w:keepLines w:val="0"/>
        <w:spacing w:line="360" w:lineRule="auto"/>
        <w:jc w:val="center"/>
        <w:rPr>
          <w:rFonts w:hint="eastAsia" w:eastAsiaTheme="minorEastAsia"/>
          <w:color w:val="auto"/>
          <w:lang w:eastAsia="zh-CN"/>
        </w:rPr>
      </w:pPr>
      <w:r>
        <w:rPr>
          <w:rFonts w:hint="eastAsia"/>
          <w:color w:val="auto"/>
        </w:rPr>
        <w:t>第四章 合同条款</w:t>
      </w:r>
      <w:bookmarkEnd w:id="81"/>
      <w:bookmarkEnd w:id="82"/>
      <w:bookmarkEnd w:id="83"/>
      <w:bookmarkEnd w:id="84"/>
      <w:r>
        <w:rPr>
          <w:rFonts w:hint="eastAsia"/>
          <w:color w:val="auto"/>
          <w:lang w:eastAsia="zh-CN"/>
        </w:rPr>
        <w:t>（</w:t>
      </w:r>
      <w:r>
        <w:rPr>
          <w:rFonts w:hint="eastAsia"/>
          <w:color w:val="auto"/>
          <w:lang w:val="en-US" w:eastAsia="zh-CN"/>
        </w:rPr>
        <w:t>参考格式</w:t>
      </w:r>
      <w:r>
        <w:rPr>
          <w:rFonts w:hint="eastAsia"/>
          <w:color w:val="auto"/>
          <w:lang w:eastAsia="zh-CN"/>
        </w:rPr>
        <w:t>）</w:t>
      </w:r>
      <w:bookmarkEnd w:id="86"/>
    </w:p>
    <w:p w14:paraId="5309506A">
      <w:pPr>
        <w:spacing w:line="360" w:lineRule="auto"/>
        <w:jc w:val="center"/>
        <w:outlineLvl w:val="0"/>
        <w:rPr>
          <w:rStyle w:val="69"/>
          <w:rFonts w:hint="eastAsia"/>
          <w:color w:val="auto"/>
        </w:rPr>
      </w:pPr>
      <w:bookmarkStart w:id="87" w:name="_Toc152042574"/>
      <w:bookmarkStart w:id="88" w:name="_Toc246996353"/>
      <w:bookmarkStart w:id="89" w:name="_Toc1819"/>
      <w:bookmarkStart w:id="90" w:name="_Toc31877"/>
      <w:bookmarkStart w:id="91" w:name="_Toc16884"/>
      <w:bookmarkStart w:id="92" w:name="_Toc152045785"/>
      <w:bookmarkStart w:id="93" w:name="_Toc246997096"/>
      <w:bookmarkStart w:id="94" w:name="_Toc179632804"/>
      <w:bookmarkStart w:id="95" w:name="_Toc144974854"/>
      <w:bookmarkStart w:id="96" w:name="_Toc247085870"/>
      <w:bookmarkStart w:id="97" w:name="_Toc29761"/>
    </w:p>
    <w:p w14:paraId="630EA168">
      <w:pPr>
        <w:pStyle w:val="4"/>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p>
    <w:bookmarkEnd w:id="87"/>
    <w:bookmarkEnd w:id="88"/>
    <w:bookmarkEnd w:id="89"/>
    <w:bookmarkEnd w:id="90"/>
    <w:bookmarkEnd w:id="91"/>
    <w:bookmarkEnd w:id="92"/>
    <w:bookmarkEnd w:id="93"/>
    <w:bookmarkEnd w:id="94"/>
    <w:bookmarkEnd w:id="95"/>
    <w:bookmarkEnd w:id="96"/>
    <w:bookmarkEnd w:id="97"/>
    <w:p w14:paraId="7C8A0F8E">
      <w:pPr>
        <w:pStyle w:val="10"/>
        <w:spacing w:after="0"/>
        <w:jc w:val="center"/>
        <w:rPr>
          <w:rFonts w:ascii="宋体" w:hAnsi="宋体" w:cs="宋体"/>
          <w:b/>
          <w:bCs/>
          <w:spacing w:val="-20"/>
          <w:kern w:val="44"/>
          <w:sz w:val="48"/>
          <w:szCs w:val="48"/>
        </w:rPr>
      </w:pPr>
      <w:bookmarkStart w:id="98" w:name="_Toc3995"/>
      <w:bookmarkStart w:id="99" w:name="_Toc461089032"/>
      <w:bookmarkStart w:id="100" w:name="_Toc3606"/>
      <w:bookmarkStart w:id="101" w:name="_Toc26078"/>
      <w:bookmarkStart w:id="102" w:name="_Toc14054"/>
      <w:bookmarkStart w:id="103" w:name="_Toc28217"/>
      <w:bookmarkStart w:id="104" w:name="_Toc6315"/>
    </w:p>
    <w:p w14:paraId="1FC3AB6C">
      <w:pPr>
        <w:pStyle w:val="10"/>
        <w:spacing w:after="0"/>
        <w:jc w:val="center"/>
        <w:rPr>
          <w:rFonts w:ascii="宋体" w:hAnsi="宋体" w:cs="宋体"/>
          <w:b/>
          <w:bCs/>
          <w:spacing w:val="-20"/>
          <w:kern w:val="44"/>
          <w:sz w:val="48"/>
          <w:szCs w:val="48"/>
        </w:rPr>
      </w:pPr>
    </w:p>
    <w:p w14:paraId="010C5191">
      <w:pPr>
        <w:pStyle w:val="10"/>
        <w:spacing w:after="0"/>
        <w:jc w:val="center"/>
        <w:rPr>
          <w:rFonts w:ascii="宋体" w:hAnsi="宋体" w:cs="宋体"/>
          <w:b/>
          <w:bCs/>
          <w:spacing w:val="-20"/>
          <w:kern w:val="44"/>
          <w:sz w:val="48"/>
          <w:szCs w:val="48"/>
        </w:rPr>
      </w:pPr>
    </w:p>
    <w:p w14:paraId="12700105">
      <w:pPr>
        <w:pStyle w:val="10"/>
        <w:spacing w:after="0"/>
        <w:jc w:val="center"/>
        <w:rPr>
          <w:rFonts w:ascii="宋体" w:hAnsi="宋体" w:cs="宋体"/>
          <w:b/>
          <w:bCs/>
          <w:spacing w:val="-20"/>
          <w:kern w:val="44"/>
          <w:sz w:val="48"/>
          <w:szCs w:val="48"/>
        </w:rPr>
      </w:pPr>
    </w:p>
    <w:p w14:paraId="6DFEB44B">
      <w:pPr>
        <w:pStyle w:val="10"/>
        <w:spacing w:after="0"/>
        <w:jc w:val="center"/>
        <w:rPr>
          <w:rFonts w:ascii="宋体" w:hAnsi="宋体" w:cs="宋体"/>
          <w:b/>
          <w:bCs/>
          <w:spacing w:val="-20"/>
          <w:kern w:val="44"/>
          <w:sz w:val="48"/>
          <w:szCs w:val="48"/>
        </w:rPr>
      </w:pPr>
    </w:p>
    <w:p w14:paraId="0C26CE0C">
      <w:pPr>
        <w:pStyle w:val="10"/>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5743ACAF">
      <w:pPr>
        <w:pStyle w:val="10"/>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046345F2">
      <w:pPr>
        <w:rPr>
          <w:rFonts w:ascii="宋体" w:hAnsi="宋体" w:cs="宋体"/>
          <w:b/>
          <w:bCs/>
          <w:spacing w:val="-20"/>
          <w:kern w:val="44"/>
          <w:sz w:val="40"/>
          <w:szCs w:val="40"/>
        </w:rPr>
      </w:pPr>
    </w:p>
    <w:p w14:paraId="484114E4">
      <w:pPr>
        <w:rPr>
          <w:rFonts w:ascii="宋体" w:hAnsi="宋体" w:cs="宋体"/>
          <w:b/>
          <w:bCs/>
          <w:spacing w:val="-20"/>
          <w:kern w:val="44"/>
          <w:sz w:val="40"/>
          <w:szCs w:val="40"/>
        </w:rPr>
      </w:pPr>
    </w:p>
    <w:p w14:paraId="54DE2BB6">
      <w:pPr>
        <w:rPr>
          <w:rFonts w:ascii="宋体" w:hAnsi="宋体" w:cs="宋体"/>
          <w:b/>
          <w:bCs/>
          <w:spacing w:val="-20"/>
          <w:kern w:val="44"/>
          <w:sz w:val="40"/>
          <w:szCs w:val="40"/>
        </w:rPr>
      </w:pPr>
    </w:p>
    <w:p w14:paraId="11EA1C7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4419214">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C9FB6C4">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1B19C4D1">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7250609">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A7C0894"/>
    <w:p w14:paraId="4240119D">
      <w:pPr>
        <w:rPr>
          <w:rFonts w:eastAsia="黑体"/>
          <w:sz w:val="44"/>
          <w:szCs w:val="44"/>
        </w:rPr>
      </w:pPr>
      <w:r>
        <w:rPr>
          <w:rFonts w:eastAsia="黑体"/>
          <w:sz w:val="44"/>
          <w:szCs w:val="44"/>
        </w:rPr>
        <w:br w:type="page"/>
      </w:r>
    </w:p>
    <w:p w14:paraId="2CED6463">
      <w:pPr>
        <w:rPr>
          <w:rFonts w:eastAsia="黑体"/>
          <w:sz w:val="44"/>
          <w:szCs w:val="44"/>
        </w:rPr>
      </w:pPr>
    </w:p>
    <w:p w14:paraId="6E37812D">
      <w:pPr>
        <w:rPr>
          <w:rFonts w:eastAsia="黑体"/>
          <w:sz w:val="44"/>
          <w:szCs w:val="44"/>
        </w:rPr>
      </w:pPr>
    </w:p>
    <w:p w14:paraId="0B598194">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A97CBC7">
      <w:pPr>
        <w:ind w:firstLine="640" w:firstLineChars="200"/>
        <w:rPr>
          <w:rFonts w:hint="eastAsia" w:ascii="仿宋_GB2312" w:hAnsi="仿宋_GB2312" w:eastAsia="仿宋_GB2312" w:cs="仿宋_GB2312"/>
          <w:sz w:val="32"/>
          <w:szCs w:val="32"/>
          <w:lang w:val="en-US" w:eastAsia="zh-CN"/>
        </w:rPr>
      </w:pPr>
    </w:p>
    <w:p w14:paraId="6EC6996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BB28C02">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DEE5BA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2245585">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98"/>
    <w:p w14:paraId="412848D4">
      <w:pPr>
        <w:pStyle w:val="4"/>
        <w:adjustRightInd w:val="0"/>
        <w:snapToGrid w:val="0"/>
        <w:spacing w:beforeLines="0" w:line="400" w:lineRule="exact"/>
        <w:jc w:val="center"/>
        <w:rPr>
          <w:rFonts w:hint="eastAsia" w:ascii="黑体" w:hAnsi="黑体" w:eastAsia="黑体"/>
          <w:sz w:val="28"/>
          <w:szCs w:val="28"/>
        </w:rPr>
      </w:pPr>
      <w:bookmarkStart w:id="105" w:name="_Toc22209"/>
    </w:p>
    <w:p w14:paraId="2456C0F0">
      <w:pPr>
        <w:pStyle w:val="4"/>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05"/>
    </w:p>
    <w:p w14:paraId="19333735">
      <w:pPr>
        <w:pStyle w:val="4"/>
        <w:adjustRightInd w:val="0"/>
        <w:snapToGrid w:val="0"/>
        <w:spacing w:beforeLines="0" w:line="400" w:lineRule="exact"/>
        <w:jc w:val="center"/>
        <w:rPr>
          <w:rFonts w:hint="eastAsia" w:ascii="黑体" w:hAnsi="华文中宋" w:eastAsia="黑体"/>
          <w:b w:val="0"/>
          <w:bCs w:val="0"/>
          <w:sz w:val="28"/>
          <w:szCs w:val="28"/>
        </w:rPr>
      </w:pPr>
    </w:p>
    <w:p w14:paraId="49D4E14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5BCB554">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3DCCC03B">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6234FE8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7CE9924">
      <w:pPr>
        <w:spacing w:beforeLines="0" w:line="400" w:lineRule="exact"/>
        <w:rPr>
          <w:rFonts w:hint="default" w:eastAsia="宋体"/>
          <w:lang w:val="en-US" w:eastAsia="zh-CN"/>
        </w:rPr>
      </w:pPr>
    </w:p>
    <w:p w14:paraId="227ADF3B">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281453F1">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53F3B28A">
      <w:pPr>
        <w:pStyle w:val="11"/>
        <w:numPr>
          <w:ilvl w:val="0"/>
          <w:numId w:val="6"/>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6F3FFC2">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8388641">
      <w:pPr>
        <w:pStyle w:val="11"/>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28790D2">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4C16702A">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554AD68B">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92A72F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0C0FFD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ADC590F">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9E8DE51">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21349A2F">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8BA89AB">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776B645">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7FBF1E2">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B63A8D6">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6543FC81">
      <w:pPr>
        <w:pStyle w:val="4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287C5CBF">
      <w:pPr>
        <w:pStyle w:val="4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2FDE417">
      <w:pPr>
        <w:pStyle w:val="4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29020FD">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3E34ECD2">
      <w:pPr>
        <w:pStyle w:val="4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B7576C6">
      <w:pPr>
        <w:pStyle w:val="4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0DA16F9">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28137A78">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A2C511E">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B126EC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6FAE36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E43E4E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5C81D8C">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BB327F8">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2A0956F">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2E9DF118">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8F7C09B">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E9DE70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E183F85">
      <w:pPr>
        <w:pStyle w:val="4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F89036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69633BA">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2D67945">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971F9E3">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1DA092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7790D3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5D2D11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A79631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2DF065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3F5E7D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1B8532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1017502">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9B6140A">
      <w:pPr>
        <w:pStyle w:val="4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B788C7D">
      <w:pPr>
        <w:pStyle w:val="4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4DC348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6906BE8">
      <w:pPr>
        <w:pStyle w:val="4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EDD4A19">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E298945">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D17A573">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6189CCC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0500AA6">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3EBCF5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68EBFABF">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D81FCBB">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0F96C0A">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E43D67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B9A3290">
      <w:pPr>
        <w:pStyle w:val="7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5C062FE">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5895B57">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0DAE7B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27F8D5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A20B8FB">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E2C9BCC">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D1A1E5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468971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3CA68D61">
      <w:pPr>
        <w:pStyle w:val="4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69F4D913">
      <w:pPr>
        <w:pStyle w:val="4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D80742F">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3938B16">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02E5D1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6D712BD">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2493041">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8145A3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D099BC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386547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3F59C3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B0A641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1640BF6">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A4BEEB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664B47F5">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A847DEF">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66155C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DDDCF03">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39F297A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12EF5A5">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999727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C3EF99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D134382">
      <w:pPr>
        <w:pStyle w:val="4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D73FC62">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CDBE792">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B1C96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E09BD1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0B8F0154">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4CC30C5D">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40D6D9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E10EF3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864FF3F">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14CE125C">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2CC83DF">
      <w:pPr>
        <w:pStyle w:val="4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9FA026B">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2140E9A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C56F2B7">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D7288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E060A46">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26F5B2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F091F5F">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642278D">
      <w:pPr>
        <w:pStyle w:val="78"/>
        <w:spacing w:beforeLines="0" w:line="400" w:lineRule="exact"/>
      </w:pPr>
    </w:p>
    <w:p w14:paraId="1FCAA65D">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223CB98">
      <w:pPr>
        <w:rPr>
          <w:rFonts w:hint="eastAsia"/>
        </w:rPr>
      </w:pPr>
      <w:r>
        <w:rPr>
          <w:rFonts w:hint="eastAsia"/>
        </w:rPr>
        <w:br w:type="page"/>
      </w:r>
    </w:p>
    <w:p w14:paraId="56CDAB71">
      <w:pPr>
        <w:pStyle w:val="78"/>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BCD29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44CC179">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42621D62">
            <w:pPr>
              <w:adjustRightInd w:val="0"/>
              <w:snapToGrid w:val="0"/>
              <w:spacing w:line="300" w:lineRule="exact"/>
              <w:jc w:val="center"/>
            </w:pPr>
            <w:r>
              <w:rPr>
                <w:szCs w:val="21"/>
              </w:rPr>
              <w:t>乙方</w:t>
            </w:r>
            <w:r>
              <w:rPr>
                <w:rFonts w:hint="eastAsia"/>
                <w:szCs w:val="21"/>
              </w:rPr>
              <w:t>（供应商）</w:t>
            </w:r>
          </w:p>
        </w:tc>
      </w:tr>
      <w:tr w14:paraId="1D75A3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7A320CF">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D66A43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DB138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26D7C69E">
            <w:pPr>
              <w:adjustRightInd w:val="0"/>
              <w:snapToGrid w:val="0"/>
              <w:spacing w:line="300" w:lineRule="exact"/>
              <w:jc w:val="center"/>
              <w:rPr>
                <w:spacing w:val="20"/>
                <w:szCs w:val="21"/>
              </w:rPr>
            </w:pPr>
          </w:p>
        </w:tc>
      </w:tr>
      <w:tr w14:paraId="76FDC3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B16CC06">
            <w:pPr>
              <w:adjustRightInd w:val="0"/>
              <w:snapToGrid w:val="0"/>
              <w:spacing w:line="300" w:lineRule="exact"/>
              <w:jc w:val="center"/>
              <w:rPr>
                <w:szCs w:val="21"/>
              </w:rPr>
            </w:pPr>
            <w:r>
              <w:rPr>
                <w:szCs w:val="21"/>
              </w:rPr>
              <w:t>法定代表人</w:t>
            </w:r>
          </w:p>
          <w:p w14:paraId="052FFF75">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C68B90B">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20D20FB6">
            <w:pPr>
              <w:adjustRightInd w:val="0"/>
              <w:snapToGrid w:val="0"/>
              <w:spacing w:line="300" w:lineRule="exact"/>
              <w:jc w:val="center"/>
              <w:rPr>
                <w:szCs w:val="21"/>
              </w:rPr>
            </w:pPr>
            <w:r>
              <w:rPr>
                <w:szCs w:val="21"/>
              </w:rPr>
              <w:t>法定代表人</w:t>
            </w:r>
          </w:p>
          <w:p w14:paraId="6524105C">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E4646AA">
            <w:pPr>
              <w:adjustRightInd w:val="0"/>
              <w:snapToGrid w:val="0"/>
              <w:spacing w:line="300" w:lineRule="exact"/>
              <w:jc w:val="center"/>
              <w:rPr>
                <w:szCs w:val="21"/>
              </w:rPr>
            </w:pPr>
          </w:p>
        </w:tc>
      </w:tr>
      <w:tr w14:paraId="447AD0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3DD3E7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69D71AE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B6024E6">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603072E">
            <w:pPr>
              <w:adjustRightInd w:val="0"/>
              <w:snapToGrid w:val="0"/>
              <w:spacing w:line="300" w:lineRule="exact"/>
              <w:jc w:val="center"/>
              <w:rPr>
                <w:spacing w:val="20"/>
                <w:szCs w:val="21"/>
              </w:rPr>
            </w:pPr>
          </w:p>
        </w:tc>
      </w:tr>
      <w:tr w14:paraId="0C6C60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491ED4">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68B0911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3ED9A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C2AC675">
            <w:pPr>
              <w:adjustRightInd w:val="0"/>
              <w:snapToGrid w:val="0"/>
              <w:spacing w:line="300" w:lineRule="exact"/>
              <w:jc w:val="center"/>
              <w:rPr>
                <w:spacing w:val="20"/>
                <w:szCs w:val="21"/>
              </w:rPr>
            </w:pPr>
          </w:p>
        </w:tc>
      </w:tr>
      <w:tr w14:paraId="631D72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E14A64">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91B7D7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291879">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280C5CE">
            <w:pPr>
              <w:adjustRightInd w:val="0"/>
              <w:snapToGrid w:val="0"/>
              <w:spacing w:line="300" w:lineRule="exact"/>
              <w:jc w:val="center"/>
              <w:rPr>
                <w:spacing w:val="20"/>
                <w:szCs w:val="21"/>
              </w:rPr>
            </w:pPr>
          </w:p>
        </w:tc>
      </w:tr>
      <w:tr w14:paraId="066954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A938FF">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D3B2F8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6B3051">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67BE4B8B">
            <w:pPr>
              <w:adjustRightInd w:val="0"/>
              <w:snapToGrid w:val="0"/>
              <w:spacing w:line="300" w:lineRule="exact"/>
              <w:jc w:val="center"/>
              <w:rPr>
                <w:spacing w:val="20"/>
                <w:szCs w:val="21"/>
              </w:rPr>
            </w:pPr>
          </w:p>
        </w:tc>
      </w:tr>
      <w:tr w14:paraId="5D2D81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B9EE4">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5F7966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9613CB">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89EF9A8">
            <w:pPr>
              <w:adjustRightInd w:val="0"/>
              <w:snapToGrid w:val="0"/>
              <w:spacing w:line="300" w:lineRule="exact"/>
              <w:jc w:val="center"/>
              <w:rPr>
                <w:spacing w:val="20"/>
                <w:szCs w:val="21"/>
              </w:rPr>
            </w:pPr>
          </w:p>
        </w:tc>
      </w:tr>
      <w:tr w14:paraId="669DE6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B2E9B8">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F5DAD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8E3694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B13BF35">
            <w:pPr>
              <w:adjustRightInd w:val="0"/>
              <w:snapToGrid w:val="0"/>
              <w:spacing w:line="300" w:lineRule="exact"/>
              <w:jc w:val="center"/>
              <w:rPr>
                <w:spacing w:val="20"/>
                <w:szCs w:val="21"/>
              </w:rPr>
            </w:pPr>
          </w:p>
        </w:tc>
      </w:tr>
      <w:tr w14:paraId="3FB61E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222724">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ACE444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DC6C71">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A0438D8">
            <w:pPr>
              <w:adjustRightInd w:val="0"/>
              <w:snapToGrid w:val="0"/>
              <w:spacing w:line="300" w:lineRule="exact"/>
              <w:jc w:val="center"/>
              <w:rPr>
                <w:spacing w:val="20"/>
                <w:szCs w:val="21"/>
              </w:rPr>
            </w:pPr>
          </w:p>
        </w:tc>
      </w:tr>
      <w:tr w14:paraId="09AF26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66D1E9">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F207D9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8F62DBC">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69217AA">
            <w:pPr>
              <w:adjustRightInd w:val="0"/>
              <w:snapToGrid w:val="0"/>
              <w:spacing w:line="300" w:lineRule="exact"/>
              <w:jc w:val="center"/>
              <w:rPr>
                <w:spacing w:val="20"/>
                <w:szCs w:val="21"/>
              </w:rPr>
            </w:pPr>
          </w:p>
        </w:tc>
      </w:tr>
      <w:tr w14:paraId="495FAA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056AE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760EE8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5B70E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5AD2BB9">
            <w:pPr>
              <w:adjustRightInd w:val="0"/>
              <w:snapToGrid w:val="0"/>
              <w:spacing w:line="300" w:lineRule="exact"/>
              <w:jc w:val="center"/>
              <w:rPr>
                <w:spacing w:val="20"/>
                <w:szCs w:val="21"/>
              </w:rPr>
            </w:pPr>
          </w:p>
        </w:tc>
      </w:tr>
      <w:tr w14:paraId="5A23C5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DF246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DBC8CC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302CA9">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17EF983">
            <w:pPr>
              <w:adjustRightInd w:val="0"/>
              <w:snapToGrid w:val="0"/>
              <w:spacing w:line="300" w:lineRule="exact"/>
              <w:jc w:val="center"/>
              <w:rPr>
                <w:spacing w:val="20"/>
                <w:szCs w:val="21"/>
              </w:rPr>
            </w:pPr>
          </w:p>
        </w:tc>
      </w:tr>
      <w:tr w14:paraId="1FE4B7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23D82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438261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B26ED2">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275CE59">
            <w:pPr>
              <w:adjustRightInd w:val="0"/>
              <w:snapToGrid w:val="0"/>
              <w:spacing w:line="300" w:lineRule="exact"/>
              <w:jc w:val="center"/>
              <w:rPr>
                <w:spacing w:val="20"/>
                <w:szCs w:val="21"/>
              </w:rPr>
            </w:pPr>
          </w:p>
        </w:tc>
      </w:tr>
      <w:tr w14:paraId="7FE74C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C83A6B6">
            <w:pPr>
              <w:pStyle w:val="11"/>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7A541DD">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06" w:name="_Toc27624"/>
      <w:r>
        <w:rPr>
          <w:rFonts w:hint="eastAsia" w:ascii="黑体" w:hAnsi="黑体" w:eastAsia="黑体"/>
          <w:b w:val="0"/>
          <w:bCs w:val="0"/>
          <w:sz w:val="28"/>
          <w:szCs w:val="28"/>
        </w:rPr>
        <w:t>第二节 政府采购合同通用条款</w:t>
      </w:r>
      <w:bookmarkEnd w:id="106"/>
    </w:p>
    <w:p w14:paraId="460FD40D">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EF38C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01D83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C09B3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8536AA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27EF9D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B69D66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94A599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87C701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812C9F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39533CB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6CBFED7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B4A747D">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2EDA864">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392FCC6">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2FAB626">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FF0053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1AF169A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554C5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CDA4C5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5747C8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83834E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0F76206">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6EF78F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4AB7E5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8FBD5F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67FAF16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73DB981">
      <w:pPr>
        <w:pStyle w:val="10"/>
        <w:spacing w:after="0" w:line="400" w:lineRule="exact"/>
        <w:ind w:firstLine="530"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37BC5DD">
      <w:pPr>
        <w:pStyle w:val="10"/>
        <w:spacing w:after="0" w:line="400" w:lineRule="exact"/>
        <w:ind w:firstLine="530"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8C821BB">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E2229F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66C9E4E">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94375A9">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64F8D9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37EE279">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160DFF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16FAA4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C25F2E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C3EAF40">
      <w:pPr>
        <w:pStyle w:val="4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84AD9A3">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6EA7A6A">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479DB6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96B584B">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B3D4A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B60B5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B5BA2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0A4B15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B36DA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DD594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6336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CF1B66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EBA488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6EB912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234097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0045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08C217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61A541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0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07"/>
      <w:r>
        <w:rPr>
          <w:rFonts w:hint="eastAsia" w:ascii="宋体" w:hAnsi="宋体"/>
          <w:color w:val="auto"/>
          <w:szCs w:val="21"/>
          <w:highlight w:val="none"/>
        </w:rPr>
        <w:t>。</w:t>
      </w:r>
    </w:p>
    <w:p w14:paraId="0A2434E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E2BCCE5">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2E8657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DD806F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78E04DB">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0428B66">
      <w:pPr>
        <w:pStyle w:val="1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631CBE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D6778B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7525AB18">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5A781C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EECE4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78FF2D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6E505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77F00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B9813F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92854D6">
      <w:pPr>
        <w:pStyle w:val="4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9B999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1B49B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AE5B4A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86AB31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522098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3C6A660">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FF774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04B527B">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4E5C26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46659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1B5B7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36C692">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FE1F30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409D1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29E6E0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3537BD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CB1D66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86D9678">
      <w:pPr>
        <w:pStyle w:val="4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0177F4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159D89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8D101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944FCF8">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42B883A">
      <w:pPr>
        <w:pStyle w:val="4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3ACE779">
      <w:pPr>
        <w:pStyle w:val="4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D785C9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9FA71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85FB3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74F703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5B735C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53A4C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0D28F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85172B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8224243">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109C6C84">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EF4FE3A">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9DB469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3EF4ABB">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650C83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A4DD34E">
      <w:pPr>
        <w:pStyle w:val="10"/>
        <w:spacing w:after="0" w:line="400" w:lineRule="exact"/>
        <w:ind w:firstLine="602"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A2F86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4DAA113">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1DD6CCA">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3573A7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E456238">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9BAAFFC">
      <w:pPr>
        <w:pStyle w:val="4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D0A691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DF0B62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078DCC7">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EE027A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64B162C">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08" w:name="_Toc20313"/>
    </w:p>
    <w:p w14:paraId="652F6D31">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79E4539">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08"/>
    </w:p>
    <w:tbl>
      <w:tblPr>
        <w:tblStyle w:val="2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0D793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2F42B">
            <w:pPr>
              <w:adjustRightInd w:val="0"/>
              <w:snapToGrid w:val="0"/>
              <w:jc w:val="center"/>
              <w:rPr>
                <w:rFonts w:ascii="宋体" w:hAnsi="宋体"/>
                <w:szCs w:val="21"/>
              </w:rPr>
            </w:pPr>
            <w:r>
              <w:rPr>
                <w:rFonts w:hint="eastAsia" w:ascii="宋体" w:hAnsi="宋体"/>
                <w:szCs w:val="21"/>
              </w:rPr>
              <w:t>第二节</w:t>
            </w:r>
          </w:p>
          <w:p w14:paraId="02BD284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953C77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22714B6">
            <w:pPr>
              <w:adjustRightInd w:val="0"/>
              <w:snapToGrid w:val="0"/>
              <w:jc w:val="left"/>
              <w:rPr>
                <w:rFonts w:ascii="宋体" w:hAnsi="宋体"/>
                <w:szCs w:val="21"/>
              </w:rPr>
            </w:pPr>
          </w:p>
        </w:tc>
      </w:tr>
      <w:tr w14:paraId="3C67A0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DB9ECE">
            <w:pPr>
              <w:adjustRightInd w:val="0"/>
              <w:snapToGrid w:val="0"/>
              <w:jc w:val="center"/>
              <w:rPr>
                <w:rFonts w:ascii="宋体" w:hAnsi="宋体"/>
                <w:szCs w:val="21"/>
              </w:rPr>
            </w:pPr>
            <w:r>
              <w:rPr>
                <w:rFonts w:hint="eastAsia" w:ascii="宋体" w:hAnsi="宋体"/>
                <w:szCs w:val="21"/>
              </w:rPr>
              <w:t>第二节</w:t>
            </w:r>
          </w:p>
          <w:p w14:paraId="12C62E81">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D078635">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7C3B583">
            <w:pPr>
              <w:adjustRightInd w:val="0"/>
              <w:snapToGrid w:val="0"/>
              <w:jc w:val="left"/>
              <w:rPr>
                <w:rFonts w:ascii="宋体" w:hAnsi="宋体" w:eastAsia="宋体" w:cs="Times New Roman"/>
                <w:kern w:val="2"/>
                <w:sz w:val="21"/>
                <w:szCs w:val="21"/>
                <w:lang w:val="en-US" w:eastAsia="zh-CN" w:bidi="ar-SA"/>
              </w:rPr>
            </w:pPr>
          </w:p>
        </w:tc>
      </w:tr>
      <w:tr w14:paraId="4FFB0E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AAA930">
            <w:pPr>
              <w:adjustRightInd w:val="0"/>
              <w:snapToGrid w:val="0"/>
              <w:jc w:val="center"/>
              <w:rPr>
                <w:rFonts w:ascii="宋体" w:hAnsi="宋体"/>
                <w:szCs w:val="21"/>
              </w:rPr>
            </w:pPr>
            <w:r>
              <w:rPr>
                <w:rFonts w:hint="eastAsia" w:ascii="宋体" w:hAnsi="宋体"/>
                <w:szCs w:val="21"/>
              </w:rPr>
              <w:t>第二节</w:t>
            </w:r>
          </w:p>
          <w:p w14:paraId="130B5D83">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063324A">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C011A27">
            <w:pPr>
              <w:adjustRightInd w:val="0"/>
              <w:snapToGrid w:val="0"/>
              <w:jc w:val="left"/>
              <w:rPr>
                <w:rFonts w:ascii="宋体" w:hAnsi="宋体" w:eastAsia="宋体" w:cs="Times New Roman"/>
                <w:kern w:val="2"/>
                <w:sz w:val="21"/>
                <w:szCs w:val="21"/>
                <w:lang w:val="en-US" w:eastAsia="zh-CN" w:bidi="ar-SA"/>
              </w:rPr>
            </w:pPr>
          </w:p>
        </w:tc>
      </w:tr>
      <w:tr w14:paraId="4FB00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2EFB29">
            <w:pPr>
              <w:adjustRightInd w:val="0"/>
              <w:snapToGrid w:val="0"/>
              <w:jc w:val="center"/>
              <w:rPr>
                <w:rFonts w:ascii="宋体" w:hAnsi="宋体"/>
                <w:szCs w:val="21"/>
              </w:rPr>
            </w:pPr>
            <w:r>
              <w:rPr>
                <w:rFonts w:hint="eastAsia" w:ascii="宋体" w:hAnsi="宋体"/>
                <w:szCs w:val="21"/>
              </w:rPr>
              <w:t>第二节</w:t>
            </w:r>
          </w:p>
          <w:p w14:paraId="18A9A862">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FF85D3E">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773B39D3">
            <w:pPr>
              <w:adjustRightInd w:val="0"/>
              <w:snapToGrid w:val="0"/>
              <w:jc w:val="left"/>
              <w:rPr>
                <w:rFonts w:ascii="宋体" w:hAnsi="宋体" w:eastAsia="宋体" w:cs="Times New Roman"/>
                <w:kern w:val="2"/>
                <w:sz w:val="21"/>
                <w:szCs w:val="21"/>
                <w:lang w:val="en-US" w:eastAsia="zh-CN" w:bidi="ar-SA"/>
              </w:rPr>
            </w:pPr>
          </w:p>
        </w:tc>
      </w:tr>
      <w:tr w14:paraId="3E0FD2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667CC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7AD41E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BE4F3A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4127F51">
            <w:pPr>
              <w:adjustRightInd w:val="0"/>
              <w:snapToGrid w:val="0"/>
              <w:jc w:val="left"/>
              <w:rPr>
                <w:rFonts w:ascii="宋体" w:hAnsi="宋体" w:eastAsia="宋体" w:cs="Times New Roman"/>
                <w:kern w:val="2"/>
                <w:sz w:val="21"/>
                <w:szCs w:val="21"/>
                <w:lang w:val="en-US" w:eastAsia="zh-CN" w:bidi="ar-SA"/>
              </w:rPr>
            </w:pPr>
          </w:p>
        </w:tc>
      </w:tr>
      <w:tr w14:paraId="49908F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90BDB7">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E53D2EF">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27CC558">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850E068">
            <w:pPr>
              <w:adjustRightInd w:val="0"/>
              <w:snapToGrid w:val="0"/>
              <w:jc w:val="left"/>
              <w:rPr>
                <w:rFonts w:ascii="宋体" w:hAnsi="宋体" w:eastAsia="宋体" w:cs="Times New Roman"/>
                <w:kern w:val="2"/>
                <w:sz w:val="21"/>
                <w:szCs w:val="21"/>
                <w:lang w:val="en-US" w:eastAsia="zh-CN" w:bidi="ar-SA"/>
              </w:rPr>
            </w:pPr>
          </w:p>
        </w:tc>
      </w:tr>
      <w:tr w14:paraId="43459B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2AF012B">
            <w:pPr>
              <w:adjustRightInd w:val="0"/>
              <w:snapToGrid w:val="0"/>
              <w:jc w:val="center"/>
              <w:rPr>
                <w:rFonts w:ascii="宋体" w:hAnsi="宋体"/>
                <w:szCs w:val="21"/>
              </w:rPr>
            </w:pPr>
            <w:r>
              <w:rPr>
                <w:rFonts w:hint="eastAsia" w:ascii="宋体" w:hAnsi="宋体"/>
                <w:szCs w:val="21"/>
              </w:rPr>
              <w:t>第二节</w:t>
            </w:r>
          </w:p>
          <w:p w14:paraId="44B5B29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EC827E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0B15908"/>
        </w:tc>
      </w:tr>
      <w:tr w14:paraId="298C8E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D6DF88E">
            <w:pPr>
              <w:adjustRightInd w:val="0"/>
              <w:snapToGrid w:val="0"/>
              <w:jc w:val="center"/>
              <w:rPr>
                <w:rFonts w:hint="eastAsia" w:ascii="宋体" w:hAnsi="宋体"/>
                <w:szCs w:val="21"/>
              </w:rPr>
            </w:pPr>
          </w:p>
        </w:tc>
        <w:tc>
          <w:tcPr>
            <w:tcW w:w="1742" w:type="dxa"/>
            <w:vAlign w:val="center"/>
          </w:tcPr>
          <w:p w14:paraId="412D5693">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44DA6C1">
            <w:pPr>
              <w:rPr>
                <w:rFonts w:hint="eastAsia"/>
              </w:rPr>
            </w:pPr>
          </w:p>
        </w:tc>
      </w:tr>
      <w:tr w14:paraId="799D8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583C2E">
            <w:pPr>
              <w:adjustRightInd w:val="0"/>
              <w:snapToGrid w:val="0"/>
              <w:jc w:val="center"/>
              <w:rPr>
                <w:rFonts w:ascii="宋体" w:hAnsi="宋体"/>
                <w:szCs w:val="21"/>
              </w:rPr>
            </w:pPr>
            <w:r>
              <w:rPr>
                <w:rFonts w:hint="eastAsia" w:ascii="宋体" w:hAnsi="宋体"/>
                <w:szCs w:val="21"/>
              </w:rPr>
              <w:t>第二节</w:t>
            </w:r>
          </w:p>
          <w:p w14:paraId="52EC818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0C0C8AD">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0A51525">
            <w:pPr>
              <w:rPr>
                <w:rFonts w:hint="eastAsia"/>
              </w:rPr>
            </w:pPr>
          </w:p>
        </w:tc>
      </w:tr>
      <w:tr w14:paraId="376298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0E954C4">
            <w:pPr>
              <w:adjustRightInd w:val="0"/>
              <w:snapToGrid w:val="0"/>
              <w:jc w:val="center"/>
              <w:rPr>
                <w:rFonts w:ascii="宋体" w:hAnsi="宋体"/>
                <w:szCs w:val="21"/>
              </w:rPr>
            </w:pPr>
            <w:r>
              <w:rPr>
                <w:rFonts w:hint="eastAsia" w:ascii="宋体" w:hAnsi="宋体"/>
                <w:szCs w:val="21"/>
              </w:rPr>
              <w:t>第二节</w:t>
            </w:r>
          </w:p>
          <w:p w14:paraId="7920CCA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439B5E1">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6489F8A">
            <w:pPr>
              <w:rPr>
                <w:rFonts w:hint="eastAsia"/>
              </w:rPr>
            </w:pPr>
          </w:p>
        </w:tc>
      </w:tr>
      <w:tr w14:paraId="74AE2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5604FE">
            <w:pPr>
              <w:adjustRightInd w:val="0"/>
              <w:snapToGrid w:val="0"/>
              <w:jc w:val="center"/>
              <w:rPr>
                <w:rFonts w:ascii="宋体" w:hAnsi="宋体"/>
                <w:szCs w:val="21"/>
              </w:rPr>
            </w:pPr>
            <w:r>
              <w:rPr>
                <w:rFonts w:hint="eastAsia" w:ascii="宋体" w:hAnsi="宋体"/>
                <w:szCs w:val="21"/>
              </w:rPr>
              <w:t>第二节</w:t>
            </w:r>
          </w:p>
          <w:p w14:paraId="4621C13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8B2A5B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58384F1">
            <w:pPr>
              <w:autoSpaceDE w:val="0"/>
              <w:autoSpaceDN w:val="0"/>
              <w:adjustRightInd w:val="0"/>
              <w:snapToGrid w:val="0"/>
              <w:ind w:firstLine="420" w:firstLineChars="200"/>
              <w:jc w:val="left"/>
              <w:rPr>
                <w:rFonts w:ascii="宋体" w:hAnsi="宋体"/>
                <w:szCs w:val="21"/>
              </w:rPr>
            </w:pPr>
          </w:p>
        </w:tc>
      </w:tr>
      <w:tr w14:paraId="2A3F00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29C376">
            <w:pPr>
              <w:adjustRightInd w:val="0"/>
              <w:snapToGrid w:val="0"/>
              <w:jc w:val="center"/>
              <w:rPr>
                <w:rFonts w:ascii="宋体" w:hAnsi="宋体"/>
                <w:szCs w:val="21"/>
              </w:rPr>
            </w:pPr>
            <w:r>
              <w:rPr>
                <w:rFonts w:hint="eastAsia" w:ascii="宋体" w:hAnsi="宋体"/>
                <w:szCs w:val="21"/>
              </w:rPr>
              <w:t>第二节</w:t>
            </w:r>
          </w:p>
          <w:p w14:paraId="4A20650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388E748A">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5EFC735F">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67FEE44">
            <w:pPr>
              <w:adjustRightInd w:val="0"/>
              <w:snapToGrid w:val="0"/>
              <w:jc w:val="left"/>
              <w:rPr>
                <w:rFonts w:ascii="宋体" w:hAnsi="宋体"/>
                <w:szCs w:val="21"/>
              </w:rPr>
            </w:pPr>
          </w:p>
        </w:tc>
      </w:tr>
      <w:tr w14:paraId="732B9C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FC2D3F">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F286746">
            <w:pPr>
              <w:pStyle w:val="4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25A35FF">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B3D23B8">
            <w:pPr>
              <w:adjustRightInd w:val="0"/>
              <w:snapToGrid w:val="0"/>
              <w:jc w:val="left"/>
              <w:rPr>
                <w:rFonts w:ascii="宋体" w:hAnsi="宋体"/>
                <w:szCs w:val="21"/>
              </w:rPr>
            </w:pPr>
          </w:p>
        </w:tc>
      </w:tr>
      <w:tr w14:paraId="2AC55B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2078331">
            <w:pPr>
              <w:adjustRightInd w:val="0"/>
              <w:snapToGrid w:val="0"/>
              <w:jc w:val="center"/>
              <w:rPr>
                <w:rFonts w:ascii="宋体" w:hAnsi="宋体"/>
                <w:szCs w:val="21"/>
              </w:rPr>
            </w:pPr>
            <w:r>
              <w:rPr>
                <w:rFonts w:hint="eastAsia" w:ascii="宋体" w:hAnsi="宋体"/>
                <w:szCs w:val="21"/>
              </w:rPr>
              <w:t>第二节</w:t>
            </w:r>
          </w:p>
          <w:p w14:paraId="19E02E6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1BD04BEB">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046D0DE">
            <w:pPr>
              <w:adjustRightInd w:val="0"/>
              <w:snapToGrid w:val="0"/>
              <w:jc w:val="left"/>
              <w:rPr>
                <w:rFonts w:ascii="宋体" w:hAnsi="宋体"/>
                <w:szCs w:val="21"/>
              </w:rPr>
            </w:pPr>
          </w:p>
        </w:tc>
      </w:tr>
      <w:tr w14:paraId="5823C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401160">
            <w:pPr>
              <w:adjustRightInd w:val="0"/>
              <w:snapToGrid w:val="0"/>
              <w:jc w:val="center"/>
              <w:rPr>
                <w:rFonts w:hint="eastAsia" w:ascii="宋体" w:hAnsi="宋体"/>
                <w:szCs w:val="21"/>
              </w:rPr>
            </w:pPr>
            <w:r>
              <w:rPr>
                <w:rFonts w:hint="eastAsia" w:ascii="宋体" w:hAnsi="宋体"/>
                <w:szCs w:val="21"/>
              </w:rPr>
              <w:t>第二节</w:t>
            </w:r>
          </w:p>
          <w:p w14:paraId="09925C5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EB5085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5767D58">
            <w:pPr>
              <w:adjustRightInd w:val="0"/>
              <w:snapToGrid w:val="0"/>
              <w:jc w:val="left"/>
              <w:rPr>
                <w:rFonts w:ascii="宋体" w:hAnsi="宋体"/>
                <w:szCs w:val="21"/>
              </w:rPr>
            </w:pPr>
          </w:p>
        </w:tc>
      </w:tr>
      <w:tr w14:paraId="7189A0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9A543A">
            <w:pPr>
              <w:adjustRightInd w:val="0"/>
              <w:snapToGrid w:val="0"/>
              <w:jc w:val="center"/>
              <w:rPr>
                <w:rFonts w:hint="eastAsia" w:ascii="宋体" w:hAnsi="宋体"/>
                <w:szCs w:val="21"/>
              </w:rPr>
            </w:pPr>
            <w:r>
              <w:rPr>
                <w:rFonts w:hint="eastAsia" w:ascii="宋体" w:hAnsi="宋体"/>
                <w:szCs w:val="21"/>
              </w:rPr>
              <w:t>第二节</w:t>
            </w:r>
          </w:p>
          <w:p w14:paraId="51BEEDE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0604462">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2E3EEF3">
            <w:pPr>
              <w:adjustRightInd w:val="0"/>
              <w:snapToGrid w:val="0"/>
              <w:jc w:val="left"/>
              <w:rPr>
                <w:rFonts w:ascii="宋体" w:hAnsi="宋体"/>
                <w:szCs w:val="21"/>
              </w:rPr>
            </w:pPr>
          </w:p>
        </w:tc>
      </w:tr>
      <w:tr w14:paraId="1C297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A627E82">
            <w:pPr>
              <w:adjustRightInd w:val="0"/>
              <w:snapToGrid w:val="0"/>
              <w:jc w:val="center"/>
              <w:rPr>
                <w:rFonts w:ascii="宋体" w:hAnsi="宋体"/>
                <w:szCs w:val="21"/>
              </w:rPr>
            </w:pPr>
            <w:r>
              <w:rPr>
                <w:rFonts w:hint="eastAsia" w:ascii="宋体" w:hAnsi="宋体"/>
                <w:szCs w:val="21"/>
              </w:rPr>
              <w:t>第二节</w:t>
            </w:r>
          </w:p>
          <w:p w14:paraId="4384BF5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E6D28C9">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10BDABD">
            <w:pPr>
              <w:adjustRightInd w:val="0"/>
              <w:snapToGrid w:val="0"/>
              <w:jc w:val="left"/>
              <w:rPr>
                <w:rFonts w:ascii="宋体" w:hAnsi="宋体"/>
                <w:szCs w:val="21"/>
              </w:rPr>
            </w:pPr>
          </w:p>
        </w:tc>
      </w:tr>
      <w:tr w14:paraId="24B95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53E70B5">
            <w:pPr>
              <w:adjustRightInd w:val="0"/>
              <w:snapToGrid w:val="0"/>
              <w:jc w:val="center"/>
              <w:rPr>
                <w:rFonts w:ascii="宋体" w:hAnsi="宋体"/>
                <w:szCs w:val="21"/>
              </w:rPr>
            </w:pPr>
            <w:r>
              <w:rPr>
                <w:rFonts w:hint="eastAsia" w:ascii="宋体" w:hAnsi="宋体"/>
                <w:szCs w:val="21"/>
              </w:rPr>
              <w:t>第二节</w:t>
            </w:r>
          </w:p>
          <w:p w14:paraId="596A1BF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5A242B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C919DDE">
            <w:pPr>
              <w:adjustRightInd w:val="0"/>
              <w:snapToGrid w:val="0"/>
              <w:jc w:val="left"/>
              <w:rPr>
                <w:rFonts w:ascii="宋体" w:hAnsi="宋体"/>
                <w:szCs w:val="21"/>
              </w:rPr>
            </w:pPr>
          </w:p>
        </w:tc>
      </w:tr>
      <w:tr w14:paraId="72EC5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A22CC9">
            <w:pPr>
              <w:adjustRightInd w:val="0"/>
              <w:snapToGrid w:val="0"/>
              <w:jc w:val="center"/>
              <w:rPr>
                <w:rFonts w:ascii="宋体" w:hAnsi="宋体"/>
                <w:szCs w:val="21"/>
              </w:rPr>
            </w:pPr>
            <w:r>
              <w:rPr>
                <w:rFonts w:hint="eastAsia" w:ascii="宋体" w:hAnsi="宋体"/>
                <w:szCs w:val="21"/>
              </w:rPr>
              <w:t>第二节</w:t>
            </w:r>
          </w:p>
          <w:p w14:paraId="1FA3584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10E56EC7">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7A5F2BD">
            <w:pPr>
              <w:adjustRightInd w:val="0"/>
              <w:snapToGrid w:val="0"/>
              <w:jc w:val="left"/>
              <w:rPr>
                <w:rFonts w:ascii="宋体" w:hAnsi="宋体"/>
                <w:szCs w:val="21"/>
              </w:rPr>
            </w:pPr>
          </w:p>
        </w:tc>
      </w:tr>
      <w:tr w14:paraId="0DC36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6B0146">
            <w:pPr>
              <w:adjustRightInd w:val="0"/>
              <w:snapToGrid w:val="0"/>
              <w:jc w:val="center"/>
              <w:rPr>
                <w:rFonts w:ascii="宋体" w:hAnsi="宋体"/>
                <w:szCs w:val="21"/>
              </w:rPr>
            </w:pPr>
            <w:r>
              <w:rPr>
                <w:rFonts w:hint="eastAsia" w:ascii="宋体" w:hAnsi="宋体"/>
                <w:szCs w:val="21"/>
              </w:rPr>
              <w:t>第二节</w:t>
            </w:r>
          </w:p>
          <w:p w14:paraId="5C86DB7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16BAC8F">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C325184">
            <w:pPr>
              <w:adjustRightInd w:val="0"/>
              <w:snapToGrid w:val="0"/>
              <w:jc w:val="left"/>
              <w:rPr>
                <w:rFonts w:ascii="宋体" w:hAnsi="宋体"/>
                <w:szCs w:val="21"/>
              </w:rPr>
            </w:pPr>
          </w:p>
        </w:tc>
      </w:tr>
      <w:tr w14:paraId="73CB0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B069AA">
            <w:pPr>
              <w:adjustRightInd w:val="0"/>
              <w:snapToGrid w:val="0"/>
              <w:jc w:val="center"/>
              <w:rPr>
                <w:rFonts w:ascii="宋体" w:hAnsi="宋体"/>
                <w:szCs w:val="21"/>
              </w:rPr>
            </w:pPr>
            <w:r>
              <w:rPr>
                <w:rFonts w:hint="eastAsia" w:ascii="宋体" w:hAnsi="宋体"/>
                <w:szCs w:val="21"/>
              </w:rPr>
              <w:t>第二节</w:t>
            </w:r>
          </w:p>
          <w:p w14:paraId="32E6050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4E6F186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43BD9A6">
            <w:pPr>
              <w:adjustRightInd w:val="0"/>
              <w:snapToGrid w:val="0"/>
              <w:jc w:val="left"/>
              <w:rPr>
                <w:rFonts w:ascii="宋体" w:hAnsi="宋体"/>
                <w:szCs w:val="21"/>
                <w:u w:val="single"/>
              </w:rPr>
            </w:pPr>
          </w:p>
        </w:tc>
      </w:tr>
      <w:tr w14:paraId="2E093A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C6CC08">
            <w:pPr>
              <w:adjustRightInd w:val="0"/>
              <w:snapToGrid w:val="0"/>
              <w:jc w:val="center"/>
              <w:rPr>
                <w:rFonts w:ascii="宋体" w:hAnsi="宋体"/>
                <w:szCs w:val="21"/>
              </w:rPr>
            </w:pPr>
            <w:r>
              <w:rPr>
                <w:rFonts w:hint="eastAsia" w:ascii="宋体" w:hAnsi="宋体"/>
                <w:szCs w:val="21"/>
              </w:rPr>
              <w:t>第二节</w:t>
            </w:r>
          </w:p>
          <w:p w14:paraId="2393770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0709B6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1920D026">
            <w:pPr>
              <w:adjustRightInd w:val="0"/>
              <w:snapToGrid w:val="0"/>
              <w:jc w:val="left"/>
              <w:rPr>
                <w:rFonts w:ascii="宋体" w:hAnsi="宋体"/>
                <w:szCs w:val="21"/>
                <w:u w:val="single"/>
              </w:rPr>
            </w:pPr>
          </w:p>
        </w:tc>
      </w:tr>
      <w:tr w14:paraId="62CEE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45B0AED">
            <w:pPr>
              <w:adjustRightInd w:val="0"/>
              <w:snapToGrid w:val="0"/>
              <w:jc w:val="center"/>
              <w:rPr>
                <w:rFonts w:ascii="宋体" w:hAnsi="宋体"/>
                <w:szCs w:val="21"/>
              </w:rPr>
            </w:pPr>
            <w:r>
              <w:rPr>
                <w:rFonts w:hint="eastAsia" w:ascii="宋体" w:hAnsi="宋体"/>
                <w:szCs w:val="21"/>
              </w:rPr>
              <w:t>第二节</w:t>
            </w:r>
          </w:p>
          <w:p w14:paraId="67BC99E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3D5AFDEA">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248F048">
            <w:pPr>
              <w:adjustRightInd w:val="0"/>
              <w:snapToGrid w:val="0"/>
              <w:jc w:val="left"/>
              <w:rPr>
                <w:rFonts w:ascii="宋体" w:hAnsi="宋体"/>
                <w:szCs w:val="21"/>
                <w:u w:val="single"/>
              </w:rPr>
            </w:pPr>
          </w:p>
        </w:tc>
      </w:tr>
      <w:tr w14:paraId="1D415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B5CC7DD">
            <w:pPr>
              <w:adjustRightInd w:val="0"/>
              <w:snapToGrid w:val="0"/>
              <w:jc w:val="center"/>
              <w:rPr>
                <w:rFonts w:ascii="宋体" w:hAnsi="宋体"/>
                <w:szCs w:val="21"/>
              </w:rPr>
            </w:pPr>
            <w:r>
              <w:rPr>
                <w:rFonts w:hint="eastAsia" w:ascii="宋体" w:hAnsi="宋体"/>
                <w:szCs w:val="21"/>
              </w:rPr>
              <w:t>第二节</w:t>
            </w:r>
          </w:p>
          <w:p w14:paraId="5087F32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A38F8A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94E1D3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87437F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446524FA">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E815B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EBF6B1B">
            <w:pPr>
              <w:adjustRightInd w:val="0"/>
              <w:snapToGrid w:val="0"/>
              <w:jc w:val="center"/>
              <w:rPr>
                <w:rFonts w:ascii="宋体" w:hAnsi="宋体"/>
                <w:szCs w:val="21"/>
              </w:rPr>
            </w:pPr>
            <w:r>
              <w:rPr>
                <w:rFonts w:hint="eastAsia" w:ascii="宋体" w:hAnsi="宋体"/>
                <w:szCs w:val="21"/>
              </w:rPr>
              <w:t>第二节</w:t>
            </w:r>
          </w:p>
          <w:p w14:paraId="024D41F9">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B9BB38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962AE53">
            <w:pPr>
              <w:adjustRightInd w:val="0"/>
              <w:snapToGrid w:val="0"/>
              <w:jc w:val="left"/>
              <w:rPr>
                <w:rFonts w:hint="default" w:ascii="宋体" w:hAnsi="宋体" w:eastAsia="宋体"/>
                <w:szCs w:val="21"/>
                <w:lang w:val="en-US" w:eastAsia="zh-CN"/>
              </w:rPr>
            </w:pPr>
          </w:p>
        </w:tc>
      </w:tr>
    </w:tbl>
    <w:p w14:paraId="38ADB5A5"/>
    <w:p w14:paraId="220FA0F2"/>
    <w:p w14:paraId="1463A1D3">
      <w:pPr>
        <w:rPr>
          <w:rFonts w:hint="eastAsia"/>
          <w:color w:val="auto"/>
          <w:lang w:val="zh-CN"/>
        </w:rPr>
      </w:pPr>
      <w:r>
        <w:rPr>
          <w:rFonts w:hint="eastAsia"/>
          <w:color w:val="auto"/>
          <w:lang w:val="zh-CN"/>
        </w:rPr>
        <w:br w:type="page"/>
      </w:r>
    </w:p>
    <w:p w14:paraId="54024F38">
      <w:pPr>
        <w:tabs>
          <w:tab w:val="left" w:pos="432"/>
        </w:tabs>
        <w:jc w:val="center"/>
        <w:outlineLvl w:val="0"/>
        <w:rPr>
          <w:rFonts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 xml:space="preserve"> 技术部分</w:t>
      </w:r>
    </w:p>
    <w:p w14:paraId="4190F025">
      <w:pPr>
        <w:rPr>
          <w:color w:val="auto"/>
        </w:rPr>
      </w:pPr>
    </w:p>
    <w:tbl>
      <w:tblPr>
        <w:tblStyle w:val="24"/>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80"/>
        <w:gridCol w:w="5350"/>
        <w:gridCol w:w="700"/>
        <w:gridCol w:w="712"/>
      </w:tblGrid>
      <w:tr w14:paraId="76C3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noWrap w:val="0"/>
            <w:vAlign w:val="center"/>
          </w:tcPr>
          <w:p w14:paraId="44098965">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080" w:type="dxa"/>
            <w:noWrap w:val="0"/>
            <w:vAlign w:val="center"/>
          </w:tcPr>
          <w:p w14:paraId="578BB6D8">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val="en-US" w:eastAsia="zh-CN"/>
              </w:rPr>
              <w:t>设备</w:t>
            </w:r>
            <w:r>
              <w:rPr>
                <w:rFonts w:hint="eastAsia" w:ascii="宋体" w:hAnsi="宋体" w:eastAsia="宋体" w:cs="宋体"/>
                <w:b/>
                <w:sz w:val="21"/>
                <w:szCs w:val="21"/>
              </w:rPr>
              <w:t>名称</w:t>
            </w:r>
          </w:p>
        </w:tc>
        <w:tc>
          <w:tcPr>
            <w:tcW w:w="5350" w:type="dxa"/>
            <w:noWrap w:val="0"/>
            <w:vAlign w:val="center"/>
          </w:tcPr>
          <w:p w14:paraId="58A368E4">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功能配置及技术指标要求</w:t>
            </w:r>
          </w:p>
        </w:tc>
        <w:tc>
          <w:tcPr>
            <w:tcW w:w="700" w:type="dxa"/>
            <w:noWrap w:val="0"/>
            <w:vAlign w:val="center"/>
          </w:tcPr>
          <w:p w14:paraId="20BA6E8A">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12" w:type="dxa"/>
            <w:noWrap w:val="0"/>
            <w:vAlign w:val="center"/>
          </w:tcPr>
          <w:p w14:paraId="79B7B354">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r>
      <w:tr w14:paraId="6128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noWrap w:val="0"/>
            <w:vAlign w:val="center"/>
          </w:tcPr>
          <w:p w14:paraId="3815B6B0">
            <w:pPr>
              <w:widowControl/>
              <w:spacing w:line="24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kern w:val="0"/>
                <w:szCs w:val="21"/>
                <w:highlight w:val="none"/>
                <w:lang w:val="en-US" w:eastAsia="zh-CN"/>
              </w:rPr>
              <w:t>1</w:t>
            </w:r>
          </w:p>
        </w:tc>
        <w:tc>
          <w:tcPr>
            <w:tcW w:w="1080" w:type="dxa"/>
            <w:noWrap w:val="0"/>
            <w:vAlign w:val="center"/>
          </w:tcPr>
          <w:p w14:paraId="07251D2B">
            <w:pPr>
              <w:spacing w:line="240" w:lineRule="auto"/>
              <w:jc w:val="center"/>
              <w:rPr>
                <w:rFonts w:hint="eastAsia" w:ascii="宋体" w:hAnsi="宋体" w:eastAsia="宋体" w:cs="宋体"/>
                <w:color w:val="000000"/>
                <w:sz w:val="21"/>
                <w:szCs w:val="21"/>
              </w:rPr>
            </w:pPr>
            <w:r>
              <w:rPr>
                <w:rFonts w:hint="eastAsia" w:ascii="宋体" w:hAnsi="宋体" w:eastAsia="宋体" w:cs="宋体"/>
                <w:color w:val="auto"/>
                <w:szCs w:val="21"/>
                <w:highlight w:val="none"/>
                <w:lang w:val="en-US" w:eastAsia="zh-CN"/>
              </w:rPr>
              <w:t>低压电工作业安全技术实操设备</w:t>
            </w:r>
          </w:p>
        </w:tc>
        <w:tc>
          <w:tcPr>
            <w:tcW w:w="5350" w:type="dxa"/>
            <w:noWrap w:val="0"/>
            <w:vAlign w:val="top"/>
          </w:tcPr>
          <w:p w14:paraId="338F979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低压电工作业安全技术实操考核系统</w:t>
            </w:r>
            <w:r>
              <w:rPr>
                <w:rFonts w:hint="eastAsia" w:ascii="宋体" w:hAnsi="宋体" w:eastAsia="宋体" w:cs="宋体"/>
                <w:color w:val="auto"/>
                <w:szCs w:val="21"/>
                <w:highlight w:val="none"/>
                <w:lang w:bidi="ar"/>
              </w:rPr>
              <w:t>主要由4块网孔板、电动机、电源转变组件、操作平台桌</w:t>
            </w:r>
            <w:r>
              <w:rPr>
                <w:rFonts w:hint="eastAsia" w:ascii="宋体" w:hAnsi="宋体" w:eastAsia="宋体" w:cs="宋体"/>
                <w:color w:val="auto"/>
                <w:szCs w:val="21"/>
                <w:highlight w:val="none"/>
                <w:lang w:val="en-US" w:eastAsia="zh-CN" w:bidi="ar"/>
              </w:rPr>
              <w:t>、电工仪表安全使用测试台</w:t>
            </w:r>
            <w:r>
              <w:rPr>
                <w:rFonts w:hint="eastAsia" w:ascii="宋体" w:hAnsi="宋体" w:eastAsia="宋体" w:cs="宋体"/>
                <w:color w:val="auto"/>
                <w:szCs w:val="21"/>
                <w:highlight w:val="none"/>
                <w:lang w:bidi="ar"/>
              </w:rPr>
              <w:t>及相应电工器材</w:t>
            </w:r>
            <w:r>
              <w:rPr>
                <w:rFonts w:hint="eastAsia" w:ascii="宋体" w:hAnsi="宋体" w:eastAsia="宋体" w:cs="宋体"/>
                <w:color w:val="auto"/>
                <w:szCs w:val="21"/>
                <w:highlight w:val="none"/>
                <w:lang w:val="en-US" w:eastAsia="zh-CN" w:bidi="ar"/>
              </w:rPr>
              <w:t>、智慧考场综合实训一体机</w:t>
            </w:r>
            <w:r>
              <w:rPr>
                <w:rFonts w:hint="eastAsia" w:ascii="宋体" w:hAnsi="宋体" w:eastAsia="宋体" w:cs="宋体"/>
                <w:color w:val="auto"/>
                <w:szCs w:val="21"/>
                <w:highlight w:val="none"/>
                <w:lang w:bidi="ar"/>
              </w:rPr>
              <w:t>等组成：</w:t>
            </w:r>
          </w:p>
          <w:p w14:paraId="210A2DC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1、实操网孔板：K21\K22\K23\K24四块网孔板。四块网孔版可自由拆卸和装入实操台框架里，方便水平放置在台面上接插线或者竖直挂着接插线，灵活方便。</w:t>
            </w:r>
          </w:p>
          <w:p w14:paraId="63C7B85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2、三相异步电动机：三相交流AC24V提供电源动力。</w:t>
            </w:r>
          </w:p>
          <w:p w14:paraId="0B93346D">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3、直流稳压稳流电源：电压0-30V连续可调，输出电流2A。</w:t>
            </w:r>
          </w:p>
          <w:p w14:paraId="7BCBADB7">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4、低压交流电源输出：可同时输出3V、6V、12V、24V、36V。</w:t>
            </w:r>
          </w:p>
          <w:p w14:paraId="03A0ABA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5、提供4四组功率电阻，可用于测量电阻值的练习和考试之用。</w:t>
            </w:r>
          </w:p>
          <w:p w14:paraId="6E335C4E">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6、平台桌子：绿色工作台，配抽屉和置物柜，可放置线缆辅材、电工仪表和工具。</w:t>
            </w:r>
          </w:p>
          <w:p w14:paraId="717F7BD5">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7、电工器材：标识牌、安全用具、电工仪表及电工线材。</w:t>
            </w:r>
          </w:p>
          <w:p w14:paraId="287E726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8、设备采用优质冷轧钢板成型，表面喷塑处理，设备主要配置实操台一套，有网孔板4件，设置4个工位（前后各2个）。台子有定向脚轮2个，万向脚轮2个。 </w:t>
            </w:r>
          </w:p>
          <w:p w14:paraId="419192DD">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9、实操网孔板顺序可随机组合，确保相邻工位不重复，可多人同时进行考试及培训，最大程度上利用了设备。</w:t>
            </w:r>
          </w:p>
          <w:p w14:paraId="50870EA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10、设备占地面积小，坚固耐用，方便移动。</w:t>
            </w:r>
          </w:p>
          <w:p w14:paraId="3734C68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11、每套设备前、后两面各自都配置了2套网孔板，网孔板背靠背设置，即一套设备同时配置4块网孔板，前、后台面上各自配备1台24V交流电动机（共2台），电机接线口直观，支持三角形接法和星形接法2种方式，可以实时观察电机的转动情况。</w:t>
            </w:r>
          </w:p>
          <w:p w14:paraId="36ADBEB5">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12、所有的电子元器件均采用真实德力西或其他著名公司生产的国际标准元件，可支持做多种电路考核要求器件，主电路、控制回路通过导线引到接线端子上，配备电工工具及导线辅材。</w:t>
            </w:r>
          </w:p>
          <w:p w14:paraId="524019E5">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所有元器件，支持学员自主在网孔板上合理地定位布局、安装及拆卸，十分灵活便捷。</w:t>
            </w:r>
          </w:p>
          <w:p w14:paraId="4E0BA2B3">
            <w:pPr>
              <w:widowControl/>
              <w:spacing w:line="240" w:lineRule="auto"/>
              <w:textAlignment w:val="center"/>
              <w:rPr>
                <w:rFonts w:hint="eastAsia" w:ascii="宋体" w:hAnsi="宋体" w:eastAsia="宋体" w:cs="宋体"/>
                <w:color w:val="auto"/>
                <w:highlight w:val="none"/>
              </w:rPr>
            </w:pPr>
            <w:r>
              <w:rPr>
                <w:rFonts w:hint="eastAsia" w:ascii="宋体" w:hAnsi="宋体" w:eastAsia="宋体" w:cs="宋体"/>
                <w:color w:val="auto"/>
                <w:szCs w:val="21"/>
                <w:highlight w:val="none"/>
                <w:lang w:bidi="ar"/>
              </w:rPr>
              <w:t>13、实操接线面板使用的电工配件采用的交流真实配件，配件包括三相干式隔离变压器、三相异步电动机、漏电保护器、降压变压器、动力压扣开关、熔断器底座2PIN、熔断器底座3PIN、断路器3P32A、热继电器、暗装墙壁开关、AC24V交流接触器、热继电器、</w:t>
            </w:r>
            <w:r>
              <w:rPr>
                <w:rFonts w:hint="eastAsia" w:ascii="宋体" w:hAnsi="宋体" w:eastAsia="宋体" w:cs="宋体"/>
                <w:color w:val="auto"/>
                <w:highlight w:val="none"/>
              </w:rPr>
              <w:t>螺口灯泡、单相电子式电能表、500V电压测量表、电流互感器、85L17交流毫安表等。</w:t>
            </w:r>
          </w:p>
          <w:p w14:paraId="3DBB87B7">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val="en-US" w:eastAsia="zh-CN" w:bidi="ar"/>
              </w:rPr>
              <w:t>14、电工仪表安全使用测试台</w:t>
            </w:r>
            <w:r>
              <w:rPr>
                <w:rFonts w:hint="eastAsia" w:ascii="宋体" w:hAnsi="宋体" w:eastAsia="宋体" w:cs="宋体"/>
                <w:color w:val="auto"/>
                <w:szCs w:val="21"/>
                <w:highlight w:val="none"/>
                <w:lang w:bidi="ar"/>
              </w:rPr>
              <w:t>主要由测试台、电源转变组件、操作平台桌及相应电工器材等组成：</w:t>
            </w:r>
          </w:p>
          <w:p w14:paraId="666CC66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测试台分布着直流回路区、交流回路区、交流电源测量区、接地电阻测试区。提供了万用表、钳流表及接地电阻测试仪测量的使用场景。</w:t>
            </w:r>
          </w:p>
          <w:p w14:paraId="2FF788F7">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在交流回路区，回路提供AC36V交流电源，由断路器、保险丝、急停开关、螺孔灯泡、可调电阻、指针式交流电压表及可插拔导线组成该交流回路，可做交流电压测量、可调电阻测量、交流电流测量。</w:t>
            </w:r>
          </w:p>
          <w:p w14:paraId="397ECAC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直流回路区，回路可提供0-36V直流电源，通过可调电阻的旋钮调节灯泡亮度并测量各状态电流。由断路器、保险丝、急停开关、螺孔灯泡、可调电阻、指针式直流电压表及可插拔导线组成该直流回路，可做直流电压测量、可调电阻测量、直流电流测量。</w:t>
            </w:r>
          </w:p>
          <w:p w14:paraId="43BCA0FC">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在交流电源测量区，提供3V、6V、12V、24V、36V多种交流电源输出，可测量各电压值，电流值。</w:t>
            </w:r>
          </w:p>
          <w:p w14:paraId="156A8D7C">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接地电阻测试区，提供模拟的接地电阻的测量。</w:t>
            </w:r>
          </w:p>
          <w:p w14:paraId="5B062FFA">
            <w:pPr>
              <w:widowControl/>
              <w:spacing w:line="240" w:lineRule="auto"/>
              <w:textAlignment w:val="center"/>
              <w:rPr>
                <w:rFonts w:hint="eastAsia" w:ascii="宋体" w:hAnsi="宋体" w:eastAsia="宋体" w:cs="宋体"/>
                <w:color w:val="auto"/>
                <w:szCs w:val="21"/>
                <w:highlight w:val="none"/>
                <w:lang w:bidi="ar"/>
              </w:rPr>
            </w:pPr>
          </w:p>
          <w:p w14:paraId="1631E124">
            <w:pPr>
              <w:widowControl/>
              <w:spacing w:line="240" w:lineRule="auto"/>
              <w:textAlignment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15、智慧考场综合实训一体机参数内容包括：</w:t>
            </w:r>
          </w:p>
          <w:p w14:paraId="01D9A8B3">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一、设备基本参数</w:t>
            </w:r>
          </w:p>
          <w:p w14:paraId="60B6049A">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1、工作电源：AC220V ，50Hz</w:t>
            </w:r>
          </w:p>
          <w:p w14:paraId="7CEC0FB3">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2、空载功耗：≤150W（待实测）；</w:t>
            </w:r>
          </w:p>
          <w:p w14:paraId="0AFACFCA">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工作温度：-10℃～+40℃；</w:t>
            </w:r>
          </w:p>
          <w:p w14:paraId="718E98D2">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相对湿度：≤90%</w:t>
            </w:r>
          </w:p>
          <w:p w14:paraId="65B21D2B">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3、物理参数：</w:t>
            </w:r>
          </w:p>
          <w:p w14:paraId="0B84D6AE">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外形尺寸（长×宽×高）：≤1200mm×650mm×1940mm；</w:t>
            </w:r>
          </w:p>
          <w:p w14:paraId="76D30229">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重量：155±5 Kg；</w:t>
            </w:r>
          </w:p>
          <w:p w14:paraId="1908C86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4、答题触摸显示屏尺寸≥43寸，显示屏分辨率：1920×1080；</w:t>
            </w:r>
          </w:p>
          <w:p w14:paraId="0A5BB234">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处理器不低于I5，运行内存8G，固态硬盘120G；</w:t>
            </w:r>
          </w:p>
          <w:p w14:paraId="09E4BFA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5、实操台（内置PC模块、智能终端数据采集模块组件、</w:t>
            </w:r>
            <w:r>
              <w:rPr>
                <w:rFonts w:hint="eastAsia" w:ascii="宋体" w:hAnsi="宋体" w:eastAsia="宋体" w:cs="宋体"/>
                <w:color w:val="auto"/>
                <w:kern w:val="2"/>
                <w:sz w:val="22"/>
              </w:rPr>
              <w:t>XBox</w:t>
            </w:r>
            <w:r>
              <w:rPr>
                <w:rFonts w:hint="eastAsia" w:ascii="宋体" w:hAnsi="宋体" w:eastAsia="宋体" w:cs="宋体"/>
                <w:color w:val="auto"/>
              </w:rPr>
              <w:t>组件、嵌入金属键盘）；</w:t>
            </w:r>
          </w:p>
          <w:p w14:paraId="1999EE2A">
            <w:pPr>
              <w:spacing w:line="240" w:lineRule="auto"/>
              <w:rPr>
                <w:rFonts w:hint="eastAsia" w:ascii="宋体" w:hAnsi="宋体" w:eastAsia="宋体" w:cs="宋体"/>
                <w:color w:val="auto"/>
              </w:rPr>
            </w:pPr>
            <w:r>
              <w:rPr>
                <w:rFonts w:hint="eastAsia" w:ascii="宋体" w:hAnsi="宋体" w:eastAsia="宋体" w:cs="宋体"/>
                <w:color w:val="auto"/>
              </w:rPr>
              <w:t>6、灭火器组件（含二氧化碳灭火器、干粉灭火器、水基灭火器、沙桶、底座）；</w:t>
            </w:r>
          </w:p>
          <w:p w14:paraId="1A11789D">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二、设备详细参数（软件类）</w:t>
            </w:r>
          </w:p>
          <w:p w14:paraId="73B47E9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hd w:val="clear" w:color="auto" w:fill="FFFFFF"/>
              </w:rPr>
              <w:t>在设备执行考试任务时，内置的智能视觉识别系统会基于先进的动态捕捉技术，以毫秒级的响应速度，从不同角度和位置对考生进行实时监测。考试过程中，系统将自动且随机地抓拍 3 张高清照片，并运用时间戳记录与加密存储，随后无缝附于考生成绩单之后。这种防篡改、可追溯的技术手段，为考试的公正性构筑起坚固防线，能有效杜绝各类舞弊行为的发生，确保考试结果的真实可靠。</w:t>
            </w:r>
          </w:p>
          <w:p w14:paraId="4738220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具备刷身份证读取考生身份信息功能。具有进行手动输入姓名、身份证号获取考生身份信息功能，手动输入时，自动弹出软键盘功能，输入时自动检测身份证长度，软键盘支持0-9数字及X字母输入，自带清除及删除功能。</w:t>
            </w:r>
          </w:p>
          <w:p w14:paraId="5B55F78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shd w:val="clear" w:color="auto" w:fill="FFFFFF"/>
              </w:rPr>
              <w:t>系统搭载了先进的智能语音交互引擎，具备高度智能化的自动语音播报功能</w:t>
            </w:r>
            <w:r>
              <w:rPr>
                <w:rFonts w:hint="eastAsia" w:ascii="宋体" w:hAnsi="宋体" w:eastAsia="宋体" w:cs="宋体"/>
                <w:color w:val="auto"/>
              </w:rPr>
              <w:t>。</w:t>
            </w:r>
          </w:p>
          <w:p w14:paraId="338A67A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4、可支持手动灵活配置单科目考试时间。</w:t>
            </w:r>
          </w:p>
          <w:p w14:paraId="7647EF5C">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hd w:val="clear" w:color="auto" w:fill="FFFFFF"/>
              </w:rPr>
              <w:t>在练习模式下，系统植入了智能实时反馈机制，凭借先进的算法和数据比对技术，能够在用户完成答题的瞬间，迅速对答案进行精准判定。一旦答案提交，系统会立即以直观、清晰的方式，给予用户关于答题正确与否的即时提示，帮助用户快速了解自身答题情况</w:t>
            </w:r>
            <w:r>
              <w:rPr>
                <w:rFonts w:hint="eastAsia" w:ascii="宋体" w:hAnsi="宋体" w:eastAsia="宋体" w:cs="宋体"/>
                <w:color w:val="auto"/>
              </w:rPr>
              <w:t>。</w:t>
            </w:r>
          </w:p>
          <w:p w14:paraId="1BD23F2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6、切题方式自由，可顺序切题及自由切题方式。</w:t>
            </w:r>
          </w:p>
          <w:p w14:paraId="0FF2F2F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7、系统支持自主选择考试科目、随机选择考试科目两种方式。</w:t>
            </w:r>
          </w:p>
          <w:p w14:paraId="0D57054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8、支持双指拉伸图片可放大、缩小、退出全屏查看方式。</w:t>
            </w:r>
          </w:p>
          <w:p w14:paraId="38D90E2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shd w:val="clear" w:color="auto" w:fill="FFFFFF"/>
              </w:rPr>
              <w:t>在切题时，用户既可以选择顺序切题模式，系统将依照精心编排的逻辑顺序，有条不紊地呈现题目，助力用户循序渐进地深入学习；也能够选用自由切题模式，让答题过程更加自主、高效</w:t>
            </w:r>
            <w:r>
              <w:rPr>
                <w:rFonts w:hint="eastAsia" w:ascii="宋体" w:hAnsi="宋体" w:eastAsia="宋体" w:cs="宋体"/>
                <w:color w:val="auto"/>
              </w:rPr>
              <w:t>。</w:t>
            </w:r>
          </w:p>
          <w:p w14:paraId="7981696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10、每科目考试及练习完成后具备得分统计，用时统计功能。</w:t>
            </w:r>
          </w:p>
          <w:p w14:paraId="5DDF998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11、练习模式下，可自由返回上一科目继续练习功能。</w:t>
            </w:r>
          </w:p>
          <w:p w14:paraId="05BE2B6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shd w:val="clear" w:color="auto" w:fill="FFFFFF"/>
              </w:rPr>
              <w:t>在考核模式中，系统内置了精密且严格的时间管控机制。当单科目考试进入倒计时阶段，系统会以精准的计时算法，实时监控剩余时间。一旦倒计时结束，基于先进的自动化技术，系统将立即启动强制提交程序，自动锁定当前答题状态。</w:t>
            </w:r>
          </w:p>
          <w:p w14:paraId="31BC0EE6">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13、软件具有考试模式（系统对每一个科目下的子科目随机抽取，进行考试）和培训练习模式（可对每一个科目下的所有子科目自行选择，预览所有答题进行练习）功能。</w:t>
            </w:r>
          </w:p>
          <w:p w14:paraId="2BF71F5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14、根据国家实操考核大纲及地方要求设置补考次数限制功能，设置补考次，默认为2次，可根据考场需求自行设置补考次数，考生可以规定考试次数内进行补考操作，否则不能再进行补考操作。</w:t>
            </w:r>
          </w:p>
          <w:p w14:paraId="6569EF1D">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15、具有根据考试时间段、身份号模糊查询本机总成绩及得分明细功能，</w:t>
            </w:r>
            <w:r>
              <w:rPr>
                <w:rFonts w:hint="eastAsia" w:ascii="宋体" w:hAnsi="宋体" w:eastAsia="宋体" w:cs="宋体"/>
                <w:color w:val="auto"/>
                <w:shd w:val="clear" w:color="auto" w:fill="FFFFFF"/>
              </w:rPr>
              <w:t>快速定位目标信息</w:t>
            </w:r>
            <w:r>
              <w:rPr>
                <w:rFonts w:hint="eastAsia" w:ascii="宋体" w:hAnsi="宋体" w:eastAsia="宋体" w:cs="宋体"/>
                <w:color w:val="auto"/>
              </w:rPr>
              <w:t>。</w:t>
            </w:r>
          </w:p>
          <w:p w14:paraId="25306A3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shd w:val="clear" w:color="auto" w:fill="FFFFFF"/>
              </w:rPr>
              <w:t>依托先进的云端数据交互技术，无需用户手动操作，系统即可自动监测并抓取最新的题目资源，实现题库内容的即时更新与扩充。</w:t>
            </w:r>
          </w:p>
          <w:p w14:paraId="4669FC1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17、考生成绩本机缓存功能、查询、导出功能。</w:t>
            </w:r>
          </w:p>
          <w:p w14:paraId="768701C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18、支持成绩断点续传功能与人工手动提交功能。</w:t>
            </w:r>
          </w:p>
          <w:p w14:paraId="2F932FCD">
            <w:pPr>
              <w:autoSpaceDE/>
              <w:autoSpaceDN/>
              <w:adjustRightInd/>
              <w:spacing w:line="240" w:lineRule="auto"/>
              <w:ind w:firstLine="482"/>
              <w:rPr>
                <w:rFonts w:hint="eastAsia" w:ascii="宋体" w:hAnsi="宋体" w:eastAsia="宋体" w:cs="宋体"/>
                <w:color w:val="auto"/>
                <w:szCs w:val="21"/>
              </w:rPr>
            </w:pPr>
            <w:r>
              <w:rPr>
                <w:rFonts w:hint="eastAsia" w:ascii="宋体" w:hAnsi="宋体" w:eastAsia="宋体" w:cs="宋体"/>
                <w:color w:val="auto"/>
              </w:rPr>
              <w:t>19</w:t>
            </w:r>
            <w:r>
              <w:rPr>
                <w:rFonts w:hint="eastAsia" w:ascii="宋体" w:hAnsi="宋体" w:eastAsia="宋体" w:cs="宋体"/>
                <w:color w:val="auto"/>
                <w:szCs w:val="21"/>
              </w:rPr>
              <w:t>、3D场景灭火，每次考试，系统在9个3D灭火器里随机抽取6个灭火器，让考生检查：瓶身是否锈蚀、喷嘴是否裂纹、压力阀是否异常、合格证是否异常、日期是否超时。</w:t>
            </w:r>
          </w:p>
          <w:p w14:paraId="23E83966">
            <w:pPr>
              <w:autoSpaceDE/>
              <w:autoSpaceDN/>
              <w:adjustRightInd/>
              <w:spacing w:line="240" w:lineRule="auto"/>
              <w:ind w:firstLine="482"/>
              <w:rPr>
                <w:rFonts w:hint="eastAsia" w:ascii="宋体" w:hAnsi="宋体" w:eastAsia="宋体" w:cs="宋体"/>
                <w:color w:val="auto"/>
              </w:rPr>
            </w:pPr>
            <w:r>
              <w:rPr>
                <w:rFonts w:hint="eastAsia" w:ascii="宋体" w:hAnsi="宋体" w:eastAsia="宋体" w:cs="宋体"/>
                <w:color w:val="auto"/>
                <w:szCs w:val="21"/>
              </w:rPr>
              <w:t>系统提供十余个起火场景动画，考生根据不同起火的类型选择灭火器。选择错误不能灭火、且系统自动判0分并终止考试；选择正确可拿起灭火器对准屏幕的火源进行灭火操作，系统自动判分。</w:t>
            </w:r>
          </w:p>
          <w:p w14:paraId="05E80B3A">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20、</w:t>
            </w:r>
            <w:r>
              <w:rPr>
                <w:rFonts w:hint="eastAsia" w:ascii="宋体" w:hAnsi="宋体" w:eastAsia="宋体" w:cs="宋体"/>
                <w:color w:val="auto"/>
                <w:shd w:val="clear" w:color="auto" w:fill="FFFFFF"/>
              </w:rPr>
              <w:t>本系统依托先进的集成架构与智能交互技术，实现了设备功能的高度融合与灵活切换。在同一台智能终端设备上，考生可借助高精度触控界面与智能引导系统，自由选择不同工种，畅享沉浸式的虚拟实训体验。</w:t>
            </w:r>
          </w:p>
          <w:p w14:paraId="1C3EAB9A">
            <w:pPr>
              <w:pStyle w:val="68"/>
              <w:autoSpaceDE/>
              <w:autoSpaceDN/>
              <w:adjustRightInd/>
              <w:spacing w:line="240" w:lineRule="auto"/>
              <w:ind w:firstLine="482" w:firstLineChars="0"/>
              <w:rPr>
                <w:rFonts w:hint="eastAsia" w:ascii="宋体" w:hAnsi="宋体" w:eastAsia="宋体" w:cs="宋体"/>
                <w:color w:val="auto"/>
                <w:shd w:val="clear" w:color="auto" w:fill="FFFFFF"/>
              </w:rPr>
            </w:pPr>
            <w:r>
              <w:rPr>
                <w:rFonts w:hint="eastAsia" w:ascii="宋体" w:hAnsi="宋体" w:eastAsia="宋体" w:cs="宋体"/>
                <w:color w:val="auto"/>
              </w:rPr>
              <w:t>21、</w:t>
            </w:r>
            <w:r>
              <w:rPr>
                <w:rFonts w:hint="eastAsia" w:ascii="宋体" w:hAnsi="宋体" w:eastAsia="宋体" w:cs="宋体"/>
                <w:color w:val="auto"/>
                <w:shd w:val="clear" w:color="auto" w:fill="FFFFFF"/>
              </w:rPr>
              <w:t>可精准实现科目一、科目三的智能考核评估，基于先进算法和多维度数据采集技术，对学员的操作进行全面、细致的分析。同时，配备了灭火器使用及选择模拟与实操教学功能，通过虚拟与现实结合的方式，指导用户科学选择灭火器，并进行沉浸式的使用操作训练，让技能学习更高效、更安全。</w:t>
            </w:r>
          </w:p>
          <w:p w14:paraId="39E7143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22、支持对每个科目的分数占比，考试时间，题目数量做本地化的配置修改。</w:t>
            </w:r>
          </w:p>
          <w:p w14:paraId="09E37556">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shd w:val="clear" w:color="auto" w:fill="FFFFFF"/>
              </w:rPr>
              <w:t>深度赋能模拟仿真实操环节。在实操过程中，系统能够对硬件交互的每一个细微步骤进行实时监测与智能分析。精准判断各步骤的操作质量与规范程度，并据此进行科学判分。判分结束后，系统会以直观清晰的界面，将每个步骤的得分结果进行分项展示。</w:t>
            </w:r>
          </w:p>
          <w:p w14:paraId="374EF0F6">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三、设备详细参数（硬件结构类）</w:t>
            </w:r>
          </w:p>
          <w:p w14:paraId="6E647D0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24、</w:t>
            </w:r>
            <w:r>
              <w:rPr>
                <w:rFonts w:hint="eastAsia" w:ascii="宋体" w:hAnsi="宋体" w:eastAsia="宋体" w:cs="宋体"/>
                <w:color w:val="auto"/>
                <w:shd w:val="clear" w:color="auto" w:fill="FFFFFF"/>
              </w:rPr>
              <w:t>机身外观设计巧妙融合了现代美学与科技质感，整体以灰白色为主调，搭配上深邃的墨绿色线条装饰，恰似蕴含着无限能量的科技脉络。这一独特的色调搭配，以其简洁而不失大气的风格，低调中彰显出沉稳内敛的格调，赋予产品一种超越时代的科技美感，尽显高端与品质。</w:t>
            </w:r>
          </w:p>
          <w:p w14:paraId="545017E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25、设备结构采用一体式分模块组合结构设计，数字化智能升级。结构分为：显示分系统（43寸触摸屏）、设备主控分系统、灭火分系统。</w:t>
            </w:r>
          </w:p>
          <w:p w14:paraId="14C4CE98">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⑴一体式机身，空间利用率高，利于考场的布局和节省空间，降低成本；</w:t>
            </w:r>
          </w:p>
          <w:p w14:paraId="6396332A">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⑵模块化保证了系统的可组合性，具有很好的互换性，维修便利；</w:t>
            </w:r>
          </w:p>
          <w:p w14:paraId="56FB1FA3">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⑶结构采用静音万向轮，推拉方便，便于设备的安装、移动；</w:t>
            </w:r>
          </w:p>
          <w:p w14:paraId="3993DF38">
            <w:pPr>
              <w:pStyle w:val="68"/>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⑷主控分系统升级后采用单片机模块，智能化自动采集各个实操动作点的信号，识别评判操作流程的规范性，自动评分；</w:t>
            </w:r>
          </w:p>
          <w:p w14:paraId="7C003408">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26、显示屏为43寸液晶显示屏，可从正面手动调整摄像头的角度，调整为上下60度角，可根据考生的身高来进行调节，以在考试过程中抓拍照片防止代考，及在开考前进行人脸识别。</w:t>
            </w:r>
          </w:p>
          <w:p w14:paraId="14DAD18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27、PC模块化：将主板、CPU、内存条、PC电源、固态硬盘装配在PC模块盒内，做成一个模块，便于批量化生产、成套更换，在售后时可邮寄给客户自行更换，无需售后人员上门，极大降低售后成本。</w:t>
            </w:r>
          </w:p>
          <w:p w14:paraId="1CBCFDEA">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28、在基础的三种灭火器的上增加了沙桶，组成了灭火套件，沙桶倾倒时动画演示出倾倒及灭火的效果。</w:t>
            </w:r>
          </w:p>
          <w:p w14:paraId="43E3902C">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29、内嵌</w:t>
            </w:r>
            <w:r>
              <w:rPr>
                <w:rFonts w:hint="eastAsia" w:ascii="宋体" w:hAnsi="宋体" w:eastAsia="宋体" w:cs="宋体"/>
                <w:color w:val="auto"/>
                <w:kern w:val="2"/>
                <w:sz w:val="22"/>
              </w:rPr>
              <w:t>XBox</w:t>
            </w:r>
            <w:r>
              <w:rPr>
                <w:rFonts w:hint="eastAsia" w:ascii="宋体" w:hAnsi="宋体" w:eastAsia="宋体" w:cs="宋体"/>
                <w:color w:val="auto"/>
              </w:rPr>
              <w:t>组件，可实现灭火侧身、距离、方位的检测。</w:t>
            </w:r>
          </w:p>
          <w:p w14:paraId="1C76FA0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30、</w:t>
            </w:r>
            <w:r>
              <w:rPr>
                <w:rFonts w:hint="eastAsia" w:ascii="宋体" w:hAnsi="宋体" w:eastAsia="宋体" w:cs="宋体"/>
                <w:color w:val="auto"/>
                <w:shd w:val="clear" w:color="auto" w:fill="FFFFFF"/>
              </w:rPr>
              <w:t>台面精心嵌入一体化金属不锈钢键盘，其采用先进的无缝封装工艺，具备卓越的防水、防油、防尘性能，可轻松抵御复杂环境的侵扰，为设备的稳定运行提供坚实保障。在设计上，严格遵循人体工程学原理，每一个按键的布局与触感都经过精心调校，贴合手指的自然弧度，按压反馈灵敏舒适，带来行云流水般的输入体验。</w:t>
            </w:r>
          </w:p>
          <w:p w14:paraId="1B22CDCC">
            <w:pPr>
              <w:widowControl/>
              <w:spacing w:line="240" w:lineRule="auto"/>
              <w:textAlignment w:val="center"/>
              <w:rPr>
                <w:rFonts w:hint="eastAsia" w:ascii="宋体" w:hAnsi="宋体" w:eastAsia="宋体" w:cs="宋体"/>
                <w:color w:val="auto"/>
                <w:szCs w:val="21"/>
                <w:highlight w:val="none"/>
                <w:lang w:val="en-US" w:eastAsia="zh-CN" w:bidi="ar"/>
              </w:rPr>
            </w:pPr>
          </w:p>
          <w:p w14:paraId="14100ADD">
            <w:pPr>
              <w:widowControl/>
              <w:spacing w:line="240" w:lineRule="auto"/>
              <w:textAlignment w:val="center"/>
              <w:rPr>
                <w:rFonts w:hint="eastAsia" w:ascii="宋体" w:hAnsi="宋体" w:eastAsia="宋体" w:cs="宋体"/>
                <w:color w:val="auto"/>
                <w:szCs w:val="21"/>
                <w:highlight w:val="none"/>
                <w:lang w:bidi="ar"/>
              </w:rPr>
            </w:pPr>
          </w:p>
          <w:p w14:paraId="48A993E5">
            <w:pPr>
              <w:widowControl/>
              <w:spacing w:line="240" w:lineRule="auto"/>
              <w:ind w:firstLine="420" w:firstLineChars="0"/>
              <w:rPr>
                <w:rFonts w:hint="eastAsia" w:ascii="宋体" w:hAnsi="宋体" w:eastAsia="宋体" w:cs="宋体"/>
                <w:sz w:val="21"/>
                <w:szCs w:val="21"/>
              </w:rPr>
            </w:pPr>
          </w:p>
        </w:tc>
        <w:tc>
          <w:tcPr>
            <w:tcW w:w="700" w:type="dxa"/>
            <w:noWrap w:val="0"/>
            <w:vAlign w:val="center"/>
          </w:tcPr>
          <w:p w14:paraId="2889606E">
            <w:pPr>
              <w:widowControl/>
              <w:spacing w:line="240" w:lineRule="auto"/>
              <w:jc w:val="center"/>
              <w:rPr>
                <w:rFonts w:hint="eastAsia" w:ascii="宋体" w:hAnsi="宋体" w:eastAsia="宋体" w:cs="宋体"/>
                <w:color w:val="000000"/>
                <w:kern w:val="0"/>
                <w:sz w:val="21"/>
                <w:szCs w:val="21"/>
              </w:rPr>
            </w:pPr>
            <w:r>
              <w:rPr>
                <w:rFonts w:hint="eastAsia" w:ascii="宋体" w:hAnsi="宋体" w:eastAsia="宋体" w:cs="宋体"/>
                <w:color w:val="auto"/>
                <w:kern w:val="0"/>
                <w:szCs w:val="21"/>
                <w:highlight w:val="none"/>
                <w:lang w:val="en-US" w:eastAsia="zh-CN"/>
              </w:rPr>
              <w:t>2</w:t>
            </w:r>
          </w:p>
        </w:tc>
        <w:tc>
          <w:tcPr>
            <w:tcW w:w="712" w:type="dxa"/>
            <w:noWrap w:val="0"/>
            <w:vAlign w:val="center"/>
          </w:tcPr>
          <w:p w14:paraId="75D9EEAF">
            <w:pPr>
              <w:spacing w:line="240" w:lineRule="auto"/>
              <w:jc w:val="center"/>
              <w:rPr>
                <w:rFonts w:hint="eastAsia" w:ascii="宋体" w:hAnsi="宋体" w:eastAsia="宋体" w:cs="宋体"/>
                <w:sz w:val="21"/>
                <w:szCs w:val="21"/>
              </w:rPr>
            </w:pPr>
            <w:r>
              <w:rPr>
                <w:rFonts w:hint="eastAsia" w:ascii="宋体" w:hAnsi="宋体" w:eastAsia="宋体" w:cs="宋体"/>
                <w:color w:val="auto"/>
                <w:szCs w:val="21"/>
                <w:highlight w:val="none"/>
                <w:lang w:val="en-US" w:eastAsia="zh-CN"/>
              </w:rPr>
              <w:t>台</w:t>
            </w:r>
          </w:p>
        </w:tc>
      </w:tr>
      <w:tr w14:paraId="4163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noWrap w:val="0"/>
            <w:vAlign w:val="center"/>
          </w:tcPr>
          <w:p w14:paraId="70195BDD">
            <w:pPr>
              <w:widowControl/>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auto"/>
                <w:kern w:val="0"/>
                <w:szCs w:val="21"/>
                <w:highlight w:val="none"/>
                <w:lang w:val="en-US" w:eastAsia="zh-CN"/>
              </w:rPr>
              <w:t>2</w:t>
            </w:r>
          </w:p>
        </w:tc>
        <w:tc>
          <w:tcPr>
            <w:tcW w:w="1080" w:type="dxa"/>
            <w:noWrap w:val="0"/>
            <w:vAlign w:val="center"/>
          </w:tcPr>
          <w:p w14:paraId="4F45AA7A">
            <w:pPr>
              <w:spacing w:line="240" w:lineRule="auto"/>
              <w:jc w:val="center"/>
              <w:rPr>
                <w:rFonts w:hint="eastAsia" w:ascii="宋体" w:hAnsi="宋体" w:eastAsia="宋体" w:cs="宋体"/>
                <w:color w:val="000000"/>
                <w:sz w:val="21"/>
                <w:szCs w:val="21"/>
              </w:rPr>
            </w:pPr>
            <w:r>
              <w:rPr>
                <w:rFonts w:hint="eastAsia" w:ascii="宋体" w:hAnsi="宋体" w:eastAsia="宋体" w:cs="宋体"/>
                <w:color w:val="auto"/>
                <w:szCs w:val="21"/>
                <w:highlight w:val="none"/>
                <w:lang w:val="en-US" w:eastAsia="zh-CN"/>
              </w:rPr>
              <w:t>高压电工作业安全技术实操设备</w:t>
            </w:r>
          </w:p>
        </w:tc>
        <w:tc>
          <w:tcPr>
            <w:tcW w:w="5350" w:type="dxa"/>
            <w:noWrap w:val="0"/>
            <w:vAlign w:val="top"/>
          </w:tcPr>
          <w:p w14:paraId="7E80273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高压电工作业安全技术实操考核系统</w:t>
            </w:r>
            <w:r>
              <w:rPr>
                <w:rFonts w:hint="eastAsia" w:ascii="宋体" w:hAnsi="宋体" w:eastAsia="宋体" w:cs="宋体"/>
                <w:color w:val="auto"/>
                <w:szCs w:val="21"/>
                <w:highlight w:val="none"/>
              </w:rPr>
              <w:t>主要由1套高压开关柜（进线柜、计量柜、PT柜、出线柜）、柱上变压器、K26/K28实操模块、K27实操模块、K29实操模块、转运小车、高压电工器材</w:t>
            </w:r>
            <w:r>
              <w:rPr>
                <w:rFonts w:hint="eastAsia" w:ascii="宋体" w:hAnsi="宋体" w:eastAsia="宋体" w:cs="宋体"/>
                <w:color w:val="auto"/>
                <w:szCs w:val="21"/>
                <w:highlight w:val="none"/>
                <w:lang w:val="en-US" w:eastAsia="zh-CN"/>
              </w:rPr>
              <w:t>、电工仪表安全使用测试台、智慧考场综合实训一体机</w:t>
            </w:r>
            <w:r>
              <w:rPr>
                <w:rFonts w:hint="eastAsia" w:ascii="宋体" w:hAnsi="宋体" w:eastAsia="宋体" w:cs="宋体"/>
                <w:color w:val="auto"/>
                <w:szCs w:val="21"/>
                <w:highlight w:val="none"/>
              </w:rPr>
              <w:t>等组成：</w:t>
            </w:r>
          </w:p>
          <w:p w14:paraId="4A56CC49">
            <w:pPr>
              <w:spacing w:line="240" w:lineRule="auto"/>
              <w:rPr>
                <w:rFonts w:hint="eastAsia" w:ascii="宋体" w:hAnsi="宋体" w:eastAsia="宋体" w:cs="宋体"/>
                <w:color w:val="auto"/>
                <w:szCs w:val="21"/>
                <w:highlight w:val="none"/>
              </w:rPr>
            </w:pPr>
          </w:p>
          <w:p w14:paraId="616D1518">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1、开关柜体为国标KYN28A-12铠装中置式交流金属封闭开关设备(以下简称开关柜)</w:t>
            </w:r>
            <w:r>
              <w:rPr>
                <w:rFonts w:hint="eastAsia" w:ascii="宋体" w:hAnsi="宋体" w:eastAsia="宋体" w:cs="宋体"/>
                <w:color w:val="auto"/>
                <w:szCs w:val="21"/>
                <w:highlight w:val="none"/>
              </w:rPr>
              <w:t xml:space="preserve"> </w:t>
            </w:r>
          </w:p>
          <w:p w14:paraId="1F8E86F9">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关设备符合EC298《额定电压1KV以上52KV及以下的交流金属封闭开关设备和控制没备》、IEC694(高压开关和控制没备共用条款》，中国GB3906《3-36KV交流金属封闭开关设备》及DIA04《户内交流高压开关柜订货条件》，德国DIN.VDE0670《额定电压1 KV以上的交流开关设备》等标准的要求。</w:t>
            </w:r>
          </w:p>
          <w:p w14:paraId="103875E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(2)产品的外壳完全是由覆铝锌钥板经CNC机床加工多重折弯成形后用螺栓组装而成，具有高强度的抗腐蚀性和机械强度，柜门采用喷塑涂覆，具有较强的抗冲击和耐腐蚀能力。产品外壳具有1P4×级的防护等级。</w:t>
            </w:r>
          </w:p>
          <w:p w14:paraId="5D32CB1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(3)开关柜的主开关可配ABB公司生产的VD4型真空断路器，C3系列固定式负荷开关，同时也可配置多种国产系列真空断路器(如VS1.VHI、VK、ZN28)，以取代国外同类产品。</w:t>
            </w:r>
          </w:p>
          <w:p w14:paraId="5AB6A058">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(4)断路器的裸导体空气绝缘距离均能大于125mmn，复合绝缘大于 60mm。断路器均具有长寿命、高参数、少维护、小体积的优点。</w:t>
            </w:r>
          </w:p>
          <w:p w14:paraId="26B98871">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(5)装置中 VS1-12/630 断路器的机械结构可满足学员频繁操作，手车操作室内安装有稳定高导轨，可轻巧地推进或抽出断路器手车；手车室内设计有带自动锁扣，可满足手车断路器与母排侧和电缆侧自动隔离的要求，手车有隔离位置、试验位置及工作位置智能仪表显示，每一位置均设有定位装置。</w:t>
            </w:r>
          </w:p>
          <w:p w14:paraId="3281CD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(6)符合国标要求，具有完整的“五防”功能。</w:t>
            </w:r>
          </w:p>
          <w:p w14:paraId="035216D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(7)开关柜分别配备线路微机保护装置 3 台、高压电动机保护装置1台、变压器保护装置1台；配备智能开关状态显示仪及智能仪表，可真实再现高压配电系统运行场景及故障场景，模拟10KV送电、断路器分合闸、储能等动作发生，以及相关指示灯、10KV电压表、负载电流表显示相应变化。</w:t>
            </w:r>
          </w:p>
          <w:p w14:paraId="0642F97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故障排查模拟装置：可通实操装置实现输电系统中常见故障场景的模拟功能：包含速断电流、干式变压器高温/超高温及油浸式变压器轻瓦斯/重瓦斯、变压器网门未关闭出现网门跳闸等，当故障信号发出后，高压柜的微机保护装置会发出相应的报警和联锁信号，导致断路器跳闸。</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"_真实高压柜故障模拟功能" </w:instrText>
            </w:r>
            <w:r>
              <w:rPr>
                <w:rFonts w:hint="eastAsia" w:ascii="宋体" w:hAnsi="宋体" w:eastAsia="宋体" w:cs="宋体"/>
                <w:color w:val="auto"/>
                <w:szCs w:val="21"/>
                <w:highlight w:val="none"/>
              </w:rPr>
              <w:fldChar w:fldCharType="separate"/>
            </w:r>
            <w:r>
              <w:rPr>
                <w:rStyle w:val="29"/>
                <w:rFonts w:hint="eastAsia" w:ascii="宋体" w:hAnsi="宋体" w:eastAsia="宋体" w:cs="宋体"/>
                <w:color w:val="auto"/>
                <w:szCs w:val="21"/>
                <w:highlight w:val="none"/>
              </w:rPr>
              <w:t>（详情见下章节）</w:t>
            </w:r>
            <w:r>
              <w:rPr>
                <w:rFonts w:hint="eastAsia" w:ascii="宋体" w:hAnsi="宋体" w:eastAsia="宋体" w:cs="宋体"/>
                <w:color w:val="auto"/>
                <w:szCs w:val="21"/>
                <w:highlight w:val="none"/>
              </w:rPr>
              <w:fldChar w:fldCharType="end"/>
            </w:r>
          </w:p>
          <w:p w14:paraId="431A3CF3">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2、高压电工中置柜（出线柜），型号：AH2/KYN28A-12 </w:t>
            </w:r>
          </w:p>
          <w:p w14:paraId="45421D84">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(1)外壳：冷礼板喷塑，尺寸 (宽×深×高)：1500mm×800mm×2300mm，允许尺寸偏差士5mm。</w:t>
            </w:r>
          </w:p>
          <w:p w14:paraId="701376BC">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(2)手车式高压真空断路器1台，额定电压12kV;额定电流≥630A。</w:t>
            </w:r>
          </w:p>
          <w:p w14:paraId="083300AA">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(3)接地开关1台。</w:t>
            </w:r>
          </w:p>
          <w:p w14:paraId="6E50EEFC">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(4)开关状态指示仪：额定电压 220V，显示开关状态、小车工作位置/试验位置、断路器位置、接地刀位置、弹簧储能状态、高压带电指示等。</w:t>
            </w:r>
          </w:p>
          <w:p w14:paraId="0E101ED1">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(5)避雷器：额定电压12kV，系统电压10kV，大电流冲击耐受不小于40kA。</w:t>
            </w:r>
          </w:p>
          <w:p w14:paraId="21C9EE61">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微机综合保护装置1台，额定电压：220V，电压测量范围：0～120V，电流测量范围：0～5A，带485通讯接口，保护功能：过流保护、低电压保护、过电压保护、过负荷保护、高温保护、超温保护、轻瓦斯保护、重瓦斯保护、网门跳闸等。</w:t>
            </w:r>
          </w:p>
          <w:p w14:paraId="4E26252D">
            <w:pPr>
              <w:pStyle w:val="2"/>
              <w:spacing w:line="240" w:lineRule="auto"/>
              <w:ind w:firstLine="0"/>
              <w:rPr>
                <w:rFonts w:hint="eastAsia" w:ascii="宋体" w:hAnsi="宋体" w:eastAsia="宋体" w:cs="宋体"/>
                <w:color w:val="auto"/>
                <w:szCs w:val="21"/>
                <w:highlight w:val="none"/>
              </w:rPr>
            </w:pPr>
          </w:p>
          <w:p w14:paraId="62FE794C">
            <w:pPr>
              <w:pStyle w:val="2"/>
              <w:spacing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3、高压电工中置柜（进线柜），型号：AH2/KYN28A-12</w:t>
            </w:r>
          </w:p>
          <w:p w14:paraId="3422FECB">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(1)外壳：冷礼板喷塑，尺寸 (宽×深×高)：1500mm×800mm×2300mm，允许尺寸偏差±5mm。</w:t>
            </w:r>
          </w:p>
          <w:p w14:paraId="75AEC32B">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(2)手车式高压真空断路器1台，额定电压12kV，额定电流≥630A。</w:t>
            </w:r>
          </w:p>
          <w:p w14:paraId="44A0F5AF">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(3)开关状态指示仪：额定电压 220V,显示开关状态、小车工作位置/试验位置、断路器位置、弹簧储能状态、高压带电指示等。</w:t>
            </w:r>
          </w:p>
          <w:p w14:paraId="07A44C42">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(4)避雷器：额定电压12kV，系统电压10kV，大电流冲击耐受不小于40kA。</w:t>
            </w:r>
          </w:p>
          <w:p w14:paraId="57B5D0C4">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微机综合保护装置1台，额定电压：220V，电压测量范围：0～120V，电流测量范围：0～5A，带485通讯接口，保护功能：过流保护、低电压保护、过电压保护、过负荷保护、高温保护、超温保护、轻瓦斯保护、重瓦斯保护等。</w:t>
            </w:r>
          </w:p>
          <w:p w14:paraId="4B054A7C">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4、高压电工中置柜（计量柜），型号：AH2/KYN28A-12</w:t>
            </w:r>
          </w:p>
          <w:p w14:paraId="3FBA2135">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外壳：冷礼板喷塑，尺寸 (宽×深×高)：1500mm×800mm×2300mm，允许尺寸偏差士5mm。</w:t>
            </w:r>
          </w:p>
          <w:p w14:paraId="5D5F2D7E">
            <w:pPr>
              <w:pStyle w:val="2"/>
              <w:spacing w:before="312" w:beforeLines="100" w:after="156" w:afterLines="50" w:line="240" w:lineRule="auto"/>
              <w:ind w:firstLine="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5、高压电工中置柜（PT柜），型号：AH3/KYN28A-12 </w:t>
            </w:r>
          </w:p>
          <w:p w14:paraId="57E2ED30">
            <w:pPr>
              <w:pStyle w:val="2"/>
              <w:adjustRightInd/>
              <w:spacing w:line="240" w:lineRule="auto"/>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(1)外壳：冷礼板喷塑，尺寸 (宽X深高)：1500mm×800mm×2300mm，允许尺寸偏差士5mm。</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(2)PT手车1台，额定电压12kV;额定电流630A。</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(3)电压互感器，额定电压12KV;二次电压100V;单绕组，JDZ10-10 10/0.1KV 0.5级。</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(4)开关状态指示仪：额定电压 220V，显示开关状态、小车工作位置/试验位置、高压带电指示等。</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(5)避雷器：额定电压12kV，系统电压10kV，大电流冲击耐受不小于40kA。</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(6)微机综合保护装置1台，额定电压：220V，电压测量范围：0～120V，电流测量范围：0～5A，带485通讯接口，保护功能：低电压保护、过电压保护等。</w:t>
            </w:r>
          </w:p>
          <w:p w14:paraId="0D67CCD1">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6、柱上变压器及架空线缆装置</w:t>
            </w:r>
          </w:p>
          <w:p w14:paraId="6970A675">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包含如下配件：</w:t>
            </w:r>
          </w:p>
          <w:p w14:paraId="7345AFE9">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教学变压器1台、跌落式熔断器1套3个、隔离开关3个、避雷器3个，瓷瓶9个、间隔围栏1套、3米高镀锌钢管3根、模拟架空线（挂接地线）1套。</w:t>
            </w:r>
          </w:p>
          <w:p w14:paraId="6752A1C4">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7、K26/K28实操模块：</w:t>
            </w:r>
          </w:p>
          <w:p w14:paraId="49F734FB">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变压器、测试支架平台：</w:t>
            </w:r>
          </w:p>
          <w:p w14:paraId="360AA4CF">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(1)S11-M-10KVA 真实变压器：</w:t>
            </w:r>
          </w:p>
          <w:p w14:paraId="404D490D">
            <w:pPr>
              <w:pStyle w:val="2"/>
              <w:spacing w:line="24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额定容量：10kVA</w:t>
            </w:r>
          </w:p>
          <w:p w14:paraId="7EFF15E1">
            <w:pPr>
              <w:pStyle w:val="2"/>
              <w:spacing w:line="24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额定电压：10000/400V</w:t>
            </w:r>
          </w:p>
          <w:p w14:paraId="05B67554">
            <w:pPr>
              <w:pStyle w:val="2"/>
              <w:spacing w:line="24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相数：3相</w:t>
            </w:r>
          </w:p>
          <w:p w14:paraId="1E47FC40">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(2)油浸式变压器支架平台：</w:t>
            </w:r>
          </w:p>
          <w:p w14:paraId="2A40EBD8">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冷礼板喷塑，尺寸：长600mm，宽450mm，高500mm，底部配有万向轮方便移动。</w:t>
            </w:r>
          </w:p>
          <w:p w14:paraId="0B18034C">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8、K27实操模块</w:t>
            </w:r>
          </w:p>
          <w:p w14:paraId="287A0B0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(1)国标YJLV22铝芯3×35平方8.7/15KV高压电缆线。</w:t>
            </w:r>
          </w:p>
          <w:p w14:paraId="5A4DF7D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(2)电缆固定线夹，中号 55～75mm²。</w:t>
            </w:r>
          </w:p>
          <w:p w14:paraId="478848A8">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尺寸：长115mm，宽60mm，高52mm</w:t>
            </w:r>
          </w:p>
          <w:p w14:paraId="3022D641">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安装孔距82mm，螺丝大小M12</w:t>
            </w:r>
          </w:p>
          <w:p w14:paraId="2E88F885">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可加线缆直径30至60mm</w:t>
            </w:r>
          </w:p>
          <w:p w14:paraId="42856E1B">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（3）防静电工作台</w:t>
            </w:r>
          </w:p>
          <w:p w14:paraId="16F01DD1">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尺寸约1800×600×750mm</w:t>
            </w:r>
          </w:p>
          <w:p w14:paraId="157D48A0">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实木包边，防滑脚垫，自锁卡扣</w:t>
            </w:r>
          </w:p>
          <w:p w14:paraId="1ECE8781">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耐磨、抗压、防腐、防静电</w:t>
            </w:r>
          </w:p>
          <w:p w14:paraId="4736A14C">
            <w:pPr>
              <w:pStyle w:val="2"/>
              <w:spacing w:before="312" w:beforeLines="100" w:after="156" w:afterLines="50" w:line="240" w:lineRule="auto"/>
              <w:ind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9、K29实操模块</w:t>
            </w:r>
          </w:p>
          <w:p w14:paraId="0984A2D3">
            <w:pPr>
              <w:spacing w:line="24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(1)高压架空绝缘电力电缆铝芯1×70，2段。</w:t>
            </w:r>
          </w:p>
          <w:p w14:paraId="65EEC92C">
            <w:pPr>
              <w:pStyle w:val="2"/>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针式陶瓷电力线路绝缘子P-15T，2个，棒式陶瓷支柱绝缘子柱式PS-15/300，2个。</w:t>
            </w:r>
          </w:p>
          <w:p w14:paraId="607870D4">
            <w:pPr>
              <w:pStyle w:val="2"/>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防静电工作台</w:t>
            </w:r>
          </w:p>
          <w:p w14:paraId="4CABB580">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尺寸约1200×600×750mm</w:t>
            </w:r>
          </w:p>
          <w:p w14:paraId="48369CE6">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实木包边，防滑脚垫，自锁卡扣</w:t>
            </w:r>
          </w:p>
          <w:p w14:paraId="0BA0F93B">
            <w:pPr>
              <w:spacing w:line="240" w:lineRule="auto"/>
              <w:ind w:left="420" w:leftChars="200"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耐磨、抗压、防腐、防静电</w:t>
            </w:r>
          </w:p>
          <w:p w14:paraId="3A045CA5">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(4)绝缘子固定支架：</w:t>
            </w:r>
          </w:p>
          <w:p w14:paraId="3863CDAE">
            <w:pPr>
              <w:pStyle w:val="2"/>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冷礼板喷塑，冷礼板喷塑，尺寸：长700mm，宽354mm，高358mm。</w:t>
            </w:r>
          </w:p>
          <w:p w14:paraId="168A6FBB">
            <w:pPr>
              <w:spacing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10、GGD型低压进线柜</w:t>
            </w:r>
          </w:p>
          <w:p w14:paraId="34E3A8C6">
            <w:pPr>
              <w:spacing w:before="156" w:beforeLines="50" w:after="156" w:afterLines="50"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⑴、设备技术性能</w:t>
            </w:r>
          </w:p>
          <w:p w14:paraId="08F62136">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1）设备供电电源：</w:t>
            </w:r>
          </w:p>
          <w:p w14:paraId="7FFB29F4">
            <w:pPr>
              <w:widowControl/>
              <w:spacing w:line="240" w:lineRule="auto"/>
              <w:ind w:firstLine="420" w:firstLineChars="200"/>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输入电压：三相五线制AC380V±10% ，50Hz </w:t>
            </w:r>
          </w:p>
          <w:p w14:paraId="107EE4F3">
            <w:pPr>
              <w:widowControl/>
              <w:spacing w:line="240" w:lineRule="auto"/>
              <w:ind w:firstLine="420" w:firstLineChars="200"/>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输出电压：三相五线制AC380±10% ，50Hz </w:t>
            </w:r>
          </w:p>
          <w:p w14:paraId="6A30F4D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 xml:space="preserve">2）设备功耗： &lt; 500W  </w:t>
            </w:r>
          </w:p>
          <w:p w14:paraId="73F2C29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3）外形尺寸（长×宽×高）：800mm×800mm×2200mm</w:t>
            </w:r>
          </w:p>
          <w:p w14:paraId="0829449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4）重量：&lt; 200Kg</w:t>
            </w:r>
          </w:p>
          <w:p w14:paraId="5743021E">
            <w:pPr>
              <w:spacing w:before="156" w:beforeLines="50" w:after="156" w:afterLines="50"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⑵ 使用环境</w:t>
            </w:r>
          </w:p>
          <w:p w14:paraId="4535C1A2">
            <w:pPr>
              <w:spacing w:line="240" w:lineRule="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1）温度：-20℃～+45℃</w:t>
            </w:r>
          </w:p>
          <w:p w14:paraId="49F7DA00">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2）相对湿度：≤90%</w:t>
            </w:r>
          </w:p>
          <w:p w14:paraId="0D445559">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3）占地空间：2㎡</w:t>
            </w:r>
          </w:p>
          <w:p w14:paraId="52C0DE5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4）设备安装时与垂直面的倾斜度不超过5%</w:t>
            </w:r>
          </w:p>
          <w:p w14:paraId="04D66674">
            <w:pPr>
              <w:spacing w:before="156" w:beforeLines="50" w:after="156" w:afterLines="50"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⑶电气参数</w:t>
            </w:r>
          </w:p>
          <w:p w14:paraId="7BCA951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1）额定电压：380V</w:t>
            </w:r>
          </w:p>
          <w:p w14:paraId="7EFFD6DB">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2）最高工作电压：380V</w:t>
            </w:r>
          </w:p>
          <w:p w14:paraId="4830753A">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3）额定绝缘电压：690V</w:t>
            </w:r>
          </w:p>
          <w:p w14:paraId="45421E60">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4）额定电流：≤4000A</w:t>
            </w:r>
          </w:p>
          <w:p w14:paraId="6AEE539A">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5）额定短路开断电流：50KA</w:t>
            </w:r>
          </w:p>
          <w:p w14:paraId="0C59A59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6）额定短时耐受电流：50（1S）（KA）</w:t>
            </w:r>
          </w:p>
          <w:p w14:paraId="788EE8D2">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7）额定峰值耐受电流：105KA</w:t>
            </w:r>
          </w:p>
          <w:p w14:paraId="14C79627">
            <w:pPr>
              <w:widowControl/>
              <w:tabs>
                <w:tab w:val="left" w:pos="2365"/>
              </w:tabs>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8）防护等级:IP30</w:t>
            </w:r>
            <w:r>
              <w:rPr>
                <w:rFonts w:hint="eastAsia" w:ascii="宋体" w:hAnsi="宋体" w:eastAsia="宋体" w:cs="宋体"/>
                <w:color w:val="auto"/>
                <w:szCs w:val="21"/>
                <w:highlight w:val="none"/>
                <w:lang w:bidi="ar"/>
              </w:rPr>
              <w:tab/>
            </w:r>
          </w:p>
          <w:p w14:paraId="4F3D5769">
            <w:pPr>
              <w:widowControl/>
              <w:tabs>
                <w:tab w:val="left" w:pos="2365"/>
              </w:tabs>
              <w:spacing w:line="240" w:lineRule="auto"/>
              <w:textAlignment w:val="center"/>
              <w:rPr>
                <w:rFonts w:hint="eastAsia" w:ascii="宋体" w:hAnsi="宋体" w:eastAsia="宋体" w:cs="宋体"/>
                <w:bCs/>
                <w:color w:val="auto"/>
                <w:szCs w:val="44"/>
                <w:highlight w:val="none"/>
              </w:rPr>
            </w:pPr>
            <w:r>
              <w:rPr>
                <w:rFonts w:hint="eastAsia" w:ascii="宋体" w:hAnsi="宋体" w:eastAsia="宋体" w:cs="宋体"/>
                <w:color w:val="auto"/>
                <w:szCs w:val="21"/>
                <w:highlight w:val="none"/>
                <w:lang w:bidi="ar"/>
              </w:rPr>
              <w:t>9）配备了多种安全设备，如过载保护、短路保护、漏电保护、浪涌保护等，保障了电气设备和人员的安全。</w:t>
            </w:r>
          </w:p>
          <w:p w14:paraId="243210AB">
            <w:pPr>
              <w:spacing w:line="240" w:lineRule="auto"/>
              <w:rPr>
                <w:rFonts w:hint="eastAsia" w:ascii="宋体" w:hAnsi="宋体" w:eastAsia="宋体" w:cs="宋体"/>
                <w:bCs/>
                <w:color w:val="auto"/>
                <w:szCs w:val="44"/>
                <w:highlight w:val="none"/>
              </w:rPr>
            </w:pPr>
          </w:p>
          <w:p w14:paraId="01752AA5">
            <w:pPr>
              <w:spacing w:line="24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11、电工器材</w:t>
            </w:r>
          </w:p>
          <w:p w14:paraId="35B5D1D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标识标牌、全套安全用具、电工仪器及电工线材。</w:t>
            </w:r>
          </w:p>
          <w:p w14:paraId="7E70C0A5">
            <w:pPr>
              <w:spacing w:line="240" w:lineRule="auto"/>
              <w:rPr>
                <w:rFonts w:hint="eastAsia" w:ascii="宋体" w:hAnsi="宋体" w:eastAsia="宋体" w:cs="宋体"/>
                <w:bCs/>
                <w:color w:val="auto"/>
                <w:szCs w:val="21"/>
                <w:highlight w:val="none"/>
              </w:rPr>
            </w:pPr>
          </w:p>
          <w:p w14:paraId="1D42AF9E">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lang w:val="en-US" w:eastAsia="zh-CN" w:bidi="ar"/>
              </w:rPr>
              <w:t>电工仪表安全使用测试台</w:t>
            </w:r>
            <w:r>
              <w:rPr>
                <w:rFonts w:hint="eastAsia" w:ascii="宋体" w:hAnsi="宋体" w:eastAsia="宋体" w:cs="宋体"/>
                <w:color w:val="auto"/>
                <w:szCs w:val="21"/>
                <w:highlight w:val="none"/>
                <w:lang w:bidi="ar"/>
              </w:rPr>
              <w:t>主要由测试台、电源转变组件、操作平台桌及相应电工器材等组成：</w:t>
            </w:r>
          </w:p>
          <w:p w14:paraId="6745285C">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测试台分布着直流回路区、交流回路区、交流电源测量区、接地电阻测试区。提供了万用表、钳流表及接地电阻测试仪测量的使用场景。</w:t>
            </w:r>
          </w:p>
          <w:p w14:paraId="720E205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在交流回路区，回路提供AC36V交流电源，由断路器、保险丝、急停开关、螺孔灯泡、可调电阻、指针式交流电压表及可插拔导线组成该交流回路，可做交流电压测量、可调电阻测量、交流电流测量。</w:t>
            </w:r>
          </w:p>
          <w:p w14:paraId="1EDB2974">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直流回路区，回路可提供0-36V直流电源，通过可调电阻的旋钮调节灯泡亮度并测量各状态电流。由断路器、保险丝、急停开关、螺孔灯泡、可调电阻、指针式直流电压表及可插拔导线组成该直流回路，可做直流电压测量、可调电阻测量、直流电流测量。</w:t>
            </w:r>
          </w:p>
          <w:p w14:paraId="65778C01">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在交流电源测量区，提供3V、6V、12V、24V、36V多种交流电源输出，可测量各电压值，电流值。</w:t>
            </w:r>
          </w:p>
          <w:p w14:paraId="03C17080">
            <w:pPr>
              <w:widowControl/>
              <w:spacing w:line="240" w:lineRule="auto"/>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接地电阻测试区，提供模拟的接地电阻的测量。</w:t>
            </w:r>
          </w:p>
          <w:p w14:paraId="5853910B">
            <w:pPr>
              <w:spacing w:line="240" w:lineRule="auto"/>
              <w:rPr>
                <w:rFonts w:hint="eastAsia" w:ascii="宋体" w:hAnsi="宋体" w:eastAsia="宋体" w:cs="宋体"/>
                <w:b/>
                <w:bCs/>
                <w:color w:val="auto"/>
                <w:szCs w:val="21"/>
                <w:highlight w:val="none"/>
                <w:lang w:val="en-US" w:eastAsia="zh-CN"/>
              </w:rPr>
            </w:pPr>
          </w:p>
          <w:p w14:paraId="3E354EED">
            <w:pPr>
              <w:spacing w:line="24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13、智慧考场综合实训一体机参数内容包括：</w:t>
            </w:r>
          </w:p>
          <w:p w14:paraId="41F57E37">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一、设备基本参数</w:t>
            </w:r>
          </w:p>
          <w:p w14:paraId="7CBE411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1、工作电源：AC220V ，50Hz</w:t>
            </w:r>
          </w:p>
          <w:p w14:paraId="3BBDED70">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2、空载功耗：≤150W（待实测）；</w:t>
            </w:r>
          </w:p>
          <w:p w14:paraId="7AD4C6DE">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工作温度：-10℃～+40℃；</w:t>
            </w:r>
          </w:p>
          <w:p w14:paraId="771D6D88">
            <w:pPr>
              <w:autoSpaceDE/>
              <w:autoSpaceDN/>
              <w:adjustRightInd/>
              <w:spacing w:line="240" w:lineRule="auto"/>
              <w:ind w:left="315" w:leftChars="150"/>
              <w:rPr>
                <w:rFonts w:hint="eastAsia" w:ascii="宋体" w:hAnsi="宋体" w:eastAsia="宋体" w:cs="宋体"/>
                <w:color w:val="auto"/>
              </w:rPr>
            </w:pPr>
            <w:r>
              <w:rPr>
                <w:rFonts w:hint="eastAsia" w:ascii="宋体" w:hAnsi="宋体" w:eastAsia="宋体" w:cs="宋体"/>
                <w:color w:val="auto"/>
              </w:rPr>
              <w:t>相对湿度：≤90%</w:t>
            </w:r>
          </w:p>
          <w:p w14:paraId="2E9AC501">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3、物理参数：</w:t>
            </w:r>
          </w:p>
          <w:p w14:paraId="308DE2C8">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外形尺寸（长×宽×高）：≤1200mm×650mm×1940mm；</w:t>
            </w:r>
          </w:p>
          <w:p w14:paraId="5F7B2882">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重量：155±5 Kg；</w:t>
            </w:r>
          </w:p>
          <w:p w14:paraId="524D04A1">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4、答题触摸显示屏尺寸≥43寸，显示屏分辨率：1920×1080；</w:t>
            </w:r>
          </w:p>
          <w:p w14:paraId="330548CE">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处理器不低于I5，运行内存8G，固态硬盘120G；</w:t>
            </w:r>
          </w:p>
          <w:p w14:paraId="006BD9BC">
            <w:pPr>
              <w:autoSpaceDE/>
              <w:autoSpaceDN/>
              <w:adjustRightInd/>
              <w:spacing w:line="240" w:lineRule="auto"/>
              <w:rPr>
                <w:rFonts w:hint="eastAsia" w:ascii="宋体" w:hAnsi="宋体" w:eastAsia="宋体" w:cs="宋体"/>
                <w:color w:val="auto"/>
              </w:rPr>
            </w:pPr>
            <w:r>
              <w:rPr>
                <w:rFonts w:hint="eastAsia" w:ascii="宋体" w:hAnsi="宋体" w:eastAsia="宋体" w:cs="宋体"/>
                <w:color w:val="auto"/>
              </w:rPr>
              <w:t>5、实操台（内置PC模块、智能终端数据采集模块组件、</w:t>
            </w:r>
            <w:r>
              <w:rPr>
                <w:rFonts w:hint="eastAsia" w:ascii="宋体" w:hAnsi="宋体" w:eastAsia="宋体" w:cs="宋体"/>
                <w:color w:val="auto"/>
                <w:kern w:val="2"/>
                <w:sz w:val="22"/>
              </w:rPr>
              <w:t>XBox</w:t>
            </w:r>
            <w:r>
              <w:rPr>
                <w:rFonts w:hint="eastAsia" w:ascii="宋体" w:hAnsi="宋体" w:eastAsia="宋体" w:cs="宋体"/>
                <w:color w:val="auto"/>
              </w:rPr>
              <w:t>组件、嵌入金属键盘）；</w:t>
            </w:r>
          </w:p>
          <w:p w14:paraId="18BA3893">
            <w:pPr>
              <w:spacing w:line="240" w:lineRule="auto"/>
              <w:rPr>
                <w:rFonts w:hint="eastAsia" w:ascii="宋体" w:hAnsi="宋体" w:eastAsia="宋体" w:cs="宋体"/>
                <w:color w:val="auto"/>
              </w:rPr>
            </w:pPr>
            <w:r>
              <w:rPr>
                <w:rFonts w:hint="eastAsia" w:ascii="宋体" w:hAnsi="宋体" w:eastAsia="宋体" w:cs="宋体"/>
                <w:color w:val="auto"/>
              </w:rPr>
              <w:t>6、灭火器组件（含二氧化碳灭火器、干粉灭火器、水基灭火器、沙桶、底座）；</w:t>
            </w:r>
          </w:p>
          <w:p w14:paraId="428C0A01">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二、设备详细参数（软件类）</w:t>
            </w:r>
          </w:p>
          <w:p w14:paraId="0BA48CE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hd w:val="clear" w:color="auto" w:fill="FFFFFF"/>
              </w:rPr>
              <w:t>在设备执行考试任务时，内置的智能视觉识别系统会基于先进的动态捕捉技术，以毫秒级的响应速度，从不同角度和位置对考生进行实时监测。考试过程中，系统将自动且随机地抓拍 3 张高清照片，并运用时间戳记录与加密存储，随后无缝附于考生成绩单之后。这种防篡改、可追溯的技术手段，为考试的公正性构筑起坚固防线，能有效杜绝各类舞弊行为的发生，确保考试结果的真实可靠。</w:t>
            </w:r>
          </w:p>
          <w:p w14:paraId="7E5AFA7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具备刷身份证读取考生身份信息功能。具有进行手动输入姓名、身份证号获取考生身份信息功能，手动输入时，自动弹出软键盘功能，输入时自动检测身份证长度，软键盘支持0-9数字及X字母输入，自带清除及删除功能。</w:t>
            </w:r>
          </w:p>
          <w:p w14:paraId="1E22B0D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shd w:val="clear" w:color="auto" w:fill="FFFFFF"/>
              </w:rPr>
              <w:t>系统搭载了先进的智能语音交互引擎，具备高度智能化的自动语音播报功能</w:t>
            </w:r>
            <w:r>
              <w:rPr>
                <w:rFonts w:hint="eastAsia" w:ascii="宋体" w:hAnsi="宋体" w:eastAsia="宋体" w:cs="宋体"/>
                <w:color w:val="auto"/>
              </w:rPr>
              <w:t>。</w:t>
            </w:r>
          </w:p>
          <w:p w14:paraId="7EEB6786">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4、可支持手动灵活配置单科目考试时间。</w:t>
            </w:r>
          </w:p>
          <w:p w14:paraId="576C2C0D">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shd w:val="clear" w:color="auto" w:fill="FFFFFF"/>
              </w:rPr>
              <w:t>在练习模式下，系统植入了智能实时反馈机制，凭借先进的算法和数据比对技术，能够在用户完成答题的瞬间，迅速对答案进行精准判定。一旦答案提交，系统会立即以直观、清晰的方式，给予用户关于答题正确与否的即时提示，帮助用户快速了解自身答题情况</w:t>
            </w:r>
            <w:r>
              <w:rPr>
                <w:rFonts w:hint="eastAsia" w:ascii="宋体" w:hAnsi="宋体" w:eastAsia="宋体" w:cs="宋体"/>
                <w:color w:val="auto"/>
              </w:rPr>
              <w:t>。</w:t>
            </w:r>
          </w:p>
          <w:p w14:paraId="5CC47B3F">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6、切题方式自由，可顺序切题及自由切题方式。</w:t>
            </w:r>
          </w:p>
          <w:p w14:paraId="4315F88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7、系统支持自主选择考试科目、随机选择考试科目两种方式。</w:t>
            </w:r>
          </w:p>
          <w:p w14:paraId="3668A77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8、支持双指拉伸图片可放大、缩小、退出全屏查看方式。</w:t>
            </w:r>
          </w:p>
          <w:p w14:paraId="7D902BD7">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shd w:val="clear" w:color="auto" w:fill="FFFFFF"/>
              </w:rPr>
              <w:t>在切题时，用户既可以选择顺序切题模式，系统将依照精心编排的逻辑顺序，有条不紊地呈现题目，助力用户循序渐进地深入学习；也能够选用自由切题模式，让答题过程更加自主、高效</w:t>
            </w:r>
            <w:r>
              <w:rPr>
                <w:rFonts w:hint="eastAsia" w:ascii="宋体" w:hAnsi="宋体" w:eastAsia="宋体" w:cs="宋体"/>
                <w:color w:val="auto"/>
              </w:rPr>
              <w:t>。</w:t>
            </w:r>
          </w:p>
          <w:p w14:paraId="1F7EC63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10、每科目考试及练习完成后具备得分统计，用时统计功能。</w:t>
            </w:r>
          </w:p>
          <w:p w14:paraId="4EC037B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11、练习模式下，可自由返回上一科目继续练习功能。</w:t>
            </w:r>
          </w:p>
          <w:p w14:paraId="4F8F047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12、</w:t>
            </w:r>
            <w:r>
              <w:rPr>
                <w:rFonts w:hint="eastAsia" w:ascii="宋体" w:hAnsi="宋体" w:eastAsia="宋体" w:cs="宋体"/>
                <w:color w:val="auto"/>
                <w:shd w:val="clear" w:color="auto" w:fill="FFFFFF"/>
              </w:rPr>
              <w:t>在考核模式中，系统内置了精密且严格的时间管控机制。当单科目考试进入倒计时阶段，系统会以精准的计时算法，实时监控剩余时间。一旦倒计时结束，基于先进的自动化技术，系统将立即启动强制提交程序，自动锁定当前答题状态。</w:t>
            </w:r>
          </w:p>
          <w:p w14:paraId="40FB01B9">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13、软件具有考试模式（系统对每一个科目下的子科目随机抽取，进行考试）和培训练习模式（可对每一个科目下的所有子科目自行选择，预览所有答题进行练习）功能。</w:t>
            </w:r>
          </w:p>
          <w:p w14:paraId="777C001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14、根据国家实操考核大纲及地方要求设置补考次数限制功能，设置补考次，默认为2次，可根据考场需求自行设置补考次数，考生可以规定考试次数内进行补考操作，否则不能再进行补考操作。</w:t>
            </w:r>
          </w:p>
          <w:p w14:paraId="5B1816A4">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15、具有根据考试时间段、身份号模糊查询本机总成绩及得分明细功能，</w:t>
            </w:r>
            <w:r>
              <w:rPr>
                <w:rFonts w:hint="eastAsia" w:ascii="宋体" w:hAnsi="宋体" w:eastAsia="宋体" w:cs="宋体"/>
                <w:color w:val="auto"/>
                <w:shd w:val="clear" w:color="auto" w:fill="FFFFFF"/>
              </w:rPr>
              <w:t>快速定位目标信息</w:t>
            </w:r>
            <w:r>
              <w:rPr>
                <w:rFonts w:hint="eastAsia" w:ascii="宋体" w:hAnsi="宋体" w:eastAsia="宋体" w:cs="宋体"/>
                <w:color w:val="auto"/>
              </w:rPr>
              <w:t>。</w:t>
            </w:r>
          </w:p>
          <w:p w14:paraId="2FAE808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16、</w:t>
            </w:r>
            <w:r>
              <w:rPr>
                <w:rFonts w:hint="eastAsia" w:ascii="宋体" w:hAnsi="宋体" w:eastAsia="宋体" w:cs="宋体"/>
                <w:color w:val="auto"/>
                <w:shd w:val="clear" w:color="auto" w:fill="FFFFFF"/>
              </w:rPr>
              <w:t>依托先进的云端数据交互技术，无需用户手动操作，系统即可自动监测并抓取最新的题目资源，实现题库内容的即时更新与扩充。</w:t>
            </w:r>
          </w:p>
          <w:p w14:paraId="2F0C707E">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17、考生成绩本机缓存功能、查询、导出功能。</w:t>
            </w:r>
          </w:p>
          <w:p w14:paraId="76D785E7">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18、支持成绩断点续传功能与人工手动提交功能。</w:t>
            </w:r>
          </w:p>
          <w:p w14:paraId="73623B7B">
            <w:pPr>
              <w:autoSpaceDE/>
              <w:autoSpaceDN/>
              <w:adjustRightInd/>
              <w:spacing w:line="240" w:lineRule="auto"/>
              <w:ind w:firstLine="482"/>
              <w:rPr>
                <w:rFonts w:hint="eastAsia" w:ascii="宋体" w:hAnsi="宋体" w:eastAsia="宋体" w:cs="宋体"/>
                <w:color w:val="auto"/>
                <w:szCs w:val="21"/>
              </w:rPr>
            </w:pPr>
            <w:r>
              <w:rPr>
                <w:rFonts w:hint="eastAsia" w:ascii="宋体" w:hAnsi="宋体" w:eastAsia="宋体" w:cs="宋体"/>
                <w:color w:val="auto"/>
              </w:rPr>
              <w:t>19</w:t>
            </w:r>
            <w:r>
              <w:rPr>
                <w:rFonts w:hint="eastAsia" w:ascii="宋体" w:hAnsi="宋体" w:eastAsia="宋体" w:cs="宋体"/>
                <w:color w:val="auto"/>
                <w:szCs w:val="21"/>
              </w:rPr>
              <w:t>、3D场景灭火，每次考试，系统在9个3D灭火器里随机抽取6个灭火器，让考生检查：瓶身是否锈蚀、喷嘴是否裂纹、压力阀是否异常、合格证是否异常、日期是否超时。</w:t>
            </w:r>
          </w:p>
          <w:p w14:paraId="262215FD">
            <w:pPr>
              <w:autoSpaceDE/>
              <w:autoSpaceDN/>
              <w:adjustRightInd/>
              <w:spacing w:line="240" w:lineRule="auto"/>
              <w:ind w:firstLine="482"/>
              <w:rPr>
                <w:rFonts w:hint="eastAsia" w:ascii="宋体" w:hAnsi="宋体" w:eastAsia="宋体" w:cs="宋体"/>
                <w:color w:val="auto"/>
              </w:rPr>
            </w:pPr>
            <w:r>
              <w:rPr>
                <w:rFonts w:hint="eastAsia" w:ascii="宋体" w:hAnsi="宋体" w:eastAsia="宋体" w:cs="宋体"/>
                <w:color w:val="auto"/>
                <w:szCs w:val="21"/>
              </w:rPr>
              <w:t>系统提供十余个起火场景动画，考生根据不同起火的类型选择灭火器。选择错误不能灭火、且系统自动判0分并终止考试；选择正确可拿起灭火器对准屏幕的火源进行灭火操作，系统自动判分。</w:t>
            </w:r>
          </w:p>
          <w:p w14:paraId="38DCE60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20、</w:t>
            </w:r>
            <w:r>
              <w:rPr>
                <w:rFonts w:hint="eastAsia" w:ascii="宋体" w:hAnsi="宋体" w:eastAsia="宋体" w:cs="宋体"/>
                <w:color w:val="auto"/>
                <w:shd w:val="clear" w:color="auto" w:fill="FFFFFF"/>
              </w:rPr>
              <w:t>本系统依托先进的集成架构与智能交互技术，实现了设备功能的高度融合与灵活切换。在同一台智能终端设备上，考生可借助高精度触控界面与智能引导系统，自由选择不同工种，畅享沉浸式的虚拟实训体验。</w:t>
            </w:r>
          </w:p>
          <w:p w14:paraId="17DFB82C">
            <w:pPr>
              <w:pStyle w:val="68"/>
              <w:autoSpaceDE/>
              <w:autoSpaceDN/>
              <w:adjustRightInd/>
              <w:spacing w:line="240" w:lineRule="auto"/>
              <w:ind w:firstLine="482" w:firstLineChars="0"/>
              <w:rPr>
                <w:rFonts w:hint="eastAsia" w:ascii="宋体" w:hAnsi="宋体" w:eastAsia="宋体" w:cs="宋体"/>
                <w:color w:val="auto"/>
                <w:shd w:val="clear" w:color="auto" w:fill="FFFFFF"/>
              </w:rPr>
            </w:pPr>
            <w:r>
              <w:rPr>
                <w:rFonts w:hint="eastAsia" w:ascii="宋体" w:hAnsi="宋体" w:eastAsia="宋体" w:cs="宋体"/>
                <w:color w:val="auto"/>
              </w:rPr>
              <w:t>21、</w:t>
            </w:r>
            <w:r>
              <w:rPr>
                <w:rFonts w:hint="eastAsia" w:ascii="宋体" w:hAnsi="宋体" w:eastAsia="宋体" w:cs="宋体"/>
                <w:color w:val="auto"/>
                <w:shd w:val="clear" w:color="auto" w:fill="FFFFFF"/>
              </w:rPr>
              <w:t>可精准实现科目一、科目三的智能考核评估，基于先进算法和多维度数据采集技术，对学员的操作进行全面、细致的分析。同时，配备了灭火器使用及选择模拟与实操教学功能，通过虚拟与现实结合的方式，指导用户科学选择灭火器，并进行沉浸式的使用操作训练，让技能学习更高效、更安全。</w:t>
            </w:r>
          </w:p>
          <w:p w14:paraId="662AAEAB">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22、支持对每个科目的分数占比，考试时间，题目数量做本地化的配置修改。</w:t>
            </w:r>
          </w:p>
          <w:p w14:paraId="646DAA1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shd w:val="clear" w:color="auto" w:fill="FFFFFF"/>
              </w:rPr>
              <w:t>深度赋能模拟仿真实操环节。在实操过程中，系统能够对硬件交互的每一个细微步骤进行实时监测与智能分析。精准判断各步骤的操作质量与规范程度，并据此进行科学判分。判分结束后，系统会以直观清晰的界面，将每个步骤的得分结果进行分项展示。</w:t>
            </w:r>
          </w:p>
          <w:p w14:paraId="4DC827DA">
            <w:pPr>
              <w:spacing w:before="156" w:beforeLines="50" w:after="156" w:afterLines="50"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三、设备详细参数（硬件结构类）</w:t>
            </w:r>
          </w:p>
          <w:p w14:paraId="57A5EA30">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24、</w:t>
            </w:r>
            <w:r>
              <w:rPr>
                <w:rFonts w:hint="eastAsia" w:ascii="宋体" w:hAnsi="宋体" w:eastAsia="宋体" w:cs="宋体"/>
                <w:color w:val="auto"/>
                <w:shd w:val="clear" w:color="auto" w:fill="FFFFFF"/>
              </w:rPr>
              <w:t>机身外观设计巧妙融合了现代美学与科技质感，整体以灰白色为主调，搭配上深邃的墨绿色线条装饰，恰似蕴含着无限能量的科技脉络。这一独特的色调搭配，以其简洁而不失大气的风格，低调中彰显出沉稳内敛的格调，赋予产品一种超越时代的科技美感，尽显高端与品质。</w:t>
            </w:r>
          </w:p>
          <w:p w14:paraId="51C8DD88">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25、设备结构采用一体式分模块组合结构设计，数字化智能升级。结构分为：显示分系统（43寸触摸屏）、设备主控分系统、灭火分系统。</w:t>
            </w:r>
          </w:p>
          <w:p w14:paraId="197342C6">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⑴一体式机身，空间利用率高，利于考场的布局和节省空间，降低成本；</w:t>
            </w:r>
          </w:p>
          <w:p w14:paraId="7ED6DF2F">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⑵模块化保证了系统的可组合性，具有很好的互换性，维修便利；</w:t>
            </w:r>
          </w:p>
          <w:p w14:paraId="6BC854DE">
            <w:pPr>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⑶结构采用静音万向轮，推拉方便，便于设备的安装、移动；</w:t>
            </w:r>
          </w:p>
          <w:p w14:paraId="27AEB362">
            <w:pPr>
              <w:pStyle w:val="68"/>
              <w:autoSpaceDE/>
              <w:autoSpaceDN/>
              <w:adjustRightInd/>
              <w:spacing w:line="240" w:lineRule="auto"/>
              <w:ind w:firstLine="630" w:firstLineChars="300"/>
              <w:rPr>
                <w:rFonts w:hint="eastAsia" w:ascii="宋体" w:hAnsi="宋体" w:eastAsia="宋体" w:cs="宋体"/>
                <w:color w:val="auto"/>
              </w:rPr>
            </w:pPr>
            <w:r>
              <w:rPr>
                <w:rFonts w:hint="eastAsia" w:ascii="宋体" w:hAnsi="宋体" w:eastAsia="宋体" w:cs="宋体"/>
                <w:color w:val="auto"/>
              </w:rPr>
              <w:t>⑷主控分系统升级后采用单片机模块，智能化自动采集各个实操动作点的信号，识别评判操作流程的规范性，自动评分；</w:t>
            </w:r>
          </w:p>
          <w:p w14:paraId="0B935A62">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26、显示屏为43寸液晶显示屏，可从正面手动调整摄像头的角度，调整为上下60度角，可根据考生的身高来进行调节，以在考试过程中抓拍照片防止代考，及在开考前进行人脸识别。</w:t>
            </w:r>
          </w:p>
          <w:p w14:paraId="36E1CC33">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27、PC模块化：将主板、CPU、内存条、PC电源、固态硬盘装配在PC模块盒内，做成一个模块，便于批量化生产、成套更换，在售后时可邮寄给客户自行更换，无需售后人员上门，极大降低售后成本。</w:t>
            </w:r>
          </w:p>
          <w:p w14:paraId="21AFF881">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28、在基础的三种灭火器的上增加了沙桶，组成了灭火套件，沙桶倾倒时动画演示出倾倒及灭火的效果。</w:t>
            </w:r>
          </w:p>
          <w:p w14:paraId="62480885">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29、内嵌</w:t>
            </w:r>
            <w:r>
              <w:rPr>
                <w:rFonts w:hint="eastAsia" w:ascii="宋体" w:hAnsi="宋体" w:eastAsia="宋体" w:cs="宋体"/>
                <w:color w:val="auto"/>
                <w:kern w:val="2"/>
                <w:sz w:val="22"/>
              </w:rPr>
              <w:t>XBox</w:t>
            </w:r>
            <w:r>
              <w:rPr>
                <w:rFonts w:hint="eastAsia" w:ascii="宋体" w:hAnsi="宋体" w:eastAsia="宋体" w:cs="宋体"/>
                <w:color w:val="auto"/>
              </w:rPr>
              <w:t>组件，可实现灭火侧身、距离、方位的检测。</w:t>
            </w:r>
          </w:p>
          <w:p w14:paraId="4D4A0BAD">
            <w:pPr>
              <w:pStyle w:val="68"/>
              <w:autoSpaceDE/>
              <w:autoSpaceDN/>
              <w:adjustRightInd/>
              <w:spacing w:line="240" w:lineRule="auto"/>
              <w:ind w:firstLine="482" w:firstLineChars="0"/>
              <w:rPr>
                <w:rFonts w:hint="eastAsia" w:ascii="宋体" w:hAnsi="宋体" w:eastAsia="宋体" w:cs="宋体"/>
                <w:color w:val="auto"/>
              </w:rPr>
            </w:pPr>
            <w:r>
              <w:rPr>
                <w:rFonts w:hint="eastAsia" w:ascii="宋体" w:hAnsi="宋体" w:eastAsia="宋体" w:cs="宋体"/>
                <w:color w:val="auto"/>
              </w:rPr>
              <w:t>30、</w:t>
            </w:r>
            <w:r>
              <w:rPr>
                <w:rFonts w:hint="eastAsia" w:ascii="宋体" w:hAnsi="宋体" w:eastAsia="宋体" w:cs="宋体"/>
                <w:color w:val="auto"/>
                <w:shd w:val="clear" w:color="auto" w:fill="FFFFFF"/>
              </w:rPr>
              <w:t>台面精心嵌入一体化金属不锈钢键盘，其采用先进的无缝封装工艺，具备卓越的防水、防油、防尘性能，可轻松抵御复杂环境的侵扰，为设备的稳定运行提供坚实保障。在设计上，严格遵循人体工程学原理，每一个按键的布局与触感都经过精心调校，贴合手指的自然弧度，按压反馈灵敏舒适，带来行云流水般的输入体验。</w:t>
            </w:r>
          </w:p>
          <w:p w14:paraId="193C87DF">
            <w:pPr>
              <w:numPr>
                <w:ilvl w:val="0"/>
                <w:numId w:val="0"/>
              </w:numPr>
              <w:spacing w:line="240" w:lineRule="auto"/>
              <w:ind w:left="0" w:leftChars="0" w:firstLine="0" w:firstLineChars="0"/>
              <w:rPr>
                <w:rFonts w:hint="eastAsia" w:ascii="宋体" w:hAnsi="宋体" w:eastAsia="宋体" w:cs="宋体"/>
                <w:sz w:val="21"/>
                <w:szCs w:val="21"/>
              </w:rPr>
            </w:pPr>
          </w:p>
        </w:tc>
        <w:tc>
          <w:tcPr>
            <w:tcW w:w="700" w:type="dxa"/>
            <w:noWrap w:val="0"/>
            <w:vAlign w:val="center"/>
          </w:tcPr>
          <w:p w14:paraId="12C94DA2">
            <w:pPr>
              <w:widowControl/>
              <w:spacing w:line="240" w:lineRule="auto"/>
              <w:jc w:val="center"/>
              <w:rPr>
                <w:rFonts w:hint="eastAsia" w:ascii="宋体" w:hAnsi="宋体" w:eastAsia="宋体" w:cs="宋体"/>
                <w:color w:val="000000"/>
                <w:sz w:val="21"/>
                <w:szCs w:val="21"/>
              </w:rPr>
            </w:pPr>
            <w:r>
              <w:rPr>
                <w:rFonts w:hint="eastAsia" w:ascii="宋体" w:hAnsi="宋体" w:eastAsia="宋体" w:cs="宋体"/>
                <w:color w:val="auto"/>
                <w:kern w:val="0"/>
                <w:szCs w:val="21"/>
                <w:highlight w:val="none"/>
                <w:lang w:val="en-US" w:eastAsia="zh-CN"/>
              </w:rPr>
              <w:t>2</w:t>
            </w:r>
          </w:p>
        </w:tc>
        <w:tc>
          <w:tcPr>
            <w:tcW w:w="712" w:type="dxa"/>
            <w:noWrap w:val="0"/>
            <w:vAlign w:val="center"/>
          </w:tcPr>
          <w:p w14:paraId="60FB4E04">
            <w:pPr>
              <w:spacing w:line="240" w:lineRule="auto"/>
              <w:jc w:val="center"/>
              <w:rPr>
                <w:rFonts w:hint="eastAsia" w:ascii="宋体" w:hAnsi="宋体" w:eastAsia="宋体" w:cs="宋体"/>
                <w:sz w:val="21"/>
                <w:szCs w:val="21"/>
              </w:rPr>
            </w:pPr>
            <w:r>
              <w:rPr>
                <w:rFonts w:hint="eastAsia" w:ascii="宋体" w:hAnsi="宋体" w:eastAsia="宋体" w:cs="宋体"/>
                <w:color w:val="auto"/>
                <w:szCs w:val="21"/>
                <w:highlight w:val="none"/>
                <w:lang w:val="en-US" w:eastAsia="zh-CN"/>
              </w:rPr>
              <w:t>台</w:t>
            </w:r>
          </w:p>
        </w:tc>
      </w:tr>
    </w:tbl>
    <w:p w14:paraId="2625EB16">
      <w:pPr>
        <w:pStyle w:val="23"/>
        <w:rPr>
          <w:rFonts w:hint="eastAsia"/>
          <w:color w:val="auto"/>
          <w:lang w:val="zh-CN"/>
        </w:rPr>
        <w:sectPr>
          <w:pgSz w:w="11906" w:h="16838"/>
          <w:pgMar w:top="1440" w:right="1080" w:bottom="1440" w:left="1080" w:header="851" w:footer="737" w:gutter="0"/>
          <w:pgNumType w:fmt="decimal"/>
          <w:cols w:space="720" w:num="1"/>
        </w:sectPr>
      </w:pPr>
    </w:p>
    <w:p w14:paraId="6B167372">
      <w:pPr>
        <w:pStyle w:val="3"/>
        <w:keepNext w:val="0"/>
        <w:keepLines w:val="0"/>
        <w:spacing w:line="360" w:lineRule="auto"/>
        <w:jc w:val="center"/>
        <w:rPr>
          <w:b w:val="0"/>
          <w:bCs w:val="0"/>
          <w:color w:val="auto"/>
        </w:rPr>
      </w:pPr>
      <w:r>
        <w:rPr>
          <w:rFonts w:hint="eastAsia"/>
          <w:color w:val="auto"/>
        </w:rPr>
        <w:t>第</w:t>
      </w:r>
      <w:r>
        <w:rPr>
          <w:rFonts w:hint="eastAsia"/>
          <w:color w:val="auto"/>
          <w:lang w:eastAsia="zh-CN"/>
        </w:rPr>
        <w:t>六</w:t>
      </w:r>
      <w:r>
        <w:rPr>
          <w:rFonts w:hint="eastAsia"/>
          <w:color w:val="auto"/>
        </w:rPr>
        <w:t>章  投标文件构成、要求及格式</w:t>
      </w:r>
      <w:bookmarkEnd w:id="99"/>
      <w:bookmarkEnd w:id="100"/>
      <w:bookmarkEnd w:id="101"/>
      <w:bookmarkEnd w:id="102"/>
      <w:bookmarkEnd w:id="103"/>
      <w:bookmarkEnd w:id="104"/>
    </w:p>
    <w:p w14:paraId="04A81B3A">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14:paraId="67B473D5">
      <w:pPr>
        <w:spacing w:line="500" w:lineRule="exact"/>
        <w:jc w:val="right"/>
        <w:rPr>
          <w:rFonts w:ascii="宋体" w:hAnsi="宋体"/>
          <w:bCs/>
          <w:color w:val="auto"/>
          <w:sz w:val="32"/>
          <w:szCs w:val="32"/>
          <w:highlight w:val="none"/>
        </w:rPr>
      </w:pPr>
      <w:bookmarkStart w:id="109" w:name="_Toc12438"/>
      <w:bookmarkStart w:id="110" w:name="_Toc1898"/>
      <w:bookmarkStart w:id="111" w:name="_Toc11558"/>
      <w:r>
        <w:rPr>
          <w:rFonts w:hint="eastAsia" w:ascii="宋体" w:hAnsi="宋体"/>
          <w:bCs/>
          <w:color w:val="auto"/>
          <w:sz w:val="32"/>
          <w:szCs w:val="32"/>
          <w:highlight w:val="none"/>
        </w:rPr>
        <w:t>（正本/副本）</w:t>
      </w:r>
    </w:p>
    <w:p w14:paraId="289CA3CB">
      <w:pPr>
        <w:spacing w:line="780" w:lineRule="exact"/>
        <w:jc w:val="center"/>
        <w:rPr>
          <w:rFonts w:ascii="宋体" w:hAnsi="宋体"/>
          <w:b/>
          <w:color w:val="auto"/>
          <w:sz w:val="44"/>
          <w:szCs w:val="44"/>
          <w:highlight w:val="none"/>
        </w:rPr>
      </w:pPr>
    </w:p>
    <w:p w14:paraId="2F0956B9">
      <w:pPr>
        <w:spacing w:line="780" w:lineRule="exact"/>
        <w:jc w:val="center"/>
        <w:rPr>
          <w:rFonts w:ascii="宋体" w:hAnsi="宋体"/>
          <w:b/>
          <w:color w:val="auto"/>
          <w:sz w:val="44"/>
          <w:szCs w:val="44"/>
          <w:highlight w:val="none"/>
        </w:rPr>
      </w:pPr>
      <w:r>
        <w:rPr>
          <w:rFonts w:hint="eastAsia" w:ascii="宋体" w:hAnsi="宋体"/>
          <w:b/>
          <w:color w:val="auto"/>
          <w:sz w:val="44"/>
          <w:szCs w:val="44"/>
          <w:highlight w:val="none"/>
          <w:u w:val="single"/>
        </w:rPr>
        <w:t>（项目名称）</w:t>
      </w:r>
    </w:p>
    <w:p w14:paraId="0E96826A">
      <w:pPr>
        <w:tabs>
          <w:tab w:val="left" w:pos="2700"/>
        </w:tabs>
        <w:spacing w:line="500" w:lineRule="exact"/>
        <w:rPr>
          <w:rFonts w:ascii="宋体" w:hAnsi="宋体"/>
          <w:bCs/>
          <w:color w:val="auto"/>
          <w:sz w:val="28"/>
          <w:szCs w:val="28"/>
          <w:highlight w:val="none"/>
        </w:rPr>
      </w:pPr>
      <w:r>
        <w:rPr>
          <w:rFonts w:hint="eastAsia" w:ascii="宋体" w:hAnsi="宋体"/>
          <w:bCs/>
          <w:color w:val="auto"/>
          <w:sz w:val="28"/>
          <w:szCs w:val="28"/>
          <w:highlight w:val="none"/>
        </w:rPr>
        <w:tab/>
      </w:r>
    </w:p>
    <w:p w14:paraId="55102472">
      <w:pPr>
        <w:spacing w:line="500" w:lineRule="exact"/>
        <w:rPr>
          <w:rFonts w:ascii="宋体" w:hAnsi="宋体"/>
          <w:bCs/>
          <w:color w:val="auto"/>
          <w:sz w:val="28"/>
          <w:szCs w:val="28"/>
          <w:highlight w:val="none"/>
        </w:rPr>
      </w:pPr>
    </w:p>
    <w:p w14:paraId="301E9370">
      <w:pPr>
        <w:spacing w:line="500" w:lineRule="exact"/>
        <w:rPr>
          <w:rFonts w:ascii="宋体" w:hAnsi="宋体"/>
          <w:bCs/>
          <w:color w:val="auto"/>
          <w:sz w:val="28"/>
          <w:szCs w:val="28"/>
          <w:highlight w:val="none"/>
        </w:rPr>
      </w:pPr>
    </w:p>
    <w:p w14:paraId="7DF3CB3F">
      <w:pPr>
        <w:spacing w:line="500" w:lineRule="exact"/>
        <w:rPr>
          <w:rFonts w:ascii="宋体" w:hAnsi="宋体"/>
          <w:bCs/>
          <w:color w:val="auto"/>
          <w:sz w:val="28"/>
          <w:szCs w:val="28"/>
          <w:highlight w:val="none"/>
        </w:rPr>
      </w:pPr>
    </w:p>
    <w:p w14:paraId="624C7E02">
      <w:pPr>
        <w:spacing w:line="500" w:lineRule="exact"/>
        <w:rPr>
          <w:rFonts w:ascii="宋体" w:hAnsi="宋体"/>
          <w:bCs/>
          <w:color w:val="auto"/>
          <w:sz w:val="28"/>
          <w:szCs w:val="28"/>
          <w:highlight w:val="none"/>
        </w:rPr>
      </w:pPr>
    </w:p>
    <w:p w14:paraId="44844E15">
      <w:pPr>
        <w:spacing w:line="500" w:lineRule="exact"/>
        <w:jc w:val="center"/>
        <w:rPr>
          <w:rFonts w:ascii="宋体" w:hAnsi="宋体"/>
          <w:bCs/>
          <w:color w:val="auto"/>
          <w:sz w:val="44"/>
          <w:szCs w:val="44"/>
          <w:highlight w:val="none"/>
        </w:rPr>
      </w:pPr>
      <w:r>
        <w:rPr>
          <w:rFonts w:hint="eastAsia" w:ascii="宋体" w:hAnsi="宋体"/>
          <w:bCs/>
          <w:color w:val="auto"/>
          <w:sz w:val="44"/>
          <w:szCs w:val="44"/>
          <w:highlight w:val="none"/>
        </w:rPr>
        <w:t>投   标   文   件</w:t>
      </w:r>
    </w:p>
    <w:p w14:paraId="38C40D64">
      <w:pPr>
        <w:spacing w:line="500" w:lineRule="exact"/>
        <w:jc w:val="center"/>
        <w:rPr>
          <w:rFonts w:ascii="宋体" w:hAnsi="宋体"/>
          <w:color w:val="auto"/>
          <w:kern w:val="44"/>
          <w:sz w:val="44"/>
          <w:szCs w:val="44"/>
          <w:highlight w:val="none"/>
          <w:lang w:val="zh-CN"/>
        </w:rPr>
      </w:pPr>
    </w:p>
    <w:p w14:paraId="1A1F0C73">
      <w:pPr>
        <w:spacing w:line="500" w:lineRule="exact"/>
        <w:jc w:val="center"/>
        <w:rPr>
          <w:rFonts w:ascii="宋体" w:hAnsi="宋体"/>
          <w:b/>
          <w:color w:val="auto"/>
          <w:sz w:val="32"/>
          <w:szCs w:val="32"/>
          <w:highlight w:val="none"/>
          <w:u w:val="single"/>
        </w:rPr>
      </w:pPr>
    </w:p>
    <w:p w14:paraId="72856F2C">
      <w:pPr>
        <w:spacing w:line="500" w:lineRule="exact"/>
        <w:jc w:val="center"/>
        <w:rPr>
          <w:rFonts w:ascii="宋体" w:hAnsi="宋体"/>
          <w:b/>
          <w:color w:val="auto"/>
          <w:sz w:val="32"/>
          <w:szCs w:val="32"/>
          <w:highlight w:val="none"/>
          <w:u w:val="single"/>
        </w:rPr>
      </w:pPr>
    </w:p>
    <w:p w14:paraId="3833D619">
      <w:pPr>
        <w:spacing w:line="500" w:lineRule="exact"/>
        <w:rPr>
          <w:rFonts w:ascii="宋体" w:hAnsi="宋体"/>
          <w:color w:val="auto"/>
          <w:sz w:val="28"/>
          <w:szCs w:val="28"/>
          <w:highlight w:val="none"/>
        </w:rPr>
      </w:pPr>
    </w:p>
    <w:p w14:paraId="4B8F28D6">
      <w:pPr>
        <w:spacing w:line="500" w:lineRule="exact"/>
        <w:rPr>
          <w:rFonts w:ascii="宋体" w:hAnsi="宋体"/>
          <w:color w:val="auto"/>
          <w:sz w:val="28"/>
          <w:szCs w:val="28"/>
          <w:highlight w:val="none"/>
        </w:rPr>
      </w:pPr>
    </w:p>
    <w:p w14:paraId="06F80F49">
      <w:pPr>
        <w:spacing w:line="500" w:lineRule="exact"/>
        <w:rPr>
          <w:rFonts w:ascii="宋体" w:hAnsi="宋体"/>
          <w:color w:val="auto"/>
          <w:sz w:val="28"/>
          <w:szCs w:val="28"/>
          <w:highlight w:val="none"/>
        </w:rPr>
      </w:pPr>
    </w:p>
    <w:p w14:paraId="2310D27C">
      <w:pPr>
        <w:spacing w:line="500" w:lineRule="exact"/>
        <w:rPr>
          <w:rFonts w:ascii="宋体" w:hAnsi="宋体"/>
          <w:b/>
          <w:color w:val="auto"/>
          <w:sz w:val="28"/>
          <w:szCs w:val="28"/>
          <w:highlight w:val="none"/>
          <w:u w:val="singl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single"/>
        </w:rPr>
        <w:t xml:space="preserve"> </w:t>
      </w:r>
    </w:p>
    <w:p w14:paraId="36E7EDAE">
      <w:pPr>
        <w:spacing w:line="500" w:lineRule="exact"/>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val="en-US" w:eastAsia="zh-CN"/>
        </w:rPr>
        <w:t>___________________________________________</w:t>
      </w:r>
      <w:r>
        <w:rPr>
          <w:rFonts w:hint="eastAsia" w:ascii="宋体" w:hAnsi="宋体"/>
          <w:b/>
          <w:color w:val="auto"/>
          <w:sz w:val="28"/>
          <w:szCs w:val="28"/>
          <w:highlight w:val="none"/>
          <w:u w:val="none"/>
          <w:lang w:val="en-US" w:eastAsia="zh-CN"/>
        </w:rPr>
        <w:t xml:space="preserve">                                           </w:t>
      </w:r>
      <w:r>
        <w:rPr>
          <w:rFonts w:hint="eastAsia" w:ascii="宋体" w:hAnsi="宋体"/>
          <w:b/>
          <w:color w:val="auto"/>
          <w:sz w:val="28"/>
          <w:szCs w:val="28"/>
          <w:highlight w:val="none"/>
          <w:u w:val="none"/>
        </w:rPr>
        <w:t xml:space="preserve"> </w:t>
      </w:r>
      <w:r>
        <w:rPr>
          <w:rFonts w:hint="eastAsia" w:ascii="宋体" w:hAnsi="宋体"/>
          <w:b/>
          <w:color w:val="auto"/>
          <w:sz w:val="28"/>
          <w:szCs w:val="28"/>
          <w:highlight w:val="none"/>
          <w:u w:val="single"/>
        </w:rPr>
        <w:t xml:space="preserve">                                      </w:t>
      </w:r>
    </w:p>
    <w:p w14:paraId="1D531F71">
      <w:pPr>
        <w:spacing w:line="500" w:lineRule="exact"/>
        <w:rPr>
          <w:rFonts w:ascii="宋体" w:hAnsi="宋体"/>
          <w:b/>
          <w:color w:val="auto"/>
          <w:sz w:val="28"/>
          <w:szCs w:val="28"/>
          <w:highlight w:val="none"/>
        </w:rPr>
      </w:pPr>
      <w:r>
        <w:rPr>
          <w:rFonts w:hint="eastAsia" w:ascii="宋体" w:hAnsi="宋体"/>
          <w:b/>
          <w:color w:val="auto"/>
          <w:sz w:val="28"/>
          <w:szCs w:val="28"/>
          <w:highlight w:val="none"/>
        </w:rPr>
        <w:t>投标人全称：</w:t>
      </w:r>
      <w:r>
        <w:rPr>
          <w:rFonts w:hint="eastAsia" w:ascii="宋体" w:hAnsi="宋体"/>
          <w:b/>
          <w:color w:val="auto"/>
          <w:sz w:val="28"/>
          <w:szCs w:val="28"/>
          <w:highlight w:val="none"/>
          <w:u w:val="single"/>
        </w:rPr>
        <w:t xml:space="preserve">                          （加盖单位公章）</w:t>
      </w:r>
      <w:r>
        <w:rPr>
          <w:rFonts w:hint="eastAsia" w:ascii="宋体" w:hAnsi="宋体"/>
          <w:b/>
          <w:color w:val="auto"/>
          <w:sz w:val="28"/>
          <w:szCs w:val="28"/>
          <w:highlight w:val="none"/>
        </w:rPr>
        <w:t xml:space="preserve"> </w:t>
      </w:r>
    </w:p>
    <w:p w14:paraId="26CB064E">
      <w:pPr>
        <w:tabs>
          <w:tab w:val="left" w:pos="432"/>
        </w:tabs>
        <w:spacing w:before="0" w:after="0" w:line="360" w:lineRule="auto"/>
        <w:ind w:right="-218" w:rightChars="-104"/>
        <w:jc w:val="both"/>
        <w:outlineLvl w:val="9"/>
        <w:rPr>
          <w:rFonts w:hint="eastAsia" w:ascii="宋体" w:hAnsi="宋体"/>
          <w:color w:val="auto"/>
          <w:sz w:val="28"/>
          <w:szCs w:val="28"/>
          <w:highlight w:val="none"/>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b/>
          <w:color w:val="auto"/>
          <w:sz w:val="28"/>
          <w:szCs w:val="28"/>
          <w:highlight w:val="none"/>
        </w:rPr>
        <w:t>日  期：</w:t>
      </w:r>
      <w:r>
        <w:rPr>
          <w:rFonts w:hint="eastAsia" w:ascii="宋体" w:hAnsi="宋体"/>
          <w:b/>
          <w:color w:val="auto"/>
          <w:sz w:val="28"/>
          <w:szCs w:val="28"/>
          <w:highlight w:val="none"/>
          <w:u w:val="single"/>
        </w:rPr>
        <w:t xml:space="preserve">                                  年   月   日</w:t>
      </w:r>
    </w:p>
    <w:p w14:paraId="24149FBF">
      <w:pPr>
        <w:tabs>
          <w:tab w:val="left" w:pos="432"/>
        </w:tabs>
        <w:spacing w:before="0" w:after="0" w:line="360" w:lineRule="auto"/>
        <w:ind w:right="-218" w:rightChars="-104"/>
        <w:jc w:val="center"/>
        <w:outlineLvl w:val="9"/>
        <w:rPr>
          <w:rFonts w:ascii="宋体" w:hAnsi="宋体"/>
          <w:color w:val="auto"/>
          <w:sz w:val="28"/>
          <w:szCs w:val="28"/>
          <w:highlight w:val="none"/>
        </w:rPr>
      </w:pPr>
      <w:r>
        <w:rPr>
          <w:rFonts w:hint="eastAsia" w:ascii="宋体" w:hAnsi="宋体"/>
          <w:color w:val="auto"/>
          <w:sz w:val="28"/>
          <w:szCs w:val="28"/>
          <w:highlight w:val="none"/>
        </w:rPr>
        <w:t>评标索引</w:t>
      </w:r>
      <w:bookmarkEnd w:id="109"/>
    </w:p>
    <w:p w14:paraId="6019DA62">
      <w:pPr>
        <w:autoSpaceDE w:val="0"/>
        <w:autoSpaceDN w:val="0"/>
        <w:adjustRightInd w:val="0"/>
        <w:outlineLvl w:val="1"/>
        <w:rPr>
          <w:rFonts w:hint="eastAsia" w:ascii="宋体" w:hAnsi="宋体" w:cs="宋体"/>
          <w:color w:val="auto"/>
          <w:sz w:val="24"/>
          <w:highlight w:val="none"/>
          <w:lang w:val="zh-CN"/>
        </w:rPr>
        <w:sectPr>
          <w:pgSz w:w="11906" w:h="16838"/>
          <w:pgMar w:top="1440" w:right="1196" w:bottom="1440" w:left="1196"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hint="eastAsia" w:ascii="宋体" w:hAnsi="宋体" w:cs="宋体"/>
          <w:color w:val="auto"/>
          <w:sz w:val="24"/>
          <w:highlight w:val="none"/>
          <w:lang w:val="zh-CN"/>
        </w:rPr>
        <w:t>投标人请在目录后方加入评标索引，将《资格审查表》、《符合性审查表》粘贴于此处，并在最右侧加入“页码”栏。</w:t>
      </w:r>
    </w:p>
    <w:p w14:paraId="6796AEDB">
      <w:pPr>
        <w:autoSpaceDE w:val="0"/>
        <w:autoSpaceDN w:val="0"/>
        <w:adjustRightInd w:val="0"/>
        <w:outlineLvl w:val="1"/>
        <w:rPr>
          <w:rFonts w:hint="eastAsia" w:ascii="宋体" w:hAnsi="宋体" w:cs="宋体"/>
          <w:b/>
          <w:color w:val="auto"/>
          <w:sz w:val="24"/>
          <w:lang w:val="zh-CN"/>
        </w:rPr>
      </w:pPr>
      <w:r>
        <w:rPr>
          <w:rFonts w:hint="eastAsia" w:ascii="宋体" w:hAnsi="宋体" w:cs="宋体"/>
          <w:b/>
          <w:color w:val="auto"/>
          <w:sz w:val="24"/>
          <w:lang w:val="zh-CN"/>
        </w:rPr>
        <w:t>格式一</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投标函</w:t>
      </w:r>
      <w:bookmarkEnd w:id="110"/>
      <w:bookmarkEnd w:id="111"/>
    </w:p>
    <w:p w14:paraId="3C01388B">
      <w:pPr>
        <w:autoSpaceDE w:val="0"/>
        <w:autoSpaceDN w:val="0"/>
        <w:adjustRightInd w:val="0"/>
        <w:outlineLvl w:val="9"/>
        <w:rPr>
          <w:rFonts w:hint="eastAsia" w:ascii="宋体" w:hAnsi="宋体" w:cs="宋体"/>
          <w:color w:val="auto"/>
          <w:kern w:val="0"/>
          <w:szCs w:val="21"/>
          <w:u w:val="none"/>
          <w:lang w:val="zh-CN"/>
        </w:rPr>
      </w:pPr>
      <w:r>
        <w:rPr>
          <w:rFonts w:hint="eastAsia" w:ascii="宋体" w:hAnsi="宋体" w:cs="宋体"/>
          <w:color w:val="auto"/>
          <w:kern w:val="0"/>
          <w:szCs w:val="21"/>
          <w:u w:val="none"/>
          <w:lang w:val="zh-CN"/>
        </w:rPr>
        <w:t>吉林电子信息职业技术学院</w:t>
      </w:r>
      <w:r>
        <w:rPr>
          <w:rFonts w:hint="eastAsia" w:ascii="宋体" w:hAnsi="宋体" w:cs="宋体"/>
          <w:color w:val="auto"/>
          <w:kern w:val="0"/>
          <w:szCs w:val="21"/>
          <w:u w:val="none"/>
          <w:lang w:val="zh-CN" w:eastAsia="zh-CN"/>
        </w:rPr>
        <w:t>及吉林亿品工程项目管理有限公司</w:t>
      </w:r>
      <w:r>
        <w:rPr>
          <w:rFonts w:hint="eastAsia" w:ascii="宋体" w:hAnsi="宋体" w:cs="宋体"/>
          <w:color w:val="auto"/>
          <w:kern w:val="0"/>
          <w:szCs w:val="21"/>
          <w:u w:val="none"/>
          <w:lang w:val="zh-CN"/>
        </w:rPr>
        <w:t>：</w:t>
      </w:r>
    </w:p>
    <w:p w14:paraId="27CF72C3">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根据你方</w:t>
      </w:r>
      <w:r>
        <w:rPr>
          <w:rFonts w:hint="eastAsia" w:ascii="宋体" w:hAnsi="宋体" w:cs="宋体"/>
          <w:color w:val="auto"/>
          <w:szCs w:val="21"/>
          <w:u w:val="single"/>
          <w:lang w:val="zh-CN"/>
        </w:rPr>
        <w:t xml:space="preserve">  （项目名称） </w:t>
      </w:r>
      <w:r>
        <w:rPr>
          <w:rFonts w:hint="eastAsia" w:ascii="宋体" w:hAnsi="宋体" w:cs="宋体"/>
          <w:color w:val="auto"/>
          <w:szCs w:val="21"/>
          <w:lang w:val="zh-CN"/>
        </w:rPr>
        <w:t>项目的编号为</w:t>
      </w:r>
      <w:r>
        <w:rPr>
          <w:rFonts w:hint="eastAsia" w:ascii="宋体" w:hAnsi="宋体" w:cs="宋体"/>
          <w:color w:val="auto"/>
          <w:szCs w:val="21"/>
          <w:u w:val="single"/>
          <w:lang w:val="zh-CN"/>
        </w:rPr>
        <w:t xml:space="preserve">     </w:t>
      </w:r>
      <w:r>
        <w:rPr>
          <w:rFonts w:hint="eastAsia" w:ascii="宋体" w:hAnsi="宋体" w:cs="宋体"/>
          <w:color w:val="auto"/>
          <w:szCs w:val="21"/>
          <w:lang w:val="zh-CN"/>
        </w:rPr>
        <w:t>招标文件，我方正式授权的下述签字人</w:t>
      </w:r>
      <w:r>
        <w:rPr>
          <w:rFonts w:hint="eastAsia" w:ascii="宋体" w:hAnsi="宋体" w:cs="宋体"/>
          <w:color w:val="auto"/>
          <w:szCs w:val="21"/>
          <w:u w:val="single"/>
          <w:lang w:val="zh-CN"/>
        </w:rPr>
        <w:t xml:space="preserve">  （姓名和职务）  </w:t>
      </w:r>
      <w:r>
        <w:rPr>
          <w:rFonts w:hint="eastAsia" w:ascii="宋体" w:hAnsi="宋体" w:cs="宋体"/>
          <w:color w:val="auto"/>
          <w:szCs w:val="21"/>
          <w:lang w:val="zh-CN"/>
        </w:rPr>
        <w:t>代表我方</w:t>
      </w:r>
      <w:r>
        <w:rPr>
          <w:rFonts w:hint="eastAsia" w:ascii="宋体" w:hAnsi="宋体" w:cs="宋体"/>
          <w:color w:val="auto"/>
          <w:szCs w:val="21"/>
          <w:u w:val="single"/>
          <w:lang w:val="zh-CN"/>
        </w:rPr>
        <w:t xml:space="preserve">  （投标人的名称）  </w:t>
      </w:r>
      <w:r>
        <w:rPr>
          <w:rFonts w:hint="eastAsia" w:ascii="宋体" w:hAnsi="宋体" w:cs="宋体"/>
          <w:color w:val="auto"/>
          <w:szCs w:val="21"/>
          <w:lang w:val="zh-CN"/>
        </w:rPr>
        <w:t>，按照你方招标文件的规定，提交《投标人须知》要求的全部文件，并保证所提供的全部文件是真实的、有效的和准确的。</w:t>
      </w:r>
    </w:p>
    <w:p w14:paraId="079DBA3A">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据此函，签字人兹宣布同意如下：</w:t>
      </w:r>
    </w:p>
    <w:p w14:paraId="6C0E202F">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1.按招标文件规定提供服务的投标总价为（大写）</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元人民币。</w:t>
      </w:r>
    </w:p>
    <w:p w14:paraId="58C22AA1">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zh-CN"/>
        </w:rPr>
        <w:t>2.如果我方中标，我们保证根据招标文件规定履行合同责任和义务。具体服务时间承诺如下：</w:t>
      </w:r>
    </w:p>
    <w:p w14:paraId="1BC0BCED">
      <w:pPr>
        <w:tabs>
          <w:tab w:val="left" w:pos="8175"/>
        </w:tabs>
        <w:autoSpaceDE w:val="0"/>
        <w:autoSpaceDN w:val="0"/>
        <w:adjustRightInd w:val="0"/>
        <w:ind w:firstLine="420" w:firstLineChars="200"/>
        <w:outlineLvl w:val="9"/>
        <w:rPr>
          <w:rFonts w:hint="eastAsia" w:ascii="宋体" w:hAnsi="宋体" w:cs="宋体"/>
          <w:color w:val="auto"/>
          <w:szCs w:val="21"/>
          <w:lang w:val="zh-CN"/>
        </w:rPr>
      </w:pPr>
      <w:r>
        <w:rPr>
          <w:rFonts w:hint="eastAsia" w:ascii="宋体" w:hAnsi="宋体" w:cs="宋体"/>
          <w:color w:val="auto"/>
          <w:szCs w:val="21"/>
          <w:lang w:val="en-US" w:eastAsia="zh-CN"/>
        </w:rPr>
        <w:t>______________________________</w:t>
      </w:r>
      <w:r>
        <w:rPr>
          <w:rFonts w:hint="eastAsia" w:ascii="宋体" w:hAnsi="宋体" w:cs="宋体"/>
          <w:color w:val="auto"/>
          <w:szCs w:val="21"/>
          <w:lang w:val="zh-CN"/>
        </w:rPr>
        <w:t>。</w:t>
      </w:r>
    </w:p>
    <w:p w14:paraId="7CC7339C">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3.我方人民币</w:t>
      </w:r>
      <w:r>
        <w:rPr>
          <w:rFonts w:hint="eastAsia" w:ascii="宋体" w:hAnsi="宋体" w:cs="宋体"/>
          <w:color w:val="auto"/>
          <w:szCs w:val="21"/>
          <w:u w:val="single"/>
          <w:lang w:val="zh-CN"/>
        </w:rPr>
        <w:t xml:space="preserve">        </w:t>
      </w:r>
      <w:r>
        <w:rPr>
          <w:rFonts w:hint="eastAsia" w:ascii="宋体" w:hAnsi="宋体" w:cs="宋体"/>
          <w:color w:val="auto"/>
          <w:szCs w:val="21"/>
          <w:lang w:val="zh-CN"/>
        </w:rPr>
        <w:t>元的投标保证金与本投标文件同时提交。</w:t>
      </w:r>
    </w:p>
    <w:p w14:paraId="07AFE295">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4.如果我方中标，我方保证按照招标文件规定提交履约保证金，承担履约责任。</w:t>
      </w:r>
    </w:p>
    <w:p w14:paraId="32305CDA">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5.我们已详细阅读了全部招标文件，包括招标文件的修改、补充文件、参考资料及有关的附件，我们接受招标文件的全部条款和条件，我们知道必须放弃提出含糊不清或误解的问题的权利。</w:t>
      </w:r>
    </w:p>
    <w:p w14:paraId="2AFE0F2F">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6.我们对招标文件关于时限、程序方面的规定没有异议，保证按照招标文件规定的时限和程序参加投标活动。</w:t>
      </w:r>
    </w:p>
    <w:p w14:paraId="1784CE9D">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7.我们同意在投标人须知规定的开标时间起遵循本投标书，并在投标人须知规定的投标有效期满之前均具有约束力，并有可能中标。</w:t>
      </w:r>
    </w:p>
    <w:p w14:paraId="33C2039F">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8.我们如果在规定的投标有效期内撤回投标，则你方可不予退还我们的投标保证金。</w:t>
      </w:r>
    </w:p>
    <w:p w14:paraId="0595E4FD">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9.我们保证向你方提供你方可能要求的与本投标有关的任何证据或资料。</w:t>
      </w:r>
    </w:p>
    <w:p w14:paraId="5191B98B">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10.我们完全理解你方不一定要接受最低报价的投标或收到的任何投标。</w:t>
      </w:r>
    </w:p>
    <w:p w14:paraId="1B1A30DD">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11.本投标自开标之时起90天内有效。</w:t>
      </w:r>
    </w:p>
    <w:p w14:paraId="2DD64DC0">
      <w:pPr>
        <w:tabs>
          <w:tab w:val="left" w:pos="709"/>
        </w:tabs>
        <w:autoSpaceDE w:val="0"/>
        <w:autoSpaceDN w:val="0"/>
        <w:adjustRightInd w:val="0"/>
        <w:ind w:firstLine="482"/>
        <w:outlineLvl w:val="9"/>
        <w:rPr>
          <w:rFonts w:hint="eastAsia" w:ascii="宋体" w:hAnsi="宋体" w:cs="宋体"/>
          <w:color w:val="auto"/>
          <w:kern w:val="0"/>
          <w:szCs w:val="21"/>
          <w:lang w:val="zh-CN"/>
        </w:rPr>
      </w:pPr>
      <w:r>
        <w:rPr>
          <w:rFonts w:hint="eastAsia" w:ascii="宋体" w:hAnsi="宋体" w:cs="宋体"/>
          <w:color w:val="auto"/>
          <w:kern w:val="0"/>
          <w:szCs w:val="21"/>
          <w:lang w:val="zh-CN"/>
        </w:rPr>
        <w:t>12.我方保证严格遵守《中华人民共和国政府采购法实施条例》的有关规定，若有下列情形之一的，我方将被处不予退还投标保证金，列入不良行为记录名单，在一至三年内禁止参加政府招标活动，并予以公告：</w:t>
      </w:r>
    </w:p>
    <w:p w14:paraId="1E66FBBB">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1</w:t>
      </w:r>
      <w:r>
        <w:rPr>
          <w:rFonts w:hint="eastAsia" w:ascii="宋体" w:hAnsi="宋体" w:cs="宋体"/>
          <w:color w:val="auto"/>
          <w:szCs w:val="21"/>
          <w:lang w:val="zh-CN"/>
        </w:rPr>
        <w:t>）提供虚假材料谋取中标、成交的；</w:t>
      </w:r>
    </w:p>
    <w:p w14:paraId="792C806C">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）采取不正当手段诋毁、排挤其他投标人的；</w:t>
      </w:r>
    </w:p>
    <w:p w14:paraId="16A1D1A5">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）与其他投标人、招标机构或者招标单位人员或者其他有关人员恶意串通的；</w:t>
      </w:r>
    </w:p>
    <w:p w14:paraId="383B15C6">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）向评标委员会成员、招标机构或者招标单位人员或者其他有关人员行贿或者提供其他不正当利益的；</w:t>
      </w:r>
    </w:p>
    <w:p w14:paraId="4274DE93">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5</w:t>
      </w:r>
      <w:r>
        <w:rPr>
          <w:rFonts w:hint="eastAsia" w:ascii="宋体" w:hAnsi="宋体" w:cs="宋体"/>
          <w:color w:val="auto"/>
          <w:szCs w:val="21"/>
          <w:lang w:val="zh-CN"/>
        </w:rPr>
        <w:t>）被评定中标后无正当理由不与招标人或者招标代理机构订立合同，或者中标后不按招标文件和中标投标人的投标文件订立合同，或者与招标人另行订立背离合同实质性内容的协议的；</w:t>
      </w:r>
    </w:p>
    <w:p w14:paraId="05ED944C">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）将中标项目转让给他人或者将中标项目分包给他人的；</w:t>
      </w:r>
    </w:p>
    <w:p w14:paraId="3613BD7D">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）签订合同后拒绝履行合同义务的；</w:t>
      </w:r>
    </w:p>
    <w:p w14:paraId="3F1C3D43">
      <w:pPr>
        <w:autoSpaceDE w:val="0"/>
        <w:autoSpaceDN w:val="0"/>
        <w:adjustRightInd w:val="0"/>
        <w:ind w:firstLine="480"/>
        <w:outlineLvl w:val="9"/>
        <w:rPr>
          <w:rFonts w:hint="eastAsia"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8</w:t>
      </w:r>
      <w:r>
        <w:rPr>
          <w:rFonts w:hint="eastAsia" w:ascii="宋体" w:hAnsi="宋体" w:cs="宋体"/>
          <w:color w:val="auto"/>
          <w:szCs w:val="21"/>
          <w:lang w:val="zh-CN"/>
        </w:rPr>
        <w:t>）拒绝有关部门监督检查或提供虚假情况的。</w:t>
      </w:r>
    </w:p>
    <w:p w14:paraId="2451CE67">
      <w:pPr>
        <w:autoSpaceDE w:val="0"/>
        <w:autoSpaceDN w:val="0"/>
        <w:adjustRightInd w:val="0"/>
        <w:ind w:firstLine="482"/>
        <w:outlineLvl w:val="9"/>
        <w:rPr>
          <w:rFonts w:hint="eastAsia" w:ascii="宋体" w:hAnsi="宋体" w:cs="宋体"/>
          <w:color w:val="auto"/>
          <w:szCs w:val="21"/>
          <w:u w:val="single"/>
          <w:lang w:val="zh-CN"/>
        </w:rPr>
      </w:pPr>
      <w:r>
        <w:rPr>
          <w:rFonts w:hint="eastAsia" w:ascii="宋体" w:hAnsi="宋体" w:cs="宋体"/>
          <w:color w:val="auto"/>
          <w:szCs w:val="21"/>
          <w:lang w:val="zh-CN"/>
        </w:rPr>
        <w:t>投标人印刷体名称（加盖公章）：</w:t>
      </w:r>
      <w:r>
        <w:rPr>
          <w:rFonts w:hint="eastAsia" w:ascii="宋体" w:hAnsi="宋体" w:cs="宋体"/>
          <w:color w:val="auto"/>
          <w:szCs w:val="21"/>
          <w:u w:val="single"/>
          <w:lang w:val="zh-CN"/>
        </w:rPr>
        <w:t xml:space="preserve">                      </w:t>
      </w:r>
    </w:p>
    <w:p w14:paraId="1A6AFC4F">
      <w:pPr>
        <w:autoSpaceDE w:val="0"/>
        <w:autoSpaceDN w:val="0"/>
        <w:adjustRightInd w:val="0"/>
        <w:ind w:firstLine="482"/>
        <w:outlineLvl w:val="9"/>
        <w:rPr>
          <w:rFonts w:hint="eastAsia" w:ascii="宋体" w:hAnsi="宋体" w:cs="宋体"/>
          <w:color w:val="auto"/>
          <w:szCs w:val="21"/>
          <w:lang w:val="zh-CN"/>
        </w:rPr>
      </w:pPr>
      <w:r>
        <w:rPr>
          <w:rFonts w:hint="eastAsia" w:ascii="宋体" w:hAnsi="宋体" w:cs="宋体"/>
          <w:color w:val="auto"/>
          <w:szCs w:val="21"/>
          <w:lang w:val="zh-CN"/>
        </w:rPr>
        <w:t>单位负责人或授权代理人（签字</w:t>
      </w:r>
      <w:r>
        <w:rPr>
          <w:rFonts w:ascii="宋体" w:hAnsi="宋体" w:cs="宋体"/>
          <w:color w:val="auto"/>
          <w:szCs w:val="21"/>
          <w:lang w:val="zh-CN"/>
        </w:rPr>
        <w:t>或盖章</w:t>
      </w:r>
      <w:r>
        <w:rPr>
          <w:rFonts w:hint="eastAsia" w:ascii="宋体" w:hAnsi="宋体" w:cs="宋体"/>
          <w:color w:val="auto"/>
          <w:szCs w:val="21"/>
          <w:lang w:val="zh-CN"/>
        </w:rPr>
        <w:t>）：</w:t>
      </w:r>
      <w:r>
        <w:rPr>
          <w:rFonts w:hint="eastAsia" w:ascii="宋体" w:hAnsi="宋体" w:cs="宋体"/>
          <w:color w:val="auto"/>
          <w:szCs w:val="21"/>
          <w:u w:val="single"/>
          <w:lang w:val="zh-CN"/>
        </w:rPr>
        <w:t xml:space="preserve">                  </w:t>
      </w:r>
    </w:p>
    <w:p w14:paraId="6BC3EC50">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地址：</w:t>
      </w:r>
      <w:r>
        <w:rPr>
          <w:rFonts w:hint="eastAsia" w:ascii="宋体" w:hAnsi="宋体" w:cs="宋体"/>
          <w:color w:val="auto"/>
          <w:szCs w:val="21"/>
          <w:u w:val="single"/>
          <w:lang w:val="zh-CN"/>
        </w:rPr>
        <w:t xml:space="preserve">                                       </w:t>
      </w:r>
    </w:p>
    <w:p w14:paraId="4FC27780">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电话、传真或电传：</w:t>
      </w:r>
      <w:r>
        <w:rPr>
          <w:rFonts w:hint="eastAsia" w:ascii="宋体" w:hAnsi="宋体" w:cs="宋体"/>
          <w:color w:val="auto"/>
          <w:szCs w:val="21"/>
          <w:u w:val="single"/>
          <w:lang w:val="zh-CN"/>
        </w:rPr>
        <w:t xml:space="preserve">                           </w:t>
      </w:r>
    </w:p>
    <w:p w14:paraId="1CEACD67">
      <w:pPr>
        <w:autoSpaceDE w:val="0"/>
        <w:autoSpaceDN w:val="0"/>
        <w:adjustRightInd w:val="0"/>
        <w:ind w:firstLine="480"/>
        <w:outlineLvl w:val="9"/>
        <w:rPr>
          <w:rFonts w:hint="eastAsia" w:ascii="宋体" w:hAnsi="宋体" w:cs="宋体"/>
          <w:color w:val="auto"/>
          <w:szCs w:val="21"/>
          <w:u w:val="single"/>
          <w:lang w:val="zh-CN"/>
        </w:rPr>
      </w:pPr>
      <w:r>
        <w:rPr>
          <w:rFonts w:hint="eastAsia" w:ascii="宋体" w:hAnsi="宋体" w:cs="宋体"/>
          <w:color w:val="auto"/>
          <w:szCs w:val="21"/>
          <w:lang w:val="zh-CN"/>
        </w:rPr>
        <w:t>邮政编码：</w:t>
      </w:r>
      <w:r>
        <w:rPr>
          <w:rFonts w:hint="eastAsia" w:ascii="宋体" w:hAnsi="宋体" w:cs="宋体"/>
          <w:color w:val="auto"/>
          <w:szCs w:val="21"/>
          <w:u w:val="single"/>
          <w:lang w:val="zh-CN"/>
        </w:rPr>
        <w:t xml:space="preserve">                                   </w:t>
      </w:r>
    </w:p>
    <w:p w14:paraId="0627BBAA">
      <w:pPr>
        <w:autoSpaceDE w:val="0"/>
        <w:autoSpaceDN w:val="0"/>
        <w:adjustRightInd w:val="0"/>
        <w:ind w:firstLine="480"/>
        <w:outlineLvl w:val="9"/>
        <w:rPr>
          <w:rFonts w:hint="eastAsia" w:ascii="宋体" w:hAnsi="宋体" w:cs="宋体"/>
          <w:color w:val="auto"/>
          <w:szCs w:val="21"/>
          <w:lang w:val="zh-CN"/>
        </w:rPr>
      </w:pPr>
      <w:r>
        <w:rPr>
          <w:rFonts w:hint="eastAsia" w:ascii="宋体" w:hAnsi="宋体" w:cs="宋体"/>
          <w:color w:val="auto"/>
          <w:szCs w:val="21"/>
          <w:lang w:val="zh-CN"/>
        </w:rPr>
        <w:t>日期：</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w:t>
      </w:r>
    </w:p>
    <w:p w14:paraId="70F2F79E">
      <w:pPr>
        <w:autoSpaceDE w:val="0"/>
        <w:autoSpaceDN w:val="0"/>
        <w:adjustRightInd w:val="0"/>
        <w:ind w:firstLine="480"/>
        <w:outlineLvl w:val="9"/>
        <w:rPr>
          <w:rFonts w:hint="eastAsia" w:ascii="宋体" w:hAnsi="宋体" w:cs="宋体"/>
          <w:color w:val="auto"/>
          <w:szCs w:val="21"/>
          <w:lang w:val="zh-CN"/>
        </w:rPr>
      </w:pPr>
    </w:p>
    <w:p w14:paraId="526A4A29">
      <w:pPr>
        <w:autoSpaceDE w:val="0"/>
        <w:autoSpaceDN w:val="0"/>
        <w:adjustRightInd w:val="0"/>
        <w:ind w:firstLine="472"/>
        <w:outlineLvl w:val="9"/>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14:paraId="74A311EF">
      <w:pPr>
        <w:tabs>
          <w:tab w:val="left" w:pos="4442"/>
        </w:tabs>
        <w:outlineLvl w:val="9"/>
        <w:rPr>
          <w:rFonts w:ascii="宋体" w:hAnsi="宋体" w:cs="宋体"/>
          <w:color w:val="auto"/>
          <w:szCs w:val="21"/>
          <w:lang w:val="zh-CN"/>
        </w:rPr>
      </w:pPr>
      <w:r>
        <w:rPr>
          <w:rFonts w:ascii="宋体" w:hAnsi="宋体" w:cs="宋体"/>
          <w:color w:val="auto"/>
          <w:szCs w:val="21"/>
          <w:lang w:val="zh-CN"/>
        </w:rPr>
        <w:tab/>
      </w:r>
    </w:p>
    <w:p w14:paraId="271AE6F3">
      <w:pPr>
        <w:tabs>
          <w:tab w:val="left" w:pos="4442"/>
        </w:tabs>
        <w:outlineLvl w:val="9"/>
        <w:rPr>
          <w:rFonts w:ascii="宋体" w:hAnsi="宋体" w:cs="宋体"/>
          <w:color w:val="auto"/>
          <w:szCs w:val="21"/>
          <w:lang w:val="zh-CN"/>
        </w:rPr>
        <w:sectPr>
          <w:pgSz w:w="11906" w:h="16838"/>
          <w:pgMar w:top="1440" w:right="1417" w:bottom="1440" w:left="1417" w:header="142" w:footer="329" w:gutter="0"/>
          <w:pgBorders>
            <w:top w:val="none" w:sz="0" w:space="0"/>
            <w:left w:val="none" w:sz="0" w:space="0"/>
            <w:bottom w:val="none" w:sz="0" w:space="0"/>
            <w:right w:val="none" w:sz="0" w:space="0"/>
          </w:pgBorders>
          <w:pgNumType w:fmt="decimal"/>
          <w:cols w:space="720" w:num="1"/>
          <w:titlePg/>
          <w:docGrid w:type="lines" w:linePitch="490" w:charSpace="0"/>
        </w:sectPr>
      </w:pPr>
      <w:r>
        <w:rPr>
          <w:rFonts w:ascii="宋体" w:hAnsi="宋体" w:cs="宋体"/>
          <w:color w:val="auto"/>
          <w:szCs w:val="21"/>
          <w:lang w:val="zh-CN"/>
        </w:rPr>
        <w:tab/>
      </w:r>
    </w:p>
    <w:p w14:paraId="0664E059">
      <w:pPr>
        <w:autoSpaceDE w:val="0"/>
        <w:autoSpaceDN w:val="0"/>
        <w:adjustRightInd w:val="0"/>
        <w:outlineLvl w:val="9"/>
        <w:rPr>
          <w:rFonts w:hint="eastAsia" w:ascii="宋体" w:hAnsi="宋体" w:cs="宋体"/>
          <w:b/>
          <w:color w:val="auto"/>
          <w:sz w:val="24"/>
          <w:lang w:val="zh-CN"/>
        </w:rPr>
        <w:sectPr>
          <w:headerReference r:id="rId10" w:type="default"/>
          <w:type w:val="continuous"/>
          <w:pgSz w:w="11906" w:h="16838"/>
          <w:pgMar w:top="1080" w:right="1440" w:bottom="1080"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771AD847">
      <w:pPr>
        <w:autoSpaceDE w:val="0"/>
        <w:autoSpaceDN w:val="0"/>
        <w:adjustRightInd w:val="0"/>
        <w:outlineLvl w:val="1"/>
        <w:rPr>
          <w:rFonts w:hint="eastAsia" w:ascii="宋体" w:hAnsi="宋体" w:cs="宋体"/>
          <w:b/>
          <w:color w:val="auto"/>
          <w:sz w:val="24"/>
          <w:u w:val="single"/>
          <w:lang w:val="zh-CN"/>
        </w:rPr>
      </w:pPr>
      <w:bookmarkStart w:id="112" w:name="_Toc29556"/>
      <w:bookmarkStart w:id="113" w:name="_Toc12567"/>
      <w:r>
        <w:rPr>
          <w:rFonts w:hint="eastAsia" w:ascii="宋体" w:hAnsi="宋体" w:cs="宋体"/>
          <w:b/>
          <w:color w:val="auto"/>
          <w:sz w:val="24"/>
          <w:lang w:val="zh-CN"/>
        </w:rPr>
        <w:t>格式二</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开标一览表</w:t>
      </w:r>
      <w:bookmarkEnd w:id="112"/>
      <w:bookmarkEnd w:id="113"/>
      <w:r>
        <w:rPr>
          <w:rFonts w:hint="eastAsia" w:ascii="宋体" w:hAnsi="宋体" w:cs="宋体"/>
          <w:b/>
          <w:color w:val="auto"/>
          <w:sz w:val="24"/>
          <w:lang w:val="zh-CN"/>
        </w:rPr>
        <w:t xml:space="preserve"> </w:t>
      </w:r>
    </w:p>
    <w:p w14:paraId="3CDEE2BB">
      <w:pPr>
        <w:autoSpaceDE w:val="0"/>
        <w:autoSpaceDN w:val="0"/>
        <w:adjustRightInd w:val="0"/>
        <w:spacing w:line="360" w:lineRule="auto"/>
        <w:jc w:val="right"/>
        <w:outlineLvl w:val="9"/>
        <w:rPr>
          <w:rFonts w:hint="eastAsia" w:ascii="宋体" w:hAnsi="宋体" w:cs="宋体"/>
          <w:color w:val="auto"/>
          <w:sz w:val="24"/>
          <w:szCs w:val="24"/>
          <w:lang w:val="zh-CN"/>
        </w:rPr>
      </w:pPr>
      <w:r>
        <w:rPr>
          <w:rFonts w:hint="eastAsia" w:ascii="宋体" w:hAnsi="宋体" w:cs="宋体"/>
          <w:bCs/>
          <w:color w:val="auto"/>
          <w:szCs w:val="21"/>
          <w:lang w:val="en-US" w:eastAsia="zh-CN"/>
        </w:rPr>
        <w:t xml:space="preserve">                            </w:t>
      </w:r>
      <w:r>
        <w:rPr>
          <w:rFonts w:hint="eastAsia" w:ascii="宋体" w:hAnsi="宋体" w:cs="宋体"/>
          <w:bCs/>
          <w:color w:val="auto"/>
          <w:szCs w:val="21"/>
          <w:lang w:val="zh-CN"/>
        </w:rPr>
        <w:t xml:space="preserve">  </w:t>
      </w:r>
      <w:r>
        <w:rPr>
          <w:rFonts w:hint="eastAsia" w:ascii="宋体" w:hAnsi="宋体" w:cs="宋体"/>
          <w:color w:val="auto"/>
          <w:sz w:val="24"/>
          <w:szCs w:val="24"/>
          <w:lang w:val="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 xml:space="preserve">                            </w:t>
      </w:r>
    </w:p>
    <w:tbl>
      <w:tblPr>
        <w:tblStyle w:val="24"/>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14:paraId="05C2F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0C886A6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14:paraId="3F54965C">
            <w:pPr>
              <w:jc w:val="center"/>
              <w:rPr>
                <w:rFonts w:hint="eastAsia" w:ascii="宋体" w:hAnsi="宋体" w:eastAsia="宋体" w:cs="宋体"/>
                <w:color w:val="auto"/>
                <w:sz w:val="21"/>
                <w:szCs w:val="21"/>
              </w:rPr>
            </w:pPr>
          </w:p>
        </w:tc>
      </w:tr>
      <w:tr w14:paraId="47B6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5B1BCB21">
            <w:pPr>
              <w:pStyle w:val="44"/>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投标报价</w:t>
            </w:r>
            <w:r>
              <w:rPr>
                <w:rFonts w:hint="eastAsia" w:hAnsi="宋体" w:cs="宋体"/>
                <w:color w:val="auto"/>
                <w:kern w:val="2"/>
                <w:sz w:val="21"/>
                <w:szCs w:val="21"/>
                <w:lang w:val="en-US" w:eastAsia="zh-CN" w:bidi="ar-SA"/>
              </w:rPr>
              <w:t>（万元）</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5E96588C">
            <w:pPr>
              <w:jc w:val="left"/>
              <w:rPr>
                <w:rFonts w:hint="eastAsia" w:ascii="宋体" w:hAnsi="宋体" w:eastAsia="宋体" w:cs="宋体"/>
                <w:color w:val="auto"/>
                <w:sz w:val="21"/>
                <w:szCs w:val="21"/>
              </w:rPr>
            </w:pPr>
          </w:p>
        </w:tc>
        <w:tc>
          <w:tcPr>
            <w:tcW w:w="2052" w:type="dxa"/>
            <w:tcBorders>
              <w:top w:val="single" w:color="auto" w:sz="4" w:space="0"/>
              <w:left w:val="single" w:color="auto" w:sz="4" w:space="0"/>
              <w:bottom w:val="single" w:color="auto" w:sz="4" w:space="0"/>
              <w:right w:val="single" w:color="auto" w:sz="4" w:space="0"/>
            </w:tcBorders>
            <w:noWrap w:val="0"/>
            <w:vAlign w:val="center"/>
          </w:tcPr>
          <w:p w14:paraId="4C4270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p>
          <w:p w14:paraId="32FF1AA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保证金</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21DD182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“有”或“无”</w:t>
            </w:r>
          </w:p>
        </w:tc>
      </w:tr>
      <w:tr w14:paraId="501F8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1F3684D2">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eastAsia="zh-CN"/>
              </w:rPr>
              <w:t>标准</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070EF192">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符合国家及相关行业要求的合格标准，并达到采购人的验收标准</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59076B9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合同履行期限</w:t>
            </w:r>
            <w:r>
              <w:rPr>
                <w:rFonts w:hint="eastAsia" w:ascii="宋体" w:hAnsi="宋体" w:eastAsia="宋体" w:cs="宋体"/>
                <w:color w:val="auto"/>
                <w:sz w:val="21"/>
                <w:szCs w:val="21"/>
                <w:lang w:val="en-US" w:eastAsia="zh-CN"/>
              </w:rPr>
              <w:t>/供货期</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E03532E">
            <w:pPr>
              <w:jc w:val="center"/>
              <w:rPr>
                <w:rFonts w:hint="eastAsia" w:ascii="宋体" w:hAnsi="宋体" w:eastAsia="宋体" w:cs="宋体"/>
                <w:color w:val="auto"/>
                <w:sz w:val="21"/>
                <w:szCs w:val="21"/>
              </w:rPr>
            </w:pPr>
          </w:p>
        </w:tc>
      </w:tr>
      <w:tr w14:paraId="7728E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0"/>
            <w:vAlign w:val="center"/>
          </w:tcPr>
          <w:p w14:paraId="6AC5EAD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val="0"/>
            <w:vAlign w:val="center"/>
          </w:tcPr>
          <w:p w14:paraId="273B2E7C">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填报的内容必须和投标文件及投标函中的内容一致。</w:t>
            </w:r>
          </w:p>
          <w:p w14:paraId="52A43D96">
            <w:pPr>
              <w:numPr>
                <w:ilvl w:val="0"/>
                <w:numId w:val="0"/>
              </w:numPr>
              <w:ind w:leftChars="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投标报价为一览表所列项目报价的总和。</w:t>
            </w:r>
          </w:p>
          <w:p w14:paraId="0F857D19">
            <w:pPr>
              <w:numPr>
                <w:ilvl w:val="0"/>
                <w:numId w:val="0"/>
              </w:numPr>
              <w:ind w:leftChars="0"/>
              <w:jc w:val="both"/>
              <w:rPr>
                <w:rFonts w:hint="eastAsia" w:ascii="宋体" w:hAnsi="宋体" w:eastAsia="宋体" w:cs="宋体"/>
                <w:b/>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优惠条件、服务承诺两项，详细内容必须在投标书中载明，如内容较多，本表只填写“有”“无”即可。</w:t>
            </w:r>
          </w:p>
        </w:tc>
      </w:tr>
      <w:tr w14:paraId="70F81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trPr>
        <w:tc>
          <w:tcPr>
            <w:tcW w:w="8793" w:type="dxa"/>
            <w:gridSpan w:val="4"/>
            <w:tcBorders>
              <w:top w:val="single" w:color="auto" w:sz="4" w:space="0"/>
              <w:left w:val="single" w:color="auto" w:sz="4" w:space="0"/>
              <w:bottom w:val="single" w:color="auto" w:sz="4" w:space="0"/>
              <w:right w:val="single" w:color="auto" w:sz="4" w:space="0"/>
            </w:tcBorders>
            <w:noWrap w:val="0"/>
            <w:vAlign w:val="center"/>
          </w:tcPr>
          <w:p w14:paraId="10500AB3">
            <w:pPr>
              <w:rPr>
                <w:rFonts w:hint="eastAsia" w:ascii="宋体" w:hAnsi="宋体" w:eastAsia="宋体" w:cs="宋体"/>
                <w:color w:val="auto"/>
                <w:sz w:val="21"/>
                <w:szCs w:val="21"/>
              </w:rPr>
            </w:pPr>
          </w:p>
          <w:p w14:paraId="541E0025">
            <w:pPr>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14:paraId="0DCAF39E">
            <w:pPr>
              <w:rPr>
                <w:rFonts w:hint="eastAsia" w:ascii="宋体" w:hAnsi="宋体" w:eastAsia="宋体" w:cs="宋体"/>
                <w:color w:val="auto"/>
                <w:sz w:val="21"/>
                <w:szCs w:val="21"/>
              </w:rPr>
            </w:pPr>
          </w:p>
          <w:p w14:paraId="041604F2">
            <w:pPr>
              <w:rPr>
                <w:rFonts w:hint="eastAsia" w:ascii="宋体" w:hAnsi="宋体" w:eastAsia="宋体" w:cs="宋体"/>
                <w:color w:val="auto"/>
                <w:sz w:val="21"/>
                <w:szCs w:val="21"/>
              </w:rPr>
            </w:pPr>
          </w:p>
          <w:p w14:paraId="405829B6">
            <w:pPr>
              <w:rPr>
                <w:rFonts w:hint="eastAsia" w:ascii="宋体" w:hAnsi="宋体" w:eastAsia="宋体" w:cs="宋体"/>
                <w:color w:val="auto"/>
                <w:sz w:val="21"/>
                <w:szCs w:val="21"/>
              </w:rPr>
            </w:pPr>
          </w:p>
          <w:p w14:paraId="0CC2E1FE">
            <w:pPr>
              <w:rPr>
                <w:rFonts w:hint="eastAsia" w:ascii="宋体" w:hAnsi="宋体" w:eastAsia="宋体" w:cs="宋体"/>
                <w:color w:val="auto"/>
                <w:sz w:val="21"/>
                <w:szCs w:val="21"/>
              </w:rPr>
            </w:pPr>
            <w:r>
              <w:rPr>
                <w:rFonts w:hint="eastAsia" w:ascii="宋体" w:hAnsi="宋体" w:eastAsia="宋体" w:cs="宋体"/>
                <w:color w:val="auto"/>
                <w:sz w:val="21"/>
                <w:szCs w:val="21"/>
              </w:rPr>
              <w:t>法定代表人或委托代理人：（签字或盖章）</w:t>
            </w:r>
          </w:p>
          <w:p w14:paraId="529B5452">
            <w:pPr>
              <w:jc w:val="right"/>
              <w:rPr>
                <w:rFonts w:hint="eastAsia" w:ascii="宋体" w:hAnsi="宋体" w:eastAsia="宋体" w:cs="宋体"/>
                <w:color w:val="auto"/>
                <w:sz w:val="21"/>
                <w:szCs w:val="21"/>
              </w:rPr>
            </w:pPr>
            <w:r>
              <w:rPr>
                <w:rFonts w:hint="eastAsia" w:ascii="宋体" w:hAnsi="宋体" w:cs="宋体"/>
                <w:bCs/>
                <w:color w:val="auto"/>
                <w:szCs w:val="21"/>
                <w:lang w:val="zh-CN"/>
              </w:rPr>
              <w:t>年  月   日</w:t>
            </w:r>
          </w:p>
          <w:p w14:paraId="76C22C80">
            <w:pPr>
              <w:rPr>
                <w:rFonts w:hint="eastAsia" w:ascii="宋体" w:hAnsi="宋体" w:eastAsia="宋体" w:cs="宋体"/>
                <w:color w:val="auto"/>
                <w:sz w:val="21"/>
                <w:szCs w:val="21"/>
              </w:rPr>
            </w:pPr>
          </w:p>
        </w:tc>
      </w:tr>
    </w:tbl>
    <w:p w14:paraId="14D5858C">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1</w:t>
      </w:r>
      <w:r>
        <w:rPr>
          <w:rFonts w:hint="eastAsia" w:ascii="宋体" w:hAnsi="宋体" w:cs="宋体"/>
          <w:color w:val="auto"/>
          <w:sz w:val="21"/>
          <w:szCs w:val="21"/>
          <w:lang w:val="zh-CN"/>
        </w:rPr>
        <w:t>.只允许有一个报价，任何有选择性的报价或者有附加条件的报价招标人将不予接受。</w:t>
      </w:r>
    </w:p>
    <w:p w14:paraId="09EDD0DF">
      <w:pPr>
        <w:widowControl/>
        <w:tabs>
          <w:tab w:val="left" w:pos="525"/>
        </w:tabs>
        <w:autoSpaceDE w:val="0"/>
        <w:autoSpaceDN w:val="0"/>
        <w:spacing w:line="360" w:lineRule="auto"/>
        <w:ind w:right="1" w:firstLine="420" w:firstLineChars="200"/>
        <w:textAlignment w:val="bottom"/>
        <w:outlineLvl w:val="9"/>
        <w:rPr>
          <w:rFonts w:hint="eastAsia" w:ascii="宋体" w:hAnsi="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cs="宋体"/>
          <w:color w:val="auto"/>
          <w:sz w:val="21"/>
          <w:szCs w:val="21"/>
          <w:lang w:val="zh-CN"/>
        </w:rPr>
        <w:t>投标总价应包括如果授予合同将要缴纳的包括增值税在内的销售税和其他税。</w:t>
      </w:r>
    </w:p>
    <w:p w14:paraId="18CF8A32">
      <w:pPr>
        <w:autoSpaceDE w:val="0"/>
        <w:autoSpaceDN w:val="0"/>
        <w:adjustRightInd w:val="0"/>
        <w:spacing w:line="360" w:lineRule="auto"/>
        <w:outlineLvl w:val="9"/>
        <w:rPr>
          <w:rFonts w:hint="eastAsia" w:ascii="宋体" w:hAnsi="宋体" w:cs="宋体"/>
          <w:b/>
          <w:color w:val="auto"/>
          <w:sz w:val="24"/>
          <w:lang w:val="zh-CN"/>
        </w:rPr>
        <w:sectPr>
          <w:pgSz w:w="11906" w:h="16838"/>
          <w:pgMar w:top="1417" w:right="1440" w:bottom="1417" w:left="1440"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18A7E2B6">
      <w:pPr>
        <w:autoSpaceDE w:val="0"/>
        <w:autoSpaceDN w:val="0"/>
        <w:adjustRightInd w:val="0"/>
        <w:outlineLvl w:val="1"/>
        <w:rPr>
          <w:rFonts w:hint="eastAsia" w:ascii="宋体" w:hAnsi="宋体" w:cs="宋体"/>
          <w:b/>
          <w:color w:val="auto"/>
          <w:sz w:val="24"/>
          <w:lang w:val="zh-CN"/>
        </w:rPr>
      </w:pPr>
      <w:bookmarkStart w:id="114" w:name="_Toc14114"/>
      <w:bookmarkStart w:id="115" w:name="_Toc20872"/>
      <w:r>
        <w:rPr>
          <w:rFonts w:hint="eastAsia" w:ascii="宋体" w:hAnsi="宋体" w:cs="宋体"/>
          <w:b/>
          <w:color w:val="auto"/>
          <w:sz w:val="24"/>
          <w:lang w:val="zh-CN"/>
        </w:rPr>
        <w:t>格式三</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投标人基本情况（加盖投标人公章或有效签署）</w:t>
      </w:r>
      <w:bookmarkEnd w:id="114"/>
      <w:bookmarkEnd w:id="115"/>
    </w:p>
    <w:p w14:paraId="21710873">
      <w:pPr>
        <w:autoSpaceDE w:val="0"/>
        <w:autoSpaceDN w:val="0"/>
        <w:adjustRightInd w:val="0"/>
        <w:spacing w:line="360" w:lineRule="auto"/>
        <w:outlineLvl w:val="9"/>
        <w:rPr>
          <w:rFonts w:hint="eastAsia" w:ascii="宋体" w:hAnsi="宋体" w:cs="宋体"/>
          <w:bCs/>
          <w:color w:val="auto"/>
          <w:szCs w:val="21"/>
          <w:lang w:val="zh-CN"/>
        </w:rPr>
      </w:pPr>
    </w:p>
    <w:p w14:paraId="3F1E672D">
      <w:pPr>
        <w:numPr>
          <w:ilvl w:val="0"/>
          <w:numId w:val="12"/>
        </w:numPr>
        <w:autoSpaceDE w:val="0"/>
        <w:autoSpaceDN w:val="0"/>
        <w:adjustRightInd w:val="0"/>
        <w:spacing w:line="360" w:lineRule="auto"/>
        <w:outlineLvl w:val="9"/>
        <w:rPr>
          <w:rFonts w:hint="eastAsia" w:ascii="宋体" w:hAnsi="宋体" w:cs="宋体"/>
          <w:bCs/>
          <w:color w:val="auto"/>
          <w:szCs w:val="21"/>
          <w:lang w:val="zh-CN"/>
        </w:rPr>
      </w:pPr>
      <w:r>
        <w:rPr>
          <w:rFonts w:hint="eastAsia" w:ascii="宋体" w:hAnsi="宋体" w:cs="宋体"/>
          <w:bCs/>
          <w:color w:val="auto"/>
          <w:szCs w:val="21"/>
          <w:lang w:val="en-US" w:eastAsia="zh-CN"/>
        </w:rPr>
        <w:t>企业介绍：</w:t>
      </w:r>
      <w:r>
        <w:rPr>
          <w:rFonts w:hint="eastAsia" w:ascii="宋体" w:hAnsi="宋体" w:cs="宋体"/>
          <w:bCs/>
          <w:color w:val="auto"/>
          <w:szCs w:val="21"/>
          <w:lang w:val="zh-CN" w:eastAsia="zh-CN"/>
        </w:rPr>
        <w:t>格式自拟</w:t>
      </w:r>
      <w:r>
        <w:rPr>
          <w:rFonts w:hint="eastAsia" w:ascii="宋体" w:hAnsi="宋体" w:cs="宋体"/>
          <w:bCs/>
          <w:color w:val="auto"/>
          <w:szCs w:val="21"/>
          <w:lang w:val="zh-CN"/>
        </w:rPr>
        <w:t>。</w:t>
      </w:r>
    </w:p>
    <w:p w14:paraId="1D4ACAA1">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en-US" w:eastAsia="zh-CN"/>
        </w:rPr>
        <w:t>企业营业执照</w:t>
      </w:r>
    </w:p>
    <w:p w14:paraId="4C30F6F3">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财务要求：投标人提供202</w:t>
      </w:r>
      <w:r>
        <w:rPr>
          <w:rFonts w:hint="eastAsia" w:ascii="宋体" w:hAnsi="宋体" w:cs="宋体"/>
          <w:bCs/>
          <w:color w:val="auto"/>
          <w:szCs w:val="21"/>
          <w:lang w:val="en-US" w:eastAsia="zh-CN"/>
        </w:rPr>
        <w:t>4</w:t>
      </w:r>
      <w:r>
        <w:rPr>
          <w:rFonts w:hint="eastAsia" w:ascii="宋体" w:hAnsi="宋体" w:cs="宋体"/>
          <w:bCs/>
          <w:color w:val="auto"/>
          <w:szCs w:val="21"/>
          <w:lang w:val="zh-CN" w:eastAsia="zh-CN"/>
        </w:rPr>
        <w:t>年经会计师事务所或审计机构出具的财务审计报告或提供其基本开户银行在投标截止日前六个月内出具的资信证明（银行出具的存款证明不能替代银行资信证明）</w:t>
      </w:r>
    </w:p>
    <w:p w14:paraId="24412FEE">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纳税要求：投标人提供近一年（202</w:t>
      </w:r>
      <w:r>
        <w:rPr>
          <w:rFonts w:hint="eastAsia" w:ascii="宋体" w:hAnsi="宋体" w:cs="宋体"/>
          <w:bCs/>
          <w:color w:val="auto"/>
          <w:szCs w:val="21"/>
          <w:lang w:val="en-US" w:eastAsia="zh-CN"/>
        </w:rPr>
        <w:t>5</w:t>
      </w:r>
      <w:r>
        <w:rPr>
          <w:rFonts w:hint="eastAsia" w:ascii="宋体" w:hAnsi="宋体" w:cs="宋体"/>
          <w:bCs/>
          <w:color w:val="auto"/>
          <w:szCs w:val="21"/>
          <w:lang w:val="zh-CN" w:eastAsia="zh-CN"/>
        </w:rPr>
        <w:t>年0</w:t>
      </w:r>
      <w:r>
        <w:rPr>
          <w:rFonts w:hint="eastAsia" w:ascii="宋体" w:hAnsi="宋体" w:cs="宋体"/>
          <w:bCs/>
          <w:color w:val="auto"/>
          <w:szCs w:val="21"/>
          <w:lang w:val="en-US" w:eastAsia="zh-CN"/>
        </w:rPr>
        <w:t>1</w:t>
      </w:r>
      <w:r>
        <w:rPr>
          <w:rFonts w:hint="eastAsia" w:ascii="宋体" w:hAnsi="宋体" w:cs="宋体"/>
          <w:bCs/>
          <w:color w:val="auto"/>
          <w:szCs w:val="21"/>
          <w:lang w:val="zh-CN" w:eastAsia="zh-CN"/>
        </w:rPr>
        <w:t>月至今）任意一个月的依法纳税证明(依法免税的投标人可提供相应文件证明其依法免税)</w:t>
      </w:r>
    </w:p>
    <w:p w14:paraId="23A6C640">
      <w:pPr>
        <w:numPr>
          <w:ilvl w:val="0"/>
          <w:numId w:val="12"/>
        </w:numPr>
        <w:autoSpaceDE w:val="0"/>
        <w:autoSpaceDN w:val="0"/>
        <w:adjustRightInd w:val="0"/>
        <w:spacing w:line="360" w:lineRule="auto"/>
        <w:outlineLvl w:val="9"/>
        <w:rPr>
          <w:rFonts w:hint="eastAsia" w:ascii="宋体" w:hAnsi="宋体" w:cs="宋体"/>
          <w:bCs/>
          <w:color w:val="auto"/>
          <w:szCs w:val="21"/>
          <w:lang w:val="zh-CN" w:eastAsia="zh-CN"/>
        </w:rPr>
      </w:pPr>
      <w:r>
        <w:rPr>
          <w:rFonts w:hint="eastAsia" w:ascii="宋体" w:hAnsi="宋体" w:cs="宋体"/>
          <w:bCs/>
          <w:color w:val="auto"/>
          <w:szCs w:val="21"/>
          <w:lang w:val="zh-CN" w:eastAsia="zh-CN"/>
        </w:rPr>
        <w:t>社保要求：投标人提供近一年（202</w:t>
      </w:r>
      <w:r>
        <w:rPr>
          <w:rFonts w:hint="eastAsia" w:ascii="宋体" w:hAnsi="宋体" w:cs="宋体"/>
          <w:bCs/>
          <w:color w:val="auto"/>
          <w:szCs w:val="21"/>
          <w:lang w:val="en-US" w:eastAsia="zh-CN"/>
        </w:rPr>
        <w:t>5</w:t>
      </w:r>
      <w:r>
        <w:rPr>
          <w:rFonts w:hint="eastAsia" w:ascii="宋体" w:hAnsi="宋体" w:cs="宋体"/>
          <w:bCs/>
          <w:color w:val="auto"/>
          <w:szCs w:val="21"/>
          <w:lang w:val="zh-CN" w:eastAsia="zh-CN"/>
        </w:rPr>
        <w:t>年0</w:t>
      </w:r>
      <w:r>
        <w:rPr>
          <w:rFonts w:hint="eastAsia" w:ascii="宋体" w:hAnsi="宋体" w:cs="宋体"/>
          <w:bCs/>
          <w:color w:val="auto"/>
          <w:szCs w:val="21"/>
          <w:lang w:val="en-US" w:eastAsia="zh-CN"/>
        </w:rPr>
        <w:t>1</w:t>
      </w:r>
      <w:r>
        <w:rPr>
          <w:rFonts w:hint="eastAsia" w:ascii="宋体" w:hAnsi="宋体" w:cs="宋体"/>
          <w:bCs/>
          <w:color w:val="auto"/>
          <w:szCs w:val="21"/>
          <w:lang w:val="zh-CN" w:eastAsia="zh-CN"/>
        </w:rPr>
        <w:t>月至今）任意一个月的依法缴纳社会保障资金的证明(依法不需要缴纳社会保障资金的投标人可提供相应文件证明其依法不需要缴纳社会保障资金)</w:t>
      </w:r>
    </w:p>
    <w:p w14:paraId="22927EFA">
      <w:pPr>
        <w:autoSpaceDE w:val="0"/>
        <w:autoSpaceDN w:val="0"/>
        <w:adjustRightInd w:val="0"/>
        <w:outlineLvl w:val="9"/>
        <w:rPr>
          <w:rFonts w:hint="eastAsia" w:ascii="宋体" w:hAnsi="宋体" w:cs="宋体"/>
          <w:color w:val="auto"/>
          <w:sz w:val="24"/>
        </w:rPr>
      </w:pPr>
    </w:p>
    <w:p w14:paraId="02F2F63E">
      <w:pPr>
        <w:autoSpaceDE w:val="0"/>
        <w:autoSpaceDN w:val="0"/>
        <w:adjustRightInd w:val="0"/>
        <w:outlineLvl w:val="9"/>
        <w:rPr>
          <w:rFonts w:hint="eastAsia" w:ascii="宋体" w:hAnsi="宋体" w:cs="宋体"/>
          <w:color w:val="auto"/>
          <w:sz w:val="24"/>
        </w:rPr>
      </w:pPr>
    </w:p>
    <w:p w14:paraId="3796A567">
      <w:pPr>
        <w:autoSpaceDE w:val="0"/>
        <w:autoSpaceDN w:val="0"/>
        <w:adjustRightInd w:val="0"/>
        <w:outlineLvl w:val="9"/>
        <w:rPr>
          <w:rFonts w:hint="eastAsia" w:ascii="宋体" w:hAnsi="宋体" w:cs="宋体"/>
          <w:color w:val="auto"/>
          <w:sz w:val="24"/>
        </w:rPr>
      </w:pPr>
    </w:p>
    <w:p w14:paraId="661FEB65">
      <w:pPr>
        <w:autoSpaceDE w:val="0"/>
        <w:autoSpaceDN w:val="0"/>
        <w:adjustRightInd w:val="0"/>
        <w:outlineLvl w:val="9"/>
        <w:rPr>
          <w:rFonts w:hint="eastAsia" w:ascii="宋体" w:hAnsi="宋体" w:cs="宋体"/>
          <w:color w:val="auto"/>
          <w:sz w:val="24"/>
        </w:rPr>
      </w:pPr>
    </w:p>
    <w:p w14:paraId="0F12AF2D">
      <w:pPr>
        <w:autoSpaceDE w:val="0"/>
        <w:autoSpaceDN w:val="0"/>
        <w:adjustRightInd w:val="0"/>
        <w:outlineLvl w:val="9"/>
        <w:rPr>
          <w:rFonts w:hint="eastAsia" w:ascii="宋体" w:hAnsi="宋体" w:cs="宋体"/>
          <w:color w:val="auto"/>
          <w:sz w:val="24"/>
        </w:rPr>
      </w:pPr>
    </w:p>
    <w:p w14:paraId="6B228A71">
      <w:pPr>
        <w:autoSpaceDE w:val="0"/>
        <w:autoSpaceDN w:val="0"/>
        <w:adjustRightInd w:val="0"/>
        <w:outlineLvl w:val="9"/>
        <w:rPr>
          <w:rFonts w:hint="eastAsia" w:ascii="宋体" w:hAnsi="宋体" w:cs="宋体"/>
          <w:color w:val="auto"/>
          <w:sz w:val="24"/>
        </w:rPr>
      </w:pPr>
    </w:p>
    <w:p w14:paraId="438BBFEB">
      <w:pPr>
        <w:autoSpaceDE w:val="0"/>
        <w:autoSpaceDN w:val="0"/>
        <w:adjustRightInd w:val="0"/>
        <w:outlineLvl w:val="9"/>
        <w:rPr>
          <w:rFonts w:hint="eastAsia" w:ascii="宋体" w:hAnsi="宋体" w:cs="宋体"/>
          <w:color w:val="auto"/>
          <w:sz w:val="24"/>
        </w:rPr>
      </w:pPr>
    </w:p>
    <w:p w14:paraId="5AA498FB">
      <w:pPr>
        <w:autoSpaceDE w:val="0"/>
        <w:autoSpaceDN w:val="0"/>
        <w:adjustRightInd w:val="0"/>
        <w:outlineLvl w:val="9"/>
        <w:rPr>
          <w:rFonts w:hint="eastAsia" w:ascii="宋体" w:hAnsi="宋体" w:cs="宋体"/>
          <w:color w:val="auto"/>
          <w:sz w:val="24"/>
        </w:rPr>
      </w:pPr>
    </w:p>
    <w:p w14:paraId="3680F181">
      <w:pPr>
        <w:autoSpaceDE w:val="0"/>
        <w:autoSpaceDN w:val="0"/>
        <w:adjustRightInd w:val="0"/>
        <w:outlineLvl w:val="9"/>
        <w:rPr>
          <w:rFonts w:hint="eastAsia" w:ascii="宋体" w:hAnsi="宋体" w:cs="宋体"/>
          <w:color w:val="auto"/>
          <w:sz w:val="24"/>
        </w:rPr>
      </w:pPr>
    </w:p>
    <w:p w14:paraId="2E893F8C">
      <w:pPr>
        <w:autoSpaceDE w:val="0"/>
        <w:autoSpaceDN w:val="0"/>
        <w:adjustRightInd w:val="0"/>
        <w:outlineLvl w:val="9"/>
        <w:rPr>
          <w:rFonts w:hint="eastAsia" w:ascii="宋体" w:hAnsi="宋体" w:cs="宋体"/>
          <w:color w:val="auto"/>
          <w:sz w:val="24"/>
        </w:rPr>
      </w:pPr>
    </w:p>
    <w:p w14:paraId="460C4D45">
      <w:pPr>
        <w:autoSpaceDE w:val="0"/>
        <w:autoSpaceDN w:val="0"/>
        <w:adjustRightInd w:val="0"/>
        <w:outlineLvl w:val="9"/>
        <w:rPr>
          <w:rFonts w:hint="eastAsia" w:ascii="宋体" w:hAnsi="宋体" w:cs="宋体"/>
          <w:color w:val="auto"/>
          <w:sz w:val="24"/>
        </w:rPr>
      </w:pPr>
    </w:p>
    <w:p w14:paraId="683A5397">
      <w:pPr>
        <w:autoSpaceDE w:val="0"/>
        <w:autoSpaceDN w:val="0"/>
        <w:adjustRightInd w:val="0"/>
        <w:outlineLvl w:val="9"/>
        <w:rPr>
          <w:rFonts w:hint="eastAsia" w:ascii="宋体" w:hAnsi="宋体" w:cs="宋体"/>
          <w:color w:val="auto"/>
          <w:sz w:val="24"/>
        </w:rPr>
      </w:pPr>
    </w:p>
    <w:p w14:paraId="1405199B">
      <w:pPr>
        <w:autoSpaceDE w:val="0"/>
        <w:autoSpaceDN w:val="0"/>
        <w:adjustRightInd w:val="0"/>
        <w:outlineLvl w:val="9"/>
        <w:rPr>
          <w:rFonts w:hint="eastAsia" w:ascii="宋体" w:hAnsi="宋体" w:cs="宋体"/>
          <w:color w:val="auto"/>
          <w:sz w:val="24"/>
        </w:rPr>
      </w:pPr>
    </w:p>
    <w:p w14:paraId="554A4B32">
      <w:pPr>
        <w:autoSpaceDE w:val="0"/>
        <w:autoSpaceDN w:val="0"/>
        <w:adjustRightInd w:val="0"/>
        <w:outlineLvl w:val="9"/>
        <w:rPr>
          <w:rFonts w:hint="eastAsia" w:ascii="宋体" w:hAnsi="宋体" w:cs="宋体"/>
          <w:color w:val="auto"/>
          <w:sz w:val="24"/>
        </w:rPr>
      </w:pPr>
    </w:p>
    <w:p w14:paraId="730CF3C9">
      <w:pPr>
        <w:autoSpaceDE w:val="0"/>
        <w:autoSpaceDN w:val="0"/>
        <w:adjustRightInd w:val="0"/>
        <w:outlineLvl w:val="9"/>
        <w:rPr>
          <w:rFonts w:hint="eastAsia" w:ascii="宋体" w:hAnsi="宋体" w:cs="宋体"/>
          <w:color w:val="auto"/>
          <w:sz w:val="24"/>
        </w:rPr>
      </w:pPr>
    </w:p>
    <w:p w14:paraId="3CFDE967">
      <w:pPr>
        <w:autoSpaceDE w:val="0"/>
        <w:autoSpaceDN w:val="0"/>
        <w:adjustRightInd w:val="0"/>
        <w:outlineLvl w:val="9"/>
        <w:rPr>
          <w:rFonts w:hint="eastAsia" w:ascii="宋体" w:hAnsi="宋体" w:cs="宋体"/>
          <w:color w:val="auto"/>
          <w:sz w:val="24"/>
        </w:rPr>
      </w:pPr>
    </w:p>
    <w:p w14:paraId="72D05CB7">
      <w:pPr>
        <w:autoSpaceDE w:val="0"/>
        <w:autoSpaceDN w:val="0"/>
        <w:adjustRightInd w:val="0"/>
        <w:outlineLvl w:val="9"/>
        <w:rPr>
          <w:rFonts w:hint="eastAsia" w:ascii="宋体" w:hAnsi="宋体" w:cs="宋体"/>
          <w:color w:val="auto"/>
          <w:sz w:val="24"/>
        </w:rPr>
      </w:pPr>
    </w:p>
    <w:p w14:paraId="1D46A5E0">
      <w:pPr>
        <w:autoSpaceDE w:val="0"/>
        <w:autoSpaceDN w:val="0"/>
        <w:adjustRightInd w:val="0"/>
        <w:outlineLvl w:val="9"/>
        <w:rPr>
          <w:rFonts w:hint="eastAsia" w:ascii="宋体" w:hAnsi="宋体" w:cs="宋体"/>
          <w:color w:val="auto"/>
          <w:sz w:val="24"/>
        </w:rPr>
      </w:pPr>
    </w:p>
    <w:p w14:paraId="6203ABA9">
      <w:pPr>
        <w:autoSpaceDE w:val="0"/>
        <w:autoSpaceDN w:val="0"/>
        <w:adjustRightInd w:val="0"/>
        <w:outlineLvl w:val="9"/>
        <w:rPr>
          <w:rFonts w:hint="eastAsia" w:ascii="宋体" w:hAnsi="宋体" w:cs="宋体"/>
          <w:color w:val="auto"/>
          <w:sz w:val="24"/>
        </w:rPr>
      </w:pPr>
    </w:p>
    <w:p w14:paraId="4EF59D8D">
      <w:pPr>
        <w:autoSpaceDE w:val="0"/>
        <w:autoSpaceDN w:val="0"/>
        <w:adjustRightInd w:val="0"/>
        <w:outlineLvl w:val="9"/>
        <w:rPr>
          <w:rFonts w:hint="eastAsia" w:ascii="宋体" w:hAnsi="宋体" w:cs="宋体"/>
          <w:color w:val="auto"/>
          <w:sz w:val="24"/>
        </w:rPr>
      </w:pPr>
    </w:p>
    <w:p w14:paraId="1B9DC09B">
      <w:pPr>
        <w:autoSpaceDE w:val="0"/>
        <w:autoSpaceDN w:val="0"/>
        <w:adjustRightInd w:val="0"/>
        <w:outlineLvl w:val="9"/>
        <w:rPr>
          <w:rFonts w:hint="eastAsia" w:ascii="宋体" w:hAnsi="宋体" w:cs="宋体"/>
          <w:color w:val="auto"/>
          <w:sz w:val="24"/>
        </w:rPr>
      </w:pPr>
    </w:p>
    <w:p w14:paraId="54B87E57">
      <w:pPr>
        <w:autoSpaceDE w:val="0"/>
        <w:autoSpaceDN w:val="0"/>
        <w:adjustRightInd w:val="0"/>
        <w:outlineLvl w:val="9"/>
        <w:rPr>
          <w:rFonts w:hint="eastAsia" w:ascii="宋体" w:hAnsi="宋体" w:cs="宋体"/>
          <w:color w:val="auto"/>
          <w:sz w:val="24"/>
        </w:rPr>
      </w:pPr>
    </w:p>
    <w:p w14:paraId="2288122F">
      <w:pPr>
        <w:autoSpaceDE w:val="0"/>
        <w:autoSpaceDN w:val="0"/>
        <w:adjustRightInd w:val="0"/>
        <w:outlineLvl w:val="9"/>
        <w:rPr>
          <w:rFonts w:hint="eastAsia" w:ascii="宋体" w:hAnsi="宋体" w:cs="宋体"/>
          <w:color w:val="auto"/>
          <w:sz w:val="24"/>
        </w:rPr>
      </w:pPr>
    </w:p>
    <w:p w14:paraId="3CDBA825">
      <w:pPr>
        <w:autoSpaceDE w:val="0"/>
        <w:autoSpaceDN w:val="0"/>
        <w:adjustRightInd w:val="0"/>
        <w:outlineLvl w:val="9"/>
        <w:rPr>
          <w:rFonts w:hint="eastAsia" w:ascii="宋体" w:hAnsi="宋体" w:cs="宋体"/>
          <w:color w:val="auto"/>
          <w:sz w:val="24"/>
        </w:rPr>
      </w:pPr>
    </w:p>
    <w:p w14:paraId="330DFA64">
      <w:pPr>
        <w:autoSpaceDE w:val="0"/>
        <w:autoSpaceDN w:val="0"/>
        <w:adjustRightInd w:val="0"/>
        <w:outlineLvl w:val="9"/>
        <w:rPr>
          <w:rFonts w:hint="eastAsia" w:ascii="宋体" w:hAnsi="宋体" w:cs="宋体"/>
          <w:color w:val="auto"/>
          <w:sz w:val="24"/>
        </w:rPr>
      </w:pPr>
    </w:p>
    <w:p w14:paraId="6D99FB82">
      <w:pPr>
        <w:autoSpaceDE w:val="0"/>
        <w:autoSpaceDN w:val="0"/>
        <w:adjustRightInd w:val="0"/>
        <w:outlineLvl w:val="9"/>
        <w:rPr>
          <w:rFonts w:hint="eastAsia" w:ascii="宋体" w:hAnsi="宋体" w:cs="宋体"/>
          <w:color w:val="auto"/>
          <w:sz w:val="24"/>
        </w:rPr>
      </w:pPr>
    </w:p>
    <w:p w14:paraId="2C818D7C">
      <w:pPr>
        <w:autoSpaceDE w:val="0"/>
        <w:autoSpaceDN w:val="0"/>
        <w:adjustRightInd w:val="0"/>
        <w:jc w:val="center"/>
        <w:outlineLvl w:val="9"/>
        <w:rPr>
          <w:rFonts w:hint="eastAsia" w:ascii="宋体" w:hAnsi="宋体" w:cs="宋体"/>
          <w:b/>
          <w:color w:val="auto"/>
          <w:sz w:val="24"/>
          <w:lang w:val="zh-CN"/>
        </w:rPr>
      </w:pPr>
    </w:p>
    <w:p w14:paraId="1C68E85E">
      <w:pPr>
        <w:autoSpaceDE w:val="0"/>
        <w:autoSpaceDN w:val="0"/>
        <w:adjustRightInd w:val="0"/>
        <w:jc w:val="left"/>
        <w:outlineLvl w:val="1"/>
        <w:rPr>
          <w:rFonts w:hint="eastAsia" w:ascii="宋体" w:hAnsi="宋体" w:cs="宋体"/>
          <w:b/>
          <w:color w:val="auto"/>
          <w:sz w:val="24"/>
          <w:lang w:val="zh-CN"/>
        </w:rPr>
        <w:sectPr>
          <w:headerReference r:id="rId11" w:type="default"/>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16" w:name="_Toc22598"/>
      <w:bookmarkStart w:id="117" w:name="_Toc125"/>
    </w:p>
    <w:p w14:paraId="458DB1C8">
      <w:pPr>
        <w:autoSpaceDE w:val="0"/>
        <w:autoSpaceDN w:val="0"/>
        <w:adjustRightInd w:val="0"/>
        <w:jc w:val="left"/>
        <w:outlineLvl w:val="1"/>
        <w:rPr>
          <w:rFonts w:hint="eastAsia" w:ascii="宋体" w:hAnsi="宋体" w:cs="宋体"/>
          <w:b/>
          <w:color w:val="auto"/>
          <w:sz w:val="24"/>
        </w:rPr>
      </w:pPr>
      <w:r>
        <w:rPr>
          <w:rFonts w:hint="eastAsia" w:ascii="宋体" w:hAnsi="宋体" w:cs="宋体"/>
          <w:b/>
          <w:color w:val="auto"/>
          <w:sz w:val="24"/>
          <w:lang w:val="zh-CN"/>
        </w:rPr>
        <w:t>格式四</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投标人的资格声明</w:t>
      </w:r>
      <w:bookmarkEnd w:id="116"/>
      <w:bookmarkEnd w:id="117"/>
    </w:p>
    <w:p w14:paraId="0CA50384">
      <w:pPr>
        <w:autoSpaceDE w:val="0"/>
        <w:autoSpaceDN w:val="0"/>
        <w:adjustRightInd w:val="0"/>
        <w:outlineLvl w:val="9"/>
        <w:rPr>
          <w:rFonts w:hint="eastAsia" w:ascii="宋体" w:hAnsi="宋体" w:cs="宋体"/>
          <w:b/>
          <w:color w:val="auto"/>
          <w:sz w:val="24"/>
        </w:rPr>
      </w:pPr>
    </w:p>
    <w:p w14:paraId="6675A3E3">
      <w:pPr>
        <w:autoSpaceDE w:val="0"/>
        <w:autoSpaceDN w:val="0"/>
        <w:adjustRightInd w:val="0"/>
        <w:spacing w:line="360" w:lineRule="auto"/>
        <w:outlineLvl w:val="9"/>
        <w:rPr>
          <w:rFonts w:hint="eastAsia" w:ascii="宋体" w:hAnsi="宋体" w:cs="宋体"/>
          <w:color w:val="auto"/>
          <w:szCs w:val="21"/>
        </w:rPr>
      </w:pPr>
      <w:r>
        <w:rPr>
          <w:rFonts w:hint="eastAsia" w:ascii="宋体" w:hAnsi="宋体" w:cs="宋体"/>
          <w:color w:val="auto"/>
          <w:szCs w:val="21"/>
          <w:lang w:val="zh-CN"/>
        </w:rPr>
        <w:t>致吉林亿品工程项目管理有限公司：</w:t>
      </w:r>
    </w:p>
    <w:p w14:paraId="68980D18">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按照《中华人民共和国政府采购法》、《中华人民共和国政府采购法实施条例》</w:t>
      </w:r>
      <w:r>
        <w:rPr>
          <w:rFonts w:hint="eastAsia" w:ascii="宋体" w:hAnsi="宋体" w:cs="宋体"/>
          <w:color w:val="auto"/>
          <w:szCs w:val="21"/>
          <w:lang w:val="en-US" w:eastAsia="zh-CN"/>
        </w:rPr>
        <w:t>及</w:t>
      </w:r>
      <w:r>
        <w:rPr>
          <w:rFonts w:hint="eastAsia" w:ascii="宋体" w:hAnsi="宋体" w:cs="宋体"/>
          <w:color w:val="auto"/>
          <w:szCs w:val="21"/>
          <w:lang w:val="zh-CN"/>
        </w:rPr>
        <w:t>你公司发布的《</w:t>
      </w:r>
      <w:r>
        <w:rPr>
          <w:rFonts w:hint="eastAsia" w:ascii="宋体" w:hAnsi="宋体" w:cs="宋体"/>
          <w:color w:val="auto"/>
          <w:szCs w:val="21"/>
          <w:u w:val="single"/>
          <w:lang w:val="zh-CN"/>
        </w:rPr>
        <w:t xml:space="preserve">项目名称 </w:t>
      </w:r>
      <w:r>
        <w:rPr>
          <w:rFonts w:hint="eastAsia" w:ascii="宋体" w:hAnsi="宋体" w:cs="宋体"/>
          <w:color w:val="auto"/>
          <w:szCs w:val="21"/>
          <w:lang w:val="zh-CN"/>
        </w:rPr>
        <w:t>招标文件》的规定，我公司郑重声明如下：</w:t>
      </w:r>
    </w:p>
    <w:p w14:paraId="7644F2E7">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rPr>
        <w:t>1</w:t>
      </w:r>
      <w:r>
        <w:rPr>
          <w:rFonts w:hint="eastAsia" w:ascii="宋体" w:hAnsi="宋体" w:cs="宋体"/>
          <w:color w:val="auto"/>
          <w:szCs w:val="21"/>
          <w:lang w:val="zh-CN"/>
        </w:rPr>
        <w:t>、满足《中华人民共和国政府采购法》第二十二条规定。</w:t>
      </w:r>
    </w:p>
    <w:p w14:paraId="29B4E8B0">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（一）具有独立承担民事责任的能力；</w:t>
      </w:r>
    </w:p>
    <w:p w14:paraId="0F9A0BD6">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（二）具有良好的商业信誉和健全的财务会计制度；</w:t>
      </w:r>
    </w:p>
    <w:p w14:paraId="5B607703">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（三）具有履行合同所必需的设备和专业技术能力；</w:t>
      </w:r>
    </w:p>
    <w:p w14:paraId="3E63DB11">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（四）有依法缴纳税收和社会保障资金的良好记录；</w:t>
      </w:r>
    </w:p>
    <w:p w14:paraId="355B76EE">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（五）参加政府采购活动前三年内，在经营活动中没有重大违法记录；</w:t>
      </w:r>
    </w:p>
    <w:p w14:paraId="5E7CF3A4">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rPr>
        <w:t>（六）法律、行政法规规定的其他条件。</w:t>
      </w:r>
    </w:p>
    <w:p w14:paraId="143EE11B">
      <w:pPr>
        <w:autoSpaceDE w:val="0"/>
        <w:autoSpaceDN w:val="0"/>
        <w:adjustRightInd w:val="0"/>
        <w:spacing w:line="360" w:lineRule="auto"/>
        <w:ind w:firstLine="480"/>
        <w:jc w:val="left"/>
        <w:outlineLvl w:val="9"/>
        <w:rPr>
          <w:rFonts w:hint="eastAsia" w:ascii="宋体" w:hAnsi="宋体" w:cs="宋体"/>
          <w:color w:val="auto"/>
          <w:szCs w:val="21"/>
          <w:lang w:val="zh-CN"/>
        </w:rPr>
      </w:pPr>
      <w:r>
        <w:rPr>
          <w:rFonts w:hint="eastAsia" w:ascii="宋体" w:hAnsi="宋体" w:cs="宋体"/>
          <w:color w:val="auto"/>
          <w:szCs w:val="21"/>
          <w:lang w:val="zh-CN" w:eastAsia="zh-CN"/>
        </w:rPr>
        <w:t>2.不存在</w:t>
      </w:r>
      <w:r>
        <w:rPr>
          <w:rFonts w:hint="eastAsia" w:ascii="宋体" w:hAnsi="宋体" w:cs="宋体"/>
          <w:color w:val="auto"/>
          <w:szCs w:val="21"/>
          <w:lang w:val="zh-CN"/>
        </w:rPr>
        <w:t>与采购人存在利害关系可能影响采购公正性的法人、其它组织或者个人参加投标；</w:t>
      </w:r>
      <w:r>
        <w:rPr>
          <w:rFonts w:hint="eastAsia" w:ascii="宋体" w:hAnsi="宋体" w:cs="宋体"/>
          <w:color w:val="auto"/>
          <w:szCs w:val="21"/>
          <w:lang w:val="zh-CN" w:eastAsia="zh-CN"/>
        </w:rPr>
        <w:t>不存在</w:t>
      </w:r>
      <w:r>
        <w:rPr>
          <w:rFonts w:hint="eastAsia" w:ascii="宋体" w:hAnsi="宋体" w:cs="宋体"/>
          <w:color w:val="auto"/>
          <w:szCs w:val="21"/>
          <w:lang w:val="zh-CN"/>
        </w:rPr>
        <w:t>单位负责人为同一人或者存在直接控股、管理关系的不同</w:t>
      </w:r>
      <w:r>
        <w:rPr>
          <w:rFonts w:hint="eastAsia" w:ascii="宋体" w:hAnsi="宋体" w:cs="宋体"/>
          <w:color w:val="auto"/>
          <w:szCs w:val="21"/>
          <w:lang w:val="zh-CN" w:eastAsia="zh-CN"/>
        </w:rPr>
        <w:t>投标人</w:t>
      </w:r>
      <w:r>
        <w:rPr>
          <w:rFonts w:hint="eastAsia" w:ascii="宋体" w:hAnsi="宋体" w:cs="宋体"/>
          <w:color w:val="auto"/>
          <w:szCs w:val="21"/>
          <w:lang w:val="zh-CN"/>
        </w:rPr>
        <w:t>，参加同一合同项下的政府采购活动。违反这两款规定的，相关投标均无效。</w:t>
      </w:r>
    </w:p>
    <w:p w14:paraId="7E13A334">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val="zh-CN"/>
        </w:rPr>
        <w:t>我公司在参与本次政府招标活动时未受到任何地方政府招标部门作出的暂停参加政府招标活动的处罚。</w:t>
      </w:r>
    </w:p>
    <w:p w14:paraId="285F8046">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14:paraId="578E1861">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6869E602">
      <w:pPr>
        <w:autoSpaceDE w:val="0"/>
        <w:autoSpaceDN w:val="0"/>
        <w:adjustRightInd w:val="0"/>
        <w:spacing w:line="360" w:lineRule="auto"/>
        <w:ind w:firstLine="480"/>
        <w:outlineLvl w:val="9"/>
        <w:rPr>
          <w:rFonts w:hint="eastAsia" w:ascii="宋体" w:hAnsi="宋体" w:cs="宋体"/>
          <w:color w:val="auto"/>
          <w:szCs w:val="21"/>
        </w:rPr>
      </w:pPr>
    </w:p>
    <w:p w14:paraId="425153CC">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投标人名称全称：</w:t>
      </w:r>
    </w:p>
    <w:p w14:paraId="30CA7B0D">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投标人单位公章：</w:t>
      </w:r>
    </w:p>
    <w:p w14:paraId="2B8FF276">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单位负责人或授权代理人签字：</w:t>
      </w:r>
    </w:p>
    <w:p w14:paraId="4B006F07">
      <w:pPr>
        <w:autoSpaceDE w:val="0"/>
        <w:autoSpaceDN w:val="0"/>
        <w:adjustRightInd w:val="0"/>
        <w:spacing w:line="360" w:lineRule="auto"/>
        <w:ind w:firstLine="480"/>
        <w:outlineLvl w:val="9"/>
        <w:rPr>
          <w:rFonts w:hint="eastAsia" w:ascii="宋体" w:hAnsi="宋体" w:cs="宋体"/>
          <w:color w:val="auto"/>
          <w:szCs w:val="21"/>
        </w:rPr>
      </w:pPr>
      <w:r>
        <w:rPr>
          <w:rFonts w:hint="eastAsia" w:ascii="宋体" w:hAnsi="宋体" w:cs="宋体"/>
          <w:color w:val="auto"/>
          <w:szCs w:val="21"/>
          <w:lang w:val="zh-CN"/>
        </w:rPr>
        <w:t>时间：</w:t>
      </w:r>
      <w:r>
        <w:rPr>
          <w:rFonts w:hint="eastAsia" w:ascii="宋体" w:hAnsi="宋体" w:cs="宋体"/>
          <w:color w:val="auto"/>
          <w:szCs w:val="21"/>
          <w:lang w:val="en-US" w:eastAsia="zh-CN"/>
        </w:rPr>
        <w:t xml:space="preserve">  </w:t>
      </w:r>
      <w:r>
        <w:rPr>
          <w:rFonts w:hint="eastAsia" w:ascii="宋体" w:hAnsi="宋体" w:cs="宋体"/>
          <w:color w:val="auto"/>
          <w:szCs w:val="21"/>
          <w:lang w:val="zh-CN"/>
        </w:rPr>
        <w:t>年</w:t>
      </w:r>
      <w:r>
        <w:rPr>
          <w:rFonts w:hint="eastAsia" w:ascii="宋体" w:hAnsi="宋体" w:cs="宋体"/>
          <w:color w:val="auto"/>
          <w:szCs w:val="21"/>
        </w:rPr>
        <w:t xml:space="preserve">  </w:t>
      </w:r>
      <w:r>
        <w:rPr>
          <w:rFonts w:hint="eastAsia" w:ascii="宋体" w:hAnsi="宋体" w:cs="宋体"/>
          <w:color w:val="auto"/>
          <w:szCs w:val="21"/>
          <w:lang w:val="zh-CN"/>
        </w:rPr>
        <w:t>月</w:t>
      </w:r>
      <w:r>
        <w:rPr>
          <w:rFonts w:hint="eastAsia" w:ascii="宋体" w:hAnsi="宋体" w:cs="宋体"/>
          <w:color w:val="auto"/>
          <w:szCs w:val="21"/>
        </w:rPr>
        <w:t xml:space="preserve">  </w:t>
      </w:r>
      <w:r>
        <w:rPr>
          <w:rFonts w:hint="eastAsia" w:ascii="宋体" w:hAnsi="宋体" w:cs="宋体"/>
          <w:color w:val="auto"/>
          <w:szCs w:val="21"/>
          <w:lang w:val="zh-CN"/>
        </w:rPr>
        <w:t>日</w:t>
      </w:r>
    </w:p>
    <w:p w14:paraId="7182F37A">
      <w:pPr>
        <w:autoSpaceDE w:val="0"/>
        <w:autoSpaceDN w:val="0"/>
        <w:adjustRightInd w:val="0"/>
        <w:ind w:firstLine="480"/>
        <w:outlineLvl w:val="9"/>
        <w:rPr>
          <w:rFonts w:hint="eastAsia" w:ascii="宋体" w:hAnsi="宋体" w:cs="宋体"/>
          <w:color w:val="auto"/>
          <w:sz w:val="24"/>
        </w:rPr>
      </w:pPr>
    </w:p>
    <w:p w14:paraId="5857C20D">
      <w:pPr>
        <w:autoSpaceDE w:val="0"/>
        <w:autoSpaceDN w:val="0"/>
        <w:adjustRightInd w:val="0"/>
        <w:outlineLvl w:val="9"/>
        <w:rPr>
          <w:rFonts w:hint="eastAsia" w:ascii="宋体" w:hAnsi="宋体" w:cs="宋体"/>
          <w:b/>
          <w:color w:val="auto"/>
          <w:sz w:val="24"/>
          <w:lang w:val="zh-CN"/>
        </w:rPr>
      </w:pPr>
    </w:p>
    <w:p w14:paraId="07FF9FB5">
      <w:pPr>
        <w:autoSpaceDE w:val="0"/>
        <w:autoSpaceDN w:val="0"/>
        <w:adjustRightInd w:val="0"/>
        <w:outlineLvl w:val="9"/>
        <w:rPr>
          <w:rFonts w:hint="eastAsia" w:ascii="宋体" w:hAnsi="宋体" w:cs="宋体"/>
          <w:b/>
          <w:color w:val="auto"/>
          <w:sz w:val="24"/>
          <w:lang w:val="zh-CN"/>
        </w:rPr>
      </w:pPr>
    </w:p>
    <w:p w14:paraId="1411B48E">
      <w:pPr>
        <w:autoSpaceDE w:val="0"/>
        <w:autoSpaceDN w:val="0"/>
        <w:adjustRightInd w:val="0"/>
        <w:outlineLvl w:val="9"/>
        <w:rPr>
          <w:rFonts w:hint="eastAsia" w:ascii="宋体" w:hAnsi="宋体" w:cs="宋体"/>
          <w:b/>
          <w:color w:val="auto"/>
          <w:sz w:val="24"/>
          <w:lang w:val="zh-CN"/>
        </w:rPr>
      </w:pPr>
    </w:p>
    <w:p w14:paraId="57005DE1">
      <w:pPr>
        <w:autoSpaceDE w:val="0"/>
        <w:autoSpaceDN w:val="0"/>
        <w:adjustRightInd w:val="0"/>
        <w:outlineLvl w:val="9"/>
        <w:rPr>
          <w:rFonts w:hint="eastAsia" w:ascii="宋体" w:hAnsi="宋体" w:cs="宋体"/>
          <w:b/>
          <w:color w:val="auto"/>
          <w:sz w:val="24"/>
          <w:lang w:val="zh-CN"/>
        </w:rPr>
      </w:pPr>
    </w:p>
    <w:p w14:paraId="11976D47">
      <w:pPr>
        <w:autoSpaceDE w:val="0"/>
        <w:autoSpaceDN w:val="0"/>
        <w:adjustRightInd w:val="0"/>
        <w:outlineLvl w:val="9"/>
        <w:rPr>
          <w:rFonts w:hint="eastAsia" w:ascii="宋体" w:hAnsi="宋体" w:cs="宋体"/>
          <w:b/>
          <w:color w:val="auto"/>
          <w:sz w:val="24"/>
          <w:lang w:val="zh-CN"/>
        </w:rPr>
      </w:pPr>
    </w:p>
    <w:p w14:paraId="25FD042A">
      <w:pPr>
        <w:autoSpaceDE w:val="0"/>
        <w:autoSpaceDN w:val="0"/>
        <w:adjustRightInd w:val="0"/>
        <w:outlineLvl w:val="9"/>
        <w:rPr>
          <w:rFonts w:hint="eastAsia" w:ascii="宋体" w:hAnsi="宋体" w:cs="宋体"/>
          <w:b/>
          <w:color w:val="auto"/>
          <w:sz w:val="24"/>
          <w:lang w:val="zh-CN"/>
        </w:rPr>
      </w:pPr>
    </w:p>
    <w:p w14:paraId="225FB608">
      <w:pPr>
        <w:autoSpaceDE w:val="0"/>
        <w:autoSpaceDN w:val="0"/>
        <w:adjustRightInd w:val="0"/>
        <w:outlineLvl w:val="9"/>
        <w:rPr>
          <w:rFonts w:hint="eastAsia" w:ascii="宋体" w:hAnsi="宋体" w:cs="宋体"/>
          <w:b/>
          <w:color w:val="auto"/>
          <w:sz w:val="24"/>
          <w:lang w:val="zh-CN"/>
        </w:rPr>
      </w:pPr>
    </w:p>
    <w:p w14:paraId="061867A9">
      <w:pPr>
        <w:autoSpaceDE w:val="0"/>
        <w:autoSpaceDN w:val="0"/>
        <w:adjustRightInd w:val="0"/>
        <w:outlineLvl w:val="9"/>
        <w:rPr>
          <w:rFonts w:hint="eastAsia" w:ascii="宋体" w:hAnsi="宋体" w:cs="宋体"/>
          <w:b/>
          <w:color w:val="auto"/>
          <w:sz w:val="24"/>
          <w:lang w:val="zh-CN"/>
        </w:rPr>
      </w:pPr>
    </w:p>
    <w:p w14:paraId="6311726E">
      <w:pPr>
        <w:autoSpaceDE w:val="0"/>
        <w:autoSpaceDN w:val="0"/>
        <w:adjustRightInd w:val="0"/>
        <w:outlineLvl w:val="9"/>
        <w:rPr>
          <w:rFonts w:hint="eastAsia" w:ascii="宋体" w:hAnsi="宋体" w:cs="宋体"/>
          <w:b/>
          <w:color w:val="auto"/>
          <w:sz w:val="24"/>
          <w:lang w:val="zh-CN"/>
        </w:rPr>
      </w:pPr>
    </w:p>
    <w:p w14:paraId="1CE9114A">
      <w:pPr>
        <w:autoSpaceDE w:val="0"/>
        <w:autoSpaceDN w:val="0"/>
        <w:adjustRightInd w:val="0"/>
        <w:outlineLvl w:val="9"/>
        <w:rPr>
          <w:rFonts w:hint="eastAsia" w:ascii="宋体" w:hAnsi="宋体" w:cs="宋体"/>
          <w:b/>
          <w:color w:val="auto"/>
          <w:sz w:val="24"/>
          <w:lang w:val="zh-CN"/>
        </w:rPr>
      </w:pPr>
    </w:p>
    <w:p w14:paraId="44C904A8">
      <w:pPr>
        <w:autoSpaceDE w:val="0"/>
        <w:autoSpaceDN w:val="0"/>
        <w:adjustRightInd w:val="0"/>
        <w:outlineLvl w:val="9"/>
        <w:rPr>
          <w:rFonts w:hint="eastAsia" w:ascii="宋体" w:hAnsi="宋体" w:cs="宋体"/>
          <w:b/>
          <w:color w:val="auto"/>
          <w:sz w:val="24"/>
          <w:lang w:val="zh-CN"/>
        </w:rPr>
      </w:pPr>
    </w:p>
    <w:p w14:paraId="7F7EAA90">
      <w:pPr>
        <w:autoSpaceDE w:val="0"/>
        <w:autoSpaceDN w:val="0"/>
        <w:adjustRightInd w:val="0"/>
        <w:jc w:val="left"/>
        <w:outlineLvl w:val="1"/>
        <w:rPr>
          <w:rFonts w:hint="eastAsia" w:ascii="宋体" w:hAnsi="宋体" w:cs="宋体"/>
          <w:b/>
          <w:color w:val="auto"/>
          <w:sz w:val="24"/>
          <w:lang w:val="en-US" w:eastAsia="zh-CN"/>
        </w:rPr>
      </w:pPr>
      <w:bookmarkStart w:id="118" w:name="_Toc9192"/>
      <w:bookmarkStart w:id="119" w:name="_Toc1355"/>
      <w:r>
        <w:rPr>
          <w:rFonts w:hint="eastAsia" w:ascii="宋体" w:hAnsi="宋体" w:cs="宋体"/>
          <w:b/>
          <w:color w:val="auto"/>
          <w:sz w:val="24"/>
          <w:lang w:val="zh-CN"/>
        </w:rPr>
        <w:t>格式五</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单位负责人证明书</w:t>
      </w:r>
      <w:bookmarkEnd w:id="118"/>
    </w:p>
    <w:p w14:paraId="1DC5CA67">
      <w:pPr>
        <w:pStyle w:val="19"/>
        <w:outlineLvl w:val="9"/>
        <w:rPr>
          <w:rFonts w:hint="eastAsia" w:ascii="宋体" w:hAnsi="宋体" w:cs="宋体"/>
          <w:b/>
          <w:color w:val="auto"/>
          <w:sz w:val="24"/>
          <w:lang w:val="en-US" w:eastAsia="zh-CN"/>
        </w:rPr>
      </w:pPr>
    </w:p>
    <w:p w14:paraId="4A75C0F3">
      <w:pPr>
        <w:spacing w:line="360" w:lineRule="auto"/>
        <w:jc w:val="center"/>
        <w:outlineLvl w:val="9"/>
        <w:rPr>
          <w:rFonts w:hint="eastAsia" w:ascii="仿宋_GB2312" w:hAnsi="宋体" w:eastAsia="仿宋_GB2312"/>
          <w:b/>
          <w:color w:val="auto"/>
          <w:sz w:val="24"/>
          <w:szCs w:val="28"/>
        </w:rPr>
      </w:pPr>
      <w:r>
        <w:rPr>
          <w:rFonts w:hint="eastAsia" w:ascii="宋体" w:hAnsi="宋体" w:cs="宋体"/>
          <w:b/>
          <w:color w:val="auto"/>
          <w:sz w:val="24"/>
          <w:szCs w:val="28"/>
        </w:rPr>
        <w:t>单位负责人证明书（格式）</w:t>
      </w:r>
    </w:p>
    <w:p w14:paraId="66C0A934">
      <w:pPr>
        <w:spacing w:line="360" w:lineRule="auto"/>
        <w:jc w:val="center"/>
        <w:outlineLvl w:val="9"/>
        <w:rPr>
          <w:rFonts w:hint="eastAsia" w:ascii="仿宋_GB2312" w:hAnsi="宋体" w:eastAsia="仿宋_GB2312"/>
          <w:color w:val="auto"/>
          <w:sz w:val="24"/>
        </w:rPr>
      </w:pPr>
    </w:p>
    <w:p w14:paraId="206A73A7">
      <w:pPr>
        <w:spacing w:line="360" w:lineRule="auto"/>
        <w:ind w:left="439" w:leftChars="209" w:firstLine="38" w:firstLineChars="16"/>
        <w:jc w:val="left"/>
        <w:outlineLvl w:val="9"/>
        <w:rPr>
          <w:rFonts w:hint="eastAsia" w:ascii="宋体" w:hAnsi="宋体" w:cs="宋体"/>
          <w:color w:val="auto"/>
          <w:sz w:val="24"/>
        </w:rPr>
      </w:pPr>
      <w:r>
        <w:rPr>
          <w:rFonts w:hint="eastAsia" w:ascii="宋体" w:hAnsi="宋体" w:cs="宋体"/>
          <w:color w:val="auto"/>
          <w:sz w:val="24"/>
        </w:rPr>
        <w:t>兹证明：</w:t>
      </w:r>
      <w:r>
        <w:rPr>
          <w:rFonts w:hint="eastAsia" w:ascii="宋体" w:hAnsi="宋体" w:cs="宋体"/>
          <w:color w:val="auto"/>
          <w:sz w:val="24"/>
          <w:u w:val="single"/>
        </w:rPr>
        <w:t xml:space="preserve">            </w:t>
      </w:r>
      <w:r>
        <w:rPr>
          <w:rFonts w:hint="eastAsia" w:ascii="宋体" w:hAnsi="宋体" w:cs="宋体"/>
          <w:color w:val="auto"/>
          <w:sz w:val="24"/>
        </w:rPr>
        <w:t>（被证明人姓名）现任</w:t>
      </w:r>
      <w:r>
        <w:rPr>
          <w:rFonts w:hint="eastAsia" w:ascii="宋体" w:hAnsi="宋体" w:cs="宋体"/>
          <w:color w:val="auto"/>
          <w:sz w:val="24"/>
          <w:u w:val="single"/>
        </w:rPr>
        <w:t xml:space="preserve">            </w:t>
      </w:r>
      <w:r>
        <w:rPr>
          <w:rFonts w:hint="eastAsia" w:ascii="宋体" w:hAnsi="宋体" w:cs="宋体"/>
          <w:color w:val="auto"/>
          <w:sz w:val="24"/>
        </w:rPr>
        <w:t>公司</w:t>
      </w:r>
      <w:r>
        <w:rPr>
          <w:rFonts w:hint="eastAsia" w:ascii="宋体" w:hAnsi="宋体" w:cs="宋体"/>
          <w:color w:val="auto"/>
          <w:sz w:val="24"/>
          <w:u w:val="single"/>
        </w:rPr>
        <w:t xml:space="preserve">              </w:t>
      </w:r>
      <w:r>
        <w:rPr>
          <w:rFonts w:hint="eastAsia" w:ascii="宋体" w:hAnsi="宋体" w:cs="宋体"/>
          <w:color w:val="auto"/>
          <w:sz w:val="24"/>
        </w:rPr>
        <w:t>（职务），系公司的单位负责人。</w:t>
      </w:r>
    </w:p>
    <w:p w14:paraId="499860D2">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特此证明。</w:t>
      </w:r>
    </w:p>
    <w:p w14:paraId="7CE381DD">
      <w:pPr>
        <w:spacing w:line="360" w:lineRule="auto"/>
        <w:ind w:firstLine="480" w:firstLineChars="200"/>
        <w:outlineLvl w:val="9"/>
        <w:rPr>
          <w:rFonts w:hint="eastAsia" w:ascii="宋体" w:hAnsi="宋体" w:cs="宋体"/>
          <w:color w:val="auto"/>
          <w:sz w:val="24"/>
        </w:rPr>
      </w:pPr>
    </w:p>
    <w:p w14:paraId="40B3D96A">
      <w:pPr>
        <w:spacing w:line="360" w:lineRule="auto"/>
        <w:ind w:firstLine="480" w:firstLineChars="200"/>
        <w:outlineLvl w:val="9"/>
        <w:rPr>
          <w:rFonts w:hint="eastAsia" w:ascii="宋体" w:hAnsi="宋体" w:cs="宋体"/>
          <w:color w:val="auto"/>
          <w:sz w:val="24"/>
        </w:rPr>
      </w:pPr>
    </w:p>
    <w:p w14:paraId="6AF1F451">
      <w:pPr>
        <w:spacing w:line="360" w:lineRule="auto"/>
        <w:ind w:firstLine="480" w:firstLineChars="200"/>
        <w:outlineLvl w:val="9"/>
        <w:rPr>
          <w:rFonts w:hint="eastAsia" w:ascii="宋体" w:hAnsi="宋体" w:cs="宋体"/>
          <w:color w:val="auto"/>
          <w:sz w:val="24"/>
        </w:rPr>
      </w:pPr>
    </w:p>
    <w:p w14:paraId="194E0C36">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14:paraId="48A8ED20">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地址：</w:t>
      </w:r>
    </w:p>
    <w:p w14:paraId="2BF190B3">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被证明人签字：</w:t>
      </w:r>
    </w:p>
    <w:p w14:paraId="2E7E17E8">
      <w:pPr>
        <w:spacing w:line="360" w:lineRule="auto"/>
        <w:ind w:firstLine="555"/>
        <w:outlineLvl w:val="9"/>
        <w:rPr>
          <w:rFonts w:hint="eastAsia" w:ascii="宋体" w:hAnsi="宋体" w:cs="宋体"/>
          <w:color w:val="auto"/>
          <w:sz w:val="24"/>
        </w:rPr>
      </w:pPr>
    </w:p>
    <w:p w14:paraId="4F961EB3">
      <w:pPr>
        <w:spacing w:line="360" w:lineRule="auto"/>
        <w:outlineLvl w:val="9"/>
        <w:rPr>
          <w:rFonts w:hint="eastAsia" w:ascii="宋体" w:hAnsi="宋体" w:cs="宋体"/>
          <w:color w:val="auto"/>
          <w:sz w:val="24"/>
        </w:rPr>
      </w:pPr>
      <w:r>
        <w:rPr>
          <w:rFonts w:hint="eastAsia" w:ascii="宋体" w:hAnsi="宋体" w:cs="宋体"/>
          <w:color w:val="auto"/>
          <w:sz w:val="24"/>
        </w:rPr>
        <w:t xml:space="preserve">           年   月   日</w:t>
      </w:r>
    </w:p>
    <w:p w14:paraId="25ABA27C">
      <w:pPr>
        <w:pStyle w:val="14"/>
        <w:spacing w:line="360" w:lineRule="auto"/>
        <w:outlineLvl w:val="9"/>
        <w:rPr>
          <w:rFonts w:hint="eastAsia" w:ascii="宋体" w:hAnsi="宋体" w:cs="宋体"/>
          <w:color w:val="auto"/>
          <w:szCs w:val="24"/>
        </w:rPr>
      </w:pPr>
    </w:p>
    <w:p w14:paraId="3EB9FC78">
      <w:pPr>
        <w:spacing w:line="360" w:lineRule="auto"/>
        <w:ind w:firstLine="480" w:firstLineChars="200"/>
        <w:jc w:val="center"/>
        <w:outlineLvl w:val="9"/>
        <w:rPr>
          <w:rFonts w:hint="eastAsia" w:ascii="宋体" w:hAnsi="宋体" w:cs="宋体"/>
          <w:color w:val="auto"/>
          <w:sz w:val="24"/>
          <w:szCs w:val="22"/>
        </w:rPr>
      </w:pPr>
      <w:r>
        <w:rPr>
          <w:rFonts w:hint="eastAsia" w:ascii="宋体" w:hAnsi="宋体" w:cs="宋体"/>
          <w:color w:val="auto"/>
          <w:sz w:val="24"/>
          <w:szCs w:val="22"/>
        </w:rPr>
        <w:t>单位负责人身份证粘贴处</w:t>
      </w:r>
    </w:p>
    <w:p w14:paraId="709FB9E2">
      <w:pPr>
        <w:pStyle w:val="14"/>
        <w:spacing w:line="360" w:lineRule="auto"/>
        <w:outlineLvl w:val="9"/>
        <w:rPr>
          <w:rFonts w:hint="eastAsia" w:ascii="宋体" w:hAnsi="宋体" w:cs="宋体"/>
          <w:color w:val="auto"/>
          <w:szCs w:val="24"/>
        </w:rPr>
      </w:pPr>
    </w:p>
    <w:p w14:paraId="514B915D">
      <w:pPr>
        <w:rPr>
          <w:rFonts w:hint="eastAsia"/>
          <w:color w:val="auto"/>
          <w:lang w:val="en-US" w:eastAsia="zh-CN"/>
        </w:rPr>
        <w:sectPr>
          <w:pgSz w:w="11906" w:h="16838"/>
          <w:pgMar w:top="1440" w:right="1080" w:bottom="1440" w:left="1080"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2385ED3F">
      <w:pPr>
        <w:autoSpaceDE w:val="0"/>
        <w:autoSpaceDN w:val="0"/>
        <w:adjustRightInd w:val="0"/>
        <w:jc w:val="left"/>
        <w:outlineLvl w:val="1"/>
        <w:rPr>
          <w:rFonts w:hint="eastAsia" w:ascii="宋体" w:hAnsi="宋体" w:cs="宋体"/>
          <w:b/>
          <w:color w:val="auto"/>
          <w:sz w:val="24"/>
          <w:lang w:val="en-US" w:eastAsia="zh-CN"/>
        </w:rPr>
      </w:pPr>
      <w:bookmarkStart w:id="120" w:name="_Toc17761"/>
      <w:r>
        <w:rPr>
          <w:rFonts w:hint="eastAsia" w:ascii="宋体" w:hAnsi="宋体" w:cs="宋体"/>
          <w:b/>
          <w:color w:val="auto"/>
          <w:sz w:val="24"/>
          <w:lang w:val="zh-CN"/>
        </w:rPr>
        <w:t>格式六</w:t>
      </w:r>
      <w:r>
        <w:rPr>
          <w:rFonts w:hint="eastAsia" w:ascii="宋体" w:hAnsi="宋体" w:cs="宋体"/>
          <w:b/>
          <w:color w:val="auto"/>
          <w:sz w:val="24"/>
          <w:lang w:val="en-US" w:eastAsia="zh-CN"/>
        </w:rPr>
        <w:t xml:space="preserve">  </w:t>
      </w:r>
      <w:r>
        <w:rPr>
          <w:rFonts w:hint="eastAsia" w:ascii="宋体" w:hAnsi="宋体" w:cs="宋体"/>
          <w:b/>
          <w:color w:val="auto"/>
          <w:sz w:val="24"/>
          <w:szCs w:val="28"/>
        </w:rPr>
        <w:t>单位负责人授权书</w:t>
      </w:r>
      <w:bookmarkEnd w:id="120"/>
    </w:p>
    <w:p w14:paraId="5C6D0071">
      <w:pPr>
        <w:autoSpaceDE w:val="0"/>
        <w:autoSpaceDN w:val="0"/>
        <w:adjustRightInd w:val="0"/>
        <w:jc w:val="left"/>
        <w:outlineLvl w:val="9"/>
        <w:rPr>
          <w:rFonts w:hint="eastAsia" w:ascii="宋体" w:hAnsi="宋体" w:cs="宋体"/>
          <w:b/>
          <w:color w:val="auto"/>
          <w:sz w:val="24"/>
          <w:szCs w:val="28"/>
        </w:rPr>
      </w:pPr>
    </w:p>
    <w:p w14:paraId="15D1FE4F">
      <w:pPr>
        <w:autoSpaceDE w:val="0"/>
        <w:autoSpaceDN w:val="0"/>
        <w:adjustRightInd w:val="0"/>
        <w:jc w:val="center"/>
        <w:outlineLvl w:val="9"/>
        <w:rPr>
          <w:rFonts w:hint="eastAsia" w:ascii="宋体" w:hAnsi="宋体" w:cs="宋体"/>
          <w:color w:val="auto"/>
          <w:sz w:val="24"/>
          <w:lang w:val="zh-CN"/>
        </w:rPr>
      </w:pPr>
      <w:r>
        <w:rPr>
          <w:rFonts w:hint="eastAsia" w:ascii="宋体" w:hAnsi="宋体" w:cs="宋体"/>
          <w:b/>
          <w:color w:val="auto"/>
          <w:sz w:val="24"/>
          <w:szCs w:val="28"/>
        </w:rPr>
        <w:t>单位负责人授权书</w:t>
      </w:r>
      <w:r>
        <w:rPr>
          <w:rFonts w:hint="eastAsia" w:ascii="宋体" w:hAnsi="宋体" w:cs="宋体"/>
          <w:color w:val="auto"/>
          <w:sz w:val="24"/>
          <w:lang w:val="zh-CN"/>
        </w:rPr>
        <w:t>（单位负责人投标的可不提供）</w:t>
      </w:r>
      <w:bookmarkEnd w:id="119"/>
    </w:p>
    <w:p w14:paraId="68342DC0">
      <w:pPr>
        <w:autoSpaceDE w:val="0"/>
        <w:autoSpaceDN w:val="0"/>
        <w:adjustRightInd w:val="0"/>
        <w:ind w:firstLine="480"/>
        <w:outlineLvl w:val="9"/>
        <w:rPr>
          <w:rFonts w:hint="eastAsia" w:ascii="宋体" w:hAnsi="宋体" w:cs="宋体"/>
          <w:color w:val="auto"/>
          <w:sz w:val="24"/>
          <w:lang w:val="zh-CN"/>
        </w:rPr>
      </w:pPr>
    </w:p>
    <w:p w14:paraId="06C8475C">
      <w:pPr>
        <w:autoSpaceDE w:val="0"/>
        <w:autoSpaceDN w:val="0"/>
        <w:adjustRightInd w:val="0"/>
        <w:ind w:firstLine="480"/>
        <w:outlineLvl w:val="9"/>
        <w:rPr>
          <w:rFonts w:hint="eastAsia" w:ascii="宋体" w:hAnsi="宋体" w:cs="宋体"/>
          <w:color w:val="auto"/>
          <w:sz w:val="24"/>
          <w:lang w:val="zh-CN"/>
        </w:rPr>
      </w:pPr>
    </w:p>
    <w:p w14:paraId="3EB3B726">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本授权书声明：注册于</w:t>
      </w:r>
      <w:r>
        <w:rPr>
          <w:rFonts w:hint="eastAsia" w:ascii="宋体" w:hAnsi="宋体" w:cs="宋体"/>
          <w:color w:val="auto"/>
          <w:szCs w:val="21"/>
          <w:u w:val="single"/>
          <w:lang w:val="zh-CN"/>
        </w:rPr>
        <w:t xml:space="preserve">  （注册地点）   </w:t>
      </w:r>
      <w:r>
        <w:rPr>
          <w:rFonts w:hint="eastAsia" w:ascii="宋体" w:hAnsi="宋体" w:cs="宋体"/>
          <w:color w:val="auto"/>
          <w:szCs w:val="21"/>
          <w:lang w:val="zh-CN"/>
        </w:rPr>
        <w:t>的</w:t>
      </w:r>
      <w:r>
        <w:rPr>
          <w:rFonts w:hint="eastAsia" w:ascii="宋体" w:hAnsi="宋体" w:cs="宋体"/>
          <w:color w:val="auto"/>
          <w:szCs w:val="21"/>
          <w:u w:val="single"/>
          <w:lang w:val="zh-CN"/>
        </w:rPr>
        <w:t xml:space="preserve">   （投标人名称）   </w:t>
      </w:r>
      <w:r>
        <w:rPr>
          <w:rFonts w:hint="eastAsia" w:ascii="宋体" w:hAnsi="宋体" w:cs="宋体"/>
          <w:color w:val="auto"/>
          <w:szCs w:val="21"/>
          <w:lang w:val="zh-CN"/>
        </w:rPr>
        <w:t>公司的</w:t>
      </w:r>
      <w:r>
        <w:rPr>
          <w:rFonts w:hint="eastAsia" w:ascii="宋体" w:hAnsi="宋体" w:cs="宋体"/>
          <w:color w:val="auto"/>
          <w:szCs w:val="21"/>
          <w:u w:val="single"/>
          <w:lang w:val="zh-CN"/>
        </w:rPr>
        <w:t xml:space="preserve">  （投标人单位负责人或法定代表人姓名、职务）  </w:t>
      </w:r>
      <w:r>
        <w:rPr>
          <w:rFonts w:hint="eastAsia" w:ascii="宋体" w:hAnsi="宋体" w:cs="宋体"/>
          <w:color w:val="auto"/>
          <w:szCs w:val="21"/>
          <w:lang w:val="zh-CN"/>
        </w:rPr>
        <w:t>代表本公司授权</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（被授权人单位名称）</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的</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zh-CN"/>
        </w:rPr>
        <w:t xml:space="preserve">(被授权人姓名、职务)   </w:t>
      </w:r>
      <w:r>
        <w:rPr>
          <w:rFonts w:hint="eastAsia" w:ascii="宋体" w:hAnsi="宋体" w:cs="宋体"/>
          <w:color w:val="auto"/>
          <w:szCs w:val="21"/>
          <w:lang w:val="zh-CN"/>
        </w:rPr>
        <w:t>为本公司的合法代理人，就</w:t>
      </w:r>
      <w:r>
        <w:rPr>
          <w:rFonts w:hint="eastAsia" w:ascii="宋体" w:hAnsi="宋体" w:cs="宋体"/>
          <w:color w:val="auto"/>
          <w:szCs w:val="21"/>
          <w:u w:val="single"/>
          <w:lang w:val="en-US" w:eastAsia="zh-CN"/>
        </w:rPr>
        <w:t xml:space="preserve">          </w:t>
      </w:r>
      <w:r>
        <w:rPr>
          <w:rFonts w:hint="eastAsia" w:ascii="宋体" w:hAnsi="宋体" w:cs="宋体"/>
          <w:color w:val="auto"/>
          <w:szCs w:val="21"/>
          <w:lang w:val="zh-CN"/>
        </w:rPr>
        <w:t>项目（招标编号   ）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14:paraId="513B0608">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本授权书于</w:t>
      </w:r>
      <w:r>
        <w:rPr>
          <w:rFonts w:hint="eastAsia" w:ascii="宋体" w:hAnsi="宋体" w:cs="宋体"/>
          <w:color w:val="auto"/>
          <w:szCs w:val="21"/>
          <w:u w:val="single"/>
          <w:lang w:val="zh-CN"/>
        </w:rPr>
        <w:t xml:space="preserve">         </w:t>
      </w:r>
      <w:r>
        <w:rPr>
          <w:rFonts w:hint="eastAsia" w:ascii="宋体" w:hAnsi="宋体" w:cs="宋体"/>
          <w:color w:val="auto"/>
          <w:szCs w:val="21"/>
          <w:lang w:val="zh-CN"/>
        </w:rPr>
        <w:t>年</w:t>
      </w:r>
      <w:r>
        <w:rPr>
          <w:rFonts w:hint="eastAsia" w:ascii="宋体" w:hAnsi="宋体" w:cs="宋体"/>
          <w:color w:val="auto"/>
          <w:szCs w:val="21"/>
          <w:u w:val="single"/>
          <w:lang w:val="zh-CN"/>
        </w:rPr>
        <w:t xml:space="preserve">   </w:t>
      </w:r>
      <w:r>
        <w:rPr>
          <w:rFonts w:hint="eastAsia" w:ascii="宋体" w:hAnsi="宋体" w:cs="宋体"/>
          <w:color w:val="auto"/>
          <w:szCs w:val="21"/>
          <w:lang w:val="zh-CN"/>
        </w:rPr>
        <w:t>月</w:t>
      </w:r>
      <w:r>
        <w:rPr>
          <w:rFonts w:hint="eastAsia" w:ascii="宋体" w:hAnsi="宋体" w:cs="宋体"/>
          <w:color w:val="auto"/>
          <w:szCs w:val="21"/>
          <w:u w:val="single"/>
          <w:lang w:val="zh-CN"/>
        </w:rPr>
        <w:t xml:space="preserve">   </w:t>
      </w:r>
      <w:r>
        <w:rPr>
          <w:rFonts w:hint="eastAsia" w:ascii="宋体" w:hAnsi="宋体" w:cs="宋体"/>
          <w:color w:val="auto"/>
          <w:szCs w:val="21"/>
          <w:lang w:val="zh-CN"/>
        </w:rPr>
        <w:t>日签字生效，特此声明。</w:t>
      </w:r>
    </w:p>
    <w:p w14:paraId="28539043">
      <w:pPr>
        <w:autoSpaceDE w:val="0"/>
        <w:autoSpaceDN w:val="0"/>
        <w:adjustRightInd w:val="0"/>
        <w:spacing w:line="360" w:lineRule="auto"/>
        <w:ind w:firstLine="480"/>
        <w:outlineLvl w:val="9"/>
        <w:rPr>
          <w:rFonts w:hint="eastAsia" w:ascii="宋体" w:hAnsi="宋体" w:cs="宋体"/>
          <w:color w:val="auto"/>
          <w:szCs w:val="21"/>
          <w:lang w:val="zh-CN"/>
        </w:rPr>
      </w:pPr>
    </w:p>
    <w:p w14:paraId="2C58FB9A">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投标人印刷体名称（加盖公章）：</w:t>
      </w:r>
    </w:p>
    <w:p w14:paraId="6FA3B887">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地址：</w:t>
      </w:r>
    </w:p>
    <w:p w14:paraId="34F6B6B9">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14:paraId="23B4C75A">
      <w:pPr>
        <w:autoSpaceDE w:val="0"/>
        <w:autoSpaceDN w:val="0"/>
        <w:adjustRightInd w:val="0"/>
        <w:spacing w:line="360" w:lineRule="auto"/>
        <w:ind w:firstLine="480"/>
        <w:outlineLvl w:val="9"/>
        <w:rPr>
          <w:rFonts w:hint="eastAsia" w:ascii="宋体" w:hAnsi="宋体" w:cs="宋体"/>
          <w:color w:val="auto"/>
          <w:szCs w:val="21"/>
          <w:lang w:val="zh-CN"/>
        </w:rPr>
      </w:pPr>
      <w:r>
        <w:rPr>
          <w:rFonts w:hint="eastAsia" w:ascii="宋体" w:hAnsi="宋体" w:cs="宋体"/>
          <w:color w:val="auto"/>
          <w:szCs w:val="21"/>
          <w:lang w:val="zh-CN"/>
        </w:rPr>
        <w:t>被授权人</w:t>
      </w:r>
      <w:r>
        <w:rPr>
          <w:rFonts w:hint="eastAsia" w:ascii="宋体" w:hAnsi="宋体" w:cs="宋体"/>
          <w:color w:val="auto"/>
          <w:szCs w:val="21"/>
          <w:lang w:val="en-US" w:eastAsia="zh-CN"/>
        </w:rPr>
        <w:t>签字</w:t>
      </w:r>
      <w:r>
        <w:rPr>
          <w:rFonts w:hint="eastAsia" w:ascii="宋体" w:hAnsi="宋体" w:cs="宋体"/>
          <w:color w:val="auto"/>
          <w:szCs w:val="21"/>
          <w:lang w:val="zh-CN"/>
        </w:rPr>
        <w:t>：</w:t>
      </w:r>
    </w:p>
    <w:p w14:paraId="065BDC9D">
      <w:pPr>
        <w:autoSpaceDE w:val="0"/>
        <w:autoSpaceDN w:val="0"/>
        <w:adjustRightInd w:val="0"/>
        <w:spacing w:line="360" w:lineRule="auto"/>
        <w:ind w:firstLine="495"/>
        <w:outlineLvl w:val="9"/>
        <w:rPr>
          <w:rFonts w:hint="eastAsia" w:ascii="宋体" w:hAnsi="宋体" w:cs="宋体"/>
          <w:color w:val="auto"/>
          <w:szCs w:val="21"/>
          <w:lang w:val="zh-CN"/>
        </w:rPr>
      </w:pPr>
    </w:p>
    <w:p w14:paraId="47387494">
      <w:pPr>
        <w:autoSpaceDE w:val="0"/>
        <w:autoSpaceDN w:val="0"/>
        <w:adjustRightInd w:val="0"/>
        <w:spacing w:line="360" w:lineRule="auto"/>
        <w:ind w:firstLine="472"/>
        <w:outlineLvl w:val="9"/>
        <w:rPr>
          <w:rFonts w:hint="eastAsia" w:ascii="宋体" w:hAnsi="宋体" w:cs="宋体"/>
          <w:color w:val="auto"/>
          <w:szCs w:val="21"/>
          <w:lang w:val="zh-CN"/>
        </w:rPr>
      </w:pPr>
      <w:r>
        <w:rPr>
          <w:rFonts w:hint="eastAsia" w:ascii="宋体" w:hAnsi="宋体" w:cs="宋体"/>
          <w:color w:val="auto"/>
          <w:szCs w:val="21"/>
          <w:lang w:val="zh-CN"/>
        </w:rPr>
        <w:t>请投标人注意：单位负责人授权书必须按规定有效签署和加盖公章。</w:t>
      </w:r>
    </w:p>
    <w:p w14:paraId="70C90340">
      <w:pPr>
        <w:autoSpaceDE w:val="0"/>
        <w:autoSpaceDN w:val="0"/>
        <w:adjustRightInd w:val="0"/>
        <w:spacing w:line="360" w:lineRule="auto"/>
        <w:outlineLvl w:val="9"/>
        <w:rPr>
          <w:rFonts w:hint="eastAsia" w:ascii="宋体" w:hAnsi="宋体" w:cs="宋体"/>
          <w:b/>
          <w:color w:val="auto"/>
          <w:szCs w:val="21"/>
          <w:lang w:val="zh-CN"/>
        </w:rPr>
      </w:pPr>
    </w:p>
    <w:p w14:paraId="36A8D299">
      <w:pPr>
        <w:pStyle w:val="14"/>
        <w:spacing w:line="360" w:lineRule="auto"/>
        <w:jc w:val="center"/>
        <w:rPr>
          <w:color w:val="auto"/>
          <w:szCs w:val="24"/>
          <w:highlight w:val="none"/>
        </w:rPr>
      </w:pPr>
      <w:r>
        <w:rPr>
          <w:color w:val="auto"/>
          <w:sz w:val="21"/>
          <w:szCs w:val="21"/>
          <w:highlight w:val="none"/>
        </w:rPr>
        <w:t>被授权人身份证粘帖处</w:t>
      </w:r>
    </w:p>
    <w:p w14:paraId="0AA76F87">
      <w:pPr>
        <w:autoSpaceDE w:val="0"/>
        <w:autoSpaceDN w:val="0"/>
        <w:adjustRightInd w:val="0"/>
        <w:outlineLvl w:val="9"/>
        <w:rPr>
          <w:rFonts w:hint="eastAsia" w:ascii="宋体" w:hAnsi="宋体" w:cs="宋体"/>
          <w:b/>
          <w:color w:val="auto"/>
          <w:sz w:val="24"/>
          <w:lang w:val="zh-CN"/>
        </w:rPr>
      </w:pPr>
    </w:p>
    <w:p w14:paraId="52556A89">
      <w:pPr>
        <w:autoSpaceDE w:val="0"/>
        <w:autoSpaceDN w:val="0"/>
        <w:adjustRightInd w:val="0"/>
        <w:outlineLvl w:val="9"/>
        <w:rPr>
          <w:rFonts w:hint="eastAsia" w:ascii="宋体" w:hAnsi="宋体" w:cs="宋体"/>
          <w:b/>
          <w:color w:val="auto"/>
          <w:sz w:val="24"/>
          <w:lang w:val="zh-CN"/>
        </w:rPr>
      </w:pPr>
    </w:p>
    <w:p w14:paraId="409D532D">
      <w:pPr>
        <w:autoSpaceDE w:val="0"/>
        <w:autoSpaceDN w:val="0"/>
        <w:adjustRightInd w:val="0"/>
        <w:outlineLvl w:val="9"/>
        <w:rPr>
          <w:rFonts w:hint="eastAsia" w:ascii="宋体" w:hAnsi="宋体" w:cs="宋体"/>
          <w:b/>
          <w:color w:val="auto"/>
          <w:sz w:val="24"/>
          <w:lang w:val="zh-CN"/>
        </w:rPr>
      </w:pPr>
    </w:p>
    <w:p w14:paraId="47A23502">
      <w:pPr>
        <w:autoSpaceDE w:val="0"/>
        <w:autoSpaceDN w:val="0"/>
        <w:adjustRightInd w:val="0"/>
        <w:outlineLvl w:val="9"/>
        <w:rPr>
          <w:rFonts w:hint="eastAsia" w:ascii="宋体" w:hAnsi="宋体" w:cs="宋体"/>
          <w:b/>
          <w:color w:val="auto"/>
          <w:sz w:val="24"/>
          <w:lang w:val="zh-CN"/>
        </w:rPr>
      </w:pPr>
    </w:p>
    <w:p w14:paraId="3F5573EC">
      <w:pPr>
        <w:autoSpaceDE w:val="0"/>
        <w:autoSpaceDN w:val="0"/>
        <w:adjustRightInd w:val="0"/>
        <w:outlineLvl w:val="9"/>
        <w:rPr>
          <w:rFonts w:hint="eastAsia" w:ascii="宋体" w:hAnsi="宋体" w:cs="宋体"/>
          <w:b/>
          <w:color w:val="auto"/>
          <w:sz w:val="24"/>
          <w:lang w:val="zh-CN"/>
        </w:rPr>
      </w:pPr>
    </w:p>
    <w:p w14:paraId="29F3B704">
      <w:pPr>
        <w:autoSpaceDE w:val="0"/>
        <w:autoSpaceDN w:val="0"/>
        <w:adjustRightInd w:val="0"/>
        <w:outlineLvl w:val="9"/>
        <w:rPr>
          <w:rFonts w:hint="eastAsia" w:ascii="宋体" w:hAnsi="宋体" w:cs="宋体"/>
          <w:b/>
          <w:color w:val="auto"/>
          <w:sz w:val="24"/>
          <w:lang w:val="zh-CN"/>
        </w:rPr>
      </w:pPr>
    </w:p>
    <w:p w14:paraId="34C4DF87">
      <w:pPr>
        <w:autoSpaceDE w:val="0"/>
        <w:autoSpaceDN w:val="0"/>
        <w:adjustRightInd w:val="0"/>
        <w:outlineLvl w:val="9"/>
        <w:rPr>
          <w:rFonts w:hint="eastAsia" w:ascii="宋体" w:hAnsi="宋体" w:cs="宋体"/>
          <w:b/>
          <w:color w:val="auto"/>
          <w:sz w:val="24"/>
          <w:lang w:val="zh-CN"/>
        </w:rPr>
      </w:pPr>
    </w:p>
    <w:p w14:paraId="3B9B140F">
      <w:pPr>
        <w:autoSpaceDE w:val="0"/>
        <w:autoSpaceDN w:val="0"/>
        <w:adjustRightInd w:val="0"/>
        <w:outlineLvl w:val="9"/>
        <w:rPr>
          <w:rFonts w:hint="eastAsia" w:ascii="宋体" w:hAnsi="宋体" w:cs="宋体"/>
          <w:b/>
          <w:color w:val="auto"/>
          <w:sz w:val="24"/>
          <w:lang w:val="zh-CN"/>
        </w:rPr>
      </w:pPr>
    </w:p>
    <w:p w14:paraId="7CA38DD2">
      <w:pPr>
        <w:autoSpaceDE w:val="0"/>
        <w:autoSpaceDN w:val="0"/>
        <w:adjustRightInd w:val="0"/>
        <w:outlineLvl w:val="9"/>
        <w:rPr>
          <w:rFonts w:hint="eastAsia" w:ascii="宋体" w:hAnsi="宋体" w:cs="宋体"/>
          <w:b/>
          <w:color w:val="auto"/>
          <w:sz w:val="24"/>
          <w:lang w:val="zh-CN"/>
        </w:rPr>
      </w:pPr>
    </w:p>
    <w:p w14:paraId="17F8B4BA">
      <w:pPr>
        <w:autoSpaceDE w:val="0"/>
        <w:autoSpaceDN w:val="0"/>
        <w:adjustRightInd w:val="0"/>
        <w:outlineLvl w:val="9"/>
        <w:rPr>
          <w:rFonts w:hint="eastAsia" w:ascii="宋体" w:hAnsi="宋体" w:cs="宋体"/>
          <w:b/>
          <w:color w:val="auto"/>
          <w:sz w:val="24"/>
          <w:lang w:val="zh-CN"/>
        </w:rPr>
      </w:pPr>
    </w:p>
    <w:p w14:paraId="1FCC6257">
      <w:pPr>
        <w:autoSpaceDE w:val="0"/>
        <w:autoSpaceDN w:val="0"/>
        <w:adjustRightInd w:val="0"/>
        <w:outlineLvl w:val="9"/>
        <w:rPr>
          <w:rFonts w:hint="eastAsia" w:ascii="宋体" w:hAnsi="宋体" w:cs="宋体"/>
          <w:b/>
          <w:color w:val="auto"/>
          <w:sz w:val="24"/>
          <w:lang w:val="zh-CN"/>
        </w:rPr>
      </w:pPr>
    </w:p>
    <w:p w14:paraId="2E31046E">
      <w:pPr>
        <w:autoSpaceDE w:val="0"/>
        <w:autoSpaceDN w:val="0"/>
        <w:adjustRightInd w:val="0"/>
        <w:outlineLvl w:val="9"/>
        <w:rPr>
          <w:rFonts w:hint="eastAsia" w:ascii="宋体" w:hAnsi="宋体" w:cs="宋体"/>
          <w:b/>
          <w:color w:val="auto"/>
          <w:sz w:val="24"/>
          <w:lang w:val="zh-CN"/>
        </w:rPr>
      </w:pPr>
    </w:p>
    <w:p w14:paraId="532C05BC">
      <w:pPr>
        <w:autoSpaceDE w:val="0"/>
        <w:autoSpaceDN w:val="0"/>
        <w:adjustRightInd w:val="0"/>
        <w:outlineLvl w:val="9"/>
        <w:rPr>
          <w:rFonts w:hint="eastAsia" w:ascii="宋体" w:hAnsi="宋体" w:cs="宋体"/>
          <w:b/>
          <w:color w:val="auto"/>
          <w:sz w:val="24"/>
          <w:lang w:val="zh-CN"/>
        </w:rPr>
      </w:pPr>
    </w:p>
    <w:p w14:paraId="4A1E8520">
      <w:pPr>
        <w:autoSpaceDE w:val="0"/>
        <w:autoSpaceDN w:val="0"/>
        <w:adjustRightInd w:val="0"/>
        <w:outlineLvl w:val="9"/>
        <w:rPr>
          <w:rFonts w:hint="eastAsia" w:ascii="宋体" w:hAnsi="宋体" w:cs="宋体"/>
          <w:b/>
          <w:color w:val="auto"/>
          <w:sz w:val="24"/>
          <w:lang w:val="zh-CN"/>
        </w:rPr>
      </w:pPr>
    </w:p>
    <w:p w14:paraId="171DD556">
      <w:pPr>
        <w:autoSpaceDE w:val="0"/>
        <w:autoSpaceDN w:val="0"/>
        <w:adjustRightInd w:val="0"/>
        <w:jc w:val="center"/>
        <w:outlineLvl w:val="9"/>
        <w:rPr>
          <w:rFonts w:hint="eastAsia" w:ascii="宋体" w:hAnsi="宋体" w:cs="宋体"/>
          <w:b/>
          <w:color w:val="auto"/>
          <w:sz w:val="24"/>
          <w:lang w:val="zh-CN"/>
        </w:rPr>
      </w:pPr>
      <w:bookmarkStart w:id="121" w:name="_Toc238185767"/>
      <w:bookmarkStart w:id="122" w:name="_Toc237236997"/>
      <w:bookmarkStart w:id="123" w:name="_Toc237328730"/>
      <w:bookmarkStart w:id="124" w:name="_Toc423024745"/>
      <w:bookmarkStart w:id="125" w:name="_Toc237200209"/>
      <w:bookmarkStart w:id="126" w:name="_Toc237199966"/>
      <w:bookmarkStart w:id="127" w:name="_Toc357609772"/>
      <w:bookmarkStart w:id="128" w:name="_Toc237200085"/>
      <w:bookmarkStart w:id="129" w:name="_Toc237329052"/>
    </w:p>
    <w:p w14:paraId="607EA963">
      <w:pPr>
        <w:autoSpaceDE w:val="0"/>
        <w:autoSpaceDN w:val="0"/>
        <w:adjustRightInd w:val="0"/>
        <w:jc w:val="center"/>
        <w:outlineLvl w:val="9"/>
        <w:rPr>
          <w:rFonts w:hint="eastAsia" w:ascii="宋体" w:hAnsi="宋体" w:cs="宋体"/>
          <w:b/>
          <w:color w:val="auto"/>
          <w:sz w:val="24"/>
          <w:lang w:val="zh-CN"/>
        </w:rPr>
      </w:pPr>
    </w:p>
    <w:p w14:paraId="77A3C295">
      <w:pPr>
        <w:autoSpaceDE w:val="0"/>
        <w:autoSpaceDN w:val="0"/>
        <w:adjustRightInd w:val="0"/>
        <w:jc w:val="center"/>
        <w:outlineLvl w:val="9"/>
        <w:rPr>
          <w:rFonts w:hint="eastAsia" w:ascii="宋体" w:hAnsi="宋体" w:cs="宋体"/>
          <w:b/>
          <w:color w:val="auto"/>
          <w:sz w:val="24"/>
          <w:lang w:val="zh-CN"/>
        </w:rPr>
      </w:pPr>
    </w:p>
    <w:p w14:paraId="3A530537">
      <w:pPr>
        <w:autoSpaceDE w:val="0"/>
        <w:autoSpaceDN w:val="0"/>
        <w:adjustRightInd w:val="0"/>
        <w:jc w:val="center"/>
        <w:outlineLvl w:val="9"/>
        <w:rPr>
          <w:rFonts w:hint="eastAsia" w:ascii="宋体" w:hAnsi="宋体" w:cs="宋体"/>
          <w:b/>
          <w:color w:val="auto"/>
          <w:sz w:val="24"/>
          <w:lang w:val="zh-CN"/>
        </w:rPr>
      </w:pPr>
    </w:p>
    <w:p w14:paraId="24DCC1C1">
      <w:pPr>
        <w:autoSpaceDE w:val="0"/>
        <w:autoSpaceDN w:val="0"/>
        <w:adjustRightInd w:val="0"/>
        <w:jc w:val="center"/>
        <w:outlineLvl w:val="9"/>
        <w:rPr>
          <w:rFonts w:hint="eastAsia" w:ascii="宋体" w:hAnsi="宋体" w:cs="宋体"/>
          <w:b/>
          <w:color w:val="auto"/>
          <w:sz w:val="24"/>
          <w:lang w:val="zh-CN"/>
        </w:rPr>
      </w:pPr>
    </w:p>
    <w:p w14:paraId="3B7E4BA7">
      <w:pPr>
        <w:autoSpaceDE w:val="0"/>
        <w:autoSpaceDN w:val="0"/>
        <w:adjustRightInd w:val="0"/>
        <w:jc w:val="center"/>
        <w:outlineLvl w:val="9"/>
        <w:rPr>
          <w:rFonts w:hint="eastAsia" w:ascii="宋体" w:hAnsi="宋体" w:cs="宋体"/>
          <w:b/>
          <w:color w:val="auto"/>
          <w:sz w:val="24"/>
          <w:lang w:val="zh-CN"/>
        </w:rPr>
      </w:pPr>
    </w:p>
    <w:p w14:paraId="024247A0">
      <w:pPr>
        <w:autoSpaceDE w:val="0"/>
        <w:autoSpaceDN w:val="0"/>
        <w:adjustRightInd w:val="0"/>
        <w:jc w:val="center"/>
        <w:outlineLvl w:val="9"/>
        <w:rPr>
          <w:rFonts w:hint="eastAsia" w:ascii="宋体" w:hAnsi="宋体" w:cs="宋体"/>
          <w:b/>
          <w:color w:val="auto"/>
          <w:sz w:val="24"/>
          <w:lang w:val="zh-CN"/>
        </w:rPr>
      </w:pPr>
    </w:p>
    <w:p w14:paraId="228EB37F">
      <w:pPr>
        <w:autoSpaceDE w:val="0"/>
        <w:autoSpaceDN w:val="0"/>
        <w:adjustRightInd w:val="0"/>
        <w:jc w:val="left"/>
        <w:outlineLvl w:val="1"/>
        <w:rPr>
          <w:rFonts w:hint="eastAsia" w:ascii="宋体" w:hAnsi="宋体" w:cs="宋体"/>
          <w:b/>
          <w:color w:val="auto"/>
          <w:sz w:val="24"/>
          <w:szCs w:val="28"/>
          <w:lang w:val="zh-CN"/>
        </w:rPr>
      </w:pPr>
      <w:bookmarkStart w:id="130" w:name="_Toc24378"/>
      <w:bookmarkStart w:id="131" w:name="_Toc3569"/>
      <w:bookmarkStart w:id="132" w:name="_Toc3711"/>
      <w:bookmarkStart w:id="133" w:name="_Toc13845"/>
      <w:bookmarkStart w:id="134" w:name="_Toc24445"/>
      <w:r>
        <w:rPr>
          <w:rFonts w:hint="eastAsia" w:ascii="宋体" w:hAnsi="宋体" w:cs="宋体"/>
          <w:b/>
          <w:color w:val="auto"/>
          <w:sz w:val="24"/>
          <w:lang w:val="zh-CN"/>
        </w:rPr>
        <w:t>格式七</w:t>
      </w:r>
      <w:r>
        <w:rPr>
          <w:rFonts w:hint="eastAsia" w:ascii="宋体" w:hAnsi="宋体" w:cs="宋体"/>
          <w:b/>
          <w:color w:val="auto"/>
          <w:sz w:val="24"/>
          <w:lang w:val="en-US" w:eastAsia="zh-CN"/>
        </w:rPr>
        <w:t xml:space="preserve"> 投</w:t>
      </w:r>
      <w:r>
        <w:rPr>
          <w:rFonts w:hint="eastAsia" w:ascii="宋体" w:hAnsi="宋体" w:cs="宋体"/>
          <w:b/>
          <w:color w:val="auto"/>
          <w:sz w:val="24"/>
          <w:szCs w:val="28"/>
          <w:lang w:val="en-US" w:eastAsia="zh-CN"/>
        </w:rPr>
        <w:t>标</w:t>
      </w:r>
      <w:r>
        <w:rPr>
          <w:rFonts w:hint="eastAsia" w:ascii="宋体" w:hAnsi="宋体" w:cs="宋体"/>
          <w:b/>
          <w:color w:val="auto"/>
          <w:sz w:val="24"/>
          <w:szCs w:val="28"/>
          <w:lang w:val="zh-CN"/>
        </w:rPr>
        <w:t>保证金</w:t>
      </w:r>
    </w:p>
    <w:p w14:paraId="7E882D32">
      <w:pPr>
        <w:pStyle w:val="4"/>
        <w:rPr>
          <w:rFonts w:hint="eastAsia" w:ascii="宋体" w:hAnsi="宋体" w:cs="宋体"/>
          <w:b/>
          <w:color w:val="auto"/>
          <w:sz w:val="24"/>
          <w:szCs w:val="28"/>
          <w:lang w:val="zh-CN"/>
        </w:rPr>
      </w:pPr>
    </w:p>
    <w:p w14:paraId="79E57A4B">
      <w:pPr>
        <w:spacing w:line="440" w:lineRule="exact"/>
        <w:outlineLvl w:val="9"/>
        <w:rPr>
          <w:color w:val="auto"/>
          <w:sz w:val="24"/>
          <w:highlight w:val="none"/>
          <w:lang w:val="zh-CN"/>
        </w:rPr>
      </w:pPr>
      <w:r>
        <w:rPr>
          <w:rFonts w:hint="eastAsia"/>
          <w:color w:val="auto"/>
          <w:sz w:val="24"/>
          <w:highlight w:val="none"/>
          <w:u w:val="single"/>
          <w:lang w:val="zh-CN"/>
        </w:rPr>
        <w:t>致</w:t>
      </w:r>
      <w:r>
        <w:rPr>
          <w:color w:val="auto"/>
          <w:sz w:val="24"/>
          <w:highlight w:val="none"/>
          <w:u w:val="single"/>
          <w:lang w:val="zh-CN"/>
        </w:rPr>
        <w:t xml:space="preserve">                </w:t>
      </w:r>
      <w:r>
        <w:rPr>
          <w:rFonts w:hint="eastAsia"/>
          <w:color w:val="auto"/>
          <w:sz w:val="24"/>
          <w:highlight w:val="none"/>
          <w:lang w:val="zh-CN"/>
        </w:rPr>
        <w:t>（采购代理机构名称）：</w:t>
      </w:r>
    </w:p>
    <w:p w14:paraId="0355CBA0">
      <w:pPr>
        <w:spacing w:line="440" w:lineRule="exact"/>
        <w:outlineLvl w:val="9"/>
        <w:rPr>
          <w:color w:val="auto"/>
          <w:sz w:val="24"/>
          <w:highlight w:val="none"/>
          <w:u w:val="single"/>
          <w:lang w:val="zh-CN"/>
        </w:rPr>
      </w:pPr>
    </w:p>
    <w:p w14:paraId="4AAD9BF7">
      <w:pPr>
        <w:spacing w:line="440" w:lineRule="exact"/>
        <w:outlineLvl w:val="9"/>
        <w:rPr>
          <w:color w:val="auto"/>
          <w:sz w:val="24"/>
          <w:highlight w:val="none"/>
          <w:u w:val="single"/>
          <w:lang w:val="zh-CN"/>
        </w:rPr>
      </w:pP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en-US" w:eastAsia="zh-CN"/>
        </w:rPr>
        <w:t>投标</w:t>
      </w:r>
      <w:r>
        <w:rPr>
          <w:rFonts w:hint="eastAsia"/>
          <w:color w:val="auto"/>
          <w:sz w:val="24"/>
          <w:highlight w:val="none"/>
          <w:lang w:val="zh-CN"/>
        </w:rPr>
        <w:t>人名称</w:t>
      </w:r>
      <w:r>
        <w:rPr>
          <w:color w:val="auto"/>
          <w:sz w:val="24"/>
          <w:highlight w:val="none"/>
          <w:lang w:val="zh-CN"/>
        </w:rPr>
        <w:t>]</w:t>
      </w:r>
      <w:r>
        <w:rPr>
          <w:rFonts w:hint="eastAsia"/>
          <w:color w:val="auto"/>
          <w:sz w:val="24"/>
          <w:highlight w:val="none"/>
          <w:lang w:val="zh-CN"/>
        </w:rPr>
        <w:t>（以下称</w:t>
      </w:r>
      <w:r>
        <w:rPr>
          <w:color w:val="auto"/>
          <w:sz w:val="24"/>
          <w:highlight w:val="none"/>
          <w:lang w:val="zh-CN"/>
        </w:rPr>
        <w:t>“</w:t>
      </w:r>
      <w:r>
        <w:rPr>
          <w:rFonts w:hint="eastAsia"/>
          <w:color w:val="auto"/>
          <w:sz w:val="24"/>
          <w:highlight w:val="none"/>
          <w:lang w:val="zh-CN"/>
        </w:rPr>
        <w:t>[投标人</w:t>
      </w:r>
      <w:r>
        <w:rPr>
          <w:color w:val="auto"/>
          <w:sz w:val="24"/>
          <w:highlight w:val="none"/>
          <w:lang w:val="zh-CN"/>
        </w:rPr>
        <w:t>”</w:t>
      </w:r>
      <w:r>
        <w:rPr>
          <w:rFonts w:hint="eastAsia"/>
          <w:color w:val="auto"/>
          <w:sz w:val="24"/>
          <w:highlight w:val="none"/>
          <w:lang w:val="zh-CN"/>
        </w:rPr>
        <w:t>）于</w:t>
      </w:r>
      <w:r>
        <w:rPr>
          <w:color w:val="auto"/>
          <w:sz w:val="24"/>
          <w:highlight w:val="none"/>
          <w:u w:val="single"/>
          <w:lang w:val="zh-CN"/>
        </w:rPr>
        <w:t xml:space="preserve">  </w:t>
      </w:r>
      <w:r>
        <w:rPr>
          <w:rFonts w:hint="eastAsia"/>
          <w:color w:val="auto"/>
          <w:sz w:val="24"/>
          <w:highlight w:val="none"/>
          <w:lang w:val="zh-CN"/>
        </w:rPr>
        <w:t>年</w:t>
      </w:r>
      <w:r>
        <w:rPr>
          <w:color w:val="auto"/>
          <w:sz w:val="24"/>
          <w:highlight w:val="none"/>
          <w:u w:val="single"/>
          <w:lang w:val="zh-CN"/>
        </w:rPr>
        <w:t xml:space="preserve">  </w:t>
      </w:r>
      <w:r>
        <w:rPr>
          <w:rFonts w:hint="eastAsia"/>
          <w:color w:val="auto"/>
          <w:sz w:val="24"/>
          <w:highlight w:val="none"/>
          <w:lang w:val="zh-CN"/>
        </w:rPr>
        <w:t>月</w:t>
      </w:r>
      <w:r>
        <w:rPr>
          <w:color w:val="auto"/>
          <w:sz w:val="24"/>
          <w:highlight w:val="none"/>
          <w:u w:val="single"/>
          <w:lang w:val="zh-CN"/>
        </w:rPr>
        <w:t xml:space="preserve">  </w:t>
      </w:r>
      <w:r>
        <w:rPr>
          <w:rFonts w:hint="eastAsia"/>
          <w:color w:val="auto"/>
          <w:sz w:val="24"/>
          <w:highlight w:val="none"/>
          <w:lang w:val="zh-CN"/>
        </w:rPr>
        <w:t>日递交了</w:t>
      </w:r>
      <w:r>
        <w:rPr>
          <w:color w:val="auto"/>
          <w:sz w:val="24"/>
          <w:highlight w:val="none"/>
          <w:u w:val="single"/>
          <w:lang w:val="zh-CN"/>
        </w:rPr>
        <w:t xml:space="preserve">         </w:t>
      </w:r>
      <w:r>
        <w:rPr>
          <w:color w:val="auto"/>
          <w:sz w:val="24"/>
          <w:highlight w:val="none"/>
          <w:lang w:val="zh-CN"/>
        </w:rPr>
        <w:t>[</w:t>
      </w:r>
      <w:r>
        <w:rPr>
          <w:rFonts w:hint="eastAsia"/>
          <w:color w:val="auto"/>
          <w:sz w:val="24"/>
          <w:highlight w:val="none"/>
          <w:lang w:val="zh-CN"/>
        </w:rPr>
        <w:t>项目名称</w:t>
      </w:r>
      <w:r>
        <w:rPr>
          <w:color w:val="auto"/>
          <w:sz w:val="24"/>
          <w:highlight w:val="none"/>
          <w:lang w:val="zh-CN"/>
        </w:rPr>
        <w:t>]</w:t>
      </w:r>
      <w:r>
        <w:rPr>
          <w:rFonts w:hint="eastAsia"/>
          <w:color w:val="auto"/>
          <w:sz w:val="24"/>
          <w:highlight w:val="none"/>
          <w:lang w:val="zh-CN"/>
        </w:rPr>
        <w:t>的</w:t>
      </w:r>
      <w:r>
        <w:rPr>
          <w:rFonts w:hint="eastAsia"/>
          <w:color w:val="auto"/>
          <w:sz w:val="24"/>
          <w:highlight w:val="none"/>
          <w:lang w:val="en-US" w:eastAsia="zh-CN"/>
        </w:rPr>
        <w:t>投标</w:t>
      </w:r>
      <w:r>
        <w:rPr>
          <w:rFonts w:hint="eastAsia"/>
          <w:color w:val="auto"/>
          <w:sz w:val="24"/>
          <w:highlight w:val="none"/>
          <w:lang w:val="zh-CN"/>
        </w:rPr>
        <w:t>文件。并附有人民币</w:t>
      </w:r>
      <w:r>
        <w:rPr>
          <w:color w:val="auto"/>
          <w:sz w:val="24"/>
          <w:highlight w:val="none"/>
          <w:u w:val="single"/>
          <w:lang w:val="zh-CN"/>
        </w:rPr>
        <w:t xml:space="preserve">  </w:t>
      </w:r>
      <w:r>
        <w:rPr>
          <w:rFonts w:hint="eastAsia"/>
          <w:color w:val="auto"/>
          <w:sz w:val="24"/>
          <w:highlight w:val="none"/>
          <w:u w:val="single"/>
          <w:lang w:val="zh-CN"/>
        </w:rPr>
        <w:t xml:space="preserve"> </w:t>
      </w:r>
      <w:r>
        <w:rPr>
          <w:color w:val="auto"/>
          <w:sz w:val="24"/>
          <w:highlight w:val="none"/>
          <w:u w:val="single"/>
          <w:lang w:val="zh-CN"/>
        </w:rPr>
        <w:t xml:space="preserve">   </w:t>
      </w:r>
      <w:r>
        <w:rPr>
          <w:rFonts w:hint="eastAsia"/>
          <w:color w:val="auto"/>
          <w:sz w:val="24"/>
          <w:highlight w:val="none"/>
          <w:lang w:val="zh-CN"/>
        </w:rPr>
        <w:t>万元做为</w:t>
      </w:r>
      <w:r>
        <w:rPr>
          <w:rFonts w:hint="eastAsia"/>
          <w:color w:val="auto"/>
          <w:sz w:val="24"/>
          <w:highlight w:val="none"/>
          <w:lang w:val="en-US" w:eastAsia="zh-CN"/>
        </w:rPr>
        <w:t>投标</w:t>
      </w:r>
      <w:r>
        <w:rPr>
          <w:rFonts w:hint="eastAsia"/>
          <w:color w:val="auto"/>
          <w:sz w:val="24"/>
          <w:highlight w:val="none"/>
          <w:lang w:val="zh-CN"/>
        </w:rPr>
        <w:t>保证金。</w:t>
      </w:r>
    </w:p>
    <w:p w14:paraId="2F7467A8">
      <w:pPr>
        <w:spacing w:line="440" w:lineRule="exact"/>
        <w:outlineLvl w:val="9"/>
        <w:rPr>
          <w:rFonts w:hint="eastAsia"/>
          <w:color w:val="auto"/>
          <w:sz w:val="24"/>
          <w:highlight w:val="none"/>
          <w:lang w:val="zh-CN"/>
        </w:rPr>
      </w:pPr>
      <w:r>
        <w:rPr>
          <w:rFonts w:hint="eastAsia"/>
          <w:color w:val="auto"/>
          <w:sz w:val="24"/>
          <w:highlight w:val="none"/>
          <w:lang w:val="zh-CN"/>
        </w:rPr>
        <w:t>我方同意</w:t>
      </w:r>
      <w:r>
        <w:rPr>
          <w:rFonts w:hint="eastAsia"/>
          <w:color w:val="auto"/>
          <w:sz w:val="24"/>
          <w:highlight w:val="none"/>
          <w:lang w:val="en-US" w:eastAsia="zh-CN"/>
        </w:rPr>
        <w:t>招标</w:t>
      </w:r>
      <w:r>
        <w:rPr>
          <w:rFonts w:hint="eastAsia"/>
          <w:color w:val="auto"/>
          <w:sz w:val="24"/>
          <w:highlight w:val="none"/>
          <w:lang w:val="zh-CN"/>
        </w:rPr>
        <w:t>文件中有关</w:t>
      </w:r>
      <w:r>
        <w:rPr>
          <w:rFonts w:hint="eastAsia"/>
          <w:color w:val="auto"/>
          <w:sz w:val="24"/>
          <w:highlight w:val="none"/>
          <w:lang w:val="en-US" w:eastAsia="zh-CN"/>
        </w:rPr>
        <w:t>投标</w:t>
      </w:r>
      <w:r>
        <w:rPr>
          <w:rFonts w:hint="eastAsia"/>
          <w:color w:val="auto"/>
          <w:sz w:val="24"/>
          <w:highlight w:val="none"/>
          <w:lang w:val="zh-CN"/>
        </w:rPr>
        <w:t>保证金的规定，并对我方有约束力。</w:t>
      </w:r>
    </w:p>
    <w:p w14:paraId="499FE60B">
      <w:pPr>
        <w:spacing w:line="440" w:lineRule="exact"/>
        <w:outlineLvl w:val="9"/>
        <w:rPr>
          <w:color w:val="auto"/>
          <w:sz w:val="24"/>
          <w:highlight w:val="none"/>
        </w:rPr>
      </w:pPr>
      <w:r>
        <w:rPr>
          <w:color w:val="auto"/>
          <w:sz w:val="24"/>
          <w:highlight w:val="none"/>
        </w:rPr>
        <w:t xml:space="preserve"> </w:t>
      </w:r>
    </w:p>
    <w:tbl>
      <w:tblPr>
        <w:tblStyle w:val="24"/>
        <w:tblW w:w="95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8"/>
      </w:tblGrid>
      <w:tr w14:paraId="7B75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6" w:hRule="atLeast"/>
        </w:trPr>
        <w:tc>
          <w:tcPr>
            <w:tcW w:w="9548" w:type="dxa"/>
            <w:noWrap w:val="0"/>
            <w:vAlign w:val="top"/>
          </w:tcPr>
          <w:p w14:paraId="1BE35DB7">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r>
              <w:rPr>
                <w:rFonts w:hint="eastAsia"/>
                <w:color w:val="auto"/>
                <w:sz w:val="24"/>
                <w:highlight w:val="none"/>
                <w:lang w:val="zh-CN"/>
              </w:rPr>
              <w:t>附：</w:t>
            </w:r>
            <w:r>
              <w:rPr>
                <w:rFonts w:hint="eastAsia"/>
                <w:color w:val="auto"/>
                <w:sz w:val="24"/>
                <w:highlight w:val="none"/>
              </w:rPr>
              <w:t>1、</w:t>
            </w:r>
            <w:r>
              <w:rPr>
                <w:rFonts w:hint="eastAsia"/>
                <w:color w:val="auto"/>
                <w:sz w:val="24"/>
                <w:highlight w:val="none"/>
                <w:lang w:val="zh-CN"/>
              </w:rPr>
              <w:t>转帐凭证及基本账户开户许可证（或按照《关于取消企业银行账户许可的通知》（银发</w:t>
            </w:r>
            <w:r>
              <w:rPr>
                <w:rFonts w:hint="eastAsia"/>
                <w:color w:val="auto"/>
                <w:sz w:val="24"/>
                <w:highlight w:val="none"/>
                <w:lang w:val="zh-CN" w:eastAsia="zh-CN"/>
              </w:rPr>
              <w:t>〔2019〕41号</w:t>
            </w:r>
            <w:r>
              <w:rPr>
                <w:rFonts w:hint="eastAsia"/>
                <w:color w:val="auto"/>
                <w:sz w:val="24"/>
                <w:highlight w:val="none"/>
                <w:lang w:val="zh-CN"/>
              </w:rPr>
              <w:t>）的规定，提供其他开户证明材料）复印件加盖单位公章</w:t>
            </w:r>
          </w:p>
          <w:p w14:paraId="2E1D3622">
            <w:pPr>
              <w:keepNext w:val="0"/>
              <w:keepLines w:val="0"/>
              <w:suppressLineNumbers w:val="0"/>
              <w:spacing w:before="0" w:beforeAutospacing="0" w:after="0" w:afterAutospacing="0" w:line="440" w:lineRule="exact"/>
              <w:ind w:left="0" w:right="0"/>
              <w:outlineLvl w:val="9"/>
              <w:rPr>
                <w:rFonts w:hint="eastAsia"/>
                <w:color w:val="auto"/>
                <w:sz w:val="24"/>
                <w:highlight w:val="none"/>
                <w:lang w:val="zh-CN"/>
              </w:rPr>
            </w:pPr>
          </w:p>
          <w:p w14:paraId="0FFB5C95">
            <w:pPr>
              <w:keepNext w:val="0"/>
              <w:keepLines w:val="0"/>
              <w:suppressLineNumbers w:val="0"/>
              <w:spacing w:before="0" w:beforeAutospacing="0" w:after="0" w:afterAutospacing="0" w:line="440" w:lineRule="exact"/>
              <w:ind w:left="0" w:right="0"/>
              <w:outlineLvl w:val="9"/>
              <w:rPr>
                <w:rFonts w:hint="eastAsia"/>
                <w:color w:val="auto"/>
                <w:sz w:val="24"/>
                <w:highlight w:val="none"/>
              </w:rPr>
            </w:pPr>
            <w:r>
              <w:rPr>
                <w:rFonts w:hint="eastAsia"/>
                <w:color w:val="auto"/>
                <w:sz w:val="24"/>
                <w:highlight w:val="none"/>
              </w:rPr>
              <w:t xml:space="preserve">    </w:t>
            </w:r>
          </w:p>
          <w:p w14:paraId="4513C206">
            <w:pPr>
              <w:keepNext w:val="0"/>
              <w:keepLines w:val="0"/>
              <w:suppressLineNumbers w:val="0"/>
              <w:spacing w:before="0" w:beforeAutospacing="0" w:after="0" w:afterAutospacing="0" w:line="440" w:lineRule="exact"/>
              <w:ind w:left="0" w:right="0"/>
              <w:outlineLvl w:val="9"/>
              <w:rPr>
                <w:color w:val="auto"/>
                <w:sz w:val="24"/>
                <w:highlight w:val="none"/>
                <w:u w:val="single"/>
              </w:rPr>
            </w:pPr>
          </w:p>
        </w:tc>
      </w:tr>
    </w:tbl>
    <w:p w14:paraId="4741CC0D">
      <w:pPr>
        <w:spacing w:line="440" w:lineRule="exact"/>
        <w:outlineLvl w:val="9"/>
        <w:rPr>
          <w:color w:val="auto"/>
          <w:szCs w:val="21"/>
          <w:highlight w:val="none"/>
          <w:u w:val="single"/>
        </w:rPr>
      </w:pPr>
    </w:p>
    <w:p w14:paraId="05B9BA47">
      <w:pPr>
        <w:spacing w:line="440" w:lineRule="exact"/>
        <w:outlineLvl w:val="9"/>
        <w:rPr>
          <w:color w:val="auto"/>
          <w:szCs w:val="21"/>
          <w:highlight w:val="none"/>
          <w:u w:val="single"/>
        </w:rPr>
      </w:pPr>
    </w:p>
    <w:p w14:paraId="5874EE50">
      <w:pPr>
        <w:spacing w:line="440" w:lineRule="exact"/>
        <w:outlineLvl w:val="9"/>
        <w:rPr>
          <w:rFonts w:hint="eastAsia"/>
          <w:color w:val="auto"/>
          <w:szCs w:val="21"/>
          <w:highlight w:val="none"/>
          <w:u w:val="single"/>
        </w:rPr>
      </w:pPr>
    </w:p>
    <w:p w14:paraId="4432C63F">
      <w:pPr>
        <w:spacing w:line="440" w:lineRule="exact"/>
        <w:jc w:val="left"/>
        <w:outlineLvl w:val="9"/>
        <w:rPr>
          <w:color w:val="auto"/>
          <w:szCs w:val="21"/>
          <w:highlight w:val="none"/>
          <w:u w:val="single"/>
        </w:rPr>
      </w:pPr>
    </w:p>
    <w:p w14:paraId="2E75B012">
      <w:pPr>
        <w:spacing w:line="440" w:lineRule="exact"/>
        <w:ind w:right="420"/>
        <w:jc w:val="left"/>
        <w:outlineLvl w:val="9"/>
        <w:rPr>
          <w:rFonts w:hint="eastAsia"/>
          <w:color w:val="auto"/>
          <w:sz w:val="24"/>
          <w:highlight w:val="none"/>
        </w:rPr>
      </w:pPr>
      <w:r>
        <w:rPr>
          <w:rFonts w:hint="eastAsia"/>
          <w:color w:val="auto"/>
          <w:sz w:val="24"/>
          <w:highlight w:val="none"/>
          <w:lang w:eastAsia="zh-CN"/>
        </w:rPr>
        <w:t>[投标人</w:t>
      </w:r>
      <w:r>
        <w:rPr>
          <w:color w:val="auto"/>
          <w:sz w:val="24"/>
          <w:highlight w:val="none"/>
        </w:rPr>
        <w:t>名称：</w:t>
      </w:r>
      <w:r>
        <w:rPr>
          <w:color w:val="auto"/>
          <w:sz w:val="24"/>
          <w:highlight w:val="none"/>
          <w:u w:val="single"/>
        </w:rPr>
        <w:t xml:space="preserve">                              </w:t>
      </w:r>
      <w:r>
        <w:rPr>
          <w:color w:val="auto"/>
          <w:sz w:val="24"/>
          <w:highlight w:val="none"/>
        </w:rPr>
        <w:t>（</w:t>
      </w:r>
      <w:r>
        <w:rPr>
          <w:rFonts w:hint="eastAsia"/>
          <w:color w:val="auto"/>
          <w:sz w:val="24"/>
          <w:highlight w:val="none"/>
        </w:rPr>
        <w:t>公章</w:t>
      </w:r>
      <w:r>
        <w:rPr>
          <w:color w:val="auto"/>
          <w:sz w:val="24"/>
          <w:highlight w:val="none"/>
        </w:rPr>
        <w:t>）</w:t>
      </w:r>
    </w:p>
    <w:p w14:paraId="495AFFB8">
      <w:pPr>
        <w:spacing w:line="440" w:lineRule="exact"/>
        <w:ind w:right="420"/>
        <w:jc w:val="left"/>
        <w:outlineLvl w:val="9"/>
        <w:rPr>
          <w:rFonts w:hint="eastAsia"/>
          <w:color w:val="auto"/>
          <w:sz w:val="24"/>
          <w:highlight w:val="none"/>
        </w:rPr>
      </w:pPr>
    </w:p>
    <w:p w14:paraId="5008FCB2">
      <w:pPr>
        <w:spacing w:line="440" w:lineRule="exact"/>
        <w:ind w:right="420"/>
        <w:jc w:val="left"/>
        <w:outlineLvl w:val="9"/>
        <w:rPr>
          <w:rFonts w:hint="eastAsia"/>
          <w:color w:val="auto"/>
          <w:sz w:val="24"/>
          <w:highlight w:val="none"/>
        </w:rPr>
      </w:pPr>
      <w:r>
        <w:rPr>
          <w:color w:val="auto"/>
          <w:sz w:val="24"/>
          <w:highlight w:val="none"/>
        </w:rPr>
        <w:t>法定代表人或</w:t>
      </w:r>
      <w:r>
        <w:rPr>
          <w:rFonts w:hint="eastAsia"/>
          <w:color w:val="auto"/>
          <w:sz w:val="24"/>
          <w:highlight w:val="none"/>
        </w:rPr>
        <w:t>其委托代理</w:t>
      </w:r>
      <w:r>
        <w:rPr>
          <w:color w:val="auto"/>
          <w:sz w:val="24"/>
          <w:highlight w:val="none"/>
        </w:rPr>
        <w:t>人：</w:t>
      </w:r>
      <w:r>
        <w:rPr>
          <w:color w:val="auto"/>
          <w:sz w:val="24"/>
          <w:highlight w:val="none"/>
          <w:u w:val="single"/>
        </w:rPr>
        <w:t xml:space="preserve">               </w:t>
      </w:r>
      <w:r>
        <w:rPr>
          <w:color w:val="auto"/>
          <w:sz w:val="24"/>
          <w:highlight w:val="none"/>
        </w:rPr>
        <w:t>（签字</w:t>
      </w:r>
      <w:r>
        <w:rPr>
          <w:rFonts w:hint="eastAsia"/>
          <w:color w:val="auto"/>
          <w:sz w:val="24"/>
          <w:highlight w:val="none"/>
        </w:rPr>
        <w:t>或盖章</w:t>
      </w:r>
      <w:r>
        <w:rPr>
          <w:color w:val="auto"/>
          <w:sz w:val="24"/>
          <w:highlight w:val="none"/>
        </w:rPr>
        <w:t>）</w:t>
      </w:r>
    </w:p>
    <w:p w14:paraId="2DFA8B9F">
      <w:pPr>
        <w:spacing w:line="440" w:lineRule="exact"/>
        <w:ind w:right="420"/>
        <w:jc w:val="left"/>
        <w:outlineLvl w:val="9"/>
        <w:rPr>
          <w:rFonts w:hint="eastAsia"/>
          <w:color w:val="auto"/>
          <w:sz w:val="24"/>
          <w:highlight w:val="none"/>
        </w:rPr>
      </w:pPr>
    </w:p>
    <w:p w14:paraId="64623BE6">
      <w:pPr>
        <w:jc w:val="left"/>
        <w:rPr>
          <w:rFonts w:hint="eastAsia"/>
          <w:color w:val="auto"/>
          <w:lang w:val="zh-CN"/>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2229EC6F">
      <w:pPr>
        <w:pStyle w:val="13"/>
        <w:tabs>
          <w:tab w:val="left" w:pos="200"/>
        </w:tabs>
        <w:jc w:val="left"/>
        <w:outlineLvl w:val="1"/>
        <w:rPr>
          <w:rFonts w:hint="eastAsia" w:hAnsi="宋体" w:cs="宋体"/>
          <w:b/>
          <w:color w:val="auto"/>
          <w:sz w:val="24"/>
          <w:lang w:val="zh-CN"/>
        </w:rPr>
      </w:pPr>
      <w:bookmarkStart w:id="135" w:name="_Toc29332"/>
      <w:bookmarkStart w:id="136" w:name="_Toc2702"/>
      <w:r>
        <w:rPr>
          <w:rFonts w:hint="eastAsia" w:hAnsi="宋体" w:cs="宋体"/>
          <w:b/>
          <w:color w:val="auto"/>
          <w:sz w:val="24"/>
          <w:lang w:val="zh-CN"/>
        </w:rPr>
        <w:t>格式</w:t>
      </w:r>
      <w:r>
        <w:rPr>
          <w:rFonts w:hint="eastAsia" w:hAnsi="宋体" w:cs="宋体"/>
          <w:b/>
          <w:color w:val="auto"/>
          <w:sz w:val="24"/>
          <w:lang w:val="en-US" w:eastAsia="zh-CN"/>
        </w:rPr>
        <w:t xml:space="preserve">八 </w:t>
      </w:r>
      <w:r>
        <w:rPr>
          <w:rFonts w:hint="eastAsia" w:hAnsi="宋体" w:cs="宋体"/>
          <w:b/>
          <w:color w:val="auto"/>
          <w:sz w:val="24"/>
          <w:lang w:val="zh-CN"/>
        </w:rPr>
        <w:t>（生产经营状态、履约历史、法律法规禁止投标）承诺书</w:t>
      </w:r>
      <w:bookmarkEnd w:id="135"/>
      <w:bookmarkEnd w:id="136"/>
    </w:p>
    <w:p w14:paraId="6C290C00">
      <w:pPr>
        <w:autoSpaceDE w:val="0"/>
        <w:autoSpaceDN w:val="0"/>
        <w:adjustRightInd w:val="0"/>
        <w:jc w:val="center"/>
        <w:outlineLvl w:val="9"/>
        <w:rPr>
          <w:rFonts w:hint="eastAsia" w:ascii="宋体" w:hAnsi="宋体" w:cs="宋体"/>
          <w:b/>
          <w:color w:val="auto"/>
          <w:sz w:val="24"/>
          <w:lang w:val="zh-CN"/>
        </w:rPr>
      </w:pPr>
    </w:p>
    <w:p w14:paraId="7318ACE4">
      <w:pPr>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ab/>
      </w:r>
    </w:p>
    <w:p w14:paraId="5F24976C">
      <w:pPr>
        <w:jc w:val="center"/>
        <w:outlineLvl w:val="9"/>
        <w:rPr>
          <w:rFonts w:hint="eastAsia" w:asciiTheme="minorEastAsia" w:hAnsiTheme="minorEastAsia" w:eastAsiaTheme="minorEastAsia" w:cstheme="minorEastAsia"/>
          <w:color w:val="auto"/>
          <w:sz w:val="24"/>
          <w:szCs w:val="24"/>
          <w:highlight w:val="none"/>
          <w:lang w:eastAsia="zh-CN"/>
        </w:rPr>
      </w:pPr>
    </w:p>
    <w:p w14:paraId="761E1D47">
      <w:pPr>
        <w:jc w:val="center"/>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格式自拟</w:t>
      </w:r>
    </w:p>
    <w:p w14:paraId="4F4BCB70">
      <w:pPr>
        <w:autoSpaceDE w:val="0"/>
        <w:autoSpaceDN w:val="0"/>
        <w:adjustRightInd w:val="0"/>
        <w:outlineLvl w:val="9"/>
        <w:rPr>
          <w:rFonts w:hint="eastAsia" w:ascii="宋体" w:hAnsi="宋体" w:cs="宋体"/>
          <w:color w:val="auto"/>
          <w:sz w:val="24"/>
          <w:lang w:val="zh-CN"/>
        </w:rPr>
      </w:pPr>
    </w:p>
    <w:p w14:paraId="2D6D5547">
      <w:pPr>
        <w:autoSpaceDE w:val="0"/>
        <w:autoSpaceDN w:val="0"/>
        <w:adjustRightInd w:val="0"/>
        <w:outlineLvl w:val="9"/>
        <w:rPr>
          <w:rFonts w:hint="eastAsia" w:ascii="宋体" w:hAnsi="宋体" w:cs="宋体"/>
          <w:b/>
          <w:color w:val="auto"/>
          <w:sz w:val="24"/>
          <w:lang w:val="zh-CN"/>
        </w:rPr>
      </w:pPr>
    </w:p>
    <w:p w14:paraId="6E8BB977">
      <w:pPr>
        <w:autoSpaceDE w:val="0"/>
        <w:autoSpaceDN w:val="0"/>
        <w:adjustRightInd w:val="0"/>
        <w:outlineLvl w:val="9"/>
        <w:rPr>
          <w:rFonts w:hint="eastAsia" w:ascii="宋体" w:hAnsi="宋体" w:cs="宋体"/>
          <w:b/>
          <w:color w:val="auto"/>
          <w:sz w:val="24"/>
          <w:lang w:val="zh-CN"/>
        </w:rPr>
      </w:pPr>
    </w:p>
    <w:p w14:paraId="3AE8D54F">
      <w:pPr>
        <w:autoSpaceDE w:val="0"/>
        <w:autoSpaceDN w:val="0"/>
        <w:adjustRightInd w:val="0"/>
        <w:outlineLvl w:val="9"/>
        <w:rPr>
          <w:rFonts w:hint="eastAsia" w:ascii="宋体" w:hAnsi="宋体" w:cs="宋体"/>
          <w:b/>
          <w:color w:val="auto"/>
          <w:sz w:val="24"/>
          <w:lang w:val="zh-CN"/>
        </w:rPr>
      </w:pPr>
    </w:p>
    <w:p w14:paraId="459FF287">
      <w:pPr>
        <w:autoSpaceDE w:val="0"/>
        <w:autoSpaceDN w:val="0"/>
        <w:adjustRightInd w:val="0"/>
        <w:outlineLvl w:val="9"/>
        <w:rPr>
          <w:rFonts w:hint="eastAsia" w:ascii="宋体" w:hAnsi="宋体" w:cs="宋体"/>
          <w:b/>
          <w:color w:val="auto"/>
          <w:sz w:val="24"/>
          <w:lang w:val="zh-CN"/>
        </w:rPr>
      </w:pPr>
    </w:p>
    <w:p w14:paraId="194DFD62">
      <w:pPr>
        <w:autoSpaceDE w:val="0"/>
        <w:autoSpaceDN w:val="0"/>
        <w:adjustRightInd w:val="0"/>
        <w:outlineLvl w:val="9"/>
        <w:rPr>
          <w:rFonts w:hint="eastAsia" w:ascii="宋体" w:hAnsi="宋体" w:cs="宋体"/>
          <w:b/>
          <w:color w:val="auto"/>
          <w:sz w:val="24"/>
          <w:lang w:val="zh-CN"/>
        </w:rPr>
      </w:pPr>
    </w:p>
    <w:p w14:paraId="60FD4267">
      <w:pPr>
        <w:autoSpaceDE w:val="0"/>
        <w:autoSpaceDN w:val="0"/>
        <w:adjustRightInd w:val="0"/>
        <w:outlineLvl w:val="9"/>
        <w:rPr>
          <w:rFonts w:hint="eastAsia" w:ascii="宋体" w:hAnsi="宋体" w:cs="宋体"/>
          <w:b/>
          <w:color w:val="auto"/>
          <w:sz w:val="24"/>
          <w:lang w:val="zh-CN"/>
        </w:rPr>
      </w:pPr>
    </w:p>
    <w:p w14:paraId="438D3C04">
      <w:pPr>
        <w:autoSpaceDE w:val="0"/>
        <w:autoSpaceDN w:val="0"/>
        <w:adjustRightInd w:val="0"/>
        <w:outlineLvl w:val="9"/>
        <w:rPr>
          <w:rFonts w:hint="eastAsia" w:ascii="宋体" w:hAnsi="宋体" w:cs="宋体"/>
          <w:b/>
          <w:color w:val="auto"/>
          <w:sz w:val="24"/>
          <w:lang w:val="zh-CN"/>
        </w:rPr>
      </w:pPr>
    </w:p>
    <w:p w14:paraId="40D87961">
      <w:pPr>
        <w:autoSpaceDE w:val="0"/>
        <w:autoSpaceDN w:val="0"/>
        <w:adjustRightInd w:val="0"/>
        <w:outlineLvl w:val="9"/>
        <w:rPr>
          <w:rFonts w:hint="eastAsia" w:ascii="宋体" w:hAnsi="宋体" w:cs="宋体"/>
          <w:b/>
          <w:color w:val="auto"/>
          <w:sz w:val="24"/>
          <w:lang w:val="zh-CN"/>
        </w:rPr>
      </w:pPr>
    </w:p>
    <w:p w14:paraId="09034675">
      <w:pPr>
        <w:autoSpaceDE w:val="0"/>
        <w:autoSpaceDN w:val="0"/>
        <w:adjustRightInd w:val="0"/>
        <w:outlineLvl w:val="9"/>
        <w:rPr>
          <w:rFonts w:hint="eastAsia" w:ascii="宋体" w:hAnsi="宋体" w:cs="宋体"/>
          <w:b/>
          <w:color w:val="auto"/>
          <w:sz w:val="24"/>
          <w:lang w:val="zh-CN"/>
        </w:rPr>
      </w:pPr>
    </w:p>
    <w:p w14:paraId="5B26E2F0">
      <w:pPr>
        <w:autoSpaceDE w:val="0"/>
        <w:autoSpaceDN w:val="0"/>
        <w:adjustRightInd w:val="0"/>
        <w:outlineLvl w:val="9"/>
        <w:rPr>
          <w:rFonts w:hint="eastAsia" w:ascii="宋体" w:hAnsi="宋体" w:cs="宋体"/>
          <w:b/>
          <w:color w:val="auto"/>
          <w:sz w:val="24"/>
          <w:lang w:val="zh-CN"/>
        </w:rPr>
      </w:pPr>
    </w:p>
    <w:p w14:paraId="035A18D8">
      <w:pPr>
        <w:autoSpaceDE w:val="0"/>
        <w:autoSpaceDN w:val="0"/>
        <w:adjustRightInd w:val="0"/>
        <w:outlineLvl w:val="9"/>
        <w:rPr>
          <w:rFonts w:hint="eastAsia" w:ascii="宋体" w:hAnsi="宋体" w:cs="宋体"/>
          <w:b/>
          <w:color w:val="auto"/>
          <w:sz w:val="24"/>
          <w:lang w:val="zh-CN"/>
        </w:rPr>
      </w:pPr>
    </w:p>
    <w:p w14:paraId="14B8B28C">
      <w:pPr>
        <w:autoSpaceDE w:val="0"/>
        <w:autoSpaceDN w:val="0"/>
        <w:adjustRightInd w:val="0"/>
        <w:outlineLvl w:val="9"/>
        <w:rPr>
          <w:rFonts w:hint="eastAsia" w:ascii="宋体" w:hAnsi="宋体" w:cs="宋体"/>
          <w:b/>
          <w:color w:val="auto"/>
          <w:sz w:val="24"/>
          <w:lang w:val="zh-CN"/>
        </w:rPr>
      </w:pPr>
    </w:p>
    <w:p w14:paraId="0ACE00C7">
      <w:pPr>
        <w:autoSpaceDE w:val="0"/>
        <w:autoSpaceDN w:val="0"/>
        <w:adjustRightInd w:val="0"/>
        <w:outlineLvl w:val="9"/>
        <w:rPr>
          <w:rFonts w:hint="eastAsia" w:ascii="宋体" w:hAnsi="宋体" w:cs="宋体"/>
          <w:b/>
          <w:color w:val="auto"/>
          <w:sz w:val="24"/>
          <w:lang w:val="zh-CN"/>
        </w:rPr>
      </w:pPr>
    </w:p>
    <w:p w14:paraId="29FDD0ED">
      <w:pPr>
        <w:autoSpaceDE w:val="0"/>
        <w:autoSpaceDN w:val="0"/>
        <w:adjustRightInd w:val="0"/>
        <w:outlineLvl w:val="9"/>
        <w:rPr>
          <w:rFonts w:hint="eastAsia" w:ascii="宋体" w:hAnsi="宋体" w:cs="宋体"/>
          <w:b/>
          <w:color w:val="auto"/>
          <w:sz w:val="24"/>
          <w:lang w:val="zh-CN"/>
        </w:rPr>
      </w:pPr>
    </w:p>
    <w:p w14:paraId="6C7277E5">
      <w:pPr>
        <w:autoSpaceDE w:val="0"/>
        <w:autoSpaceDN w:val="0"/>
        <w:adjustRightInd w:val="0"/>
        <w:outlineLvl w:val="9"/>
        <w:rPr>
          <w:rFonts w:hint="eastAsia" w:ascii="宋体" w:hAnsi="宋体" w:cs="宋体"/>
          <w:b/>
          <w:color w:val="auto"/>
          <w:sz w:val="24"/>
          <w:lang w:val="zh-CN"/>
        </w:rPr>
      </w:pPr>
    </w:p>
    <w:p w14:paraId="20FB6A5A">
      <w:pPr>
        <w:autoSpaceDE w:val="0"/>
        <w:autoSpaceDN w:val="0"/>
        <w:adjustRightInd w:val="0"/>
        <w:outlineLvl w:val="9"/>
        <w:rPr>
          <w:rFonts w:hint="eastAsia" w:ascii="宋体" w:hAnsi="宋体" w:cs="宋体"/>
          <w:b/>
          <w:color w:val="auto"/>
          <w:sz w:val="24"/>
          <w:lang w:val="zh-CN"/>
        </w:rPr>
      </w:pPr>
    </w:p>
    <w:p w14:paraId="7804F5C9">
      <w:pPr>
        <w:autoSpaceDE w:val="0"/>
        <w:autoSpaceDN w:val="0"/>
        <w:adjustRightInd w:val="0"/>
        <w:outlineLvl w:val="9"/>
        <w:rPr>
          <w:rFonts w:hint="eastAsia" w:ascii="宋体" w:hAnsi="宋体" w:cs="宋体"/>
          <w:b/>
          <w:color w:val="auto"/>
          <w:sz w:val="24"/>
          <w:lang w:val="zh-CN"/>
        </w:rPr>
      </w:pPr>
    </w:p>
    <w:p w14:paraId="0DCEF5CC">
      <w:pPr>
        <w:autoSpaceDE w:val="0"/>
        <w:autoSpaceDN w:val="0"/>
        <w:adjustRightInd w:val="0"/>
        <w:outlineLvl w:val="9"/>
        <w:rPr>
          <w:rFonts w:hint="eastAsia" w:ascii="宋体" w:hAnsi="宋体" w:cs="宋体"/>
          <w:b/>
          <w:color w:val="auto"/>
          <w:sz w:val="24"/>
          <w:lang w:val="zh-CN"/>
        </w:rPr>
      </w:pPr>
    </w:p>
    <w:p w14:paraId="7CA668D1">
      <w:pPr>
        <w:autoSpaceDE w:val="0"/>
        <w:autoSpaceDN w:val="0"/>
        <w:adjustRightInd w:val="0"/>
        <w:outlineLvl w:val="9"/>
        <w:rPr>
          <w:rFonts w:hint="eastAsia" w:ascii="宋体" w:hAnsi="宋体" w:cs="宋体"/>
          <w:b/>
          <w:color w:val="auto"/>
          <w:sz w:val="24"/>
          <w:lang w:val="zh-CN"/>
        </w:rPr>
      </w:pPr>
    </w:p>
    <w:p w14:paraId="7AF70C35">
      <w:pPr>
        <w:autoSpaceDE w:val="0"/>
        <w:autoSpaceDN w:val="0"/>
        <w:adjustRightInd w:val="0"/>
        <w:outlineLvl w:val="9"/>
        <w:rPr>
          <w:rFonts w:hint="eastAsia" w:ascii="宋体" w:hAnsi="宋体" w:cs="宋体"/>
          <w:b/>
          <w:color w:val="auto"/>
          <w:sz w:val="24"/>
          <w:lang w:val="zh-CN"/>
        </w:rPr>
      </w:pPr>
    </w:p>
    <w:p w14:paraId="7FB20971">
      <w:pPr>
        <w:autoSpaceDE w:val="0"/>
        <w:autoSpaceDN w:val="0"/>
        <w:adjustRightInd w:val="0"/>
        <w:outlineLvl w:val="9"/>
        <w:rPr>
          <w:rFonts w:hint="eastAsia" w:ascii="宋体" w:hAnsi="宋体" w:cs="宋体"/>
          <w:b/>
          <w:color w:val="auto"/>
          <w:sz w:val="24"/>
          <w:lang w:val="zh-CN"/>
        </w:rPr>
      </w:pPr>
    </w:p>
    <w:p w14:paraId="735D936B">
      <w:pPr>
        <w:autoSpaceDE w:val="0"/>
        <w:autoSpaceDN w:val="0"/>
        <w:adjustRightInd w:val="0"/>
        <w:outlineLvl w:val="9"/>
        <w:rPr>
          <w:rFonts w:hint="eastAsia" w:ascii="宋体" w:hAnsi="宋体" w:cs="宋体"/>
          <w:b/>
          <w:color w:val="auto"/>
          <w:sz w:val="24"/>
          <w:lang w:val="zh-CN"/>
        </w:rPr>
      </w:pPr>
    </w:p>
    <w:p w14:paraId="78365834">
      <w:pPr>
        <w:autoSpaceDE w:val="0"/>
        <w:autoSpaceDN w:val="0"/>
        <w:adjustRightInd w:val="0"/>
        <w:outlineLvl w:val="9"/>
        <w:rPr>
          <w:rFonts w:hint="eastAsia" w:ascii="宋体" w:hAnsi="宋体" w:cs="宋体"/>
          <w:b/>
          <w:color w:val="auto"/>
          <w:sz w:val="24"/>
          <w:lang w:val="zh-CN"/>
        </w:rPr>
      </w:pPr>
    </w:p>
    <w:p w14:paraId="11F6F40E">
      <w:pPr>
        <w:autoSpaceDE w:val="0"/>
        <w:autoSpaceDN w:val="0"/>
        <w:adjustRightInd w:val="0"/>
        <w:outlineLvl w:val="9"/>
        <w:rPr>
          <w:rFonts w:hint="eastAsia" w:ascii="宋体" w:hAnsi="宋体" w:cs="宋体"/>
          <w:b/>
          <w:color w:val="auto"/>
          <w:sz w:val="24"/>
          <w:lang w:val="zh-CN"/>
        </w:rPr>
      </w:pPr>
    </w:p>
    <w:p w14:paraId="3904DEFB">
      <w:pPr>
        <w:autoSpaceDE w:val="0"/>
        <w:autoSpaceDN w:val="0"/>
        <w:adjustRightInd w:val="0"/>
        <w:outlineLvl w:val="9"/>
        <w:rPr>
          <w:rFonts w:hint="eastAsia" w:ascii="宋体" w:hAnsi="宋体" w:cs="宋体"/>
          <w:b/>
          <w:color w:val="auto"/>
          <w:sz w:val="24"/>
          <w:lang w:val="zh-CN"/>
        </w:rPr>
      </w:pPr>
    </w:p>
    <w:p w14:paraId="2C51322D">
      <w:pPr>
        <w:autoSpaceDE w:val="0"/>
        <w:autoSpaceDN w:val="0"/>
        <w:adjustRightInd w:val="0"/>
        <w:outlineLvl w:val="9"/>
        <w:rPr>
          <w:rFonts w:hint="eastAsia" w:ascii="宋体" w:hAnsi="宋体" w:cs="宋体"/>
          <w:b/>
          <w:color w:val="auto"/>
          <w:sz w:val="24"/>
          <w:lang w:val="zh-CN"/>
        </w:rPr>
      </w:pPr>
    </w:p>
    <w:p w14:paraId="577FD058">
      <w:pPr>
        <w:autoSpaceDE w:val="0"/>
        <w:autoSpaceDN w:val="0"/>
        <w:adjustRightInd w:val="0"/>
        <w:outlineLvl w:val="9"/>
        <w:rPr>
          <w:rFonts w:hint="eastAsia" w:ascii="宋体" w:hAnsi="宋体" w:cs="宋体"/>
          <w:b/>
          <w:color w:val="auto"/>
          <w:sz w:val="24"/>
          <w:lang w:val="zh-CN"/>
        </w:rPr>
      </w:pPr>
    </w:p>
    <w:p w14:paraId="68025668">
      <w:pPr>
        <w:autoSpaceDE w:val="0"/>
        <w:autoSpaceDN w:val="0"/>
        <w:adjustRightInd w:val="0"/>
        <w:outlineLvl w:val="9"/>
        <w:rPr>
          <w:rFonts w:hint="eastAsia" w:ascii="宋体" w:hAnsi="宋体" w:cs="宋体"/>
          <w:b/>
          <w:color w:val="auto"/>
          <w:sz w:val="24"/>
          <w:lang w:val="zh-CN"/>
        </w:rPr>
      </w:pPr>
    </w:p>
    <w:p w14:paraId="5EB42316">
      <w:pPr>
        <w:autoSpaceDE w:val="0"/>
        <w:autoSpaceDN w:val="0"/>
        <w:adjustRightInd w:val="0"/>
        <w:outlineLvl w:val="9"/>
        <w:rPr>
          <w:rFonts w:hint="eastAsia" w:ascii="宋体" w:hAnsi="宋体" w:cs="宋体"/>
          <w:b/>
          <w:color w:val="auto"/>
          <w:sz w:val="24"/>
          <w:lang w:val="zh-CN"/>
        </w:rPr>
      </w:pPr>
    </w:p>
    <w:p w14:paraId="7DA98D98">
      <w:pPr>
        <w:autoSpaceDE w:val="0"/>
        <w:autoSpaceDN w:val="0"/>
        <w:adjustRightInd w:val="0"/>
        <w:outlineLvl w:val="9"/>
        <w:rPr>
          <w:rFonts w:hint="eastAsia" w:ascii="宋体" w:hAnsi="宋体" w:cs="宋体"/>
          <w:b/>
          <w:color w:val="auto"/>
          <w:sz w:val="24"/>
          <w:lang w:val="zh-CN"/>
        </w:rPr>
      </w:pPr>
    </w:p>
    <w:p w14:paraId="6A1EEFC2">
      <w:pPr>
        <w:autoSpaceDE w:val="0"/>
        <w:autoSpaceDN w:val="0"/>
        <w:adjustRightInd w:val="0"/>
        <w:outlineLvl w:val="9"/>
        <w:rPr>
          <w:rFonts w:hint="eastAsia" w:ascii="宋体" w:hAnsi="宋体" w:cs="宋体"/>
          <w:b/>
          <w:color w:val="auto"/>
          <w:sz w:val="24"/>
          <w:lang w:val="zh-CN"/>
        </w:rPr>
      </w:pPr>
    </w:p>
    <w:p w14:paraId="178684A0">
      <w:pPr>
        <w:autoSpaceDE w:val="0"/>
        <w:autoSpaceDN w:val="0"/>
        <w:adjustRightInd w:val="0"/>
        <w:outlineLvl w:val="9"/>
        <w:rPr>
          <w:rFonts w:hint="eastAsia" w:ascii="宋体" w:hAnsi="宋体" w:cs="宋体"/>
          <w:b/>
          <w:color w:val="auto"/>
          <w:sz w:val="24"/>
          <w:lang w:val="zh-CN"/>
        </w:rPr>
      </w:pPr>
    </w:p>
    <w:p w14:paraId="71238F75">
      <w:pPr>
        <w:autoSpaceDE w:val="0"/>
        <w:autoSpaceDN w:val="0"/>
        <w:adjustRightInd w:val="0"/>
        <w:outlineLvl w:val="9"/>
        <w:rPr>
          <w:rFonts w:hint="eastAsia" w:ascii="宋体" w:hAnsi="宋体" w:cs="宋体"/>
          <w:b/>
          <w:color w:val="auto"/>
          <w:sz w:val="24"/>
          <w:lang w:val="zh-CN"/>
        </w:rPr>
      </w:pPr>
    </w:p>
    <w:p w14:paraId="555746B8">
      <w:pPr>
        <w:autoSpaceDE w:val="0"/>
        <w:autoSpaceDN w:val="0"/>
        <w:adjustRightInd w:val="0"/>
        <w:outlineLvl w:val="9"/>
        <w:rPr>
          <w:rFonts w:hint="eastAsia" w:ascii="宋体" w:hAnsi="宋体" w:cs="宋体"/>
          <w:b/>
          <w:color w:val="auto"/>
          <w:sz w:val="24"/>
          <w:lang w:val="zh-CN"/>
        </w:rPr>
      </w:pPr>
    </w:p>
    <w:p w14:paraId="112C84C0">
      <w:pPr>
        <w:autoSpaceDE w:val="0"/>
        <w:autoSpaceDN w:val="0"/>
        <w:adjustRightInd w:val="0"/>
        <w:outlineLvl w:val="9"/>
        <w:rPr>
          <w:rFonts w:hint="eastAsia" w:ascii="宋体" w:hAnsi="宋体" w:cs="宋体"/>
          <w:b/>
          <w:color w:val="auto"/>
          <w:sz w:val="24"/>
          <w:lang w:val="zh-CN"/>
        </w:rPr>
      </w:pPr>
    </w:p>
    <w:p w14:paraId="41921053">
      <w:pPr>
        <w:autoSpaceDE w:val="0"/>
        <w:autoSpaceDN w:val="0"/>
        <w:adjustRightInd w:val="0"/>
        <w:outlineLvl w:val="9"/>
        <w:rPr>
          <w:rFonts w:hint="eastAsia" w:ascii="宋体" w:hAnsi="宋体" w:cs="宋体"/>
          <w:b/>
          <w:color w:val="auto"/>
          <w:sz w:val="24"/>
          <w:lang w:val="zh-CN"/>
        </w:rPr>
      </w:pPr>
    </w:p>
    <w:p w14:paraId="249812CC">
      <w:pPr>
        <w:autoSpaceDE w:val="0"/>
        <w:autoSpaceDN w:val="0"/>
        <w:adjustRightInd w:val="0"/>
        <w:outlineLvl w:val="9"/>
        <w:rPr>
          <w:rFonts w:hint="eastAsia" w:ascii="宋体" w:hAnsi="宋体" w:cs="宋体"/>
          <w:b/>
          <w:color w:val="auto"/>
          <w:sz w:val="24"/>
          <w:lang w:val="zh-CN"/>
        </w:rPr>
      </w:pPr>
    </w:p>
    <w:p w14:paraId="047B64FC">
      <w:pPr>
        <w:pStyle w:val="42"/>
        <w:outlineLvl w:val="9"/>
        <w:rPr>
          <w:rFonts w:hint="eastAsia"/>
          <w:color w:val="auto"/>
          <w:lang w:val="zh-CN"/>
        </w:rPr>
      </w:pPr>
    </w:p>
    <w:p w14:paraId="6FC0D1C1">
      <w:pPr>
        <w:autoSpaceDE w:val="0"/>
        <w:autoSpaceDN w:val="0"/>
        <w:adjustRightInd w:val="0"/>
        <w:outlineLvl w:val="9"/>
        <w:rPr>
          <w:rFonts w:hint="eastAsia" w:ascii="宋体" w:hAnsi="宋体" w:cs="宋体"/>
          <w:b/>
          <w:color w:val="auto"/>
          <w:sz w:val="24"/>
          <w:lang w:val="zh-CN"/>
        </w:rPr>
      </w:pPr>
    </w:p>
    <w:p w14:paraId="6642DC6E">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bookmarkStart w:id="137" w:name="_Toc16378"/>
      <w:bookmarkStart w:id="138" w:name="_Toc17092"/>
    </w:p>
    <w:p w14:paraId="6D8FC8AB">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 xml:space="preserve">九 </w:t>
      </w:r>
      <w:r>
        <w:rPr>
          <w:rFonts w:hint="eastAsia" w:ascii="宋体" w:hAnsi="宋体" w:cs="宋体"/>
          <w:b/>
          <w:color w:val="auto"/>
          <w:sz w:val="24"/>
          <w:lang w:val="zh-CN"/>
        </w:rPr>
        <w:t>本项目人员一览表</w:t>
      </w:r>
    </w:p>
    <w:tbl>
      <w:tblPr>
        <w:tblStyle w:val="24"/>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446"/>
        <w:gridCol w:w="1506"/>
        <w:gridCol w:w="1213"/>
        <w:gridCol w:w="3317"/>
      </w:tblGrid>
      <w:tr w14:paraId="3BD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14:paraId="08EC9EB7">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姓名</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AE309E3">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岗位</w:t>
            </w:r>
          </w:p>
        </w:tc>
        <w:tc>
          <w:tcPr>
            <w:tcW w:w="1506" w:type="dxa"/>
            <w:tcBorders>
              <w:top w:val="single" w:color="auto" w:sz="4" w:space="0"/>
              <w:left w:val="single" w:color="auto" w:sz="4" w:space="0"/>
              <w:bottom w:val="single" w:color="auto" w:sz="4" w:space="0"/>
              <w:right w:val="single" w:color="auto" w:sz="4" w:space="0"/>
            </w:tcBorders>
            <w:noWrap w:val="0"/>
            <w:vAlign w:val="center"/>
          </w:tcPr>
          <w:p w14:paraId="1C83F405">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年龄</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BCDDBA8">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职称或其他证书</w:t>
            </w:r>
          </w:p>
        </w:tc>
        <w:tc>
          <w:tcPr>
            <w:tcW w:w="3317" w:type="dxa"/>
            <w:tcBorders>
              <w:top w:val="single" w:color="auto" w:sz="4" w:space="0"/>
              <w:left w:val="single" w:color="auto" w:sz="4" w:space="0"/>
              <w:bottom w:val="single" w:color="auto" w:sz="4" w:space="0"/>
              <w:right w:val="single" w:color="auto" w:sz="4" w:space="0"/>
            </w:tcBorders>
            <w:noWrap w:val="0"/>
            <w:vAlign w:val="center"/>
          </w:tcPr>
          <w:p w14:paraId="26E9080A">
            <w:pPr>
              <w:keepNext w:val="0"/>
              <w:keepLines w:val="0"/>
              <w:suppressLineNumbers w:val="0"/>
              <w:spacing w:before="0" w:beforeAutospacing="0" w:after="0" w:afterAutospacing="0"/>
              <w:ind w:left="0" w:right="0"/>
              <w:jc w:val="center"/>
              <w:outlineLvl w:val="9"/>
              <w:rPr>
                <w:b/>
                <w:bCs/>
                <w:color w:val="auto"/>
                <w:sz w:val="24"/>
                <w:szCs w:val="32"/>
                <w:highlight w:val="none"/>
              </w:rPr>
            </w:pPr>
            <w:r>
              <w:rPr>
                <w:b/>
                <w:bCs/>
                <w:color w:val="auto"/>
                <w:sz w:val="24"/>
                <w:szCs w:val="32"/>
                <w:highlight w:val="none"/>
              </w:rPr>
              <w:t>类似服务经验业绩</w:t>
            </w:r>
          </w:p>
        </w:tc>
      </w:tr>
      <w:tr w14:paraId="5B39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7EB25B13">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27EB347D">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5298D36A">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21589318">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2E1A1CB6">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14:paraId="2B5A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57E7B7DA">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5D8E576E">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39B07653">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104B2D76">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165E67F1">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14:paraId="7CE3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3A427C65">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1DD0A4C3">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3570F2F9">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41B1077D">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6535CD34">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r w14:paraId="3B1E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Borders>
              <w:top w:val="single" w:color="auto" w:sz="4" w:space="0"/>
              <w:left w:val="single" w:color="auto" w:sz="4" w:space="0"/>
              <w:bottom w:val="single" w:color="auto" w:sz="4" w:space="0"/>
              <w:right w:val="single" w:color="auto" w:sz="4" w:space="0"/>
            </w:tcBorders>
            <w:noWrap w:val="0"/>
            <w:vAlign w:val="top"/>
          </w:tcPr>
          <w:p w14:paraId="14087850">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top"/>
          </w:tcPr>
          <w:p w14:paraId="7003C129">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11D62542">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top"/>
          </w:tcPr>
          <w:p w14:paraId="0FF1949B">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c>
          <w:tcPr>
            <w:tcW w:w="3317" w:type="dxa"/>
            <w:tcBorders>
              <w:top w:val="single" w:color="auto" w:sz="4" w:space="0"/>
              <w:left w:val="single" w:color="auto" w:sz="4" w:space="0"/>
              <w:bottom w:val="single" w:color="auto" w:sz="4" w:space="0"/>
              <w:right w:val="single" w:color="auto" w:sz="4" w:space="0"/>
            </w:tcBorders>
            <w:noWrap w:val="0"/>
            <w:vAlign w:val="top"/>
          </w:tcPr>
          <w:p w14:paraId="38917AB9">
            <w:pPr>
              <w:pStyle w:val="96"/>
              <w:keepNext w:val="0"/>
              <w:keepLines w:val="0"/>
              <w:suppressLineNumbers w:val="0"/>
              <w:spacing w:before="0" w:beforeAutospacing="0" w:after="0" w:afterAutospacing="0" w:line="360" w:lineRule="auto"/>
              <w:ind w:left="0" w:right="0"/>
              <w:outlineLvl w:val="9"/>
              <w:rPr>
                <w:rFonts w:ascii="Times New Roman" w:hAnsi="Times New Roman"/>
                <w:color w:val="auto"/>
                <w:sz w:val="24"/>
                <w:szCs w:val="24"/>
                <w:highlight w:val="none"/>
              </w:rPr>
            </w:pPr>
          </w:p>
        </w:tc>
      </w:tr>
    </w:tbl>
    <w:p w14:paraId="4F3936FE">
      <w:pPr>
        <w:pStyle w:val="96"/>
        <w:spacing w:line="360" w:lineRule="auto"/>
        <w:outlineLvl w:val="9"/>
        <w:rPr>
          <w:rFonts w:ascii="Times New Roman" w:hAnsi="Times New Roman"/>
          <w:color w:val="auto"/>
          <w:sz w:val="24"/>
          <w:szCs w:val="24"/>
          <w:highlight w:val="none"/>
        </w:rPr>
      </w:pPr>
      <w:r>
        <w:rPr>
          <w:rFonts w:ascii="Times New Roman" w:hAnsi="Times New Roman"/>
          <w:color w:val="auto"/>
          <w:sz w:val="24"/>
          <w:szCs w:val="24"/>
          <w:highlight w:val="none"/>
        </w:rPr>
        <w:t>填报要求：</w:t>
      </w:r>
    </w:p>
    <w:p w14:paraId="0C1529EF">
      <w:pPr>
        <w:pStyle w:val="96"/>
        <w:widowControl/>
        <w:spacing w:line="360" w:lineRule="auto"/>
        <w:jc w:val="left"/>
        <w:outlineLvl w:val="9"/>
        <w:rPr>
          <w:rFonts w:ascii="Times New Roman" w:hAnsi="Times New Roman"/>
          <w:color w:val="auto"/>
          <w:sz w:val="24"/>
          <w:szCs w:val="24"/>
          <w:highlight w:val="none"/>
        </w:rPr>
      </w:pPr>
      <w:r>
        <w:rPr>
          <w:rFonts w:ascii="Times New Roman" w:hAnsi="Times New Roman"/>
          <w:color w:val="auto"/>
          <w:sz w:val="24"/>
          <w:szCs w:val="24"/>
          <w:highlight w:val="none"/>
        </w:rPr>
        <w:t xml:space="preserve">    1.上表列出的人员，需附其资格证书</w:t>
      </w:r>
      <w:r>
        <w:rPr>
          <w:rFonts w:hint="eastAsia" w:ascii="Times New Roman" w:hAnsi="Times New Roman"/>
          <w:color w:val="auto"/>
          <w:sz w:val="24"/>
          <w:szCs w:val="24"/>
          <w:highlight w:val="none"/>
        </w:rPr>
        <w:t>、学历证书</w:t>
      </w:r>
      <w:r>
        <w:rPr>
          <w:rFonts w:ascii="Times New Roman" w:hAnsi="Times New Roman"/>
          <w:color w:val="auto"/>
          <w:sz w:val="24"/>
          <w:szCs w:val="24"/>
          <w:highlight w:val="none"/>
        </w:rPr>
        <w:t>的扫描件（如有）</w:t>
      </w:r>
      <w:r>
        <w:rPr>
          <w:rFonts w:hint="eastAsia" w:ascii="Times New Roman" w:hAnsi="Times New Roman"/>
          <w:color w:val="auto"/>
          <w:sz w:val="24"/>
          <w:szCs w:val="24"/>
          <w:highlight w:val="none"/>
          <w:lang w:val="en-US" w:eastAsia="zh-CN"/>
        </w:rPr>
        <w:t>等</w:t>
      </w:r>
      <w:r>
        <w:rPr>
          <w:rFonts w:ascii="Times New Roman" w:hAnsi="Times New Roman"/>
          <w:color w:val="auto"/>
          <w:sz w:val="24"/>
          <w:szCs w:val="24"/>
          <w:highlight w:val="none"/>
        </w:rPr>
        <w:t>。</w:t>
      </w:r>
    </w:p>
    <w:p w14:paraId="67D2275B">
      <w:pPr>
        <w:pStyle w:val="96"/>
        <w:widowControl/>
        <w:spacing w:line="360" w:lineRule="auto"/>
        <w:ind w:firstLine="480"/>
        <w:jc w:val="left"/>
        <w:outlineLvl w:val="9"/>
        <w:rPr>
          <w:rFonts w:ascii="Times New Roman" w:hAnsi="Times New Roman"/>
          <w:color w:val="auto"/>
          <w:sz w:val="24"/>
          <w:szCs w:val="24"/>
          <w:highlight w:val="none"/>
        </w:rPr>
        <w:sectPr>
          <w:pgSz w:w="11906" w:h="16838"/>
          <w:pgMar w:top="1361" w:right="1304" w:bottom="1247" w:left="1304" w:header="680" w:footer="680" w:gutter="0"/>
          <w:pgNumType w:fmt="decimal"/>
          <w:cols w:space="720" w:num="1"/>
          <w:docGrid w:linePitch="312" w:charSpace="0"/>
        </w:sectPr>
      </w:pPr>
      <w:r>
        <w:rPr>
          <w:rFonts w:ascii="Times New Roman" w:hAnsi="Times New Roman"/>
          <w:color w:val="auto"/>
          <w:sz w:val="24"/>
          <w:szCs w:val="24"/>
          <w:highlight w:val="none"/>
        </w:rPr>
        <w:t>2.人员配置投标单位自行评估确定</w:t>
      </w:r>
      <w:r>
        <w:rPr>
          <w:rFonts w:ascii="Times New Roman" w:hAnsi="Times New Roman"/>
          <w:color w:val="auto"/>
          <w:sz w:val="24"/>
          <w:highlight w:val="none"/>
        </w:rPr>
        <w:t>。</w:t>
      </w:r>
    </w:p>
    <w:p w14:paraId="30DB959D">
      <w:pPr>
        <w:autoSpaceDE w:val="0"/>
        <w:autoSpaceDN w:val="0"/>
        <w:adjustRightInd w:val="0"/>
        <w:spacing w:line="360" w:lineRule="auto"/>
        <w:jc w:val="left"/>
        <w:outlineLvl w:val="9"/>
        <w:rPr>
          <w:rFonts w:hint="eastAsia" w:ascii="宋体" w:hAnsi="宋体" w:cs="宋体"/>
          <w:b/>
          <w:color w:val="auto"/>
          <w:sz w:val="24"/>
          <w:lang w:val="en-GB"/>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 </w:t>
      </w:r>
      <w:r>
        <w:rPr>
          <w:rFonts w:hint="eastAsia" w:ascii="宋体" w:hAnsi="宋体" w:cs="宋体"/>
          <w:b/>
          <w:color w:val="auto"/>
          <w:sz w:val="24"/>
          <w:lang w:val="zh-CN"/>
        </w:rPr>
        <w:t>业绩一览表</w:t>
      </w:r>
    </w:p>
    <w:tbl>
      <w:tblPr>
        <w:tblStyle w:val="24"/>
        <w:tblW w:w="95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2003"/>
        <w:gridCol w:w="1575"/>
        <w:gridCol w:w="1260"/>
        <w:gridCol w:w="1677"/>
        <w:gridCol w:w="2067"/>
      </w:tblGrid>
      <w:tr w14:paraId="4E26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3BE762DB">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序号</w:t>
            </w:r>
          </w:p>
        </w:tc>
        <w:tc>
          <w:tcPr>
            <w:tcW w:w="2003" w:type="dxa"/>
            <w:tcBorders>
              <w:top w:val="single" w:color="auto" w:sz="6" w:space="0"/>
              <w:left w:val="single" w:color="auto" w:sz="6" w:space="0"/>
              <w:bottom w:val="single" w:color="auto" w:sz="6" w:space="0"/>
              <w:right w:val="single" w:color="auto" w:sz="6" w:space="0"/>
            </w:tcBorders>
            <w:noWrap w:val="0"/>
            <w:vAlign w:val="center"/>
          </w:tcPr>
          <w:p w14:paraId="33E05B16">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9492FD0">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8A1EB19">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合同总价</w:t>
            </w:r>
          </w:p>
        </w:tc>
        <w:tc>
          <w:tcPr>
            <w:tcW w:w="1677" w:type="dxa"/>
            <w:tcBorders>
              <w:top w:val="single" w:color="auto" w:sz="6" w:space="0"/>
              <w:left w:val="single" w:color="auto" w:sz="6" w:space="0"/>
              <w:bottom w:val="single" w:color="auto" w:sz="6" w:space="0"/>
              <w:right w:val="single" w:color="auto" w:sz="6" w:space="0"/>
            </w:tcBorders>
            <w:noWrap w:val="0"/>
            <w:vAlign w:val="center"/>
          </w:tcPr>
          <w:p w14:paraId="62579ADF">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合同签订时间</w:t>
            </w:r>
          </w:p>
        </w:tc>
        <w:tc>
          <w:tcPr>
            <w:tcW w:w="2067" w:type="dxa"/>
            <w:tcBorders>
              <w:top w:val="single" w:color="auto" w:sz="6" w:space="0"/>
              <w:left w:val="single" w:color="auto" w:sz="6" w:space="0"/>
              <w:bottom w:val="single" w:color="auto" w:sz="6" w:space="0"/>
              <w:right w:val="single" w:color="auto" w:sz="6" w:space="0"/>
            </w:tcBorders>
            <w:noWrap w:val="0"/>
            <w:vAlign w:val="center"/>
          </w:tcPr>
          <w:p w14:paraId="07D137CD">
            <w:pPr>
              <w:pStyle w:val="97"/>
              <w:keepNext w:val="0"/>
              <w:keepLines w:val="0"/>
              <w:suppressLineNumbers w:val="0"/>
              <w:spacing w:before="0" w:beforeAutospacing="0" w:after="0" w:afterAutospacing="0"/>
              <w:ind w:left="0" w:right="0"/>
              <w:jc w:val="center"/>
              <w:outlineLvl w:val="9"/>
              <w:rPr>
                <w:bCs/>
                <w:color w:val="auto"/>
                <w:sz w:val="24"/>
                <w:highlight w:val="none"/>
              </w:rPr>
            </w:pPr>
            <w:r>
              <w:rPr>
                <w:bCs/>
                <w:color w:val="auto"/>
                <w:sz w:val="24"/>
                <w:highlight w:val="none"/>
              </w:rPr>
              <w:t>项目单位联系人电话</w:t>
            </w:r>
          </w:p>
        </w:tc>
      </w:tr>
      <w:tr w14:paraId="1D1FE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6C0DC75B">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1</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4E3E3FA0">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24054E4">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DC30A69">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1567E7EA">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37681C6D">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7D980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3ECC954F">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2</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0485A58D">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30B8747">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F76B56F">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7D4D4A97">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1B88F063">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18DB4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center"/>
          </w:tcPr>
          <w:p w14:paraId="2CFB47A7">
            <w:pPr>
              <w:pStyle w:val="97"/>
              <w:keepNext w:val="0"/>
              <w:keepLines w:val="0"/>
              <w:suppressLineNumbers w:val="0"/>
              <w:spacing w:before="0" w:beforeAutospacing="0" w:after="0" w:afterAutospacing="0" w:line="360" w:lineRule="auto"/>
              <w:ind w:left="0" w:right="0"/>
              <w:jc w:val="center"/>
              <w:outlineLvl w:val="9"/>
              <w:rPr>
                <w:color w:val="auto"/>
                <w:sz w:val="24"/>
                <w:highlight w:val="none"/>
              </w:rPr>
            </w:pPr>
            <w:r>
              <w:rPr>
                <w:color w:val="auto"/>
                <w:sz w:val="24"/>
                <w:highlight w:val="none"/>
              </w:rPr>
              <w:t>3</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48765EC1">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C68A257">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F6953F8">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6EC2CCA5">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302F6E4D">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64349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14:paraId="32A8891C">
            <w:pPr>
              <w:pStyle w:val="97"/>
              <w:keepNext w:val="0"/>
              <w:keepLines w:val="0"/>
              <w:suppressLineNumbers w:val="0"/>
              <w:spacing w:before="0" w:beforeAutospacing="0" w:after="0" w:afterAutospacing="0" w:line="360" w:lineRule="auto"/>
              <w:ind w:left="0" w:right="0"/>
              <w:outlineLvl w:val="9"/>
              <w:rPr>
                <w:color w:val="auto"/>
                <w:sz w:val="24"/>
                <w:highlight w:val="none"/>
              </w:rPr>
            </w:pPr>
            <w:r>
              <w:rPr>
                <w:color w:val="auto"/>
                <w:sz w:val="24"/>
                <w:highlight w:val="none"/>
              </w:rPr>
              <w:t>…</w:t>
            </w:r>
          </w:p>
        </w:tc>
        <w:tc>
          <w:tcPr>
            <w:tcW w:w="2003" w:type="dxa"/>
            <w:tcBorders>
              <w:top w:val="single" w:color="auto" w:sz="6" w:space="0"/>
              <w:left w:val="single" w:color="auto" w:sz="6" w:space="0"/>
              <w:bottom w:val="single" w:color="auto" w:sz="6" w:space="0"/>
              <w:right w:val="single" w:color="auto" w:sz="6" w:space="0"/>
            </w:tcBorders>
            <w:noWrap w:val="0"/>
            <w:vAlign w:val="top"/>
          </w:tcPr>
          <w:p w14:paraId="6CC8DA76">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319D6F1">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CB599BD">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78ABE63E">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6B0BDFCF">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10958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14:paraId="68D75EFA">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14:paraId="7693C7DC">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9407B64">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F96266">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35DCFA54">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586F3E84">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r w14:paraId="7F374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948" w:type="dxa"/>
            <w:tcBorders>
              <w:top w:val="single" w:color="auto" w:sz="6" w:space="0"/>
              <w:left w:val="single" w:color="auto" w:sz="6" w:space="0"/>
              <w:bottom w:val="single" w:color="auto" w:sz="6" w:space="0"/>
              <w:right w:val="single" w:color="auto" w:sz="6" w:space="0"/>
            </w:tcBorders>
            <w:noWrap w:val="0"/>
            <w:vAlign w:val="top"/>
          </w:tcPr>
          <w:p w14:paraId="780E301D">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03" w:type="dxa"/>
            <w:tcBorders>
              <w:top w:val="single" w:color="auto" w:sz="6" w:space="0"/>
              <w:left w:val="single" w:color="auto" w:sz="6" w:space="0"/>
              <w:bottom w:val="single" w:color="auto" w:sz="6" w:space="0"/>
              <w:right w:val="single" w:color="auto" w:sz="6" w:space="0"/>
            </w:tcBorders>
            <w:noWrap w:val="0"/>
            <w:vAlign w:val="top"/>
          </w:tcPr>
          <w:p w14:paraId="4CF3AED5">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EF264BC">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A1D471">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1677" w:type="dxa"/>
            <w:tcBorders>
              <w:top w:val="single" w:color="auto" w:sz="6" w:space="0"/>
              <w:left w:val="single" w:color="auto" w:sz="6" w:space="0"/>
              <w:bottom w:val="single" w:color="auto" w:sz="6" w:space="0"/>
              <w:right w:val="single" w:color="auto" w:sz="6" w:space="0"/>
            </w:tcBorders>
            <w:noWrap w:val="0"/>
            <w:vAlign w:val="top"/>
          </w:tcPr>
          <w:p w14:paraId="0A9CF105">
            <w:pPr>
              <w:pStyle w:val="97"/>
              <w:keepNext w:val="0"/>
              <w:keepLines w:val="0"/>
              <w:suppressLineNumbers w:val="0"/>
              <w:spacing w:before="0" w:beforeAutospacing="0" w:after="0" w:afterAutospacing="0" w:line="360" w:lineRule="auto"/>
              <w:ind w:left="0" w:right="0"/>
              <w:outlineLvl w:val="9"/>
              <w:rPr>
                <w:color w:val="auto"/>
                <w:sz w:val="24"/>
                <w:highlight w:val="none"/>
              </w:rPr>
            </w:pPr>
          </w:p>
        </w:tc>
        <w:tc>
          <w:tcPr>
            <w:tcW w:w="2067" w:type="dxa"/>
            <w:tcBorders>
              <w:top w:val="single" w:color="auto" w:sz="6" w:space="0"/>
              <w:left w:val="single" w:color="auto" w:sz="6" w:space="0"/>
              <w:bottom w:val="single" w:color="auto" w:sz="6" w:space="0"/>
              <w:right w:val="single" w:color="auto" w:sz="6" w:space="0"/>
            </w:tcBorders>
            <w:noWrap w:val="0"/>
            <w:vAlign w:val="top"/>
          </w:tcPr>
          <w:p w14:paraId="1614A5CA">
            <w:pPr>
              <w:pStyle w:val="97"/>
              <w:keepNext w:val="0"/>
              <w:keepLines w:val="0"/>
              <w:suppressLineNumbers w:val="0"/>
              <w:spacing w:before="0" w:beforeAutospacing="0" w:after="0" w:afterAutospacing="0" w:line="360" w:lineRule="auto"/>
              <w:ind w:left="0" w:right="0"/>
              <w:outlineLvl w:val="9"/>
              <w:rPr>
                <w:color w:val="auto"/>
                <w:sz w:val="24"/>
                <w:highlight w:val="none"/>
              </w:rPr>
            </w:pPr>
          </w:p>
        </w:tc>
      </w:tr>
    </w:tbl>
    <w:p w14:paraId="32A2B861">
      <w:pPr>
        <w:pStyle w:val="97"/>
        <w:tabs>
          <w:tab w:val="left" w:pos="1050"/>
          <w:tab w:val="left" w:pos="1838"/>
        </w:tabs>
        <w:spacing w:line="360" w:lineRule="auto"/>
        <w:outlineLvl w:val="9"/>
        <w:rPr>
          <w:color w:val="auto"/>
          <w:sz w:val="24"/>
          <w:highlight w:val="none"/>
        </w:rPr>
      </w:pPr>
      <w:r>
        <w:rPr>
          <w:color w:val="auto"/>
          <w:sz w:val="24"/>
          <w:highlight w:val="none"/>
        </w:rPr>
        <w:t>填报要求：</w:t>
      </w:r>
    </w:p>
    <w:p w14:paraId="4CAFE926">
      <w:pPr>
        <w:pStyle w:val="97"/>
        <w:tabs>
          <w:tab w:val="left" w:pos="1050"/>
          <w:tab w:val="left" w:pos="1838"/>
        </w:tabs>
        <w:spacing w:line="360" w:lineRule="auto"/>
        <w:outlineLvl w:val="9"/>
        <w:rPr>
          <w:color w:val="auto"/>
          <w:sz w:val="24"/>
          <w:highlight w:val="none"/>
        </w:rPr>
      </w:pPr>
      <w:r>
        <w:rPr>
          <w:color w:val="auto"/>
          <w:sz w:val="24"/>
          <w:highlight w:val="none"/>
        </w:rPr>
        <w:t xml:space="preserve">    1、依据商务评审中的业绩要求填写本表并提供相关证明材料。</w:t>
      </w:r>
    </w:p>
    <w:p w14:paraId="4E9C6FF7">
      <w:pPr>
        <w:pStyle w:val="97"/>
        <w:tabs>
          <w:tab w:val="left" w:pos="1050"/>
          <w:tab w:val="left" w:pos="1838"/>
        </w:tabs>
        <w:spacing w:line="360" w:lineRule="auto"/>
        <w:outlineLvl w:val="9"/>
        <w:rPr>
          <w:color w:val="auto"/>
          <w:sz w:val="24"/>
          <w:highlight w:val="none"/>
        </w:rPr>
      </w:pPr>
      <w:r>
        <w:rPr>
          <w:color w:val="auto"/>
          <w:sz w:val="24"/>
          <w:highlight w:val="none"/>
        </w:rPr>
        <w:t xml:space="preserve">    2、请</w:t>
      </w:r>
      <w:r>
        <w:rPr>
          <w:rFonts w:hint="eastAsia"/>
          <w:color w:val="auto"/>
          <w:sz w:val="24"/>
          <w:highlight w:val="none"/>
          <w:lang w:eastAsia="zh-CN"/>
        </w:rPr>
        <w:t>投标人</w:t>
      </w:r>
      <w:r>
        <w:rPr>
          <w:color w:val="auto"/>
          <w:sz w:val="24"/>
          <w:highlight w:val="none"/>
        </w:rPr>
        <w:t>严格按照要求提交相关证明材料，否则有可能影响评审结果。</w:t>
      </w:r>
    </w:p>
    <w:p w14:paraId="6BB6D6BD">
      <w:pPr>
        <w:pStyle w:val="98"/>
        <w:spacing w:line="360" w:lineRule="auto"/>
        <w:jc w:val="center"/>
        <w:outlineLvl w:val="9"/>
        <w:rPr>
          <w:b/>
          <w:color w:val="auto"/>
          <w:sz w:val="28"/>
          <w:szCs w:val="28"/>
          <w:highlight w:val="none"/>
        </w:rPr>
        <w:sectPr>
          <w:pgSz w:w="11906" w:h="16838"/>
          <w:pgMar w:top="1361" w:right="1304" w:bottom="1247" w:left="1304" w:header="680" w:footer="680" w:gutter="0"/>
          <w:pgNumType w:fmt="decimal"/>
          <w:cols w:space="720" w:num="1"/>
          <w:docGrid w:linePitch="312" w:charSpace="0"/>
        </w:sectPr>
      </w:pPr>
    </w:p>
    <w:p w14:paraId="4C42F394">
      <w:pPr>
        <w:autoSpaceDE w:val="0"/>
        <w:autoSpaceDN w:val="0"/>
        <w:adjustRightInd w:val="0"/>
        <w:spacing w:line="360" w:lineRule="auto"/>
        <w:jc w:val="left"/>
        <w:outlineLvl w:val="9"/>
        <w:rPr>
          <w:rFonts w:hint="eastAsia" w:ascii="宋体" w:hAnsi="宋体" w:cs="宋体"/>
          <w:b/>
          <w:color w:val="auto"/>
          <w:sz w:val="24"/>
          <w:lang w:val="zh-CN"/>
        </w:rPr>
      </w:pPr>
      <w:r>
        <w:rPr>
          <w:rFonts w:hint="eastAsia" w:ascii="宋体" w:hAnsi="宋体" w:cs="宋体"/>
          <w:b/>
          <w:color w:val="auto"/>
          <w:sz w:val="24"/>
          <w:lang w:val="zh-CN"/>
        </w:rPr>
        <w:t>格式十</w:t>
      </w:r>
      <w:r>
        <w:rPr>
          <w:rFonts w:hint="eastAsia" w:ascii="宋体" w:hAnsi="宋体" w:cs="宋体"/>
          <w:b/>
          <w:color w:val="auto"/>
          <w:sz w:val="24"/>
          <w:lang w:val="en-US" w:eastAsia="zh-CN"/>
        </w:rPr>
        <w:t xml:space="preserve">一 </w:t>
      </w:r>
      <w:r>
        <w:rPr>
          <w:rFonts w:hint="eastAsia" w:ascii="宋体" w:hAnsi="宋体" w:cs="宋体"/>
          <w:b/>
          <w:color w:val="auto"/>
          <w:sz w:val="24"/>
          <w:lang w:val="zh-CN"/>
        </w:rPr>
        <w:t>证书一览表</w:t>
      </w:r>
    </w:p>
    <w:tbl>
      <w:tblPr>
        <w:tblStyle w:val="24"/>
        <w:tblW w:w="842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257"/>
        <w:gridCol w:w="2258"/>
        <w:gridCol w:w="2046"/>
      </w:tblGrid>
      <w:tr w14:paraId="194F7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66" w:type="dxa"/>
            <w:tcBorders>
              <w:top w:val="single" w:color="auto" w:sz="4" w:space="0"/>
              <w:left w:val="single" w:color="auto" w:sz="4" w:space="0"/>
              <w:bottom w:val="single" w:color="auto" w:sz="4" w:space="0"/>
            </w:tcBorders>
            <w:noWrap w:val="0"/>
            <w:vAlign w:val="top"/>
          </w:tcPr>
          <w:p w14:paraId="03D65B72">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证书名称</w:t>
            </w:r>
          </w:p>
        </w:tc>
        <w:tc>
          <w:tcPr>
            <w:tcW w:w="2257" w:type="dxa"/>
            <w:tcBorders>
              <w:top w:val="single" w:color="auto" w:sz="4" w:space="0"/>
              <w:bottom w:val="single" w:color="auto" w:sz="4" w:space="0"/>
            </w:tcBorders>
            <w:noWrap w:val="0"/>
            <w:vAlign w:val="top"/>
          </w:tcPr>
          <w:p w14:paraId="2E153C63">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发证单位</w:t>
            </w:r>
          </w:p>
        </w:tc>
        <w:tc>
          <w:tcPr>
            <w:tcW w:w="2258" w:type="dxa"/>
            <w:tcBorders>
              <w:top w:val="single" w:color="auto" w:sz="4" w:space="0"/>
              <w:bottom w:val="single" w:color="auto" w:sz="4" w:space="0"/>
            </w:tcBorders>
            <w:noWrap w:val="0"/>
            <w:vAlign w:val="top"/>
          </w:tcPr>
          <w:p w14:paraId="3AC1FBE7">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证书等级</w:t>
            </w:r>
          </w:p>
        </w:tc>
        <w:tc>
          <w:tcPr>
            <w:tcW w:w="2046" w:type="dxa"/>
            <w:tcBorders>
              <w:top w:val="single" w:color="auto" w:sz="4" w:space="0"/>
              <w:bottom w:val="single" w:color="auto" w:sz="4" w:space="0"/>
              <w:right w:val="single" w:color="auto" w:sz="4" w:space="0"/>
            </w:tcBorders>
            <w:noWrap w:val="0"/>
            <w:vAlign w:val="top"/>
          </w:tcPr>
          <w:p w14:paraId="1AA1F190">
            <w:pPr>
              <w:pStyle w:val="98"/>
              <w:keepNext w:val="0"/>
              <w:keepLines w:val="0"/>
              <w:suppressLineNumbers w:val="0"/>
              <w:spacing w:before="0" w:beforeAutospacing="0" w:after="0" w:afterAutospacing="0" w:line="360" w:lineRule="auto"/>
              <w:ind w:left="0" w:right="0"/>
              <w:jc w:val="center"/>
              <w:outlineLvl w:val="9"/>
              <w:rPr>
                <w:bCs/>
                <w:color w:val="auto"/>
                <w:sz w:val="24"/>
                <w:highlight w:val="none"/>
              </w:rPr>
            </w:pPr>
            <w:r>
              <w:rPr>
                <w:bCs/>
                <w:color w:val="auto"/>
                <w:sz w:val="24"/>
                <w:highlight w:val="none"/>
              </w:rPr>
              <w:t>证书有效期</w:t>
            </w:r>
          </w:p>
        </w:tc>
      </w:tr>
      <w:tr w14:paraId="6952D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top w:val="single" w:color="auto" w:sz="4" w:space="0"/>
              <w:left w:val="single" w:color="auto" w:sz="4" w:space="0"/>
            </w:tcBorders>
            <w:noWrap w:val="0"/>
            <w:vAlign w:val="top"/>
          </w:tcPr>
          <w:p w14:paraId="00368E1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top w:val="single" w:color="auto" w:sz="4" w:space="0"/>
            </w:tcBorders>
            <w:noWrap w:val="0"/>
            <w:vAlign w:val="top"/>
          </w:tcPr>
          <w:p w14:paraId="34C9DA35">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top w:val="single" w:color="auto" w:sz="4" w:space="0"/>
            </w:tcBorders>
            <w:noWrap w:val="0"/>
            <w:vAlign w:val="top"/>
          </w:tcPr>
          <w:p w14:paraId="04C01E6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top w:val="single" w:color="auto" w:sz="4" w:space="0"/>
              <w:right w:val="single" w:color="auto" w:sz="4" w:space="0"/>
            </w:tcBorders>
            <w:noWrap w:val="0"/>
            <w:vAlign w:val="top"/>
          </w:tcPr>
          <w:p w14:paraId="37B3522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3445D4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563B527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0E899452">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79D14D9F">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14EB627E">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740DAD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2C9F701F">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79E3CA6F">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286D889D">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7E2E3DD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02C1C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612143A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068DBBA5">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212676F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3388B2D2">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06A90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755D6B88">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3D7BD56A">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635186B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36A1C300">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46B7F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tcBorders>
            <w:noWrap w:val="0"/>
            <w:vAlign w:val="top"/>
          </w:tcPr>
          <w:p w14:paraId="0B4B8CD1">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noWrap w:val="0"/>
            <w:vAlign w:val="top"/>
          </w:tcPr>
          <w:p w14:paraId="4327C1E0">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noWrap w:val="0"/>
            <w:vAlign w:val="top"/>
          </w:tcPr>
          <w:p w14:paraId="2D529ACA">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right w:val="single" w:color="auto" w:sz="4" w:space="0"/>
            </w:tcBorders>
            <w:noWrap w:val="0"/>
            <w:vAlign w:val="top"/>
          </w:tcPr>
          <w:p w14:paraId="3994CD81">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r w14:paraId="448CD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66" w:type="dxa"/>
            <w:tcBorders>
              <w:left w:val="single" w:color="auto" w:sz="4" w:space="0"/>
              <w:bottom w:val="single" w:color="auto" w:sz="4" w:space="0"/>
            </w:tcBorders>
            <w:noWrap w:val="0"/>
            <w:vAlign w:val="top"/>
          </w:tcPr>
          <w:p w14:paraId="6D7D3C25">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7" w:type="dxa"/>
            <w:tcBorders>
              <w:bottom w:val="single" w:color="auto" w:sz="4" w:space="0"/>
            </w:tcBorders>
            <w:noWrap w:val="0"/>
            <w:vAlign w:val="top"/>
          </w:tcPr>
          <w:p w14:paraId="16A73317">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258" w:type="dxa"/>
            <w:tcBorders>
              <w:bottom w:val="single" w:color="auto" w:sz="4" w:space="0"/>
            </w:tcBorders>
            <w:noWrap w:val="0"/>
            <w:vAlign w:val="top"/>
          </w:tcPr>
          <w:p w14:paraId="3BB652DC">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c>
          <w:tcPr>
            <w:tcW w:w="2046" w:type="dxa"/>
            <w:tcBorders>
              <w:bottom w:val="single" w:color="auto" w:sz="4" w:space="0"/>
              <w:right w:val="single" w:color="auto" w:sz="4" w:space="0"/>
            </w:tcBorders>
            <w:noWrap w:val="0"/>
            <w:vAlign w:val="top"/>
          </w:tcPr>
          <w:p w14:paraId="0DFF33E8">
            <w:pPr>
              <w:pStyle w:val="98"/>
              <w:keepNext w:val="0"/>
              <w:keepLines w:val="0"/>
              <w:suppressLineNumbers w:val="0"/>
              <w:spacing w:before="0" w:beforeAutospacing="0" w:after="0" w:afterAutospacing="0" w:line="360" w:lineRule="auto"/>
              <w:ind w:left="0" w:right="0"/>
              <w:jc w:val="center"/>
              <w:outlineLvl w:val="9"/>
              <w:rPr>
                <w:color w:val="auto"/>
                <w:sz w:val="24"/>
                <w:highlight w:val="none"/>
              </w:rPr>
            </w:pPr>
          </w:p>
        </w:tc>
      </w:tr>
    </w:tbl>
    <w:p w14:paraId="769C0D98">
      <w:pPr>
        <w:pStyle w:val="98"/>
        <w:tabs>
          <w:tab w:val="left" w:pos="1050"/>
        </w:tabs>
        <w:spacing w:line="360" w:lineRule="auto"/>
        <w:outlineLvl w:val="9"/>
        <w:rPr>
          <w:color w:val="auto"/>
          <w:sz w:val="24"/>
          <w:highlight w:val="none"/>
        </w:rPr>
      </w:pPr>
      <w:r>
        <w:rPr>
          <w:color w:val="auto"/>
          <w:sz w:val="24"/>
          <w:highlight w:val="none"/>
        </w:rPr>
        <w:t>填报要求：</w:t>
      </w:r>
    </w:p>
    <w:p w14:paraId="2D19534B">
      <w:pPr>
        <w:pStyle w:val="99"/>
        <w:numPr>
          <w:ilvl w:val="0"/>
          <w:numId w:val="13"/>
        </w:numPr>
        <w:tabs>
          <w:tab w:val="left" w:pos="0"/>
        </w:tabs>
        <w:spacing w:line="360" w:lineRule="auto"/>
        <w:ind w:left="0" w:firstLine="0" w:firstLineChars="0"/>
        <w:jc w:val="both"/>
        <w:outlineLvl w:val="9"/>
        <w:rPr>
          <w:rFonts w:ascii="Times New Roman" w:hAnsi="Times New Roman"/>
          <w:color w:val="auto"/>
          <w:sz w:val="24"/>
          <w:szCs w:val="24"/>
          <w:highlight w:val="none"/>
        </w:rPr>
      </w:pPr>
      <w:r>
        <w:rPr>
          <w:rFonts w:ascii="Times New Roman" w:hAnsi="Times New Roman"/>
          <w:color w:val="auto"/>
          <w:sz w:val="24"/>
          <w:highlight w:val="none"/>
        </w:rPr>
        <w:t>填写</w:t>
      </w:r>
      <w:r>
        <w:rPr>
          <w:rFonts w:hint="eastAsia" w:ascii="Times New Roman" w:hAnsi="Times New Roman"/>
          <w:color w:val="auto"/>
          <w:sz w:val="24"/>
          <w:highlight w:val="none"/>
          <w:lang w:eastAsia="zh-CN"/>
        </w:rPr>
        <w:t>投标人</w:t>
      </w:r>
      <w:r>
        <w:rPr>
          <w:rFonts w:ascii="Times New Roman" w:hAnsi="Times New Roman"/>
          <w:color w:val="auto"/>
          <w:sz w:val="24"/>
          <w:highlight w:val="none"/>
        </w:rPr>
        <w:t>获得资质、认证或企业信誉证书等（如有）。</w:t>
      </w:r>
      <w:r>
        <w:rPr>
          <w:rFonts w:ascii="Times New Roman" w:hAnsi="Times New Roman"/>
          <w:color w:val="auto"/>
          <w:sz w:val="24"/>
          <w:szCs w:val="24"/>
          <w:highlight w:val="none"/>
        </w:rPr>
        <w:t>（或根据评分项对应内容的要求填写）</w:t>
      </w:r>
    </w:p>
    <w:p w14:paraId="206B4CF7">
      <w:pPr>
        <w:pStyle w:val="99"/>
        <w:numPr>
          <w:ilvl w:val="0"/>
          <w:numId w:val="13"/>
        </w:numPr>
        <w:tabs>
          <w:tab w:val="left" w:pos="0"/>
        </w:tabs>
        <w:spacing w:line="360" w:lineRule="auto"/>
        <w:ind w:left="0" w:firstLine="0" w:firstLineChars="0"/>
        <w:jc w:val="both"/>
        <w:outlineLvl w:val="9"/>
        <w:rPr>
          <w:rFonts w:ascii="Times New Roman" w:hAnsi="Times New Roman"/>
          <w:color w:val="auto"/>
          <w:sz w:val="24"/>
          <w:highlight w:val="none"/>
        </w:rPr>
      </w:pPr>
      <w:r>
        <w:rPr>
          <w:rFonts w:ascii="Times New Roman" w:hAnsi="Times New Roman"/>
          <w:color w:val="auto"/>
          <w:sz w:val="24"/>
          <w:highlight w:val="none"/>
        </w:rPr>
        <w:t>请提供本表所列的证书资料。</w:t>
      </w:r>
    </w:p>
    <w:p w14:paraId="176C0645">
      <w:pPr>
        <w:widowControl/>
        <w:adjustRightInd w:val="0"/>
        <w:snapToGrid w:val="0"/>
        <w:spacing w:before="36" w:beforeLines="15" w:line="360" w:lineRule="auto"/>
        <w:jc w:val="left"/>
        <w:outlineLvl w:val="1"/>
        <w:rPr>
          <w:rFonts w:hint="eastAsia"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1736CA19">
      <w:pPr>
        <w:rPr>
          <w:rFonts w:ascii="宋体" w:hAnsi="宋体" w:cs="宋体"/>
          <w:color w:val="auto"/>
          <w:sz w:val="28"/>
          <w:szCs w:val="28"/>
        </w:rPr>
      </w:pPr>
      <w:r>
        <w:rPr>
          <w:rFonts w:hint="eastAsia" w:hAnsi="宋体" w:cs="宋体"/>
          <w:b/>
          <w:color w:val="auto"/>
          <w:sz w:val="24"/>
          <w:lang w:val="zh-CN"/>
        </w:rPr>
        <w:t>格式</w:t>
      </w:r>
      <w:r>
        <w:rPr>
          <w:rFonts w:hint="eastAsia" w:hAnsi="宋体" w:cs="宋体"/>
          <w:b/>
          <w:color w:val="auto"/>
          <w:sz w:val="24"/>
          <w:lang w:val="en-US" w:eastAsia="zh-CN"/>
        </w:rPr>
        <w:t>十二</w:t>
      </w:r>
      <w:r>
        <w:rPr>
          <w:rFonts w:hint="eastAsia" w:hAnsi="宋体" w:cs="宋体"/>
          <w:b/>
          <w:color w:val="auto"/>
          <w:sz w:val="24"/>
        </w:rPr>
        <w:t xml:space="preserve"> </w:t>
      </w:r>
      <w:r>
        <w:rPr>
          <w:rFonts w:hint="eastAsia" w:hAnsi="宋体" w:cs="宋体"/>
          <w:b/>
          <w:color w:val="auto"/>
          <w:sz w:val="24"/>
          <w:szCs w:val="24"/>
        </w:rPr>
        <w:t xml:space="preserve"> </w:t>
      </w:r>
      <w:r>
        <w:rPr>
          <w:rFonts w:hint="eastAsia" w:hAnsi="宋体" w:cs="宋体"/>
          <w:b/>
          <w:color w:val="auto"/>
          <w:sz w:val="24"/>
          <w:szCs w:val="22"/>
          <w:lang w:val="zh-CN"/>
        </w:rPr>
        <w:t>承诺书</w:t>
      </w:r>
      <w:bookmarkEnd w:id="137"/>
      <w:bookmarkEnd w:id="138"/>
    </w:p>
    <w:p w14:paraId="65853FAD">
      <w:pPr>
        <w:widowControl/>
        <w:adjustRightInd w:val="0"/>
        <w:snapToGrid w:val="0"/>
        <w:spacing w:before="36" w:beforeLines="15" w:line="360" w:lineRule="auto"/>
        <w:jc w:val="center"/>
        <w:outlineLvl w:val="9"/>
        <w:rPr>
          <w:rFonts w:hint="eastAsia" w:ascii="宋体" w:hAnsi="宋体" w:cs="宋体"/>
          <w:color w:val="auto"/>
          <w:sz w:val="28"/>
          <w:szCs w:val="28"/>
        </w:rPr>
      </w:pPr>
      <w:r>
        <w:rPr>
          <w:rFonts w:hint="eastAsia" w:ascii="宋体" w:hAnsi="宋体" w:cs="宋体"/>
          <w:color w:val="auto"/>
          <w:sz w:val="28"/>
          <w:szCs w:val="28"/>
          <w:lang w:val="zh-CN"/>
        </w:rPr>
        <w:t>承诺书1</w:t>
      </w:r>
    </w:p>
    <w:p w14:paraId="15F84A49">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14:paraId="0F154EA6">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14:paraId="50783F0E">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被政府列入取消投标资格期限内的企业或个人参加本项目的情况；参加政府采购活动前3年内在经营活动中没有重大违法记录。不存在被列入失信被执行人、重大税收违法案件当事人名单、政府采购严重违法失信行为记录名单的情况。</w:t>
      </w:r>
    </w:p>
    <w:p w14:paraId="5FB43327">
      <w:pPr>
        <w:widowControl/>
        <w:adjustRightInd w:val="0"/>
        <w:snapToGrid w:val="0"/>
        <w:spacing w:before="36" w:beforeLines="15" w:line="360" w:lineRule="auto"/>
        <w:outlineLvl w:val="9"/>
        <w:rPr>
          <w:rFonts w:ascii="宋体" w:hAnsi="宋体" w:cs="宋体"/>
          <w:color w:val="auto"/>
          <w:sz w:val="24"/>
        </w:rPr>
      </w:pPr>
    </w:p>
    <w:p w14:paraId="14FDB901">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14:paraId="1B4AA878">
      <w:pPr>
        <w:adjustRightInd w:val="0"/>
        <w:snapToGrid w:val="0"/>
        <w:spacing w:before="36" w:beforeLines="15" w:line="360" w:lineRule="auto"/>
        <w:outlineLvl w:val="9"/>
        <w:rPr>
          <w:rFonts w:ascii="宋体" w:hAnsi="宋体" w:cs="宋体"/>
          <w:color w:val="auto"/>
          <w:sz w:val="24"/>
        </w:rPr>
      </w:pPr>
    </w:p>
    <w:p w14:paraId="02ACCC96">
      <w:pPr>
        <w:adjustRightInd w:val="0"/>
        <w:snapToGrid w:val="0"/>
        <w:spacing w:before="36" w:beforeLines="15" w:line="360" w:lineRule="auto"/>
        <w:outlineLvl w:val="9"/>
        <w:rPr>
          <w:rFonts w:ascii="宋体" w:hAnsi="宋体" w:cs="宋体"/>
          <w:color w:val="auto"/>
          <w:sz w:val="24"/>
        </w:rPr>
      </w:pPr>
    </w:p>
    <w:p w14:paraId="62FFCFF8">
      <w:pPr>
        <w:adjustRightInd w:val="0"/>
        <w:snapToGrid w:val="0"/>
        <w:spacing w:before="36" w:beforeLines="15" w:line="360" w:lineRule="auto"/>
        <w:outlineLvl w:val="9"/>
        <w:rPr>
          <w:rFonts w:ascii="宋体" w:hAnsi="宋体" w:cs="宋体"/>
          <w:color w:val="auto"/>
          <w:sz w:val="24"/>
        </w:rPr>
      </w:pPr>
    </w:p>
    <w:p w14:paraId="1B1DC31B">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14:paraId="36830E8F">
      <w:pPr>
        <w:adjustRightInd w:val="0"/>
        <w:snapToGrid w:val="0"/>
        <w:spacing w:before="36" w:beforeLines="15" w:line="360" w:lineRule="auto"/>
        <w:ind w:left="3578" w:leftChars="1704"/>
        <w:outlineLvl w:val="9"/>
        <w:rPr>
          <w:rFonts w:ascii="宋体" w:hAnsi="宋体" w:cs="宋体"/>
          <w:color w:val="auto"/>
          <w:sz w:val="24"/>
        </w:rPr>
      </w:pPr>
    </w:p>
    <w:p w14:paraId="372A1D1A">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14:paraId="79148DC6">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14:paraId="2127C10C">
      <w:pPr>
        <w:rPr>
          <w:rFonts w:hint="eastAsia" w:ascii="宋体" w:hAnsi="宋体" w:cs="宋体"/>
          <w:color w:val="auto"/>
          <w:sz w:val="28"/>
          <w:szCs w:val="28"/>
        </w:rPr>
      </w:pPr>
      <w:r>
        <w:rPr>
          <w:rFonts w:hint="eastAsia" w:ascii="宋体" w:hAnsi="宋体" w:cs="宋体"/>
          <w:color w:val="auto"/>
          <w:sz w:val="28"/>
          <w:szCs w:val="28"/>
        </w:rPr>
        <w:br w:type="page"/>
      </w:r>
    </w:p>
    <w:p w14:paraId="2FF70F73">
      <w:pPr>
        <w:widowControl/>
        <w:adjustRightInd w:val="0"/>
        <w:snapToGrid w:val="0"/>
        <w:spacing w:before="36" w:beforeLines="15" w:line="360" w:lineRule="auto"/>
        <w:jc w:val="center"/>
        <w:outlineLvl w:val="9"/>
        <w:rPr>
          <w:rFonts w:ascii="宋体" w:hAnsi="宋体" w:cs="宋体"/>
          <w:color w:val="auto"/>
          <w:w w:val="99"/>
          <w:sz w:val="24"/>
        </w:rPr>
      </w:pPr>
      <w:r>
        <w:rPr>
          <w:rFonts w:hint="eastAsia" w:ascii="宋体" w:hAnsi="宋体" w:cs="宋体"/>
          <w:color w:val="auto"/>
          <w:sz w:val="28"/>
          <w:szCs w:val="28"/>
        </w:rPr>
        <w:t>承诺书2</w:t>
      </w:r>
    </w:p>
    <w:p w14:paraId="71B85172">
      <w:pPr>
        <w:adjustRightInd w:val="0"/>
        <w:snapToGrid w:val="0"/>
        <w:spacing w:line="360" w:lineRule="auto"/>
        <w:outlineLvl w:val="9"/>
        <w:rPr>
          <w:rFonts w:ascii="宋体" w:hAnsi="宋体" w:cs="宋体"/>
          <w:color w:val="auto"/>
          <w:w w:val="99"/>
          <w:sz w:val="24"/>
        </w:rPr>
      </w:pPr>
    </w:p>
    <w:p w14:paraId="2E858F0B">
      <w:pPr>
        <w:adjustRightInd w:val="0"/>
        <w:snapToGrid w:val="0"/>
        <w:spacing w:line="360" w:lineRule="auto"/>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14:paraId="5D47454B">
      <w:pPr>
        <w:adjustRightInd w:val="0"/>
        <w:snapToGrid w:val="0"/>
        <w:spacing w:before="36" w:beforeLines="15" w:line="360" w:lineRule="auto"/>
        <w:jc w:val="left"/>
        <w:outlineLvl w:val="9"/>
        <w:rPr>
          <w:rFonts w:ascii="宋体" w:hAnsi="宋体" w:cs="宋体"/>
          <w:color w:val="auto"/>
          <w:sz w:val="24"/>
        </w:rPr>
      </w:pPr>
      <w:r>
        <w:rPr>
          <w:rFonts w:hint="eastAsia" w:ascii="宋体" w:hAnsi="宋体" w:cs="宋体"/>
          <w:color w:val="auto"/>
          <w:sz w:val="24"/>
        </w:rPr>
        <w:t>我方郑重承诺：</w:t>
      </w:r>
    </w:p>
    <w:p w14:paraId="50141D4E">
      <w:pPr>
        <w:widowControl/>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 xml:space="preserve">    不存在与采购人存在利害关系可能影响采购公正性的法人、其它组织或者个人，参加本项目的情况；不存在单位负责人为同一人或者存在直接控股、管理关系的不同投标人，参加同一合同项下的政府采购活动的情况。</w:t>
      </w:r>
    </w:p>
    <w:p w14:paraId="5150EA6C">
      <w:pPr>
        <w:adjustRightInd w:val="0"/>
        <w:snapToGrid w:val="0"/>
        <w:spacing w:before="36" w:beforeLines="15" w:line="360" w:lineRule="auto"/>
        <w:outlineLvl w:val="9"/>
        <w:rPr>
          <w:rFonts w:ascii="宋体" w:hAnsi="宋体" w:cs="宋体"/>
          <w:color w:val="auto"/>
          <w:sz w:val="24"/>
        </w:rPr>
      </w:pPr>
    </w:p>
    <w:p w14:paraId="7A0D86A7">
      <w:pPr>
        <w:adjustRightInd w:val="0"/>
        <w:snapToGrid w:val="0"/>
        <w:spacing w:before="36" w:beforeLines="15" w:line="360" w:lineRule="auto"/>
        <w:outlineLvl w:val="9"/>
        <w:rPr>
          <w:rFonts w:ascii="宋体" w:hAnsi="宋体" w:cs="宋体"/>
          <w:color w:val="auto"/>
          <w:sz w:val="24"/>
        </w:rPr>
      </w:pPr>
      <w:r>
        <w:rPr>
          <w:rFonts w:hint="eastAsia" w:ascii="宋体" w:hAnsi="宋体" w:cs="宋体"/>
          <w:color w:val="auto"/>
          <w:sz w:val="24"/>
        </w:rPr>
        <w:t>特此承诺！</w:t>
      </w:r>
    </w:p>
    <w:p w14:paraId="6DB1642D">
      <w:pPr>
        <w:adjustRightInd w:val="0"/>
        <w:snapToGrid w:val="0"/>
        <w:spacing w:before="36" w:beforeLines="15" w:line="360" w:lineRule="auto"/>
        <w:outlineLvl w:val="9"/>
        <w:rPr>
          <w:rFonts w:ascii="宋体" w:hAnsi="宋体" w:cs="宋体"/>
          <w:color w:val="auto"/>
          <w:sz w:val="24"/>
        </w:rPr>
      </w:pPr>
    </w:p>
    <w:p w14:paraId="5F577FEE">
      <w:pPr>
        <w:adjustRightInd w:val="0"/>
        <w:snapToGrid w:val="0"/>
        <w:spacing w:before="36" w:beforeLines="15" w:line="360" w:lineRule="auto"/>
        <w:outlineLvl w:val="9"/>
        <w:rPr>
          <w:rFonts w:ascii="宋体" w:hAnsi="宋体" w:cs="宋体"/>
          <w:color w:val="auto"/>
          <w:sz w:val="24"/>
        </w:rPr>
      </w:pPr>
    </w:p>
    <w:p w14:paraId="71A46A8B">
      <w:pPr>
        <w:adjustRightInd w:val="0"/>
        <w:snapToGrid w:val="0"/>
        <w:spacing w:before="36" w:beforeLines="15" w:line="360" w:lineRule="auto"/>
        <w:outlineLvl w:val="9"/>
        <w:rPr>
          <w:rFonts w:ascii="宋体" w:hAnsi="宋体" w:cs="宋体"/>
          <w:color w:val="auto"/>
          <w:sz w:val="24"/>
        </w:rPr>
      </w:pPr>
    </w:p>
    <w:p w14:paraId="70228099">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14:paraId="59BF9AC6">
      <w:pPr>
        <w:adjustRightInd w:val="0"/>
        <w:snapToGrid w:val="0"/>
        <w:spacing w:before="36" w:beforeLines="15" w:line="360" w:lineRule="auto"/>
        <w:ind w:left="3578" w:leftChars="1704"/>
        <w:outlineLvl w:val="9"/>
        <w:rPr>
          <w:rFonts w:ascii="宋体" w:hAnsi="宋体" w:cs="宋体"/>
          <w:color w:val="auto"/>
          <w:sz w:val="24"/>
        </w:rPr>
      </w:pPr>
    </w:p>
    <w:p w14:paraId="08B86545">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14:paraId="7A79681B">
      <w:pPr>
        <w:spacing w:before="120" w:beforeLines="50" w:after="120" w:afterLines="50" w:line="288" w:lineRule="auto"/>
        <w:jc w:val="center"/>
        <w:outlineLvl w:val="9"/>
        <w:rPr>
          <w:rFonts w:ascii="宋体" w:hAnsi="宋体" w:cs="宋体"/>
          <w:color w:val="auto"/>
          <w:sz w:val="24"/>
        </w:rPr>
      </w:pPr>
      <w:r>
        <w:rPr>
          <w:rFonts w:hint="eastAsia" w:ascii="宋体" w:hAnsi="宋体" w:cs="宋体"/>
          <w:color w:val="auto"/>
          <w:sz w:val="24"/>
        </w:rPr>
        <w:t xml:space="preserve">                年   月   日</w:t>
      </w:r>
    </w:p>
    <w:p w14:paraId="305B15AE">
      <w:pPr>
        <w:widowControl/>
        <w:adjustRightInd w:val="0"/>
        <w:snapToGrid w:val="0"/>
        <w:spacing w:before="36" w:beforeLines="15" w:line="360" w:lineRule="auto"/>
        <w:jc w:val="center"/>
        <w:outlineLvl w:val="9"/>
        <w:rPr>
          <w:rFonts w:ascii="宋体" w:hAnsi="宋体" w:cs="宋体"/>
          <w:color w:val="auto"/>
          <w:sz w:val="24"/>
        </w:rPr>
      </w:pPr>
    </w:p>
    <w:p w14:paraId="128535F8">
      <w:pPr>
        <w:widowControl/>
        <w:adjustRightInd w:val="0"/>
        <w:snapToGrid w:val="0"/>
        <w:spacing w:before="36" w:beforeLines="15" w:line="360" w:lineRule="auto"/>
        <w:jc w:val="center"/>
        <w:outlineLvl w:val="9"/>
        <w:rPr>
          <w:rFonts w:ascii="宋体" w:hAnsi="宋体" w:cs="宋体"/>
          <w:color w:val="auto"/>
          <w:sz w:val="24"/>
        </w:rPr>
      </w:pPr>
    </w:p>
    <w:p w14:paraId="58E9F3B9">
      <w:pPr>
        <w:widowControl/>
        <w:adjustRightInd w:val="0"/>
        <w:snapToGrid w:val="0"/>
        <w:spacing w:before="36" w:beforeLines="15" w:line="360" w:lineRule="auto"/>
        <w:jc w:val="center"/>
        <w:outlineLvl w:val="9"/>
        <w:rPr>
          <w:rFonts w:ascii="宋体" w:hAnsi="宋体" w:cs="宋体"/>
          <w:color w:val="auto"/>
          <w:sz w:val="24"/>
        </w:rPr>
      </w:pPr>
    </w:p>
    <w:p w14:paraId="17F43C60">
      <w:pPr>
        <w:widowControl/>
        <w:adjustRightInd w:val="0"/>
        <w:snapToGrid w:val="0"/>
        <w:spacing w:before="36" w:beforeLines="15" w:line="360" w:lineRule="auto"/>
        <w:jc w:val="center"/>
        <w:outlineLvl w:val="9"/>
        <w:rPr>
          <w:rFonts w:ascii="宋体" w:hAnsi="宋体" w:cs="宋体"/>
          <w:color w:val="auto"/>
          <w:sz w:val="24"/>
        </w:rPr>
      </w:pPr>
    </w:p>
    <w:p w14:paraId="52CC18ED">
      <w:pPr>
        <w:widowControl/>
        <w:adjustRightInd w:val="0"/>
        <w:snapToGrid w:val="0"/>
        <w:spacing w:before="36" w:beforeLines="15" w:line="360" w:lineRule="auto"/>
        <w:jc w:val="center"/>
        <w:outlineLvl w:val="9"/>
        <w:rPr>
          <w:rFonts w:ascii="宋体" w:hAnsi="宋体" w:cs="宋体"/>
          <w:color w:val="auto"/>
          <w:sz w:val="24"/>
        </w:rPr>
      </w:pPr>
    </w:p>
    <w:p w14:paraId="55FDE3A7">
      <w:pPr>
        <w:widowControl/>
        <w:adjustRightInd w:val="0"/>
        <w:snapToGrid w:val="0"/>
        <w:spacing w:before="36" w:beforeLines="15" w:line="360" w:lineRule="auto"/>
        <w:jc w:val="center"/>
        <w:outlineLvl w:val="9"/>
        <w:rPr>
          <w:rFonts w:ascii="宋体" w:hAnsi="宋体" w:cs="宋体"/>
          <w:color w:val="auto"/>
          <w:sz w:val="24"/>
        </w:rPr>
      </w:pPr>
    </w:p>
    <w:p w14:paraId="065B5A48">
      <w:pPr>
        <w:widowControl/>
        <w:adjustRightInd w:val="0"/>
        <w:snapToGrid w:val="0"/>
        <w:spacing w:before="36" w:beforeLines="15" w:line="360" w:lineRule="auto"/>
        <w:jc w:val="center"/>
        <w:outlineLvl w:val="9"/>
        <w:rPr>
          <w:rFonts w:ascii="宋体" w:hAnsi="宋体" w:cs="宋体"/>
          <w:color w:val="auto"/>
          <w:sz w:val="24"/>
        </w:rPr>
      </w:pPr>
    </w:p>
    <w:p w14:paraId="37C3A5E3">
      <w:pPr>
        <w:widowControl/>
        <w:adjustRightInd w:val="0"/>
        <w:snapToGrid w:val="0"/>
        <w:spacing w:before="36" w:beforeLines="15" w:line="360" w:lineRule="auto"/>
        <w:jc w:val="center"/>
        <w:outlineLvl w:val="9"/>
        <w:rPr>
          <w:rFonts w:ascii="宋体" w:hAnsi="宋体" w:cs="宋体"/>
          <w:color w:val="auto"/>
          <w:sz w:val="24"/>
        </w:rPr>
      </w:pPr>
    </w:p>
    <w:p w14:paraId="37064BA4">
      <w:pPr>
        <w:widowControl/>
        <w:adjustRightInd w:val="0"/>
        <w:snapToGrid w:val="0"/>
        <w:spacing w:before="36" w:beforeLines="15" w:line="360" w:lineRule="auto"/>
        <w:jc w:val="center"/>
        <w:outlineLvl w:val="9"/>
        <w:rPr>
          <w:rFonts w:ascii="宋体" w:hAnsi="宋体" w:cs="宋体"/>
          <w:color w:val="auto"/>
          <w:sz w:val="24"/>
        </w:rPr>
      </w:pPr>
    </w:p>
    <w:p w14:paraId="29CF0220">
      <w:pPr>
        <w:widowControl/>
        <w:adjustRightInd w:val="0"/>
        <w:snapToGrid w:val="0"/>
        <w:spacing w:before="36" w:beforeLines="15" w:line="360" w:lineRule="auto"/>
        <w:jc w:val="center"/>
        <w:outlineLvl w:val="9"/>
        <w:rPr>
          <w:rFonts w:ascii="宋体" w:hAnsi="宋体" w:cs="宋体"/>
          <w:color w:val="auto"/>
          <w:sz w:val="24"/>
        </w:rPr>
      </w:pPr>
    </w:p>
    <w:p w14:paraId="58E786AC">
      <w:pPr>
        <w:widowControl/>
        <w:adjustRightInd w:val="0"/>
        <w:snapToGrid w:val="0"/>
        <w:spacing w:before="36" w:beforeLines="15" w:line="360" w:lineRule="auto"/>
        <w:jc w:val="center"/>
        <w:outlineLvl w:val="9"/>
        <w:rPr>
          <w:rFonts w:ascii="宋体" w:hAnsi="宋体" w:cs="宋体"/>
          <w:color w:val="auto"/>
          <w:sz w:val="24"/>
        </w:rPr>
      </w:pPr>
    </w:p>
    <w:p w14:paraId="2A84FA29">
      <w:pPr>
        <w:widowControl/>
        <w:adjustRightInd w:val="0"/>
        <w:snapToGrid w:val="0"/>
        <w:spacing w:before="36" w:beforeLines="15" w:line="360" w:lineRule="auto"/>
        <w:jc w:val="center"/>
        <w:outlineLvl w:val="9"/>
        <w:rPr>
          <w:rFonts w:ascii="宋体" w:hAnsi="宋体" w:cs="宋体"/>
          <w:color w:val="auto"/>
          <w:sz w:val="24"/>
        </w:rPr>
      </w:pPr>
    </w:p>
    <w:p w14:paraId="0646B830">
      <w:pPr>
        <w:widowControl/>
        <w:adjustRightInd w:val="0"/>
        <w:snapToGrid w:val="0"/>
        <w:spacing w:before="36" w:beforeLines="15" w:line="360" w:lineRule="auto"/>
        <w:jc w:val="center"/>
        <w:outlineLvl w:val="9"/>
        <w:rPr>
          <w:rFonts w:ascii="宋体" w:hAnsi="宋体" w:cs="宋体"/>
          <w:color w:val="auto"/>
          <w:sz w:val="28"/>
          <w:szCs w:val="28"/>
        </w:rPr>
      </w:pPr>
      <w:r>
        <w:rPr>
          <w:rFonts w:hint="eastAsia" w:ascii="宋体" w:hAnsi="宋体" w:cs="宋体"/>
          <w:color w:val="auto"/>
          <w:sz w:val="28"/>
          <w:szCs w:val="28"/>
        </w:rPr>
        <w:t>承诺书3</w:t>
      </w:r>
    </w:p>
    <w:p w14:paraId="50009539">
      <w:pPr>
        <w:adjustRightInd w:val="0"/>
        <w:snapToGrid w:val="0"/>
        <w:spacing w:line="360" w:lineRule="auto"/>
        <w:outlineLvl w:val="9"/>
        <w:rPr>
          <w:rFonts w:ascii="宋体" w:hAnsi="宋体" w:cs="宋体"/>
          <w:color w:val="auto"/>
          <w:w w:val="99"/>
          <w:sz w:val="24"/>
        </w:rPr>
      </w:pPr>
    </w:p>
    <w:p w14:paraId="7F20CA41">
      <w:pPr>
        <w:adjustRightInd w:val="0"/>
        <w:snapToGrid w:val="0"/>
        <w:spacing w:line="360" w:lineRule="auto"/>
        <w:ind w:left="0" w:leftChars="0" w:firstLine="419" w:firstLineChars="177"/>
        <w:outlineLvl w:val="9"/>
        <w:rPr>
          <w:rFonts w:ascii="宋体" w:hAnsi="宋体" w:cs="宋体"/>
          <w:color w:val="auto"/>
          <w:w w:val="99"/>
          <w:sz w:val="24"/>
        </w:rPr>
      </w:pPr>
      <w:r>
        <w:rPr>
          <w:rFonts w:hint="eastAsia" w:ascii="宋体" w:hAnsi="宋体" w:cs="宋体"/>
          <w:color w:val="auto"/>
          <w:w w:val="99"/>
          <w:sz w:val="24"/>
        </w:rPr>
        <w:t>（</w:t>
      </w:r>
      <w:r>
        <w:rPr>
          <w:rFonts w:hint="eastAsia" w:ascii="宋体" w:hAnsi="宋体" w:cs="宋体"/>
          <w:color w:val="auto"/>
          <w:sz w:val="24"/>
        </w:rPr>
        <w:t>采购人</w:t>
      </w:r>
      <w:r>
        <w:rPr>
          <w:rFonts w:hint="eastAsia" w:ascii="宋体" w:hAnsi="宋体" w:cs="宋体"/>
          <w:color w:val="auto"/>
          <w:w w:val="99"/>
          <w:sz w:val="24"/>
        </w:rPr>
        <w:t>）：</w:t>
      </w:r>
    </w:p>
    <w:p w14:paraId="4B54E8CA">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我方郑重承诺：</w:t>
      </w:r>
    </w:p>
    <w:p w14:paraId="549B0C9B">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(一)具有独立承担民事责任的能力;</w:t>
      </w:r>
    </w:p>
    <w:p w14:paraId="31D7356F">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(二)具有良好的商业信誉和健全的财务会计制度;</w:t>
      </w:r>
    </w:p>
    <w:p w14:paraId="402082EA">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(三)具有履行合同所必需的设备和专业技术能力;</w:t>
      </w:r>
    </w:p>
    <w:p w14:paraId="31B1314B">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(四)有依法缴纳税收和社会保障资金的良好记录;</w:t>
      </w:r>
    </w:p>
    <w:p w14:paraId="06559BA1">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(五)参加政府采购活动前三年内，在经营活动中没有重大违法记录;</w:t>
      </w:r>
    </w:p>
    <w:p w14:paraId="79CE847F">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(六)未被列入政府取消投标资格记录期间的企业或个人投标</w:t>
      </w:r>
    </w:p>
    <w:p w14:paraId="4D8C58D6">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(七)法律、行政法规规定的其他条件。</w:t>
      </w:r>
    </w:p>
    <w:p w14:paraId="509EFACC">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p>
    <w:p w14:paraId="15325BCC">
      <w:pPr>
        <w:widowControl/>
        <w:adjustRightInd w:val="0"/>
        <w:snapToGrid w:val="0"/>
        <w:spacing w:before="36" w:beforeLines="15" w:line="360" w:lineRule="auto"/>
        <w:ind w:left="0" w:leftChars="0" w:firstLine="424" w:firstLineChars="177"/>
        <w:outlineLvl w:val="9"/>
        <w:rPr>
          <w:rFonts w:hint="eastAsia" w:ascii="宋体" w:hAnsi="宋体" w:cs="宋体"/>
          <w:color w:val="auto"/>
          <w:sz w:val="24"/>
          <w:szCs w:val="22"/>
        </w:rPr>
      </w:pPr>
      <w:r>
        <w:rPr>
          <w:rFonts w:hint="eastAsia" w:ascii="宋体" w:hAnsi="宋体" w:cs="宋体"/>
          <w:color w:val="auto"/>
          <w:sz w:val="24"/>
          <w:szCs w:val="22"/>
        </w:rPr>
        <w:t>特此承诺！</w:t>
      </w:r>
    </w:p>
    <w:p w14:paraId="0D0492E3">
      <w:pPr>
        <w:adjustRightInd w:val="0"/>
        <w:snapToGrid w:val="0"/>
        <w:spacing w:before="36" w:beforeLines="15" w:line="360" w:lineRule="auto"/>
        <w:ind w:left="3578" w:leftChars="1704"/>
        <w:outlineLvl w:val="9"/>
        <w:rPr>
          <w:rFonts w:ascii="宋体" w:hAnsi="宋体" w:cs="宋体"/>
          <w:color w:val="auto"/>
          <w:sz w:val="24"/>
        </w:rPr>
      </w:pPr>
    </w:p>
    <w:p w14:paraId="1537C262">
      <w:pPr>
        <w:adjustRightInd w:val="0"/>
        <w:snapToGrid w:val="0"/>
        <w:spacing w:before="36" w:beforeLines="15" w:line="360" w:lineRule="auto"/>
        <w:ind w:left="3578" w:leftChars="1704"/>
        <w:outlineLvl w:val="9"/>
        <w:rPr>
          <w:rFonts w:ascii="宋体" w:hAnsi="宋体" w:cs="宋体"/>
          <w:color w:val="auto"/>
          <w:sz w:val="24"/>
        </w:rPr>
      </w:pPr>
    </w:p>
    <w:p w14:paraId="4D5FCECA">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color w:val="auto"/>
          <w:sz w:val="24"/>
        </w:rPr>
        <w:t>投标人名称（盖章）：</w:t>
      </w:r>
    </w:p>
    <w:p w14:paraId="27E1B7C0">
      <w:pPr>
        <w:adjustRightInd w:val="0"/>
        <w:snapToGrid w:val="0"/>
        <w:spacing w:before="36" w:beforeLines="15" w:line="360" w:lineRule="auto"/>
        <w:ind w:left="3578" w:leftChars="1704"/>
        <w:outlineLvl w:val="9"/>
        <w:rPr>
          <w:rFonts w:ascii="宋体" w:hAnsi="宋体" w:cs="宋体"/>
          <w:color w:val="auto"/>
          <w:sz w:val="24"/>
        </w:rPr>
      </w:pPr>
    </w:p>
    <w:p w14:paraId="5D348D16">
      <w:pPr>
        <w:adjustRightInd w:val="0"/>
        <w:snapToGrid w:val="0"/>
        <w:spacing w:before="36" w:beforeLines="15" w:line="360" w:lineRule="auto"/>
        <w:ind w:left="3578" w:leftChars="1704"/>
        <w:outlineLvl w:val="9"/>
        <w:rPr>
          <w:rFonts w:ascii="宋体" w:hAnsi="宋体" w:cs="宋体"/>
          <w:color w:val="auto"/>
          <w:sz w:val="24"/>
        </w:rPr>
      </w:pPr>
      <w:r>
        <w:rPr>
          <w:rFonts w:hint="eastAsia" w:ascii="宋体" w:hAnsi="宋体" w:cs="宋体"/>
          <w:bCs/>
          <w:color w:val="auto"/>
          <w:sz w:val="24"/>
          <w:szCs w:val="24"/>
        </w:rPr>
        <w:t>单位负责人或授权代理人</w:t>
      </w:r>
      <w:r>
        <w:rPr>
          <w:rFonts w:hint="eastAsia" w:ascii="宋体" w:hAnsi="宋体" w:cs="宋体"/>
          <w:color w:val="auto"/>
          <w:sz w:val="24"/>
        </w:rPr>
        <w:t>（签字或盖章）：</w:t>
      </w:r>
    </w:p>
    <w:p w14:paraId="3DEA1D0A">
      <w:pPr>
        <w:pStyle w:val="13"/>
        <w:tabs>
          <w:tab w:val="left" w:pos="200"/>
        </w:tabs>
        <w:spacing w:line="360" w:lineRule="auto"/>
        <w:jc w:val="right"/>
        <w:outlineLvl w:val="9"/>
        <w:rPr>
          <w:rFonts w:hAnsi="宋体" w:cs="宋体"/>
          <w:color w:val="auto"/>
          <w:sz w:val="24"/>
        </w:rPr>
      </w:pPr>
      <w:r>
        <w:rPr>
          <w:rFonts w:hint="eastAsia" w:hAnsi="宋体" w:cs="宋体"/>
          <w:color w:val="auto"/>
          <w:sz w:val="24"/>
        </w:rPr>
        <w:t xml:space="preserve">            年   月   日</w:t>
      </w:r>
    </w:p>
    <w:p w14:paraId="19673B94">
      <w:pPr>
        <w:pStyle w:val="11"/>
        <w:adjustRightInd w:val="0"/>
        <w:snapToGrid w:val="0"/>
        <w:ind w:firstLine="420" w:firstLineChars="200"/>
        <w:rPr>
          <w:rFonts w:ascii="宋体" w:hAnsi="宋体" w:eastAsia="宋体"/>
          <w:snapToGrid w:val="0"/>
          <w:color w:val="auto"/>
          <w:kern w:val="0"/>
          <w:sz w:val="24"/>
          <w:szCs w:val="24"/>
        </w:rPr>
      </w:pPr>
      <w:r>
        <w:rPr>
          <w:color w:val="auto"/>
        </w:rPr>
        <w:br w:type="page"/>
      </w:r>
    </w:p>
    <w:p w14:paraId="215063C9">
      <w:pPr>
        <w:autoSpaceDE w:val="0"/>
        <w:autoSpaceDN w:val="0"/>
        <w:adjustRightInd w:val="0"/>
        <w:outlineLvl w:val="9"/>
        <w:rPr>
          <w:rFonts w:hint="eastAsia" w:ascii="宋体" w:hAnsi="宋体"/>
          <w:b/>
          <w:color w:val="auto"/>
          <w:sz w:val="24"/>
          <w:szCs w:val="24"/>
          <w:lang w:val="zh-CN"/>
        </w:rPr>
      </w:pPr>
    </w:p>
    <w:p w14:paraId="1C012BEA">
      <w:pPr>
        <w:autoSpaceDE w:val="0"/>
        <w:autoSpaceDN w:val="0"/>
        <w:adjustRightInd w:val="0"/>
        <w:jc w:val="left"/>
        <w:outlineLvl w:val="1"/>
        <w:rPr>
          <w:rFonts w:hint="eastAsia" w:ascii="宋体" w:hAnsi="宋体" w:cs="宋体"/>
          <w:b/>
          <w:color w:val="auto"/>
          <w:sz w:val="24"/>
          <w:lang w:val="zh-CN"/>
        </w:rPr>
      </w:pPr>
      <w:bookmarkStart w:id="139" w:name="_Toc21729"/>
      <w:bookmarkStart w:id="140" w:name="_Toc5401"/>
      <w:r>
        <w:rPr>
          <w:rFonts w:hint="eastAsia" w:ascii="宋体" w:hAnsi="宋体"/>
          <w:b/>
          <w:color w:val="auto"/>
          <w:sz w:val="24"/>
          <w:szCs w:val="24"/>
        </w:rPr>
        <w:t>格式十</w:t>
      </w:r>
      <w:r>
        <w:rPr>
          <w:rFonts w:hint="eastAsia" w:ascii="宋体" w:hAnsi="宋体"/>
          <w:b/>
          <w:color w:val="auto"/>
          <w:sz w:val="24"/>
          <w:szCs w:val="24"/>
          <w:lang w:val="en-US" w:eastAsia="zh-CN"/>
        </w:rPr>
        <w:t>三</w:t>
      </w:r>
      <w:r>
        <w:rPr>
          <w:rFonts w:hint="eastAsia" w:ascii="宋体" w:hAnsi="宋体"/>
          <w:b/>
          <w:color w:val="auto"/>
          <w:sz w:val="24"/>
          <w:szCs w:val="24"/>
        </w:rPr>
        <w:t xml:space="preserve"> 报价明细表</w:t>
      </w:r>
      <w:bookmarkEnd w:id="139"/>
      <w:bookmarkEnd w:id="140"/>
    </w:p>
    <w:p w14:paraId="391117F2">
      <w:pPr>
        <w:jc w:val="center"/>
        <w:outlineLvl w:val="9"/>
        <w:rPr>
          <w:rFonts w:ascii="宋体" w:hAnsi="宋体" w:cs="宋体"/>
          <w:b/>
          <w:color w:val="auto"/>
          <w:sz w:val="36"/>
        </w:rPr>
      </w:pPr>
    </w:p>
    <w:p w14:paraId="7DA55F73">
      <w:pPr>
        <w:jc w:val="center"/>
        <w:outlineLvl w:val="9"/>
        <w:rPr>
          <w:rFonts w:hint="eastAsia" w:ascii="宋体" w:hAnsi="宋体" w:cs="宋体" w:eastAsiaTheme="minorEastAsia"/>
          <w:b/>
          <w:color w:val="auto"/>
          <w:sz w:val="36"/>
          <w:lang w:eastAsia="zh-CN"/>
        </w:rPr>
      </w:pPr>
      <w:r>
        <w:rPr>
          <w:rFonts w:hint="eastAsia" w:ascii="宋体" w:hAnsi="宋体" w:cs="宋体"/>
          <w:b/>
          <w:color w:val="auto"/>
          <w:sz w:val="36"/>
        </w:rPr>
        <w:t>报价明细表</w:t>
      </w:r>
      <w:r>
        <w:rPr>
          <w:rFonts w:hint="eastAsia" w:ascii="宋体" w:hAnsi="宋体" w:cs="宋体"/>
          <w:b/>
          <w:color w:val="auto"/>
          <w:sz w:val="36"/>
          <w:lang w:eastAsia="zh-CN"/>
        </w:rPr>
        <w:t>（</w:t>
      </w:r>
      <w:r>
        <w:rPr>
          <w:rFonts w:hint="eastAsia" w:ascii="宋体" w:hAnsi="宋体" w:cs="宋体"/>
          <w:b/>
          <w:color w:val="auto"/>
          <w:sz w:val="36"/>
          <w:lang w:val="en-US" w:eastAsia="zh-CN"/>
        </w:rPr>
        <w:t>格式自拟</w:t>
      </w:r>
      <w:r>
        <w:rPr>
          <w:rFonts w:hint="eastAsia" w:ascii="宋体" w:hAnsi="宋体" w:cs="宋体"/>
          <w:b/>
          <w:color w:val="auto"/>
          <w:sz w:val="36"/>
          <w:lang w:eastAsia="zh-CN"/>
        </w:rPr>
        <w:t>）</w:t>
      </w:r>
    </w:p>
    <w:p w14:paraId="1B3EF1C6">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14:paraId="22F6DB55">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p>
    <w:p w14:paraId="1E08334C">
      <w:pPr>
        <w:autoSpaceDE w:val="0"/>
        <w:autoSpaceDN w:val="0"/>
        <w:adjustRightInd w:val="0"/>
        <w:snapToGrid w:val="0"/>
        <w:spacing w:line="360" w:lineRule="auto"/>
        <w:outlineLvl w:val="9"/>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投标报价说明：</w:t>
      </w:r>
    </w:p>
    <w:p w14:paraId="1149EDBC">
      <w:pPr>
        <w:numPr>
          <w:ilvl w:val="0"/>
          <w:numId w:val="0"/>
        </w:numPr>
        <w:autoSpaceDE w:val="0"/>
        <w:autoSpaceDN w:val="0"/>
        <w:adjustRightInd w:val="0"/>
        <w:snapToGrid w:val="0"/>
        <w:spacing w:line="360" w:lineRule="auto"/>
        <w:outlineLvl w:val="9"/>
        <w:rPr>
          <w:rFonts w:hint="eastAsia" w:asciiTheme="minorEastAsia" w:hAnsiTheme="minorEastAsia" w:eastAsiaTheme="minorEastAsia" w:cstheme="minorEastAsia"/>
          <w:b w:val="0"/>
          <w:bCs/>
          <w:color w:val="auto"/>
          <w:sz w:val="24"/>
          <w:szCs w:val="24"/>
          <w:highlight w:val="none"/>
          <w:lang w:val="zh-CN"/>
        </w:rPr>
      </w:pPr>
      <w:r>
        <w:rPr>
          <w:rFonts w:hint="eastAsia" w:asciiTheme="minorEastAsia" w:hAnsiTheme="minorEastAsia" w:eastAsiaTheme="minorEastAsia" w:cstheme="minorEastAsia"/>
          <w:b w:val="0"/>
          <w:bCs/>
          <w:color w:val="auto"/>
          <w:sz w:val="24"/>
          <w:szCs w:val="24"/>
          <w:highlight w:val="none"/>
          <w:lang w:val="zh-CN"/>
        </w:rPr>
        <w:t>投标方报价应含一切税金、人工、技术、服务、材料等费用，采购方不再支付其他费用。</w:t>
      </w:r>
    </w:p>
    <w:p w14:paraId="25B62774">
      <w:pPr>
        <w:pStyle w:val="13"/>
        <w:spacing w:line="360" w:lineRule="auto"/>
        <w:ind w:left="0" w:leftChars="0" w:firstLine="0" w:firstLineChars="0"/>
        <w:outlineLvl w:val="9"/>
        <w:rPr>
          <w:rFonts w:hint="eastAsia" w:ascii="宋体" w:hAnsi="宋体" w:cs="宋体"/>
          <w:b w:val="0"/>
          <w:bCs/>
          <w:color w:val="auto"/>
          <w:szCs w:val="21"/>
          <w:vertAlign w:val="baseline"/>
        </w:rPr>
      </w:pPr>
      <w:r>
        <w:rPr>
          <w:rFonts w:hint="eastAsia" w:ascii="宋体" w:hAnsi="宋体" w:cs="宋体"/>
          <w:b w:val="0"/>
          <w:bCs/>
          <w:color w:val="auto"/>
          <w:szCs w:val="21"/>
        </w:rPr>
        <w:t xml:space="preserve">                              </w:t>
      </w:r>
    </w:p>
    <w:p w14:paraId="55277DC3">
      <w:pPr>
        <w:pStyle w:val="42"/>
        <w:rPr>
          <w:rFonts w:hint="eastAsia"/>
          <w:color w:val="auto"/>
        </w:rPr>
        <w:sectPr>
          <w:headerReference r:id="rId12" w:type="default"/>
          <w:pgSz w:w="11906" w:h="16838"/>
          <w:pgMar w:top="1440" w:right="1134" w:bottom="1440" w:left="1417" w:header="851" w:footer="737" w:gutter="0"/>
          <w:pgBorders>
            <w:top w:val="none" w:sz="0" w:space="0"/>
            <w:left w:val="none" w:sz="0" w:space="0"/>
            <w:bottom w:val="none" w:sz="0" w:space="0"/>
            <w:right w:val="none" w:sz="0" w:space="0"/>
          </w:pgBorders>
          <w:pgNumType w:fmt="decimal"/>
          <w:cols w:space="0" w:num="1"/>
          <w:titlePg/>
          <w:rtlGutter w:val="0"/>
          <w:docGrid w:linePitch="490" w:charSpace="0"/>
        </w:sectPr>
      </w:pPr>
    </w:p>
    <w:p w14:paraId="1EA59092">
      <w:pPr>
        <w:rPr>
          <w:rFonts w:hint="eastAsia" w:ascii="宋体" w:hAnsi="宋体"/>
          <w:b/>
          <w:color w:val="auto"/>
          <w:sz w:val="24"/>
          <w:szCs w:val="24"/>
        </w:rPr>
      </w:pPr>
      <w:bookmarkStart w:id="141" w:name="_Toc19645"/>
      <w:bookmarkStart w:id="142" w:name="_Toc31972"/>
    </w:p>
    <w:p w14:paraId="5908A976">
      <w:pPr>
        <w:autoSpaceDE w:val="0"/>
        <w:autoSpaceDN w:val="0"/>
        <w:adjustRightInd w:val="0"/>
        <w:jc w:val="left"/>
        <w:outlineLvl w:val="1"/>
        <w:rPr>
          <w:rFonts w:ascii="宋体" w:hAnsi="宋体" w:cs="宋体"/>
          <w:b/>
          <w:color w:val="auto"/>
          <w:sz w:val="36"/>
          <w:highlight w:val="none"/>
        </w:rPr>
      </w:pPr>
      <w:r>
        <w:rPr>
          <w:rFonts w:hint="eastAsia" w:ascii="宋体" w:hAnsi="宋体"/>
          <w:b/>
          <w:color w:val="auto"/>
          <w:sz w:val="24"/>
          <w:szCs w:val="24"/>
          <w:highlight w:val="none"/>
        </w:rPr>
        <w:t>格式十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 xml:space="preserve"> </w:t>
      </w:r>
      <w:r>
        <w:rPr>
          <w:rFonts w:hint="eastAsia" w:ascii="宋体" w:hAnsi="宋体" w:cs="宋体"/>
          <w:b/>
          <w:color w:val="auto"/>
          <w:sz w:val="24"/>
          <w:szCs w:val="28"/>
          <w:highlight w:val="none"/>
        </w:rPr>
        <w:t>商务条款偏离表</w:t>
      </w:r>
      <w:bookmarkEnd w:id="141"/>
      <w:bookmarkEnd w:id="142"/>
    </w:p>
    <w:p w14:paraId="2C533DA2">
      <w:pPr>
        <w:spacing w:line="360" w:lineRule="auto"/>
        <w:jc w:val="center"/>
        <w:outlineLvl w:val="9"/>
        <w:rPr>
          <w:rFonts w:hint="eastAsia" w:ascii="宋体" w:hAnsi="宋体" w:cs="宋体"/>
          <w:b/>
          <w:color w:val="auto"/>
          <w:sz w:val="24"/>
          <w:szCs w:val="28"/>
          <w:highlight w:val="none"/>
        </w:rPr>
      </w:pPr>
      <w:r>
        <w:rPr>
          <w:rFonts w:hint="eastAsia" w:ascii="宋体" w:hAnsi="宋体" w:cs="宋体"/>
          <w:b/>
          <w:color w:val="auto"/>
          <w:sz w:val="24"/>
          <w:szCs w:val="28"/>
          <w:highlight w:val="none"/>
        </w:rPr>
        <w:t>商务条款偏离表（格式）</w:t>
      </w:r>
    </w:p>
    <w:p w14:paraId="44FD9CEC">
      <w:pPr>
        <w:pStyle w:val="13"/>
        <w:spacing w:line="360" w:lineRule="auto"/>
        <w:ind w:firstLine="422" w:firstLineChars="200"/>
        <w:outlineLvl w:val="9"/>
        <w:rPr>
          <w:rFonts w:hAnsi="宋体"/>
          <w:b/>
          <w:color w:val="auto"/>
          <w:szCs w:val="21"/>
        </w:rPr>
      </w:pPr>
      <w:r>
        <w:rPr>
          <w:rFonts w:hAnsi="宋体"/>
          <w:b/>
          <w:color w:val="auto"/>
          <w:szCs w:val="21"/>
        </w:rPr>
        <w:t>项目名称：</w:t>
      </w:r>
    </w:p>
    <w:p w14:paraId="30156371">
      <w:pPr>
        <w:pStyle w:val="13"/>
        <w:spacing w:line="360" w:lineRule="auto"/>
        <w:ind w:firstLine="422" w:firstLineChars="200"/>
        <w:outlineLvl w:val="9"/>
        <w:rPr>
          <w:rFonts w:hAnsi="宋体"/>
          <w:b/>
          <w:color w:val="auto"/>
          <w:szCs w:val="21"/>
        </w:rPr>
      </w:pPr>
      <w:r>
        <w:rPr>
          <w:rFonts w:hAnsi="宋体"/>
          <w:b/>
          <w:color w:val="auto"/>
          <w:szCs w:val="21"/>
        </w:rPr>
        <w:t>项目编号：</w:t>
      </w:r>
    </w:p>
    <w:p w14:paraId="5D58E38E">
      <w:pPr>
        <w:pStyle w:val="42"/>
        <w:outlineLvl w:val="9"/>
        <w:rPr>
          <w:rFonts w:hint="eastAsia"/>
          <w:color w:val="auto"/>
        </w:rPr>
      </w:pPr>
    </w:p>
    <w:tbl>
      <w:tblPr>
        <w:tblStyle w:val="2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14:paraId="1E32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68" w:type="dxa"/>
            <w:noWrap w:val="0"/>
            <w:vAlign w:val="center"/>
          </w:tcPr>
          <w:p w14:paraId="618DED74">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200" w:type="dxa"/>
            <w:noWrap w:val="0"/>
            <w:vAlign w:val="center"/>
          </w:tcPr>
          <w:p w14:paraId="02B06EE5">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98" w:type="dxa"/>
            <w:noWrap w:val="0"/>
            <w:vAlign w:val="center"/>
          </w:tcPr>
          <w:p w14:paraId="5BBF6506">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招标文件规定的商务条款</w:t>
            </w:r>
          </w:p>
        </w:tc>
        <w:tc>
          <w:tcPr>
            <w:tcW w:w="2912" w:type="dxa"/>
            <w:noWrap w:val="0"/>
            <w:vAlign w:val="center"/>
          </w:tcPr>
          <w:p w14:paraId="31CDB5AB">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投标文件对应的商务条款</w:t>
            </w:r>
          </w:p>
        </w:tc>
        <w:tc>
          <w:tcPr>
            <w:tcW w:w="888" w:type="dxa"/>
            <w:noWrap w:val="0"/>
            <w:vAlign w:val="center"/>
          </w:tcPr>
          <w:p w14:paraId="60DB14B6">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14:paraId="750C9132">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14:paraId="58FF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top"/>
          </w:tcPr>
          <w:p w14:paraId="1008781D">
            <w:pPr>
              <w:spacing w:line="360" w:lineRule="auto"/>
              <w:outlineLvl w:val="9"/>
              <w:rPr>
                <w:rFonts w:hint="eastAsia" w:ascii="宋体" w:hAnsi="宋体" w:cs="宋体"/>
                <w:color w:val="auto"/>
                <w:sz w:val="24"/>
              </w:rPr>
            </w:pPr>
            <w:r>
              <w:rPr>
                <w:rFonts w:hint="eastAsia" w:ascii="宋体" w:hAnsi="宋体" w:cs="宋体"/>
                <w:color w:val="auto"/>
                <w:sz w:val="24"/>
              </w:rPr>
              <w:t>1</w:t>
            </w:r>
          </w:p>
        </w:tc>
        <w:tc>
          <w:tcPr>
            <w:tcW w:w="1200" w:type="dxa"/>
            <w:noWrap w:val="0"/>
            <w:vAlign w:val="top"/>
          </w:tcPr>
          <w:p w14:paraId="5ECBDC60">
            <w:pPr>
              <w:spacing w:line="360" w:lineRule="auto"/>
              <w:outlineLvl w:val="9"/>
              <w:rPr>
                <w:rFonts w:hint="eastAsia" w:ascii="宋体" w:hAnsi="宋体" w:cs="宋体"/>
                <w:color w:val="auto"/>
                <w:sz w:val="24"/>
              </w:rPr>
            </w:pPr>
          </w:p>
        </w:tc>
        <w:tc>
          <w:tcPr>
            <w:tcW w:w="2998" w:type="dxa"/>
            <w:noWrap w:val="0"/>
            <w:vAlign w:val="top"/>
          </w:tcPr>
          <w:p w14:paraId="161B751F">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14:paraId="2C8A6BE7">
            <w:pPr>
              <w:spacing w:line="360" w:lineRule="auto"/>
              <w:outlineLvl w:val="9"/>
              <w:rPr>
                <w:rFonts w:hint="eastAsia" w:ascii="宋体" w:hAnsi="宋体" w:cs="宋体"/>
                <w:color w:val="auto"/>
                <w:sz w:val="24"/>
              </w:rPr>
            </w:pPr>
          </w:p>
        </w:tc>
        <w:tc>
          <w:tcPr>
            <w:tcW w:w="888" w:type="dxa"/>
            <w:noWrap w:val="0"/>
            <w:vAlign w:val="top"/>
          </w:tcPr>
          <w:p w14:paraId="0E514DDC">
            <w:pPr>
              <w:spacing w:line="360" w:lineRule="auto"/>
              <w:outlineLvl w:val="9"/>
              <w:rPr>
                <w:rFonts w:hint="eastAsia" w:ascii="宋体" w:hAnsi="宋体" w:cs="宋体"/>
                <w:color w:val="auto"/>
                <w:sz w:val="24"/>
              </w:rPr>
            </w:pPr>
          </w:p>
        </w:tc>
        <w:tc>
          <w:tcPr>
            <w:tcW w:w="748" w:type="dxa"/>
            <w:noWrap w:val="0"/>
            <w:vAlign w:val="top"/>
          </w:tcPr>
          <w:p w14:paraId="057955B7">
            <w:pPr>
              <w:spacing w:line="360" w:lineRule="auto"/>
              <w:outlineLvl w:val="9"/>
              <w:rPr>
                <w:rFonts w:hint="eastAsia" w:ascii="宋体" w:hAnsi="宋体" w:cs="宋体"/>
                <w:color w:val="auto"/>
                <w:sz w:val="24"/>
              </w:rPr>
            </w:pPr>
          </w:p>
        </w:tc>
      </w:tr>
      <w:tr w14:paraId="504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top"/>
          </w:tcPr>
          <w:p w14:paraId="2BEC185F">
            <w:pPr>
              <w:spacing w:line="360" w:lineRule="auto"/>
              <w:outlineLvl w:val="9"/>
              <w:rPr>
                <w:rFonts w:hint="eastAsia" w:ascii="宋体" w:hAnsi="宋体" w:cs="宋体"/>
                <w:color w:val="auto"/>
                <w:sz w:val="24"/>
              </w:rPr>
            </w:pPr>
            <w:r>
              <w:rPr>
                <w:rFonts w:hint="eastAsia" w:ascii="宋体" w:hAnsi="宋体" w:cs="宋体"/>
                <w:color w:val="auto"/>
                <w:sz w:val="24"/>
              </w:rPr>
              <w:t>2</w:t>
            </w:r>
          </w:p>
        </w:tc>
        <w:tc>
          <w:tcPr>
            <w:tcW w:w="1200" w:type="dxa"/>
            <w:noWrap w:val="0"/>
            <w:vAlign w:val="top"/>
          </w:tcPr>
          <w:p w14:paraId="7254D7CA">
            <w:pPr>
              <w:spacing w:line="360" w:lineRule="auto"/>
              <w:outlineLvl w:val="9"/>
              <w:rPr>
                <w:rFonts w:hint="eastAsia" w:ascii="宋体" w:hAnsi="宋体" w:cs="宋体"/>
                <w:color w:val="auto"/>
                <w:sz w:val="24"/>
              </w:rPr>
            </w:pPr>
          </w:p>
        </w:tc>
        <w:tc>
          <w:tcPr>
            <w:tcW w:w="2998" w:type="dxa"/>
            <w:noWrap w:val="0"/>
            <w:vAlign w:val="top"/>
          </w:tcPr>
          <w:p w14:paraId="2ADAEA16">
            <w:pPr>
              <w:spacing w:line="360" w:lineRule="auto"/>
              <w:jc w:val="center"/>
              <w:outlineLvl w:val="9"/>
              <w:rPr>
                <w:rFonts w:hint="eastAsia" w:ascii="宋体" w:hAnsi="宋体" w:cs="宋体"/>
                <w:color w:val="auto"/>
                <w:sz w:val="24"/>
              </w:rPr>
            </w:pPr>
            <w:r>
              <w:rPr>
                <w:rFonts w:hint="eastAsia" w:ascii="宋体" w:hAnsi="宋体" w:cs="宋体"/>
                <w:color w:val="auto"/>
                <w:sz w:val="24"/>
              </w:rPr>
              <w:t>……</w:t>
            </w:r>
          </w:p>
        </w:tc>
        <w:tc>
          <w:tcPr>
            <w:tcW w:w="2912" w:type="dxa"/>
            <w:noWrap w:val="0"/>
            <w:vAlign w:val="top"/>
          </w:tcPr>
          <w:p w14:paraId="501F11B5">
            <w:pPr>
              <w:spacing w:line="360" w:lineRule="auto"/>
              <w:outlineLvl w:val="9"/>
              <w:rPr>
                <w:rFonts w:hint="eastAsia" w:ascii="宋体" w:hAnsi="宋体" w:cs="宋体"/>
                <w:color w:val="auto"/>
                <w:sz w:val="24"/>
              </w:rPr>
            </w:pPr>
          </w:p>
        </w:tc>
        <w:tc>
          <w:tcPr>
            <w:tcW w:w="888" w:type="dxa"/>
            <w:noWrap w:val="0"/>
            <w:vAlign w:val="top"/>
          </w:tcPr>
          <w:p w14:paraId="04DABDA0">
            <w:pPr>
              <w:spacing w:line="360" w:lineRule="auto"/>
              <w:outlineLvl w:val="9"/>
              <w:rPr>
                <w:rFonts w:hint="eastAsia" w:ascii="宋体" w:hAnsi="宋体" w:cs="宋体"/>
                <w:color w:val="auto"/>
                <w:sz w:val="24"/>
              </w:rPr>
            </w:pPr>
          </w:p>
        </w:tc>
        <w:tc>
          <w:tcPr>
            <w:tcW w:w="748" w:type="dxa"/>
            <w:noWrap w:val="0"/>
            <w:vAlign w:val="top"/>
          </w:tcPr>
          <w:p w14:paraId="057E2A45">
            <w:pPr>
              <w:spacing w:line="360" w:lineRule="auto"/>
              <w:outlineLvl w:val="9"/>
              <w:rPr>
                <w:rFonts w:hint="eastAsia" w:ascii="宋体" w:hAnsi="宋体" w:cs="宋体"/>
                <w:color w:val="auto"/>
                <w:sz w:val="24"/>
              </w:rPr>
            </w:pPr>
          </w:p>
        </w:tc>
      </w:tr>
      <w:tr w14:paraId="64E1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val="0"/>
            <w:vAlign w:val="top"/>
          </w:tcPr>
          <w:p w14:paraId="2C135B1E">
            <w:pPr>
              <w:spacing w:line="360" w:lineRule="auto"/>
              <w:outlineLvl w:val="9"/>
              <w:rPr>
                <w:rFonts w:hint="eastAsia" w:ascii="宋体" w:hAnsi="宋体" w:cs="宋体"/>
                <w:color w:val="auto"/>
                <w:sz w:val="24"/>
              </w:rPr>
            </w:pPr>
            <w:r>
              <w:rPr>
                <w:rFonts w:hint="eastAsia" w:ascii="宋体" w:hAnsi="宋体" w:cs="宋体"/>
                <w:color w:val="auto"/>
                <w:sz w:val="24"/>
              </w:rPr>
              <w:t>3</w:t>
            </w:r>
          </w:p>
        </w:tc>
        <w:tc>
          <w:tcPr>
            <w:tcW w:w="1200" w:type="dxa"/>
            <w:noWrap w:val="0"/>
            <w:vAlign w:val="top"/>
          </w:tcPr>
          <w:p w14:paraId="23BDA84A">
            <w:pPr>
              <w:spacing w:line="360" w:lineRule="auto"/>
              <w:outlineLvl w:val="9"/>
              <w:rPr>
                <w:rFonts w:hint="eastAsia" w:ascii="宋体" w:hAnsi="宋体" w:cs="宋体"/>
                <w:color w:val="auto"/>
                <w:sz w:val="24"/>
              </w:rPr>
            </w:pPr>
          </w:p>
        </w:tc>
        <w:tc>
          <w:tcPr>
            <w:tcW w:w="2998" w:type="dxa"/>
            <w:noWrap w:val="0"/>
            <w:vAlign w:val="top"/>
          </w:tcPr>
          <w:p w14:paraId="021B64CE">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招标文件的其他商务条款</w:t>
            </w:r>
          </w:p>
        </w:tc>
        <w:tc>
          <w:tcPr>
            <w:tcW w:w="2912" w:type="dxa"/>
            <w:noWrap w:val="0"/>
            <w:vAlign w:val="top"/>
          </w:tcPr>
          <w:p w14:paraId="1DFEA64D">
            <w:pPr>
              <w:spacing w:line="360" w:lineRule="auto"/>
              <w:outlineLvl w:val="9"/>
              <w:rPr>
                <w:rFonts w:hint="eastAsia" w:ascii="宋体" w:hAnsi="宋体" w:cs="宋体"/>
                <w:color w:val="auto"/>
                <w:sz w:val="24"/>
              </w:rPr>
            </w:pPr>
          </w:p>
        </w:tc>
        <w:tc>
          <w:tcPr>
            <w:tcW w:w="888" w:type="dxa"/>
            <w:noWrap w:val="0"/>
            <w:vAlign w:val="top"/>
          </w:tcPr>
          <w:p w14:paraId="596F0417">
            <w:pPr>
              <w:spacing w:line="360" w:lineRule="auto"/>
              <w:outlineLvl w:val="9"/>
              <w:rPr>
                <w:rFonts w:hint="eastAsia" w:ascii="宋体" w:hAnsi="宋体" w:cs="宋体"/>
                <w:color w:val="auto"/>
                <w:sz w:val="24"/>
              </w:rPr>
            </w:pPr>
          </w:p>
        </w:tc>
        <w:tc>
          <w:tcPr>
            <w:tcW w:w="748" w:type="dxa"/>
            <w:noWrap w:val="0"/>
            <w:vAlign w:val="top"/>
          </w:tcPr>
          <w:p w14:paraId="58DC8BE2">
            <w:pPr>
              <w:spacing w:line="360" w:lineRule="auto"/>
              <w:outlineLvl w:val="9"/>
              <w:rPr>
                <w:rFonts w:hint="eastAsia" w:ascii="宋体" w:hAnsi="宋体" w:cs="宋体"/>
                <w:color w:val="auto"/>
                <w:sz w:val="24"/>
              </w:rPr>
            </w:pPr>
          </w:p>
        </w:tc>
      </w:tr>
    </w:tbl>
    <w:p w14:paraId="49B2C240">
      <w:pPr>
        <w:spacing w:line="360" w:lineRule="auto"/>
        <w:outlineLvl w:val="9"/>
        <w:rPr>
          <w:rFonts w:hint="eastAsia" w:ascii="宋体" w:hAnsi="宋体" w:cs="宋体"/>
          <w:color w:val="auto"/>
          <w:sz w:val="24"/>
        </w:rPr>
      </w:pPr>
      <w:r>
        <w:rPr>
          <w:rFonts w:hint="eastAsia" w:ascii="宋体" w:hAnsi="宋体" w:cs="宋体"/>
          <w:color w:val="auto"/>
          <w:sz w:val="24"/>
        </w:rPr>
        <w:t>说明：</w:t>
      </w:r>
    </w:p>
    <w:p w14:paraId="3C12D40B">
      <w:pPr>
        <w:pStyle w:val="9"/>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1.商务条款均应根据投标文件对招标文件的偏离情况相对应地填列。</w:t>
      </w:r>
    </w:p>
    <w:p w14:paraId="3299BC36">
      <w:pPr>
        <w:pStyle w:val="9"/>
        <w:spacing w:line="360" w:lineRule="auto"/>
        <w:ind w:firstLine="570"/>
        <w:outlineLvl w:val="9"/>
        <w:rPr>
          <w:rFonts w:hint="eastAsia" w:ascii="宋体" w:hAnsi="宋体" w:eastAsia="宋体" w:cs="宋体"/>
          <w:color w:val="auto"/>
          <w:sz w:val="24"/>
        </w:rPr>
      </w:pPr>
      <w:r>
        <w:rPr>
          <w:rFonts w:hint="eastAsia" w:ascii="宋体" w:hAnsi="宋体" w:eastAsia="宋体" w:cs="宋体"/>
          <w:color w:val="auto"/>
          <w:sz w:val="24"/>
        </w:rPr>
        <w:t>2.商务条款主要填列</w:t>
      </w:r>
      <w:r>
        <w:rPr>
          <w:rFonts w:hint="eastAsia" w:ascii="宋体" w:hAnsi="宋体" w:eastAsia="宋体" w:cs="宋体"/>
          <w:b/>
          <w:bCs/>
          <w:color w:val="auto"/>
          <w:sz w:val="24"/>
        </w:rPr>
        <w:t>付款方式、合同履行期限、服务地点、</w:t>
      </w:r>
      <w:r>
        <w:rPr>
          <w:rFonts w:hint="eastAsia" w:ascii="宋体" w:hAnsi="宋体" w:eastAsia="宋体" w:cs="宋体"/>
          <w:b/>
          <w:bCs/>
          <w:color w:val="auto"/>
          <w:sz w:val="24"/>
          <w:lang w:val="en-US" w:eastAsia="zh-CN"/>
        </w:rPr>
        <w:t>服务质量标准</w:t>
      </w:r>
      <w:r>
        <w:rPr>
          <w:rFonts w:hint="eastAsia" w:ascii="宋体" w:hAnsi="宋体" w:eastAsia="宋体" w:cs="宋体"/>
          <w:color w:val="auto"/>
          <w:sz w:val="24"/>
        </w:rPr>
        <w:t>等重要条款方面的偏离情况，但不限于以上条款。其他商务条款如未填列，视为投标人实质性响应招标文件条款。</w:t>
      </w:r>
    </w:p>
    <w:p w14:paraId="197BAEA4">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3.表内如果填列不全，可另外附页说明并按规定签字和加盖公章。             </w:t>
      </w:r>
    </w:p>
    <w:p w14:paraId="06DEC0C3">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4.采购人要求投标人认真填写本表。</w:t>
      </w:r>
    </w:p>
    <w:p w14:paraId="7D9DEF9B">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 5.此表可根据需要自行拉长加宽。</w:t>
      </w:r>
    </w:p>
    <w:p w14:paraId="0C183190">
      <w:pPr>
        <w:spacing w:line="360" w:lineRule="auto"/>
        <w:ind w:firstLine="480" w:firstLineChars="200"/>
        <w:outlineLvl w:val="9"/>
        <w:rPr>
          <w:rFonts w:hint="eastAsia" w:ascii="宋体" w:hAnsi="宋体" w:cs="宋体"/>
          <w:color w:val="auto"/>
          <w:sz w:val="24"/>
        </w:rPr>
      </w:pPr>
    </w:p>
    <w:p w14:paraId="099A0B40">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14:paraId="4A579961">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14:paraId="7985E4F6">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14:paraId="5648EE4C">
      <w:pPr>
        <w:pStyle w:val="14"/>
        <w:spacing w:line="360" w:lineRule="auto"/>
        <w:outlineLvl w:val="9"/>
        <w:rPr>
          <w:rFonts w:hint="eastAsia" w:ascii="宋体" w:hAnsi="宋体" w:cs="宋体"/>
          <w:color w:val="auto"/>
          <w:szCs w:val="24"/>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2AA64A03">
      <w:pPr>
        <w:adjustRightInd w:val="0"/>
        <w:snapToGrid w:val="0"/>
        <w:spacing w:line="360" w:lineRule="auto"/>
        <w:jc w:val="center"/>
        <w:outlineLvl w:val="9"/>
        <w:rPr>
          <w:rFonts w:hint="eastAsia" w:ascii="宋体" w:hAnsi="宋体" w:cs="宋体"/>
          <w:b/>
          <w:color w:val="auto"/>
          <w:sz w:val="36"/>
        </w:rPr>
      </w:pPr>
    </w:p>
    <w:p w14:paraId="097477E1">
      <w:pPr>
        <w:adjustRightInd w:val="0"/>
        <w:snapToGrid w:val="0"/>
        <w:outlineLvl w:val="9"/>
        <w:rPr>
          <w:rFonts w:hint="eastAsia" w:ascii="宋体" w:hAnsi="宋体" w:cs="宋体"/>
          <w:color w:val="auto"/>
        </w:rPr>
      </w:pPr>
    </w:p>
    <w:p w14:paraId="5B32BAC6">
      <w:pPr>
        <w:spacing w:line="360" w:lineRule="auto"/>
        <w:jc w:val="center"/>
        <w:outlineLvl w:val="9"/>
        <w:rPr>
          <w:rFonts w:hint="eastAsia"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4E606327">
      <w:pPr>
        <w:spacing w:line="360" w:lineRule="auto"/>
        <w:jc w:val="left"/>
        <w:outlineLvl w:val="1"/>
        <w:rPr>
          <w:rFonts w:hint="eastAsia" w:ascii="宋体" w:hAnsi="宋体"/>
          <w:b/>
          <w:color w:val="auto"/>
          <w:sz w:val="24"/>
          <w:szCs w:val="24"/>
        </w:rPr>
        <w:sectPr>
          <w:headerReference r:id="rId14" w:type="first"/>
          <w:footerReference r:id="rId16" w:type="first"/>
          <w:headerReference r:id="rId13" w:type="default"/>
          <w:footerReference r:id="rId15" w:type="default"/>
          <w:type w:val="continuous"/>
          <w:pgSz w:w="11906" w:h="16838"/>
          <w:pgMar w:top="1440" w:right="1080" w:bottom="1440" w:left="1080" w:header="720" w:footer="720" w:gutter="0"/>
          <w:pgBorders>
            <w:top w:val="none" w:sz="0" w:space="0"/>
            <w:left w:val="none" w:sz="0" w:space="0"/>
            <w:bottom w:val="none" w:sz="0" w:space="0"/>
            <w:right w:val="none" w:sz="0" w:space="0"/>
          </w:pgBorders>
          <w:pgNumType w:fmt="decimal"/>
          <w:cols w:space="720" w:num="1"/>
          <w:titlePg/>
        </w:sectPr>
      </w:pPr>
      <w:bookmarkStart w:id="143" w:name="_Toc28520"/>
      <w:bookmarkStart w:id="144" w:name="_Toc22747"/>
    </w:p>
    <w:p w14:paraId="2358776B">
      <w:pPr>
        <w:spacing w:line="360" w:lineRule="auto"/>
        <w:jc w:val="left"/>
        <w:outlineLvl w:val="1"/>
        <w:rPr>
          <w:rFonts w:hint="eastAsia" w:ascii="宋体" w:hAnsi="宋体"/>
          <w:b/>
          <w:color w:val="auto"/>
          <w:sz w:val="24"/>
          <w:szCs w:val="24"/>
        </w:rPr>
      </w:pPr>
      <w:r>
        <w:rPr>
          <w:rFonts w:hint="eastAsia" w:ascii="宋体" w:hAnsi="宋体"/>
          <w:b/>
          <w:color w:val="auto"/>
          <w:sz w:val="24"/>
          <w:szCs w:val="24"/>
        </w:rPr>
        <w:t>格式十</w:t>
      </w:r>
      <w:r>
        <w:rPr>
          <w:rFonts w:hint="eastAsia" w:ascii="宋体" w:hAnsi="宋体"/>
          <w:b/>
          <w:color w:val="auto"/>
          <w:sz w:val="24"/>
          <w:szCs w:val="24"/>
          <w:lang w:val="en-US" w:eastAsia="zh-CN"/>
        </w:rPr>
        <w:t xml:space="preserve">五 </w:t>
      </w:r>
      <w:bookmarkEnd w:id="143"/>
      <w:bookmarkEnd w:id="144"/>
      <w:r>
        <w:rPr>
          <w:rFonts w:hint="eastAsia" w:ascii="宋体" w:hAnsi="宋体"/>
          <w:b/>
          <w:color w:val="auto"/>
          <w:sz w:val="24"/>
          <w:szCs w:val="24"/>
        </w:rPr>
        <w:t>技术偏离表</w:t>
      </w:r>
    </w:p>
    <w:p w14:paraId="1C39A44A">
      <w:pPr>
        <w:spacing w:line="360" w:lineRule="auto"/>
        <w:jc w:val="center"/>
        <w:outlineLvl w:val="9"/>
        <w:rPr>
          <w:rFonts w:hint="eastAsia" w:ascii="宋体" w:hAnsi="宋体" w:eastAsia="宋体" w:cs="宋体"/>
          <w:b/>
          <w:color w:val="auto"/>
          <w:sz w:val="24"/>
          <w:szCs w:val="28"/>
        </w:rPr>
      </w:pPr>
      <w:r>
        <w:rPr>
          <w:rFonts w:hint="eastAsia" w:ascii="宋体" w:hAnsi="宋体" w:eastAsia="宋体" w:cs="宋体"/>
          <w:b/>
          <w:color w:val="auto"/>
          <w:sz w:val="24"/>
          <w:szCs w:val="28"/>
        </w:rPr>
        <w:t>技术</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lang w:val="en-US" w:eastAsia="zh-CN"/>
        </w:rPr>
        <w:t>服务</w:t>
      </w:r>
      <w:r>
        <w:rPr>
          <w:rFonts w:hint="eastAsia" w:ascii="宋体" w:hAnsi="宋体" w:eastAsia="宋体" w:cs="宋体"/>
          <w:b/>
          <w:color w:val="auto"/>
          <w:sz w:val="24"/>
          <w:szCs w:val="28"/>
          <w:lang w:eastAsia="zh-CN"/>
        </w:rPr>
        <w:t>）</w:t>
      </w:r>
      <w:r>
        <w:rPr>
          <w:rFonts w:hint="eastAsia" w:ascii="宋体" w:hAnsi="宋体" w:eastAsia="宋体" w:cs="宋体"/>
          <w:b/>
          <w:color w:val="auto"/>
          <w:sz w:val="24"/>
          <w:szCs w:val="28"/>
        </w:rPr>
        <w:t>偏离表（格式）</w:t>
      </w:r>
    </w:p>
    <w:p w14:paraId="0D097A9D">
      <w:pPr>
        <w:outlineLvl w:val="9"/>
        <w:rPr>
          <w:rFonts w:hint="eastAsia" w:ascii="宋体" w:hAnsi="宋体"/>
          <w:color w:val="auto"/>
        </w:rPr>
      </w:pPr>
    </w:p>
    <w:p w14:paraId="62DE14FE">
      <w:pPr>
        <w:pStyle w:val="13"/>
        <w:spacing w:line="360" w:lineRule="auto"/>
        <w:ind w:firstLine="422" w:firstLineChars="200"/>
        <w:outlineLvl w:val="9"/>
        <w:rPr>
          <w:rFonts w:hAnsi="宋体"/>
          <w:b/>
          <w:color w:val="auto"/>
          <w:szCs w:val="21"/>
        </w:rPr>
      </w:pPr>
      <w:r>
        <w:rPr>
          <w:rFonts w:hAnsi="宋体"/>
          <w:b/>
          <w:color w:val="auto"/>
          <w:szCs w:val="21"/>
        </w:rPr>
        <w:t>项目名称：</w:t>
      </w:r>
    </w:p>
    <w:p w14:paraId="63A5E7C7">
      <w:pPr>
        <w:pStyle w:val="13"/>
        <w:spacing w:line="360" w:lineRule="auto"/>
        <w:ind w:firstLine="422" w:firstLineChars="200"/>
        <w:outlineLvl w:val="9"/>
        <w:rPr>
          <w:rFonts w:hAnsi="宋体"/>
          <w:b/>
          <w:color w:val="auto"/>
          <w:szCs w:val="21"/>
        </w:rPr>
      </w:pPr>
      <w:r>
        <w:rPr>
          <w:rFonts w:hAnsi="宋体"/>
          <w:b/>
          <w:color w:val="auto"/>
          <w:szCs w:val="21"/>
        </w:rPr>
        <w:t>项目编号：</w:t>
      </w:r>
    </w:p>
    <w:tbl>
      <w:tblPr>
        <w:tblStyle w:val="24"/>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14:paraId="399D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center"/>
          </w:tcPr>
          <w:p w14:paraId="6AE09447">
            <w:pPr>
              <w:spacing w:line="360" w:lineRule="auto"/>
              <w:jc w:val="center"/>
              <w:outlineLvl w:val="9"/>
              <w:rPr>
                <w:rFonts w:hint="eastAsia" w:ascii="宋体" w:hAnsi="宋体" w:cs="宋体"/>
                <w:color w:val="auto"/>
                <w:sz w:val="24"/>
              </w:rPr>
            </w:pPr>
            <w:r>
              <w:rPr>
                <w:rFonts w:hint="eastAsia" w:ascii="宋体" w:hAnsi="宋体" w:cs="宋体"/>
                <w:color w:val="auto"/>
                <w:sz w:val="24"/>
              </w:rPr>
              <w:t>序号</w:t>
            </w:r>
          </w:p>
        </w:tc>
        <w:tc>
          <w:tcPr>
            <w:tcW w:w="1450" w:type="dxa"/>
            <w:noWrap w:val="0"/>
            <w:vAlign w:val="center"/>
          </w:tcPr>
          <w:p w14:paraId="2E129488">
            <w:pPr>
              <w:spacing w:line="360" w:lineRule="auto"/>
              <w:jc w:val="center"/>
              <w:outlineLvl w:val="9"/>
              <w:rPr>
                <w:rFonts w:hint="eastAsia" w:ascii="宋体" w:hAnsi="宋体" w:cs="宋体"/>
                <w:color w:val="auto"/>
                <w:sz w:val="24"/>
              </w:rPr>
            </w:pPr>
            <w:r>
              <w:rPr>
                <w:rFonts w:hint="eastAsia" w:ascii="宋体" w:hAnsi="宋体" w:cs="宋体"/>
                <w:color w:val="auto"/>
                <w:sz w:val="24"/>
              </w:rPr>
              <w:t>货物名称</w:t>
            </w:r>
          </w:p>
        </w:tc>
        <w:tc>
          <w:tcPr>
            <w:tcW w:w="2989" w:type="dxa"/>
            <w:noWrap w:val="0"/>
            <w:vAlign w:val="center"/>
          </w:tcPr>
          <w:p w14:paraId="35EB012B">
            <w:pPr>
              <w:spacing w:line="360" w:lineRule="auto"/>
              <w:jc w:val="center"/>
              <w:outlineLvl w:val="9"/>
              <w:rPr>
                <w:rFonts w:hint="eastAsia" w:ascii="宋体" w:hAnsi="宋体" w:cs="宋体"/>
                <w:color w:val="auto"/>
                <w:sz w:val="24"/>
              </w:rPr>
            </w:pPr>
            <w:r>
              <w:rPr>
                <w:rFonts w:hint="eastAsia" w:ascii="宋体" w:hAnsi="宋体" w:cs="宋体"/>
                <w:color w:val="auto"/>
                <w:sz w:val="24"/>
              </w:rPr>
              <w:t>招标文件规定的</w:t>
            </w:r>
            <w:r>
              <w:rPr>
                <w:rFonts w:hint="eastAsia" w:ascii="宋体" w:hAnsi="宋体" w:cs="宋体"/>
                <w:color w:val="auto"/>
                <w:sz w:val="24"/>
                <w:lang w:val="en-US" w:eastAsia="zh-CN"/>
              </w:rPr>
              <w:t>服务</w:t>
            </w:r>
            <w:r>
              <w:rPr>
                <w:rFonts w:hint="eastAsia" w:ascii="宋体" w:hAnsi="宋体" w:cs="宋体"/>
                <w:color w:val="auto"/>
                <w:sz w:val="24"/>
              </w:rPr>
              <w:t>需求、技术规格</w:t>
            </w:r>
          </w:p>
        </w:tc>
        <w:tc>
          <w:tcPr>
            <w:tcW w:w="2841" w:type="dxa"/>
            <w:noWrap w:val="0"/>
            <w:vAlign w:val="center"/>
          </w:tcPr>
          <w:p w14:paraId="6A91171E">
            <w:pPr>
              <w:spacing w:line="360" w:lineRule="auto"/>
              <w:jc w:val="center"/>
              <w:outlineLvl w:val="9"/>
              <w:rPr>
                <w:rFonts w:hint="eastAsia" w:ascii="宋体" w:hAnsi="宋体" w:cs="宋体"/>
                <w:color w:val="auto"/>
                <w:sz w:val="24"/>
              </w:rPr>
            </w:pPr>
            <w:r>
              <w:rPr>
                <w:rFonts w:hint="eastAsia" w:ascii="宋体" w:hAnsi="宋体" w:cs="宋体"/>
                <w:color w:val="auto"/>
                <w:sz w:val="24"/>
              </w:rPr>
              <w:t>投标文件对应的</w:t>
            </w:r>
            <w:r>
              <w:rPr>
                <w:rFonts w:hint="eastAsia" w:ascii="宋体" w:hAnsi="宋体" w:cs="宋体"/>
                <w:color w:val="auto"/>
                <w:sz w:val="24"/>
                <w:lang w:val="en-US" w:eastAsia="zh-CN"/>
              </w:rPr>
              <w:t>服务</w:t>
            </w:r>
            <w:r>
              <w:rPr>
                <w:rFonts w:hint="eastAsia" w:ascii="宋体" w:hAnsi="宋体" w:cs="宋体"/>
                <w:color w:val="auto"/>
                <w:sz w:val="24"/>
              </w:rPr>
              <w:t>情况、技术规格</w:t>
            </w:r>
          </w:p>
        </w:tc>
        <w:tc>
          <w:tcPr>
            <w:tcW w:w="888" w:type="dxa"/>
            <w:noWrap w:val="0"/>
            <w:vAlign w:val="center"/>
          </w:tcPr>
          <w:p w14:paraId="4E6F8C6B">
            <w:pPr>
              <w:spacing w:line="360" w:lineRule="auto"/>
              <w:jc w:val="center"/>
              <w:outlineLvl w:val="9"/>
              <w:rPr>
                <w:rFonts w:hint="eastAsia" w:ascii="宋体" w:hAnsi="宋体" w:cs="宋体"/>
                <w:color w:val="auto"/>
                <w:sz w:val="24"/>
              </w:rPr>
            </w:pPr>
            <w:r>
              <w:rPr>
                <w:rFonts w:hint="eastAsia" w:ascii="宋体" w:hAnsi="宋体" w:cs="宋体"/>
                <w:color w:val="auto"/>
                <w:sz w:val="24"/>
              </w:rPr>
              <w:t>是否偏离</w:t>
            </w:r>
          </w:p>
        </w:tc>
        <w:tc>
          <w:tcPr>
            <w:tcW w:w="748" w:type="dxa"/>
            <w:noWrap w:val="0"/>
            <w:vAlign w:val="center"/>
          </w:tcPr>
          <w:p w14:paraId="41F40CD6">
            <w:pPr>
              <w:spacing w:line="360" w:lineRule="auto"/>
              <w:jc w:val="center"/>
              <w:outlineLvl w:val="9"/>
              <w:rPr>
                <w:rFonts w:hint="eastAsia" w:ascii="宋体" w:hAnsi="宋体" w:cs="宋体"/>
                <w:color w:val="auto"/>
                <w:sz w:val="24"/>
              </w:rPr>
            </w:pPr>
            <w:r>
              <w:rPr>
                <w:rFonts w:hint="eastAsia" w:ascii="宋体" w:hAnsi="宋体" w:cs="宋体"/>
                <w:color w:val="auto"/>
                <w:sz w:val="24"/>
              </w:rPr>
              <w:t>备注</w:t>
            </w:r>
          </w:p>
        </w:tc>
      </w:tr>
      <w:tr w14:paraId="15E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top"/>
          </w:tcPr>
          <w:p w14:paraId="5D3ECBD0">
            <w:pPr>
              <w:spacing w:line="360" w:lineRule="auto"/>
              <w:outlineLvl w:val="9"/>
              <w:rPr>
                <w:rFonts w:hint="eastAsia" w:ascii="宋体" w:hAnsi="宋体" w:cs="宋体"/>
                <w:color w:val="auto"/>
                <w:sz w:val="24"/>
              </w:rPr>
            </w:pPr>
          </w:p>
        </w:tc>
        <w:tc>
          <w:tcPr>
            <w:tcW w:w="1450" w:type="dxa"/>
            <w:noWrap w:val="0"/>
            <w:vAlign w:val="top"/>
          </w:tcPr>
          <w:p w14:paraId="0C2321AF">
            <w:pPr>
              <w:spacing w:line="360" w:lineRule="auto"/>
              <w:outlineLvl w:val="9"/>
              <w:rPr>
                <w:rFonts w:hint="eastAsia" w:ascii="宋体" w:hAnsi="宋体" w:cs="宋体"/>
                <w:color w:val="auto"/>
                <w:sz w:val="24"/>
              </w:rPr>
            </w:pPr>
          </w:p>
        </w:tc>
        <w:tc>
          <w:tcPr>
            <w:tcW w:w="2989" w:type="dxa"/>
            <w:noWrap w:val="0"/>
            <w:vAlign w:val="top"/>
          </w:tcPr>
          <w:p w14:paraId="7C18D5A0">
            <w:pPr>
              <w:spacing w:line="360" w:lineRule="auto"/>
              <w:outlineLvl w:val="9"/>
              <w:rPr>
                <w:rFonts w:hint="eastAsia" w:ascii="宋体" w:hAnsi="宋体" w:cs="宋体"/>
                <w:color w:val="auto"/>
                <w:sz w:val="24"/>
              </w:rPr>
            </w:pPr>
          </w:p>
        </w:tc>
        <w:tc>
          <w:tcPr>
            <w:tcW w:w="2841" w:type="dxa"/>
            <w:noWrap w:val="0"/>
            <w:vAlign w:val="top"/>
          </w:tcPr>
          <w:p w14:paraId="07550B45">
            <w:pPr>
              <w:spacing w:line="360" w:lineRule="auto"/>
              <w:outlineLvl w:val="9"/>
              <w:rPr>
                <w:rFonts w:hint="eastAsia" w:ascii="宋体" w:hAnsi="宋体" w:cs="宋体"/>
                <w:color w:val="auto"/>
                <w:sz w:val="24"/>
              </w:rPr>
            </w:pPr>
          </w:p>
        </w:tc>
        <w:tc>
          <w:tcPr>
            <w:tcW w:w="888" w:type="dxa"/>
            <w:noWrap w:val="0"/>
            <w:vAlign w:val="top"/>
          </w:tcPr>
          <w:p w14:paraId="4CCC5933">
            <w:pPr>
              <w:spacing w:line="360" w:lineRule="auto"/>
              <w:outlineLvl w:val="9"/>
              <w:rPr>
                <w:rFonts w:hint="eastAsia" w:ascii="宋体" w:hAnsi="宋体" w:cs="宋体"/>
                <w:color w:val="auto"/>
                <w:sz w:val="24"/>
              </w:rPr>
            </w:pPr>
          </w:p>
        </w:tc>
        <w:tc>
          <w:tcPr>
            <w:tcW w:w="748" w:type="dxa"/>
            <w:noWrap w:val="0"/>
            <w:vAlign w:val="top"/>
          </w:tcPr>
          <w:p w14:paraId="4938F54D">
            <w:pPr>
              <w:spacing w:line="360" w:lineRule="auto"/>
              <w:outlineLvl w:val="9"/>
              <w:rPr>
                <w:rFonts w:hint="eastAsia" w:ascii="宋体" w:hAnsi="宋体" w:cs="宋体"/>
                <w:color w:val="auto"/>
                <w:sz w:val="24"/>
              </w:rPr>
            </w:pPr>
          </w:p>
        </w:tc>
      </w:tr>
      <w:tr w14:paraId="4D4E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top"/>
          </w:tcPr>
          <w:p w14:paraId="2F617D83">
            <w:pPr>
              <w:spacing w:line="360" w:lineRule="auto"/>
              <w:outlineLvl w:val="9"/>
              <w:rPr>
                <w:rFonts w:hint="eastAsia" w:ascii="宋体" w:hAnsi="宋体" w:cs="宋体"/>
                <w:color w:val="auto"/>
                <w:sz w:val="24"/>
              </w:rPr>
            </w:pPr>
          </w:p>
        </w:tc>
        <w:tc>
          <w:tcPr>
            <w:tcW w:w="1450" w:type="dxa"/>
            <w:noWrap w:val="0"/>
            <w:vAlign w:val="top"/>
          </w:tcPr>
          <w:p w14:paraId="01FE01E1">
            <w:pPr>
              <w:spacing w:line="360" w:lineRule="auto"/>
              <w:outlineLvl w:val="9"/>
              <w:rPr>
                <w:rFonts w:hint="eastAsia" w:ascii="宋体" w:hAnsi="宋体" w:cs="宋体"/>
                <w:color w:val="auto"/>
                <w:sz w:val="24"/>
              </w:rPr>
            </w:pPr>
          </w:p>
        </w:tc>
        <w:tc>
          <w:tcPr>
            <w:tcW w:w="2989" w:type="dxa"/>
            <w:noWrap w:val="0"/>
            <w:vAlign w:val="top"/>
          </w:tcPr>
          <w:p w14:paraId="29B84D26">
            <w:pPr>
              <w:spacing w:line="360" w:lineRule="auto"/>
              <w:outlineLvl w:val="9"/>
              <w:rPr>
                <w:rFonts w:hint="eastAsia" w:ascii="宋体" w:hAnsi="宋体" w:cs="宋体"/>
                <w:color w:val="auto"/>
                <w:sz w:val="24"/>
              </w:rPr>
            </w:pPr>
          </w:p>
        </w:tc>
        <w:tc>
          <w:tcPr>
            <w:tcW w:w="2841" w:type="dxa"/>
            <w:noWrap w:val="0"/>
            <w:vAlign w:val="top"/>
          </w:tcPr>
          <w:p w14:paraId="7E9D7FC6">
            <w:pPr>
              <w:spacing w:line="360" w:lineRule="auto"/>
              <w:outlineLvl w:val="9"/>
              <w:rPr>
                <w:rFonts w:hint="eastAsia" w:ascii="宋体" w:hAnsi="宋体" w:cs="宋体"/>
                <w:color w:val="auto"/>
                <w:sz w:val="24"/>
              </w:rPr>
            </w:pPr>
          </w:p>
        </w:tc>
        <w:tc>
          <w:tcPr>
            <w:tcW w:w="888" w:type="dxa"/>
            <w:noWrap w:val="0"/>
            <w:vAlign w:val="top"/>
          </w:tcPr>
          <w:p w14:paraId="46EEC647">
            <w:pPr>
              <w:spacing w:line="360" w:lineRule="auto"/>
              <w:outlineLvl w:val="9"/>
              <w:rPr>
                <w:rFonts w:hint="eastAsia" w:ascii="宋体" w:hAnsi="宋体" w:cs="宋体"/>
                <w:color w:val="auto"/>
                <w:sz w:val="24"/>
              </w:rPr>
            </w:pPr>
          </w:p>
        </w:tc>
        <w:tc>
          <w:tcPr>
            <w:tcW w:w="748" w:type="dxa"/>
            <w:noWrap w:val="0"/>
            <w:vAlign w:val="top"/>
          </w:tcPr>
          <w:p w14:paraId="33298F70">
            <w:pPr>
              <w:spacing w:line="360" w:lineRule="auto"/>
              <w:outlineLvl w:val="9"/>
              <w:rPr>
                <w:rFonts w:hint="eastAsia" w:ascii="宋体" w:hAnsi="宋体" w:cs="宋体"/>
                <w:color w:val="auto"/>
                <w:sz w:val="24"/>
              </w:rPr>
            </w:pPr>
          </w:p>
        </w:tc>
      </w:tr>
      <w:tr w14:paraId="1385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0"/>
            <w:vAlign w:val="top"/>
          </w:tcPr>
          <w:p w14:paraId="3C5E1901">
            <w:pPr>
              <w:spacing w:line="360" w:lineRule="auto"/>
              <w:outlineLvl w:val="9"/>
              <w:rPr>
                <w:rFonts w:hint="eastAsia" w:ascii="宋体" w:hAnsi="宋体" w:cs="宋体"/>
                <w:color w:val="auto"/>
                <w:sz w:val="24"/>
              </w:rPr>
            </w:pPr>
          </w:p>
        </w:tc>
        <w:tc>
          <w:tcPr>
            <w:tcW w:w="1450" w:type="dxa"/>
            <w:noWrap w:val="0"/>
            <w:vAlign w:val="top"/>
          </w:tcPr>
          <w:p w14:paraId="32F11FE8">
            <w:pPr>
              <w:spacing w:line="360" w:lineRule="auto"/>
              <w:outlineLvl w:val="9"/>
              <w:rPr>
                <w:rFonts w:hint="eastAsia" w:ascii="宋体" w:hAnsi="宋体" w:cs="宋体"/>
                <w:color w:val="auto"/>
                <w:sz w:val="24"/>
              </w:rPr>
            </w:pPr>
          </w:p>
        </w:tc>
        <w:tc>
          <w:tcPr>
            <w:tcW w:w="2989" w:type="dxa"/>
            <w:noWrap w:val="0"/>
            <w:vAlign w:val="top"/>
          </w:tcPr>
          <w:p w14:paraId="6540996A">
            <w:pPr>
              <w:spacing w:line="360" w:lineRule="auto"/>
              <w:outlineLvl w:val="9"/>
              <w:rPr>
                <w:rFonts w:hint="eastAsia" w:ascii="宋体" w:hAnsi="宋体" w:cs="宋体"/>
                <w:color w:val="auto"/>
                <w:sz w:val="24"/>
              </w:rPr>
            </w:pPr>
          </w:p>
        </w:tc>
        <w:tc>
          <w:tcPr>
            <w:tcW w:w="2841" w:type="dxa"/>
            <w:noWrap w:val="0"/>
            <w:vAlign w:val="top"/>
          </w:tcPr>
          <w:p w14:paraId="2F0FF272">
            <w:pPr>
              <w:spacing w:line="360" w:lineRule="auto"/>
              <w:outlineLvl w:val="9"/>
              <w:rPr>
                <w:rFonts w:hint="eastAsia" w:ascii="宋体" w:hAnsi="宋体" w:cs="宋体"/>
                <w:color w:val="auto"/>
                <w:sz w:val="24"/>
              </w:rPr>
            </w:pPr>
          </w:p>
        </w:tc>
        <w:tc>
          <w:tcPr>
            <w:tcW w:w="888" w:type="dxa"/>
            <w:noWrap w:val="0"/>
            <w:vAlign w:val="top"/>
          </w:tcPr>
          <w:p w14:paraId="5D704703">
            <w:pPr>
              <w:spacing w:line="360" w:lineRule="auto"/>
              <w:outlineLvl w:val="9"/>
              <w:rPr>
                <w:rFonts w:hint="eastAsia" w:ascii="宋体" w:hAnsi="宋体" w:cs="宋体"/>
                <w:color w:val="auto"/>
                <w:sz w:val="24"/>
              </w:rPr>
            </w:pPr>
          </w:p>
        </w:tc>
        <w:tc>
          <w:tcPr>
            <w:tcW w:w="748" w:type="dxa"/>
            <w:noWrap w:val="0"/>
            <w:vAlign w:val="top"/>
          </w:tcPr>
          <w:p w14:paraId="1F442A9F">
            <w:pPr>
              <w:spacing w:line="360" w:lineRule="auto"/>
              <w:outlineLvl w:val="9"/>
              <w:rPr>
                <w:rFonts w:hint="eastAsia" w:ascii="宋体" w:hAnsi="宋体" w:cs="宋体"/>
                <w:color w:val="auto"/>
                <w:sz w:val="24"/>
              </w:rPr>
            </w:pPr>
          </w:p>
        </w:tc>
      </w:tr>
    </w:tbl>
    <w:p w14:paraId="3F3842BB">
      <w:pPr>
        <w:adjustRightInd w:val="0"/>
        <w:snapToGrid w:val="0"/>
        <w:outlineLvl w:val="9"/>
        <w:rPr>
          <w:rFonts w:hint="eastAsia" w:ascii="宋体" w:hAnsi="宋体" w:cs="宋体"/>
          <w:color w:val="auto"/>
        </w:rPr>
      </w:pPr>
    </w:p>
    <w:p w14:paraId="0153D20E">
      <w:pPr>
        <w:adjustRightInd w:val="0"/>
        <w:snapToGrid w:val="0"/>
        <w:outlineLvl w:val="9"/>
        <w:rPr>
          <w:rFonts w:hint="eastAsia" w:ascii="宋体" w:hAnsi="宋体" w:cs="宋体"/>
          <w:color w:val="auto"/>
        </w:rPr>
      </w:pPr>
    </w:p>
    <w:p w14:paraId="46C6673B">
      <w:pPr>
        <w:pStyle w:val="9"/>
        <w:spacing w:line="360" w:lineRule="auto"/>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1.技术条款均应根据投标文件对招标文件第</w:t>
      </w:r>
      <w:r>
        <w:rPr>
          <w:rFonts w:hint="eastAsia" w:ascii="宋体" w:hAnsi="宋体" w:eastAsia="宋体" w:cs="宋体"/>
          <w:color w:val="auto"/>
          <w:sz w:val="24"/>
          <w:lang w:eastAsia="zh-CN"/>
        </w:rPr>
        <w:t>五</w:t>
      </w:r>
      <w:r>
        <w:rPr>
          <w:rFonts w:hint="eastAsia" w:ascii="宋体" w:hAnsi="宋体" w:eastAsia="宋体" w:cs="宋体"/>
          <w:color w:val="auto"/>
          <w:sz w:val="24"/>
        </w:rPr>
        <w:t>章技术标准和要求的偏离情况</w:t>
      </w:r>
      <w:r>
        <w:rPr>
          <w:rFonts w:hint="eastAsia" w:hAnsi="宋体" w:eastAsia="宋体" w:cs="宋体"/>
          <w:color w:val="auto"/>
          <w:sz w:val="24"/>
          <w:lang w:val="en-US" w:eastAsia="zh-CN"/>
        </w:rPr>
        <w:t>逐条</w:t>
      </w:r>
      <w:r>
        <w:rPr>
          <w:rFonts w:hint="eastAsia" w:ascii="宋体" w:hAnsi="宋体" w:eastAsia="宋体" w:cs="宋体"/>
          <w:color w:val="auto"/>
          <w:sz w:val="24"/>
        </w:rPr>
        <w:t>相对应地填列。</w:t>
      </w:r>
    </w:p>
    <w:p w14:paraId="03B8162E">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 xml:space="preserve">2.表内如果填列不全，可另外附页说明并按规定签字和加盖公章。             </w:t>
      </w:r>
    </w:p>
    <w:p w14:paraId="14602024">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3.采购人要求投标人认真填写本表。</w:t>
      </w:r>
    </w:p>
    <w:p w14:paraId="230C756C">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4.此表可根据需要自行拉长加宽。</w:t>
      </w:r>
    </w:p>
    <w:p w14:paraId="4E092FAF">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5.备注栏须填写正偏离或负偏离</w:t>
      </w:r>
      <w:r>
        <w:rPr>
          <w:rFonts w:hint="eastAsia" w:ascii="宋体" w:hAnsi="宋体" w:cs="宋体"/>
          <w:color w:val="auto"/>
          <w:sz w:val="24"/>
          <w:lang w:val="en-US" w:eastAsia="zh-CN"/>
        </w:rPr>
        <w:t>或无偏离</w:t>
      </w:r>
      <w:r>
        <w:rPr>
          <w:rFonts w:hint="eastAsia" w:ascii="宋体" w:hAnsi="宋体" w:cs="宋体"/>
          <w:color w:val="auto"/>
          <w:sz w:val="24"/>
        </w:rPr>
        <w:t>。</w:t>
      </w:r>
    </w:p>
    <w:p w14:paraId="153AC21F">
      <w:pPr>
        <w:spacing w:line="360" w:lineRule="auto"/>
        <w:ind w:firstLine="480" w:firstLineChars="200"/>
        <w:outlineLvl w:val="9"/>
        <w:rPr>
          <w:rFonts w:hint="eastAsia" w:ascii="宋体" w:hAnsi="宋体" w:cs="宋体"/>
          <w:color w:val="auto"/>
          <w:sz w:val="24"/>
        </w:rPr>
      </w:pPr>
    </w:p>
    <w:p w14:paraId="0BC06930">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投标单位全称（公章）：</w:t>
      </w:r>
    </w:p>
    <w:p w14:paraId="6959885C">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单位负责人或授权代理人（签字）：</w:t>
      </w:r>
    </w:p>
    <w:p w14:paraId="4415D91F">
      <w:pPr>
        <w:spacing w:line="360" w:lineRule="auto"/>
        <w:ind w:firstLine="480" w:firstLineChars="200"/>
        <w:outlineLvl w:val="9"/>
        <w:rPr>
          <w:rFonts w:hint="eastAsia" w:ascii="宋体" w:hAnsi="宋体" w:cs="宋体"/>
          <w:color w:val="auto"/>
          <w:sz w:val="24"/>
        </w:rPr>
      </w:pPr>
      <w:r>
        <w:rPr>
          <w:rFonts w:hint="eastAsia" w:ascii="宋体" w:hAnsi="宋体" w:cs="宋体"/>
          <w:color w:val="auto"/>
          <w:sz w:val="24"/>
        </w:rPr>
        <w:t>时间：     年  月  日</w:t>
      </w:r>
    </w:p>
    <w:p w14:paraId="51EE8798">
      <w:pPr>
        <w:spacing w:line="360" w:lineRule="auto"/>
        <w:jc w:val="center"/>
        <w:outlineLvl w:val="9"/>
        <w:rPr>
          <w:rFonts w:hint="eastAsia"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pgNumType w:fmt="decimal"/>
          <w:cols w:space="720" w:num="1"/>
          <w:docGrid w:linePitch="312" w:charSpace="0"/>
        </w:sectPr>
      </w:pPr>
    </w:p>
    <w:p w14:paraId="0554C53E">
      <w:pPr>
        <w:spacing w:line="360" w:lineRule="auto"/>
        <w:jc w:val="left"/>
        <w:outlineLvl w:val="1"/>
        <w:rPr>
          <w:rFonts w:hint="eastAsia" w:ascii="宋体" w:hAnsi="宋体"/>
          <w:b/>
          <w:color w:val="auto"/>
          <w:sz w:val="24"/>
          <w:szCs w:val="24"/>
        </w:rPr>
      </w:pPr>
      <w:bookmarkStart w:id="145" w:name="_Toc29968"/>
      <w:bookmarkStart w:id="146" w:name="_Toc23524"/>
      <w:r>
        <w:rPr>
          <w:rFonts w:hint="eastAsia" w:ascii="宋体" w:hAnsi="宋体"/>
          <w:b/>
          <w:color w:val="auto"/>
          <w:sz w:val="24"/>
          <w:szCs w:val="24"/>
        </w:rPr>
        <w:t>格式</w:t>
      </w:r>
      <w:r>
        <w:rPr>
          <w:rFonts w:hint="eastAsia" w:ascii="宋体" w:hAnsi="宋体"/>
          <w:b/>
          <w:color w:val="auto"/>
          <w:sz w:val="24"/>
          <w:szCs w:val="24"/>
          <w:lang w:val="en-US" w:eastAsia="zh-CN"/>
        </w:rPr>
        <w:t>十六 服务方案</w:t>
      </w:r>
    </w:p>
    <w:p w14:paraId="1037D664">
      <w:pPr>
        <w:outlineLvl w:val="1"/>
        <w:rPr>
          <w:rFonts w:hint="eastAsia" w:ascii="宋体" w:hAnsi="宋体"/>
          <w:b/>
          <w:bCs/>
          <w:color w:val="auto"/>
          <w:sz w:val="24"/>
          <w:szCs w:val="24"/>
        </w:rPr>
      </w:pPr>
    </w:p>
    <w:p w14:paraId="50CB822E">
      <w:pPr>
        <w:pStyle w:val="4"/>
        <w:rPr>
          <w:rFonts w:hint="eastAsia" w:ascii="宋体" w:hAnsi="宋体"/>
          <w:b/>
          <w:bCs/>
          <w:color w:val="auto"/>
          <w:sz w:val="24"/>
          <w:szCs w:val="24"/>
        </w:rPr>
      </w:pPr>
    </w:p>
    <w:p w14:paraId="1FC106D4">
      <w:pPr>
        <w:rPr>
          <w:rFonts w:hint="eastAsia" w:ascii="宋体" w:hAnsi="宋体"/>
          <w:b/>
          <w:bCs/>
          <w:color w:val="auto"/>
          <w:sz w:val="24"/>
          <w:szCs w:val="24"/>
        </w:rPr>
      </w:pPr>
    </w:p>
    <w:p w14:paraId="2B01A2A7">
      <w:pPr>
        <w:pStyle w:val="4"/>
        <w:jc w:val="center"/>
        <w:rPr>
          <w:rFonts w:hint="eastAsia"/>
          <w:color w:val="auto"/>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b/>
          <w:bCs/>
          <w:color w:val="auto"/>
          <w:sz w:val="30"/>
          <w:szCs w:val="30"/>
          <w:highlight w:val="none"/>
          <w:lang w:val="en-US" w:eastAsia="zh-CN"/>
        </w:rPr>
        <w:t>格式自拟</w:t>
      </w:r>
    </w:p>
    <w:p w14:paraId="624A13BD">
      <w:pPr>
        <w:outlineLvl w:val="1"/>
        <w:rPr>
          <w:rFonts w:hint="eastAsia" w:ascii="宋体" w:hAnsi="宋体"/>
          <w:b/>
          <w:bCs/>
          <w:color w:val="auto"/>
          <w:sz w:val="24"/>
          <w:szCs w:val="24"/>
        </w:rPr>
      </w:pPr>
      <w:r>
        <w:rPr>
          <w:rFonts w:hint="eastAsia" w:ascii="宋体" w:hAnsi="宋体"/>
          <w:b/>
          <w:bCs/>
          <w:color w:val="auto"/>
          <w:sz w:val="24"/>
          <w:szCs w:val="24"/>
        </w:rPr>
        <w:t>格式</w:t>
      </w:r>
      <w:r>
        <w:rPr>
          <w:rFonts w:hint="eastAsia" w:ascii="宋体" w:hAnsi="宋体"/>
          <w:b/>
          <w:bCs/>
          <w:color w:val="auto"/>
          <w:sz w:val="24"/>
          <w:szCs w:val="24"/>
          <w:lang w:val="en-US" w:eastAsia="zh-CN"/>
        </w:rPr>
        <w:t>十七</w:t>
      </w:r>
      <w:r>
        <w:rPr>
          <w:rFonts w:hint="eastAsia" w:ascii="宋体" w:hAnsi="宋体"/>
          <w:b/>
          <w:bCs/>
          <w:color w:val="auto"/>
          <w:sz w:val="24"/>
          <w:szCs w:val="24"/>
        </w:rPr>
        <w:t xml:space="preserve">  提供招标文件内要求的承诺书及投标人认为有必要提交的其他材料</w:t>
      </w:r>
      <w:bookmarkEnd w:id="145"/>
      <w:bookmarkEnd w:id="146"/>
    </w:p>
    <w:p w14:paraId="68A68B3B">
      <w:pPr>
        <w:pStyle w:val="19"/>
        <w:rPr>
          <w:rFonts w:hint="eastAsia" w:ascii="宋体" w:hAnsi="宋体"/>
          <w:b w:val="0"/>
          <w:bCs w:val="0"/>
          <w:color w:val="auto"/>
          <w:sz w:val="24"/>
          <w:szCs w:val="24"/>
        </w:rPr>
      </w:pPr>
    </w:p>
    <w:p w14:paraId="71B80A01">
      <w:pPr>
        <w:pStyle w:val="19"/>
        <w:rPr>
          <w:rFonts w:hint="eastAsia" w:ascii="宋体" w:hAnsi="宋体"/>
          <w:b w:val="0"/>
          <w:bCs w:val="0"/>
          <w:color w:val="auto"/>
          <w:sz w:val="24"/>
          <w:szCs w:val="24"/>
          <w:lang w:eastAsia="zh-CN"/>
        </w:rPr>
        <w:sectPr>
          <w:pgSz w:w="11906" w:h="16838"/>
          <w:pgMar w:top="1440" w:right="1417" w:bottom="1440" w:left="1417" w:header="720" w:footer="720" w:gutter="0"/>
          <w:pgBorders>
            <w:top w:val="none" w:sz="0" w:space="0"/>
            <w:left w:val="none" w:sz="0" w:space="0"/>
            <w:bottom w:val="none" w:sz="0" w:space="0"/>
            <w:right w:val="none" w:sz="0" w:space="0"/>
          </w:pgBorders>
          <w:pgNumType w:fmt="decimal"/>
          <w:cols w:space="720" w:num="1"/>
          <w:titlePg/>
        </w:sectPr>
      </w:pPr>
      <w:r>
        <w:rPr>
          <w:rFonts w:hint="eastAsia" w:ascii="宋体" w:hAnsi="宋体"/>
          <w:b w:val="0"/>
          <w:bCs w:val="0"/>
          <w:color w:val="auto"/>
          <w:sz w:val="24"/>
          <w:szCs w:val="24"/>
          <w:lang w:eastAsia="zh-CN"/>
        </w:rPr>
        <w:t>（格式自拟，</w:t>
      </w:r>
      <w:r>
        <w:rPr>
          <w:rFonts w:hint="eastAsia" w:ascii="宋体" w:hAnsi="宋体"/>
          <w:b w:val="0"/>
          <w:bCs w:val="0"/>
          <w:color w:val="auto"/>
          <w:sz w:val="24"/>
          <w:szCs w:val="24"/>
          <w:lang w:val="en-US" w:eastAsia="zh-CN"/>
        </w:rPr>
        <w:t>包括但不限于评标办法中要求的相关材料</w:t>
      </w:r>
      <w:r>
        <w:rPr>
          <w:rFonts w:hint="eastAsia" w:ascii="宋体" w:hAnsi="宋体"/>
          <w:b w:val="0"/>
          <w:bCs w:val="0"/>
          <w:color w:val="auto"/>
          <w:sz w:val="24"/>
          <w:szCs w:val="24"/>
          <w:lang w:eastAsia="zh-CN"/>
        </w:rPr>
        <w:t>）</w:t>
      </w:r>
    </w:p>
    <w:p w14:paraId="5093D51E">
      <w:pPr>
        <w:adjustRightInd w:val="0"/>
        <w:snapToGrid w:val="0"/>
        <w:spacing w:before="50" w:line="360" w:lineRule="auto"/>
        <w:jc w:val="left"/>
        <w:outlineLvl w:val="1"/>
        <w:rPr>
          <w:rFonts w:ascii="宋体" w:hAnsi="宋体" w:cs="宋体"/>
          <w:b/>
          <w:color w:val="auto"/>
          <w:sz w:val="24"/>
          <w:szCs w:val="24"/>
          <w:lang w:val="zh-CN"/>
        </w:rPr>
      </w:pPr>
      <w:r>
        <w:rPr>
          <w:rFonts w:hint="eastAsia" w:ascii="宋体" w:hAnsi="宋体" w:cs="宋体"/>
          <w:b/>
          <w:color w:val="auto"/>
          <w:sz w:val="24"/>
          <w:szCs w:val="24"/>
          <w:lang w:val="en-US" w:eastAsia="zh-CN"/>
        </w:rPr>
        <w:t xml:space="preserve"> </w:t>
      </w:r>
      <w:bookmarkStart w:id="147" w:name="_Toc12272"/>
      <w:bookmarkStart w:id="148" w:name="_Toc13298"/>
      <w:r>
        <w:rPr>
          <w:rFonts w:ascii="宋体" w:hAnsi="宋体" w:cs="宋体"/>
          <w:b/>
          <w:color w:val="auto"/>
          <w:sz w:val="24"/>
          <w:szCs w:val="24"/>
          <w:lang w:val="zh-CN"/>
        </w:rPr>
        <w:t>格式十</w:t>
      </w:r>
      <w:r>
        <w:rPr>
          <w:rFonts w:hint="eastAsia" w:ascii="宋体" w:hAnsi="宋体" w:cs="宋体"/>
          <w:b/>
          <w:color w:val="auto"/>
          <w:sz w:val="24"/>
          <w:szCs w:val="24"/>
          <w:lang w:val="en-US" w:eastAsia="zh-CN"/>
        </w:rPr>
        <w:t>八</w:t>
      </w:r>
      <w:r>
        <w:rPr>
          <w:rFonts w:ascii="宋体" w:hAnsi="宋体" w:cs="宋体"/>
          <w:b/>
          <w:color w:val="auto"/>
          <w:sz w:val="24"/>
          <w:szCs w:val="24"/>
          <w:lang w:val="zh-CN"/>
        </w:rPr>
        <w:t xml:space="preserve"> </w:t>
      </w:r>
      <w:r>
        <w:rPr>
          <w:rFonts w:hint="eastAsia" w:ascii="宋体" w:hAnsi="宋体" w:cs="宋体"/>
          <w:b/>
          <w:color w:val="auto"/>
          <w:sz w:val="24"/>
          <w:szCs w:val="24"/>
          <w:lang w:val="en-US" w:eastAsia="zh-CN"/>
        </w:rPr>
        <w:t xml:space="preserve"> </w:t>
      </w:r>
      <w:r>
        <w:rPr>
          <w:rFonts w:ascii="宋体" w:hAnsi="宋体" w:cs="宋体"/>
          <w:b/>
          <w:color w:val="auto"/>
          <w:sz w:val="24"/>
          <w:szCs w:val="24"/>
          <w:lang w:val="zh-CN"/>
        </w:rPr>
        <w:t>中小企业声明函</w:t>
      </w:r>
      <w:bookmarkEnd w:id="147"/>
      <w:bookmarkEnd w:id="148"/>
    </w:p>
    <w:p w14:paraId="01BC5231">
      <w:pPr>
        <w:pStyle w:val="4"/>
        <w:spacing w:before="0" w:line="240" w:lineRule="atLeast"/>
        <w:ind w:left="0" w:leftChars="0" w:firstLine="0" w:firstLineChars="0"/>
        <w:jc w:val="center"/>
        <w:rPr>
          <w:rFonts w:hint="eastAsia" w:ascii="宋体" w:eastAsia="宋体"/>
          <w:sz w:val="24"/>
          <w:lang w:eastAsia="zh-CN"/>
        </w:rPr>
      </w:pPr>
      <w:bookmarkStart w:id="149" w:name="_Toc10611"/>
      <w:bookmarkStart w:id="150" w:name="_Toc4562"/>
      <w:r>
        <w:rPr>
          <w:rFonts w:hint="eastAsia"/>
          <w:lang w:eastAsia="zh-CN"/>
        </w:rPr>
        <w:t>中小企业声明函（</w:t>
      </w:r>
      <w:r>
        <w:rPr>
          <w:rFonts w:hint="eastAsia"/>
          <w:lang w:val="en-US" w:eastAsia="zh-CN"/>
        </w:rPr>
        <w:t>货物</w:t>
      </w:r>
      <w:r>
        <w:rPr>
          <w:rFonts w:hint="eastAsia"/>
          <w:lang w:eastAsia="zh-CN"/>
        </w:rPr>
        <w:t>）</w:t>
      </w:r>
    </w:p>
    <w:p w14:paraId="1AA17631">
      <w:pPr>
        <w:autoSpaceDE w:val="0"/>
        <w:autoSpaceDN w:val="0"/>
        <w:adjustRightInd w:val="0"/>
        <w:rPr>
          <w:rFonts w:hint="eastAsia" w:ascii="黑体" w:eastAsia="黑体"/>
          <w:b/>
          <w:bCs/>
          <w:sz w:val="24"/>
          <w:szCs w:val="24"/>
          <w:lang w:val="zh-CN"/>
        </w:rPr>
      </w:pPr>
    </w:p>
    <w:p w14:paraId="028C1925">
      <w:pPr>
        <w:autoSpaceDE w:val="0"/>
        <w:autoSpaceDN w:val="0"/>
        <w:adjustRightInd w:val="0"/>
        <w:rPr>
          <w:rFonts w:hint="eastAsia" w:ascii="黑体" w:eastAsia="黑体"/>
          <w:b/>
          <w:bCs/>
          <w:sz w:val="24"/>
          <w:szCs w:val="24"/>
          <w:lang w:val="zh-CN"/>
        </w:rPr>
      </w:pPr>
    </w:p>
    <w:p w14:paraId="41A81E93">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本公司（联合体）郑重声明，根据《政府采购促进中小企业发展管理办法》（财库﹝2020﹞46号）的规定，本公司</w:t>
      </w:r>
      <w:r>
        <w:rPr>
          <w:rFonts w:hint="eastAsia" w:ascii="宋体" w:hAnsi="宋体"/>
          <w:b w:val="0"/>
          <w:bCs/>
          <w:color w:val="auto"/>
          <w:sz w:val="24"/>
          <w:szCs w:val="24"/>
          <w:u w:val="single"/>
        </w:rPr>
        <w:t>（联合体）</w:t>
      </w:r>
      <w:r>
        <w:rPr>
          <w:rFonts w:hint="eastAsia" w:ascii="宋体" w:hAnsi="宋体"/>
          <w:b w:val="0"/>
          <w:bCs/>
          <w:color w:val="auto"/>
          <w:sz w:val="24"/>
          <w:szCs w:val="24"/>
        </w:rPr>
        <w:t>参加</w:t>
      </w:r>
      <w:r>
        <w:rPr>
          <w:rFonts w:hint="eastAsia" w:ascii="宋体" w:hAnsi="宋体"/>
          <w:b w:val="0"/>
          <w:bCs/>
          <w:color w:val="auto"/>
          <w:sz w:val="24"/>
          <w:szCs w:val="24"/>
          <w:u w:val="single"/>
        </w:rPr>
        <w:t>（单位名称）</w:t>
      </w:r>
      <w:r>
        <w:rPr>
          <w:rFonts w:hint="eastAsia" w:ascii="宋体" w:hAnsi="宋体"/>
          <w:b w:val="0"/>
          <w:bCs/>
          <w:color w:val="auto"/>
          <w:sz w:val="24"/>
          <w:szCs w:val="24"/>
        </w:rPr>
        <w:t>的</w:t>
      </w:r>
      <w:r>
        <w:rPr>
          <w:rFonts w:hint="eastAsia" w:ascii="宋体" w:hAnsi="宋体"/>
          <w:b w:val="0"/>
          <w:bCs/>
          <w:color w:val="auto"/>
          <w:sz w:val="24"/>
          <w:szCs w:val="24"/>
          <w:u w:val="single"/>
        </w:rPr>
        <w:t>（项目名称）</w:t>
      </w:r>
      <w:r>
        <w:rPr>
          <w:rFonts w:hint="eastAsia" w:ascii="宋体" w:hAnsi="宋体"/>
          <w:b w:val="0"/>
          <w:bCs/>
          <w:color w:val="auto"/>
          <w:sz w:val="24"/>
          <w:szCs w:val="24"/>
        </w:rPr>
        <w:t xml:space="preserve">采购活动，提供的货物全部由符合政策要求的中小企业制造。相关企业（含联合体中的中小企业、签订分包意向协议的中小企业）的具体情况如下： </w:t>
      </w:r>
    </w:p>
    <w:p w14:paraId="7F0DD366">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1、</w:t>
      </w:r>
      <w:r>
        <w:rPr>
          <w:rFonts w:hint="eastAsia" w:ascii="宋体" w:hAnsi="宋体"/>
          <w:b w:val="0"/>
          <w:bCs/>
          <w:color w:val="auto"/>
          <w:sz w:val="24"/>
          <w:szCs w:val="24"/>
          <w:u w:val="single"/>
        </w:rPr>
        <w:t>（标的名称）</w:t>
      </w:r>
      <w:r>
        <w:rPr>
          <w:rFonts w:hint="eastAsia" w:ascii="宋体" w:hAnsi="宋体"/>
          <w:b w:val="0"/>
          <w:bCs/>
          <w:color w:val="auto"/>
          <w:sz w:val="24"/>
          <w:szCs w:val="24"/>
        </w:rPr>
        <w:t>，属于</w:t>
      </w:r>
      <w:r>
        <w:rPr>
          <w:rFonts w:hint="eastAsia" w:ascii="宋体" w:hAnsi="宋体"/>
          <w:b w:val="0"/>
          <w:bCs/>
          <w:color w:val="auto"/>
          <w:sz w:val="24"/>
          <w:szCs w:val="24"/>
          <w:u w:val="single"/>
        </w:rPr>
        <w:t>（采购文件中明确的所属行业）</w:t>
      </w:r>
      <w:r>
        <w:rPr>
          <w:rFonts w:hint="eastAsia" w:ascii="宋体" w:hAnsi="宋体"/>
          <w:b w:val="0"/>
          <w:bCs/>
          <w:color w:val="auto"/>
          <w:sz w:val="24"/>
          <w:szCs w:val="24"/>
        </w:rPr>
        <w:t>行业；制造商为</w:t>
      </w:r>
      <w:r>
        <w:rPr>
          <w:rFonts w:hint="eastAsia" w:ascii="宋体" w:hAnsi="宋体"/>
          <w:b w:val="0"/>
          <w:bCs/>
          <w:color w:val="auto"/>
          <w:sz w:val="24"/>
          <w:szCs w:val="24"/>
          <w:u w:val="single"/>
        </w:rPr>
        <w:t>（企业名称）</w:t>
      </w:r>
      <w:r>
        <w:rPr>
          <w:rFonts w:hint="eastAsia" w:ascii="宋体" w:hAnsi="宋体"/>
          <w:b w:val="0"/>
          <w:bCs/>
          <w:color w:val="auto"/>
          <w:sz w:val="24"/>
          <w:szCs w:val="24"/>
        </w:rPr>
        <w:t>，从业人员</w:t>
      </w:r>
      <w:r>
        <w:rPr>
          <w:rFonts w:hint="eastAsia" w:ascii="宋体" w:hAnsi="宋体"/>
          <w:b w:val="0"/>
          <w:bCs/>
          <w:color w:val="auto"/>
          <w:sz w:val="24"/>
          <w:szCs w:val="24"/>
          <w:u w:val="single"/>
        </w:rPr>
        <w:t xml:space="preserve">     </w:t>
      </w:r>
      <w:r>
        <w:rPr>
          <w:rFonts w:hint="eastAsia" w:ascii="宋体" w:hAnsi="宋体"/>
          <w:b w:val="0"/>
          <w:bCs/>
          <w:color w:val="auto"/>
          <w:sz w:val="24"/>
          <w:szCs w:val="24"/>
        </w:rPr>
        <w:t>人，营业收入为</w:t>
      </w:r>
      <w:r>
        <w:rPr>
          <w:rFonts w:hint="eastAsia" w:ascii="宋体" w:hAnsi="宋体"/>
          <w:b w:val="0"/>
          <w:bCs/>
          <w:color w:val="auto"/>
          <w:sz w:val="24"/>
          <w:szCs w:val="24"/>
          <w:u w:val="single"/>
        </w:rPr>
        <w:t xml:space="preserve">     </w:t>
      </w:r>
      <w:r>
        <w:rPr>
          <w:rFonts w:hint="eastAsia" w:ascii="宋体" w:hAnsi="宋体"/>
          <w:b w:val="0"/>
          <w:bCs/>
          <w:color w:val="auto"/>
          <w:sz w:val="24"/>
          <w:szCs w:val="24"/>
        </w:rPr>
        <w:t>万元，资产总额为</w:t>
      </w:r>
      <w:r>
        <w:rPr>
          <w:rFonts w:hint="eastAsia" w:ascii="宋体" w:hAnsi="宋体"/>
          <w:b w:val="0"/>
          <w:bCs/>
          <w:color w:val="auto"/>
          <w:sz w:val="24"/>
          <w:szCs w:val="24"/>
          <w:u w:val="single"/>
        </w:rPr>
        <w:t xml:space="preserve">     </w:t>
      </w:r>
      <w:r>
        <w:rPr>
          <w:w w:val="96"/>
          <w:u w:val="none"/>
        </w:rPr>
        <w:t>万元</w:t>
      </w:r>
      <w:r>
        <w:rPr>
          <w:position w:val="12"/>
          <w:sz w:val="12"/>
          <w:u w:val="none"/>
        </w:rPr>
        <w:t>1</w:t>
      </w:r>
      <w:r>
        <w:rPr>
          <w:rFonts w:hint="eastAsia" w:ascii="宋体" w:hAnsi="宋体"/>
          <w:b w:val="0"/>
          <w:bCs/>
          <w:color w:val="auto"/>
          <w:sz w:val="24"/>
          <w:szCs w:val="24"/>
        </w:rPr>
        <w:t>，</w:t>
      </w:r>
      <w:r>
        <w:rPr>
          <w:rFonts w:hint="eastAsia" w:ascii="宋体" w:hAnsi="宋体"/>
          <w:b w:val="0"/>
          <w:bCs/>
          <w:color w:val="auto"/>
          <w:sz w:val="24"/>
          <w:szCs w:val="24"/>
          <w:u w:val="single"/>
        </w:rPr>
        <w:t>属于（中型企业、小型企业、微型企业）</w:t>
      </w:r>
      <w:r>
        <w:rPr>
          <w:rFonts w:hint="eastAsia" w:ascii="宋体" w:hAnsi="宋体"/>
          <w:b w:val="0"/>
          <w:bCs/>
          <w:color w:val="auto"/>
          <w:sz w:val="24"/>
          <w:szCs w:val="24"/>
        </w:rPr>
        <w:t xml:space="preserve">； </w:t>
      </w:r>
    </w:p>
    <w:p w14:paraId="20230BDC">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2、</w:t>
      </w:r>
      <w:r>
        <w:rPr>
          <w:rFonts w:hint="eastAsia" w:ascii="宋体" w:hAnsi="宋体"/>
          <w:b w:val="0"/>
          <w:bCs/>
          <w:color w:val="auto"/>
          <w:sz w:val="24"/>
          <w:szCs w:val="24"/>
          <w:u w:val="single"/>
        </w:rPr>
        <w:t>（标的名称）</w:t>
      </w:r>
      <w:r>
        <w:rPr>
          <w:rFonts w:hint="eastAsia" w:ascii="宋体" w:hAnsi="宋体"/>
          <w:b w:val="0"/>
          <w:bCs/>
          <w:color w:val="auto"/>
          <w:sz w:val="24"/>
          <w:szCs w:val="24"/>
        </w:rPr>
        <w:t>，属于</w:t>
      </w:r>
      <w:r>
        <w:rPr>
          <w:rFonts w:hint="eastAsia" w:ascii="宋体" w:hAnsi="宋体"/>
          <w:b w:val="0"/>
          <w:bCs/>
          <w:color w:val="auto"/>
          <w:sz w:val="24"/>
          <w:szCs w:val="24"/>
          <w:u w:val="single"/>
        </w:rPr>
        <w:t>（采购文件中明确的所属行业）</w:t>
      </w:r>
      <w:r>
        <w:rPr>
          <w:rFonts w:hint="eastAsia" w:ascii="宋体" w:hAnsi="宋体"/>
          <w:b w:val="0"/>
          <w:bCs/>
          <w:color w:val="auto"/>
          <w:sz w:val="24"/>
          <w:szCs w:val="24"/>
        </w:rPr>
        <w:t>行业；制造商为</w:t>
      </w:r>
      <w:r>
        <w:rPr>
          <w:rFonts w:hint="eastAsia" w:ascii="宋体" w:hAnsi="宋体"/>
          <w:b w:val="0"/>
          <w:bCs/>
          <w:color w:val="auto"/>
          <w:sz w:val="24"/>
          <w:szCs w:val="24"/>
          <w:u w:val="single"/>
        </w:rPr>
        <w:t>（企业名称）</w:t>
      </w:r>
      <w:r>
        <w:rPr>
          <w:rFonts w:hint="eastAsia" w:ascii="宋体" w:hAnsi="宋体"/>
          <w:b w:val="0"/>
          <w:bCs/>
          <w:color w:val="auto"/>
          <w:sz w:val="24"/>
          <w:szCs w:val="24"/>
        </w:rPr>
        <w:t>，从业人员</w:t>
      </w:r>
      <w:r>
        <w:rPr>
          <w:rFonts w:hint="eastAsia" w:ascii="宋体" w:hAnsi="宋体"/>
          <w:b w:val="0"/>
          <w:bCs/>
          <w:color w:val="auto"/>
          <w:sz w:val="24"/>
          <w:szCs w:val="24"/>
          <w:u w:val="single"/>
        </w:rPr>
        <w:t xml:space="preserve">     </w:t>
      </w:r>
      <w:r>
        <w:rPr>
          <w:rFonts w:hint="eastAsia" w:ascii="宋体" w:hAnsi="宋体"/>
          <w:b w:val="0"/>
          <w:bCs/>
          <w:color w:val="auto"/>
          <w:sz w:val="24"/>
          <w:szCs w:val="24"/>
        </w:rPr>
        <w:t>人，营业收入为</w:t>
      </w:r>
      <w:r>
        <w:rPr>
          <w:rFonts w:hint="eastAsia" w:ascii="宋体" w:hAnsi="宋体"/>
          <w:b w:val="0"/>
          <w:bCs/>
          <w:color w:val="auto"/>
          <w:sz w:val="24"/>
          <w:szCs w:val="24"/>
          <w:u w:val="single"/>
        </w:rPr>
        <w:t xml:space="preserve">     </w:t>
      </w:r>
      <w:r>
        <w:rPr>
          <w:rFonts w:hint="eastAsia" w:ascii="宋体" w:hAnsi="宋体"/>
          <w:b w:val="0"/>
          <w:bCs/>
          <w:color w:val="auto"/>
          <w:sz w:val="24"/>
          <w:szCs w:val="24"/>
        </w:rPr>
        <w:t>万元，资产总额为</w:t>
      </w:r>
      <w:r>
        <w:rPr>
          <w:rFonts w:hint="eastAsia" w:ascii="宋体" w:hAnsi="宋体"/>
          <w:b w:val="0"/>
          <w:bCs/>
          <w:color w:val="auto"/>
          <w:sz w:val="24"/>
          <w:szCs w:val="24"/>
          <w:u w:val="single"/>
        </w:rPr>
        <w:t xml:space="preserve">     </w:t>
      </w:r>
      <w:r>
        <w:rPr>
          <w:rFonts w:hint="eastAsia" w:ascii="宋体" w:hAnsi="宋体"/>
          <w:b w:val="0"/>
          <w:bCs/>
          <w:color w:val="auto"/>
          <w:sz w:val="24"/>
          <w:szCs w:val="24"/>
        </w:rPr>
        <w:t>万元，属于</w:t>
      </w:r>
      <w:r>
        <w:rPr>
          <w:rFonts w:hint="eastAsia" w:ascii="宋体" w:hAnsi="宋体"/>
          <w:b w:val="0"/>
          <w:bCs/>
          <w:color w:val="auto"/>
          <w:sz w:val="24"/>
          <w:szCs w:val="24"/>
          <w:u w:val="single"/>
        </w:rPr>
        <w:t>（中型企业、小型企业、微型企业）</w:t>
      </w:r>
      <w:r>
        <w:rPr>
          <w:rFonts w:hint="eastAsia" w:ascii="宋体" w:hAnsi="宋体"/>
          <w:b w:val="0"/>
          <w:bCs/>
          <w:color w:val="auto"/>
          <w:sz w:val="24"/>
          <w:szCs w:val="24"/>
        </w:rPr>
        <w:t xml:space="preserve">； </w:t>
      </w:r>
    </w:p>
    <w:p w14:paraId="28905019">
      <w:pPr>
        <w:tabs>
          <w:tab w:val="left" w:pos="0"/>
          <w:tab w:val="left" w:pos="2309"/>
          <w:tab w:val="center" w:pos="4267"/>
        </w:tabs>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w:t>
      </w:r>
    </w:p>
    <w:p w14:paraId="12AE7323">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 xml:space="preserve">以上企业，不属于大企业的分支机构，不存在控股股东为大企业的情形，也不存在与大企业的负责人为同一人的情形。 </w:t>
      </w:r>
    </w:p>
    <w:p w14:paraId="19075B54">
      <w:pPr>
        <w:tabs>
          <w:tab w:val="left" w:pos="0"/>
          <w:tab w:val="left" w:pos="2309"/>
          <w:tab w:val="center" w:pos="4267"/>
        </w:tabs>
        <w:spacing w:line="360" w:lineRule="auto"/>
        <w:ind w:firstLine="480" w:firstLineChars="200"/>
        <w:rPr>
          <w:rFonts w:hint="eastAsia" w:ascii="宋体" w:hAnsi="宋体"/>
          <w:b w:val="0"/>
          <w:bCs/>
          <w:color w:val="auto"/>
          <w:sz w:val="24"/>
          <w:szCs w:val="24"/>
        </w:rPr>
      </w:pPr>
      <w:r>
        <w:rPr>
          <w:rFonts w:hint="eastAsia" w:ascii="宋体" w:hAnsi="宋体"/>
          <w:b w:val="0"/>
          <w:bCs/>
          <w:color w:val="auto"/>
          <w:sz w:val="24"/>
          <w:szCs w:val="24"/>
        </w:rPr>
        <w:t xml:space="preserve">本企业对上述声明内容的真实性负责。如有虚假，将依法承担相应责任。 </w:t>
      </w:r>
    </w:p>
    <w:p w14:paraId="5F5A8FD7">
      <w:pPr>
        <w:tabs>
          <w:tab w:val="left" w:pos="0"/>
          <w:tab w:val="left" w:pos="2309"/>
          <w:tab w:val="center" w:pos="4267"/>
        </w:tabs>
        <w:spacing w:line="360" w:lineRule="auto"/>
        <w:rPr>
          <w:rFonts w:hint="eastAsia" w:ascii="宋体" w:hAnsi="宋体"/>
          <w:b w:val="0"/>
          <w:bCs/>
          <w:color w:val="auto"/>
          <w:sz w:val="24"/>
          <w:szCs w:val="24"/>
        </w:rPr>
      </w:pPr>
      <w:r>
        <w:rPr>
          <w:rFonts w:hint="eastAsia" w:ascii="宋体" w:hAnsi="宋体"/>
          <w:b w:val="0"/>
          <w:bCs/>
          <w:color w:val="auto"/>
          <w:sz w:val="24"/>
          <w:szCs w:val="24"/>
        </w:rPr>
        <w:t xml:space="preserve"> </w:t>
      </w:r>
    </w:p>
    <w:p w14:paraId="17EA7AF3">
      <w:pPr>
        <w:tabs>
          <w:tab w:val="left" w:pos="0"/>
          <w:tab w:val="left" w:pos="2309"/>
          <w:tab w:val="center" w:pos="4267"/>
        </w:tabs>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企业名称（盖章）：</w:t>
      </w:r>
    </w:p>
    <w:p w14:paraId="4FF462CC">
      <w:pPr>
        <w:tabs>
          <w:tab w:val="left" w:pos="0"/>
          <w:tab w:val="left" w:pos="2309"/>
          <w:tab w:val="center" w:pos="4267"/>
        </w:tabs>
        <w:spacing w:line="360" w:lineRule="auto"/>
        <w:jc w:val="center"/>
        <w:rPr>
          <w:rFonts w:hint="eastAsia" w:ascii="宋体" w:hAnsi="宋体"/>
          <w:b w:val="0"/>
          <w:bCs/>
          <w:color w:val="auto"/>
          <w:sz w:val="24"/>
          <w:szCs w:val="24"/>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 xml:space="preserve">日期： </w:t>
      </w:r>
    </w:p>
    <w:p w14:paraId="2D55B737">
      <w:pPr>
        <w:tabs>
          <w:tab w:val="left" w:pos="0"/>
          <w:tab w:val="left" w:pos="2309"/>
          <w:tab w:val="center" w:pos="4267"/>
        </w:tabs>
        <w:spacing w:line="360" w:lineRule="auto"/>
        <w:rPr>
          <w:rFonts w:hint="eastAsia" w:ascii="宋体" w:hAnsi="宋体"/>
          <w:b/>
          <w:color w:val="auto"/>
          <w:sz w:val="24"/>
          <w:szCs w:val="24"/>
        </w:rPr>
      </w:pPr>
      <w:r>
        <w:rPr>
          <w:rFonts w:hint="eastAsia" w:ascii="宋体" w:hAnsi="宋体"/>
          <w:b/>
          <w:color w:val="auto"/>
          <w:sz w:val="24"/>
          <w:szCs w:val="24"/>
        </w:rPr>
        <w:t xml:space="preserve">  </w:t>
      </w:r>
    </w:p>
    <w:p w14:paraId="3A6B3EAF">
      <w:pPr>
        <w:tabs>
          <w:tab w:val="left" w:pos="0"/>
          <w:tab w:val="left" w:pos="2309"/>
          <w:tab w:val="center" w:pos="4267"/>
        </w:tabs>
        <w:spacing w:line="360" w:lineRule="auto"/>
        <w:rPr>
          <w:rFonts w:hint="eastAsia" w:ascii="宋体" w:hAnsi="宋体"/>
          <w:b/>
          <w:color w:val="auto"/>
          <w:sz w:val="24"/>
          <w:szCs w:val="24"/>
        </w:rPr>
      </w:pPr>
    </w:p>
    <w:p w14:paraId="2B62E950"/>
    <w:p w14:paraId="59EC96B8">
      <w:pPr>
        <w:adjustRightInd w:val="0"/>
        <w:snapToGrid w:val="0"/>
        <w:spacing w:line="520" w:lineRule="atLeast"/>
        <w:outlineLvl w:val="9"/>
        <w:rPr>
          <w:color w:val="auto"/>
          <w:sz w:val="24"/>
          <w:highlight w:val="none"/>
        </w:rPr>
      </w:pPr>
    </w:p>
    <w:p w14:paraId="0C023B29">
      <w:pPr>
        <w:pStyle w:val="11"/>
        <w:adjustRightInd w:val="0"/>
        <w:snapToGrid w:val="0"/>
        <w:rPr>
          <w:rFonts w:ascii="宋体" w:hAnsi="宋体" w:eastAsia="宋体"/>
          <w:snapToGrid w:val="0"/>
          <w:color w:val="auto"/>
          <w:kern w:val="0"/>
          <w:sz w:val="24"/>
          <w:szCs w:val="24"/>
        </w:rPr>
      </w:pPr>
      <w:r>
        <w:rPr>
          <w:rFonts w:eastAsia="宋体"/>
          <w:color w:val="auto"/>
          <w:sz w:val="24"/>
          <w:szCs w:val="24"/>
          <w:highlight w:val="none"/>
        </w:rPr>
        <w:t>注：从业人员、营业收入、资产总额填报上一年度数据，无上一年度数据的新成立企业可不填报</w:t>
      </w:r>
      <w:r>
        <w:rPr>
          <w:rFonts w:ascii="宋体" w:hAnsi="宋体" w:eastAsia="宋体" w:cs="宋体"/>
          <w:color w:val="auto"/>
          <w:sz w:val="24"/>
          <w:szCs w:val="24"/>
        </w:rPr>
        <w:t>。</w:t>
      </w:r>
    </w:p>
    <w:p w14:paraId="32678B73">
      <w:pPr>
        <w:spacing w:line="440" w:lineRule="exact"/>
        <w:jc w:val="center"/>
        <w:rPr>
          <w:rFonts w:ascii="宋体" w:hAnsi="宋体" w:cs="宋体"/>
          <w:b/>
          <w:bCs/>
          <w:color w:val="auto"/>
          <w:sz w:val="24"/>
          <w:lang w:val="zh-CN"/>
        </w:rPr>
      </w:pPr>
    </w:p>
    <w:p w14:paraId="0811DC7F">
      <w:pPr>
        <w:rPr>
          <w:b/>
          <w:bCs/>
          <w:color w:val="auto"/>
        </w:rPr>
      </w:pPr>
      <w:r>
        <w:rPr>
          <w:rFonts w:hint="eastAsia" w:ascii="宋体" w:hAnsi="宋体" w:cs="宋体"/>
          <w:b/>
          <w:bCs/>
          <w:color w:val="auto"/>
          <w:sz w:val="24"/>
        </w:rPr>
        <w:t>注：如</w:t>
      </w:r>
      <w:r>
        <w:rPr>
          <w:rFonts w:hint="eastAsia" w:ascii="宋体" w:hAnsi="宋体" w:cs="宋体"/>
          <w:b/>
          <w:bCs/>
          <w:color w:val="auto"/>
          <w:sz w:val="24"/>
          <w:lang w:val="en-US" w:eastAsia="zh-CN"/>
        </w:rPr>
        <w:t>供货</w:t>
      </w:r>
      <w:r>
        <w:rPr>
          <w:rFonts w:hint="eastAsia" w:ascii="宋体" w:hAnsi="宋体" w:cs="宋体"/>
          <w:b/>
          <w:bCs/>
          <w:color w:val="auto"/>
          <w:sz w:val="24"/>
        </w:rPr>
        <w:t>商虚假承诺本声明函，中标的</w:t>
      </w:r>
      <w:r>
        <w:rPr>
          <w:rFonts w:hint="eastAsia" w:ascii="宋体" w:hAnsi="宋体" w:cs="宋体"/>
          <w:b/>
          <w:bCs/>
          <w:color w:val="auto"/>
          <w:sz w:val="24"/>
          <w:lang w:val="en-US" w:eastAsia="zh-CN"/>
        </w:rPr>
        <w:t>供货</w:t>
      </w:r>
      <w:r>
        <w:rPr>
          <w:rFonts w:hint="eastAsia" w:ascii="宋体" w:hAnsi="宋体" w:cs="宋体"/>
          <w:b/>
          <w:bCs/>
          <w:color w:val="auto"/>
          <w:sz w:val="24"/>
        </w:rPr>
        <w:t>商采购人有权拒绝与其签署合同，并追究其法律责任，未中标服务商视为其虚假响应，并将此虚假响应情况报送主管部门处理。</w:t>
      </w:r>
    </w:p>
    <w:p w14:paraId="152E2E3D">
      <w:pPr>
        <w:pStyle w:val="23"/>
        <w:ind w:firstLine="0" w:firstLineChars="0"/>
        <w:rPr>
          <w:rFonts w:ascii="宋体" w:hAnsi="宋体" w:eastAsia="宋体" w:cs="宋体"/>
          <w:b/>
          <w:bCs/>
          <w:color w:val="auto"/>
          <w:kern w:val="0"/>
          <w:sz w:val="24"/>
          <w:szCs w:val="24"/>
        </w:rPr>
      </w:pPr>
    </w:p>
    <w:p w14:paraId="46900981">
      <w:pPr>
        <w:bidi w:val="0"/>
        <w:rPr>
          <w:rFonts w:hint="eastAsia"/>
          <w:color w:val="auto"/>
        </w:rPr>
      </w:pPr>
    </w:p>
    <w:p w14:paraId="2EC5E984">
      <w:pPr>
        <w:autoSpaceDE w:val="0"/>
        <w:autoSpaceDN w:val="0"/>
        <w:adjustRightInd w:val="0"/>
        <w:jc w:val="left"/>
        <w:outlineLvl w:val="1"/>
        <w:rPr>
          <w:rFonts w:hint="eastAsia" w:ascii="宋体" w:hAnsi="宋体"/>
          <w:b/>
          <w:color w:val="auto"/>
          <w:sz w:val="24"/>
          <w:szCs w:val="24"/>
        </w:rPr>
        <w:sectPr>
          <w:pgSz w:w="11906" w:h="16838"/>
          <w:pgMar w:top="1440" w:right="1417" w:bottom="1440" w:left="1417" w:header="851" w:footer="737" w:gutter="0"/>
          <w:pgBorders>
            <w:top w:val="none" w:sz="0" w:space="0"/>
            <w:left w:val="none" w:sz="0" w:space="0"/>
            <w:bottom w:val="none" w:sz="0" w:space="0"/>
            <w:right w:val="none" w:sz="0" w:space="0"/>
          </w:pgBorders>
          <w:pgNumType w:fmt="decimal"/>
          <w:cols w:space="720" w:num="1"/>
          <w:titlePg/>
          <w:docGrid w:linePitch="490" w:charSpace="0"/>
        </w:sectPr>
      </w:pPr>
    </w:p>
    <w:p w14:paraId="33DD909E">
      <w:pPr>
        <w:autoSpaceDE w:val="0"/>
        <w:autoSpaceDN w:val="0"/>
        <w:adjustRightInd w:val="0"/>
        <w:jc w:val="left"/>
        <w:outlineLvl w:val="1"/>
        <w:rPr>
          <w:rFonts w:hint="eastAsia" w:ascii="宋体" w:hAnsi="宋体" w:eastAsia="宋体"/>
          <w:b/>
          <w:color w:val="auto"/>
          <w:sz w:val="24"/>
          <w:szCs w:val="24"/>
          <w:lang w:eastAsia="zh-CN"/>
        </w:rPr>
      </w:pPr>
      <w:r>
        <w:rPr>
          <w:rFonts w:hint="eastAsia" w:ascii="宋体" w:hAnsi="宋体"/>
          <w:b/>
          <w:color w:val="auto"/>
          <w:sz w:val="24"/>
          <w:szCs w:val="24"/>
        </w:rPr>
        <w:t xml:space="preserve"> </w:t>
      </w:r>
      <w:bookmarkEnd w:id="149"/>
      <w:bookmarkEnd w:id="150"/>
      <w:r>
        <w:rPr>
          <w:rFonts w:hint="eastAsia" w:ascii="宋体" w:hAnsi="宋体"/>
          <w:b/>
          <w:color w:val="auto"/>
          <w:sz w:val="24"/>
          <w:szCs w:val="24"/>
        </w:rPr>
        <w:t>监狱企业</w:t>
      </w:r>
      <w:r>
        <w:rPr>
          <w:rFonts w:hint="eastAsia" w:ascii="宋体" w:hAnsi="宋体"/>
          <w:b/>
          <w:color w:val="auto"/>
          <w:sz w:val="24"/>
          <w:szCs w:val="24"/>
          <w:lang w:eastAsia="zh-CN"/>
        </w:rPr>
        <w:t>、</w:t>
      </w:r>
      <w:r>
        <w:rPr>
          <w:rFonts w:hint="eastAsia" w:ascii="宋体" w:hAnsi="宋体"/>
          <w:b/>
          <w:color w:val="auto"/>
          <w:sz w:val="24"/>
          <w:szCs w:val="24"/>
        </w:rPr>
        <w:t>残疾人福利性单位</w:t>
      </w:r>
    </w:p>
    <w:p w14:paraId="620C0BA1">
      <w:pPr>
        <w:autoSpaceDE w:val="0"/>
        <w:autoSpaceDN w:val="0"/>
        <w:adjustRightInd w:val="0"/>
        <w:jc w:val="left"/>
        <w:outlineLvl w:val="9"/>
        <w:rPr>
          <w:rFonts w:hint="eastAsia" w:ascii="宋体" w:hAnsi="宋体"/>
          <w:b/>
          <w:color w:val="auto"/>
          <w:sz w:val="24"/>
          <w:szCs w:val="24"/>
        </w:rPr>
      </w:pPr>
    </w:p>
    <w:p w14:paraId="4C695B69">
      <w:pPr>
        <w:numPr>
          <w:ilvl w:val="0"/>
          <w:numId w:val="14"/>
        </w:numPr>
        <w:autoSpaceDE w:val="0"/>
        <w:autoSpaceDN w:val="0"/>
        <w:adjustRightInd w:val="0"/>
        <w:spacing w:line="360" w:lineRule="auto"/>
        <w:jc w:val="left"/>
        <w:outlineLvl w:val="9"/>
        <w:rPr>
          <w:rFonts w:ascii="宋体" w:hAnsi="宋体" w:cs="宋体"/>
          <w:color w:val="auto"/>
          <w:spacing w:val="6"/>
          <w:kern w:val="0"/>
          <w:sz w:val="24"/>
          <w:szCs w:val="24"/>
        </w:rPr>
      </w:pPr>
      <w:r>
        <w:rPr>
          <w:rFonts w:hint="eastAsia" w:ascii="宋体" w:hAnsi="宋体" w:cs="宋体"/>
          <w:color w:val="auto"/>
          <w:spacing w:val="6"/>
          <w:kern w:val="0"/>
          <w:sz w:val="24"/>
          <w:szCs w:val="24"/>
        </w:rPr>
        <w:t>监狱企业参加政府采购活动时，应当提供由省级以上监狱管理局、戒毒管理局（含新疆生产建设兵团）出具的属于监狱企业的证明文件。（如有）</w:t>
      </w:r>
    </w:p>
    <w:p w14:paraId="3C839D87">
      <w:pPr>
        <w:autoSpaceDE w:val="0"/>
        <w:autoSpaceDN w:val="0"/>
        <w:adjustRightInd w:val="0"/>
        <w:spacing w:line="360" w:lineRule="auto"/>
        <w:jc w:val="left"/>
        <w:outlineLvl w:val="9"/>
        <w:rPr>
          <w:rFonts w:hint="eastAsia" w:ascii="宋体" w:hAnsi="宋体" w:cs="宋体"/>
          <w:color w:val="auto"/>
          <w:spacing w:val="6"/>
          <w:kern w:val="0"/>
          <w:sz w:val="24"/>
          <w:szCs w:val="24"/>
        </w:rPr>
      </w:pPr>
      <w:r>
        <w:rPr>
          <w:rFonts w:hint="eastAsia" w:ascii="宋体" w:hAnsi="宋体" w:cs="宋体"/>
          <w:color w:val="auto"/>
          <w:spacing w:val="6"/>
          <w:kern w:val="0"/>
          <w:sz w:val="24"/>
          <w:szCs w:val="24"/>
        </w:rPr>
        <w:t>2</w:t>
      </w:r>
      <w:r>
        <w:rPr>
          <w:rFonts w:ascii="宋体" w:hAnsi="宋体" w:cs="宋体"/>
          <w:color w:val="auto"/>
          <w:spacing w:val="6"/>
          <w:kern w:val="0"/>
          <w:sz w:val="24"/>
          <w:szCs w:val="24"/>
        </w:rPr>
        <w:t>.</w:t>
      </w:r>
      <w:r>
        <w:rPr>
          <w:rFonts w:hint="eastAsia" w:ascii="宋体" w:hAnsi="宋体" w:cs="宋体"/>
          <w:color w:val="auto"/>
          <w:spacing w:val="6"/>
          <w:kern w:val="0"/>
          <w:sz w:val="24"/>
          <w:szCs w:val="24"/>
        </w:rPr>
        <w:t xml:space="preserve"> 符合条件的残疾人福利性单位在参加政府采购活动时，应当提供本通知规定的《残疾人福利性单位声明函》（如有）</w:t>
      </w:r>
    </w:p>
    <w:p w14:paraId="0E0CE631">
      <w:pPr>
        <w:autoSpaceDE w:val="0"/>
        <w:autoSpaceDN w:val="0"/>
        <w:adjustRightInd w:val="0"/>
        <w:outlineLvl w:val="9"/>
        <w:rPr>
          <w:rFonts w:hint="eastAsia" w:ascii="宋体" w:hAnsi="宋体"/>
          <w:b/>
          <w:color w:val="auto"/>
          <w:sz w:val="24"/>
          <w:szCs w:val="24"/>
        </w:rPr>
      </w:pPr>
    </w:p>
    <w:p w14:paraId="325AC06F">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14:paraId="5C1552AA">
      <w:pPr>
        <w:autoSpaceDE w:val="0"/>
        <w:autoSpaceDN w:val="0"/>
        <w:adjustRightInd w:val="0"/>
        <w:spacing w:before="120" w:beforeLines="50" w:after="120" w:afterLines="50"/>
        <w:jc w:val="center"/>
        <w:rPr>
          <w:rFonts w:ascii="宋体" w:hAnsi="宋体"/>
          <w:snapToGrid w:val="0"/>
          <w:color w:val="auto"/>
          <w:kern w:val="0"/>
          <w:sz w:val="24"/>
        </w:rPr>
      </w:pPr>
      <w:r>
        <w:rPr>
          <w:rFonts w:hint="eastAsia" w:ascii="宋体" w:hAnsi="宋体"/>
          <w:snapToGrid w:val="0"/>
          <w:color w:val="auto"/>
          <w:kern w:val="0"/>
          <w:sz w:val="24"/>
        </w:rPr>
        <w:t>（如有）</w:t>
      </w:r>
    </w:p>
    <w:p w14:paraId="5F2E95EC">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5CC3A244">
      <w:pPr>
        <w:autoSpaceDE w:val="0"/>
        <w:autoSpaceDN w:val="0"/>
        <w:adjustRightInd w:val="0"/>
        <w:spacing w:before="120" w:beforeLines="50" w:after="12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14:paraId="08094DE3">
      <w:pPr>
        <w:adjustRightInd w:val="0"/>
        <w:snapToGrid w:val="0"/>
        <w:spacing w:line="360" w:lineRule="auto"/>
        <w:ind w:firstLine="480" w:firstLineChars="200"/>
        <w:rPr>
          <w:rFonts w:ascii="宋体" w:hAnsi="宋体"/>
          <w:snapToGrid w:val="0"/>
          <w:color w:val="auto"/>
          <w:kern w:val="0"/>
          <w:sz w:val="24"/>
        </w:rPr>
      </w:pPr>
    </w:p>
    <w:p w14:paraId="3026B6F3">
      <w:pPr>
        <w:adjustRightInd w:val="0"/>
        <w:snapToGrid w:val="0"/>
        <w:ind w:firstLine="480" w:firstLineChars="200"/>
        <w:rPr>
          <w:rFonts w:ascii="宋体" w:hAnsi="宋体"/>
          <w:snapToGrid w:val="0"/>
          <w:color w:val="auto"/>
          <w:kern w:val="0"/>
          <w:sz w:val="24"/>
        </w:rPr>
      </w:pPr>
    </w:p>
    <w:p w14:paraId="03A3EEA7">
      <w:pPr>
        <w:adjustRightInd w:val="0"/>
        <w:snapToGrid w:val="0"/>
        <w:ind w:firstLine="480" w:firstLineChars="200"/>
        <w:rPr>
          <w:rFonts w:ascii="宋体" w:hAnsi="宋体"/>
          <w:snapToGrid w:val="0"/>
          <w:color w:val="auto"/>
          <w:kern w:val="0"/>
          <w:sz w:val="24"/>
        </w:rPr>
      </w:pPr>
      <w:r>
        <w:rPr>
          <w:rFonts w:hint="eastAsia" w:ascii="宋体" w:hAnsi="宋体"/>
          <w:snapToGrid w:val="0"/>
          <w:color w:val="auto"/>
          <w:kern w:val="0"/>
          <w:sz w:val="24"/>
        </w:rPr>
        <w:t xml:space="preserve">                                         </w:t>
      </w:r>
    </w:p>
    <w:p w14:paraId="1E6523F4">
      <w:pPr>
        <w:adjustRightInd w:val="0"/>
        <w:snapToGrid w:val="0"/>
        <w:ind w:firstLine="480" w:firstLineChars="200"/>
        <w:rPr>
          <w:rFonts w:ascii="宋体" w:hAnsi="宋体" w:cs="宋体"/>
          <w:color w:val="auto"/>
          <w:sz w:val="24"/>
        </w:rPr>
      </w:pPr>
      <w:r>
        <w:rPr>
          <w:rFonts w:hint="eastAsia" w:ascii="宋体" w:hAnsi="宋体" w:cs="宋体"/>
          <w:color w:val="auto"/>
          <w:sz w:val="24"/>
        </w:rPr>
        <w:t xml:space="preserve">                                </w:t>
      </w:r>
    </w:p>
    <w:p w14:paraId="5BD53892">
      <w:pPr>
        <w:adjustRightInd w:val="0"/>
        <w:snapToGrid w:val="0"/>
        <w:spacing w:line="360" w:lineRule="auto"/>
        <w:ind w:firstLine="480" w:firstLineChars="200"/>
        <w:rPr>
          <w:rFonts w:ascii="宋体"/>
          <w:color w:val="auto"/>
          <w:sz w:val="24"/>
          <w:u w:val="single"/>
        </w:rPr>
      </w:pPr>
      <w:r>
        <w:rPr>
          <w:rFonts w:hint="eastAsia" w:ascii="宋体"/>
          <w:color w:val="auto"/>
          <w:sz w:val="24"/>
          <w:lang w:eastAsia="zh-CN"/>
        </w:rPr>
        <w:t>投标人</w:t>
      </w:r>
      <w:r>
        <w:rPr>
          <w:rFonts w:hint="eastAsia" w:ascii="宋体"/>
          <w:color w:val="auto"/>
          <w:sz w:val="24"/>
        </w:rPr>
        <w:t>名称（盖章）：</w:t>
      </w:r>
      <w:r>
        <w:rPr>
          <w:rFonts w:hint="eastAsia" w:ascii="宋体"/>
          <w:color w:val="auto"/>
          <w:sz w:val="24"/>
          <w:u w:val="single"/>
        </w:rPr>
        <w:t xml:space="preserve">                                    </w:t>
      </w:r>
    </w:p>
    <w:p w14:paraId="222C9E75">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法定代表人（单位负责人）</w:t>
      </w:r>
    </w:p>
    <w:p w14:paraId="240F6F0D">
      <w:pPr>
        <w:adjustRightInd w:val="0"/>
        <w:snapToGrid w:val="0"/>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或授权代表（签字）</w:t>
      </w:r>
      <w:r>
        <w:rPr>
          <w:rFonts w:hint="eastAsia" w:ascii="宋体"/>
          <w:color w:val="auto"/>
          <w:sz w:val="24"/>
        </w:rPr>
        <w:t>：</w:t>
      </w:r>
      <w:r>
        <w:rPr>
          <w:rFonts w:hint="eastAsia" w:ascii="宋体"/>
          <w:color w:val="auto"/>
          <w:sz w:val="24"/>
          <w:u w:val="single"/>
        </w:rPr>
        <w:t xml:space="preserve">                                </w:t>
      </w:r>
    </w:p>
    <w:p w14:paraId="3F1AD1E5">
      <w:pPr>
        <w:tabs>
          <w:tab w:val="left" w:pos="1573"/>
        </w:tabs>
        <w:rPr>
          <w:rFonts w:ascii="宋体" w:hAnsi="宋体"/>
          <w:color w:val="auto"/>
          <w:sz w:val="24"/>
        </w:rPr>
      </w:pPr>
    </w:p>
    <w:p w14:paraId="6EE25FEA">
      <w:pPr>
        <w:pStyle w:val="11"/>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 xml:space="preserve">                    </w:t>
      </w:r>
    </w:p>
    <w:p w14:paraId="0D1DFDC3">
      <w:pPr>
        <w:ind w:firstLine="480" w:firstLineChars="200"/>
        <w:rPr>
          <w:rFonts w:hint="eastAsia" w:ascii="宋体" w:hAnsi="宋体"/>
          <w:b/>
          <w:color w:val="auto"/>
          <w:szCs w:val="21"/>
        </w:rPr>
        <w:sectPr>
          <w:footerReference r:id="rId17" w:type="default"/>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hint="eastAsia" w:ascii="宋体" w:hAnsi="宋体" w:eastAsia="宋体"/>
          <w:bCs/>
          <w:snapToGrid w:val="0"/>
          <w:color w:val="auto"/>
          <w:kern w:val="0"/>
          <w:sz w:val="24"/>
          <w:szCs w:val="24"/>
        </w:rPr>
        <w:t>日期:</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年</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月</w:t>
      </w:r>
      <w:r>
        <w:rPr>
          <w:rFonts w:hint="eastAsia" w:ascii="宋体" w:hAnsi="宋体" w:eastAsia="宋体"/>
          <w:snapToGrid w:val="0"/>
          <w:color w:val="auto"/>
          <w:kern w:val="0"/>
          <w:sz w:val="24"/>
          <w:szCs w:val="24"/>
          <w:u w:val="single"/>
        </w:rPr>
        <w:t xml:space="preserve">   </w:t>
      </w:r>
      <w:r>
        <w:rPr>
          <w:rFonts w:hint="eastAsia" w:ascii="宋体" w:hAnsi="宋体" w:eastAsia="宋体"/>
          <w:snapToGrid w:val="0"/>
          <w:color w:val="auto"/>
          <w:kern w:val="0"/>
          <w:sz w:val="24"/>
          <w:szCs w:val="24"/>
        </w:rPr>
        <w:t>日</w:t>
      </w:r>
    </w:p>
    <w:p w14:paraId="2CF1872A">
      <w:pPr>
        <w:rPr>
          <w:rFonts w:ascii="宋体" w:hAnsi="宋体"/>
          <w:b/>
          <w:color w:val="auto"/>
          <w:szCs w:val="21"/>
        </w:rPr>
      </w:pPr>
      <w:r>
        <w:rPr>
          <w:rFonts w:hint="eastAsia" w:ascii="宋体" w:hAnsi="宋体"/>
          <w:b/>
          <w:color w:val="auto"/>
          <w:szCs w:val="21"/>
        </w:rPr>
        <w:t>附件：</w:t>
      </w:r>
    </w:p>
    <w:p w14:paraId="4C63C5F1">
      <w:pPr>
        <w:keepNext w:val="0"/>
        <w:keepLines w:val="0"/>
        <w:widowControl/>
        <w:shd w:val="clear" w:color="auto" w:fill="FFFFFF"/>
        <w:adjustRightInd w:val="0"/>
        <w:snapToGrid w:val="0"/>
        <w:spacing w:before="0" w:after="0" w:line="360" w:lineRule="auto"/>
        <w:jc w:val="center"/>
        <w:outlineLvl w:val="9"/>
        <w:rPr>
          <w:rFonts w:ascii="宋体" w:hAnsi="宋体" w:eastAsia="宋体" w:cs="宋体"/>
          <w:color w:val="auto"/>
          <w:spacing w:val="7"/>
          <w:sz w:val="21"/>
          <w:szCs w:val="21"/>
        </w:rPr>
      </w:pPr>
      <w:bookmarkStart w:id="151" w:name="_Toc63327628"/>
      <w:r>
        <w:rPr>
          <w:rStyle w:val="27"/>
          <w:rFonts w:hint="eastAsia" w:ascii="宋体" w:hAnsi="宋体" w:cs="宋体"/>
          <w:b w:val="0"/>
          <w:bCs w:val="0"/>
          <w:color w:val="auto"/>
          <w:spacing w:val="7"/>
          <w:sz w:val="21"/>
          <w:szCs w:val="21"/>
          <w:shd w:val="clear" w:color="auto" w:fill="FFFFFF"/>
        </w:rPr>
        <w:t>关于印发《政府采购促进中小企业发展管理办法》的通知</w:t>
      </w:r>
      <w:bookmarkEnd w:id="151"/>
    </w:p>
    <w:p w14:paraId="3984E4CD">
      <w:pPr>
        <w:pStyle w:val="20"/>
        <w:shd w:val="clear" w:color="auto" w:fill="FFFFFF"/>
        <w:adjustRightInd w:val="0"/>
        <w:snapToGrid w:val="0"/>
        <w:spacing w:before="0" w:beforeAutospacing="0" w:after="0" w:afterAutospacing="0" w:line="360" w:lineRule="auto"/>
        <w:jc w:val="center"/>
        <w:rPr>
          <w:rStyle w:val="27"/>
          <w:rFonts w:ascii="宋体" w:hAnsi="宋体" w:cs="宋体"/>
          <w:color w:val="auto"/>
          <w:spacing w:val="7"/>
          <w:sz w:val="21"/>
          <w:szCs w:val="21"/>
          <w:shd w:val="clear" w:color="auto" w:fill="FFFFFF"/>
        </w:rPr>
      </w:pPr>
      <w:r>
        <w:rPr>
          <w:rStyle w:val="27"/>
          <w:rFonts w:hint="eastAsia" w:ascii="宋体" w:hAnsi="宋体" w:cs="宋体"/>
          <w:color w:val="auto"/>
          <w:spacing w:val="7"/>
          <w:sz w:val="21"/>
          <w:szCs w:val="21"/>
          <w:shd w:val="clear" w:color="auto" w:fill="FFFFFF"/>
        </w:rPr>
        <w:t>财库[2020]46号</w:t>
      </w:r>
    </w:p>
    <w:p w14:paraId="152B38BB">
      <w:pPr>
        <w:pStyle w:val="20"/>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6A46F3FC">
      <w:pPr>
        <w:pStyle w:val="20"/>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2E96A82">
      <w:pPr>
        <w:pStyle w:val="20"/>
        <w:shd w:val="clear" w:color="auto" w:fill="FFFFFF"/>
        <w:adjustRightInd w:val="0"/>
        <w:snapToGrid w:val="0"/>
        <w:spacing w:before="0" w:beforeAutospacing="0" w:after="0" w:afterAutospacing="0"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14:paraId="19D0F79C">
      <w:pPr>
        <w:pStyle w:val="20"/>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14:paraId="7C83859E">
      <w:pPr>
        <w:pStyle w:val="20"/>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14:paraId="7FBC36C8">
      <w:pPr>
        <w:pStyle w:val="20"/>
        <w:shd w:val="clear" w:color="auto" w:fill="FFFFFF"/>
        <w:adjustRightInd w:val="0"/>
        <w:snapToGrid w:val="0"/>
        <w:spacing w:before="0" w:beforeAutospacing="0" w:after="0" w:afterAutospacing="0"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14:paraId="64125FA3">
      <w:pPr>
        <w:keepNext w:val="0"/>
        <w:keepLines w:val="0"/>
        <w:widowControl/>
        <w:shd w:val="clear" w:color="auto" w:fill="FFFFFF"/>
        <w:adjustRightInd w:val="0"/>
        <w:snapToGrid w:val="0"/>
        <w:spacing w:before="0" w:after="0" w:line="360" w:lineRule="auto"/>
        <w:jc w:val="center"/>
        <w:outlineLvl w:val="9"/>
        <w:rPr>
          <w:rStyle w:val="27"/>
          <w:rFonts w:ascii="宋体" w:hAnsi="宋体" w:cs="宋体"/>
          <w:b w:val="0"/>
          <w:bCs w:val="0"/>
          <w:color w:val="auto"/>
          <w:spacing w:val="7"/>
          <w:sz w:val="21"/>
          <w:szCs w:val="21"/>
          <w:shd w:val="clear" w:color="auto" w:fill="FFFFFF"/>
        </w:rPr>
      </w:pPr>
      <w:bookmarkStart w:id="152" w:name="_Toc63327629"/>
      <w:r>
        <w:rPr>
          <w:rStyle w:val="27"/>
          <w:rFonts w:hint="eastAsia" w:ascii="宋体" w:hAnsi="宋体" w:cs="宋体"/>
          <w:b w:val="0"/>
          <w:bCs w:val="0"/>
          <w:color w:val="auto"/>
          <w:spacing w:val="7"/>
          <w:sz w:val="21"/>
          <w:szCs w:val="21"/>
          <w:shd w:val="clear" w:color="auto" w:fill="FFFFFF"/>
        </w:rPr>
        <w:t>政府采购促进中小企业发展管理办法</w:t>
      </w:r>
      <w:bookmarkEnd w:id="152"/>
    </w:p>
    <w:p w14:paraId="0F316E7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14:paraId="363F8F3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12B34CE">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14:paraId="711247C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14:paraId="4A0ECC5A">
      <w:pPr>
        <w:pStyle w:val="20"/>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Style w:val="27"/>
          <w:rFonts w:hint="eastAsia" w:ascii="宋体" w:hAnsi="宋体" w:cs="宋体"/>
          <w:color w:val="auto"/>
          <w:spacing w:val="7"/>
          <w:sz w:val="21"/>
          <w:szCs w:val="21"/>
        </w:rPr>
        <w:t>第四条　</w:t>
      </w:r>
      <w:r>
        <w:rPr>
          <w:rFonts w:hint="eastAsia" w:cs="宋体"/>
          <w:color w:val="auto"/>
          <w:spacing w:val="7"/>
          <w:sz w:val="21"/>
          <w:szCs w:val="21"/>
          <w:highlight w:val="none"/>
        </w:rPr>
        <w:t>在政府采购活动中，供应商提供的货物、工程或者服务符合下列情形的，享受本办法规定的中小企业扶持政策：</w:t>
      </w:r>
    </w:p>
    <w:p w14:paraId="0FD13DF6">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（一）在货物采购项目中，货物由中小企业制造，即货物由中小企业生产且使用该中小企业商号或者注册商标；</w:t>
      </w:r>
    </w:p>
    <w:p w14:paraId="0E96CF48">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（二）在工程采购项目中，工程由中小企业承建，即工程施工单位为中小企业；</w:t>
      </w:r>
    </w:p>
    <w:p w14:paraId="3BA127F9">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highlight w:val="none"/>
        </w:rPr>
      </w:pPr>
      <w:r>
        <w:rPr>
          <w:rFonts w:hint="eastAsia"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2BA4FE94">
      <w:pPr>
        <w:pStyle w:val="20"/>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在货物采购项目中，供应商提供的货物既有中小企业制造货物，也有大型企业制造货物的，不享受本办法规定的中小企业扶持政策。</w:t>
      </w:r>
    </w:p>
    <w:p w14:paraId="59506A67">
      <w:pPr>
        <w:pStyle w:val="20"/>
        <w:adjustRightInd w:val="0"/>
        <w:snapToGrid w:val="0"/>
        <w:spacing w:before="0" w:beforeAutospacing="0" w:after="0" w:afterAutospacing="0" w:line="340" w:lineRule="exact"/>
        <w:ind w:firstLine="448" w:firstLineChars="200"/>
        <w:jc w:val="both"/>
        <w:rPr>
          <w:rFonts w:cs="宋体"/>
          <w:color w:val="auto"/>
          <w:sz w:val="21"/>
          <w:szCs w:val="21"/>
          <w:highlight w:val="none"/>
        </w:rPr>
      </w:pPr>
      <w:r>
        <w:rPr>
          <w:rFonts w:hint="eastAsia"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0385BB5E">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547887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B44E0AB">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14:paraId="6C245A2F">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14:paraId="66803877">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14:paraId="7F320AC5">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14:paraId="6B5C7D1E">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14:paraId="3B0123E9">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14:paraId="3A5BD5C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14:paraId="0A05E854">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14:paraId="3D3AA5A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8E74B72">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14:paraId="288B2B49">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14:paraId="6366BDF7">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14:paraId="5D1179C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14:paraId="003C48F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8A3E3A8">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B72922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9183BD5">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BB5023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227ACA28">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Style w:val="27"/>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14:paraId="620C9BFA">
      <w:pPr>
        <w:pStyle w:val="20"/>
        <w:adjustRightInd w:val="0"/>
        <w:snapToGrid w:val="0"/>
        <w:spacing w:before="0" w:beforeAutospacing="0" w:after="0" w:afterAutospacing="0"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14:paraId="6F25CD5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14:paraId="48B5057E">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14:paraId="472A3421">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14:paraId="167616C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14:paraId="66F9101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14:paraId="20131AA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14:paraId="5D09083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14:paraId="46817B99">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14:paraId="628D2BBC">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第十四条</w:t>
      </w:r>
      <w:r>
        <w:rPr>
          <w:rFonts w:hint="eastAsia" w:cs="宋体"/>
          <w:color w:val="auto"/>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029A1B6">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5BD3DCE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0E2FF701">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14:paraId="55C2EB73">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08F657A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E798183">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0B9850">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14:paraId="5CEA7722">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4A8ECD81">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6D8A09B">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14:paraId="24D54362">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14:paraId="381FBAE7">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14:paraId="0918135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14:paraId="27D5D1AA">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Style w:val="27"/>
          <w:rFonts w:hint="eastAsia" w:ascii="宋体" w:hAnsi="宋体" w:cs="宋体"/>
          <w:color w:val="auto"/>
          <w:spacing w:val="7"/>
          <w:sz w:val="21"/>
          <w:szCs w:val="21"/>
        </w:rPr>
        <w:t>附：</w:t>
      </w:r>
    </w:p>
    <w:p w14:paraId="4695D648">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14:paraId="0C405D12">
      <w:pPr>
        <w:pStyle w:val="20"/>
        <w:adjustRightInd w:val="0"/>
        <w:snapToGrid w:val="0"/>
        <w:spacing w:before="0" w:beforeAutospacing="0" w:after="0" w:afterAutospacing="0"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14:paraId="037856F6">
      <w:pPr>
        <w:adjustRightInd w:val="0"/>
        <w:snapToGrid w:val="0"/>
        <w:spacing w:line="300" w:lineRule="auto"/>
        <w:rPr>
          <w:rFonts w:ascii="宋体" w:hAnsi="宋体" w:cs="宋体"/>
          <w:color w:val="auto"/>
          <w:szCs w:val="21"/>
        </w:rPr>
        <w:sectPr>
          <w:pgSz w:w="11910" w:h="16840"/>
          <w:pgMar w:top="1440" w:right="1417" w:bottom="1440" w:left="1417" w:header="0" w:footer="1329" w:gutter="0"/>
          <w:pgBorders>
            <w:top w:val="none" w:sz="0" w:space="0"/>
            <w:left w:val="none" w:sz="0" w:space="0"/>
            <w:bottom w:val="none" w:sz="0" w:space="0"/>
            <w:right w:val="none" w:sz="0" w:space="0"/>
          </w:pgBorders>
          <w:pgNumType w:fmt="decimal"/>
          <w:cols w:space="720" w:num="1"/>
        </w:sectPr>
      </w:pPr>
      <w:r>
        <w:rPr>
          <w:rFonts w:ascii="宋体" w:hAnsi="宋体" w:cs="宋体"/>
          <w:color w:val="auto"/>
          <w:szCs w:val="21"/>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14:paraId="4A0C8E92"/>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MlnTSAAAAAwEAAA8AAAAAAAAAAQAgAAAA&#10;IgAAAGRycy9kb3ducmV2LnhtbFBLAQIUABQAAAAIAIdO4kAcaLh7EQIAACgEAAAOAAAAAAAAAAEA&#10;IAAAACEBAABkcnMvZTJvRG9jLnhtbFBLBQYAAAAABgAGAFkBAACkBQAAAAA=&#10;">
                <v:fill on="f" focussize="0,0"/>
                <v:stroke on="f"/>
                <v:imagedata o:title=""/>
                <o:lock v:ext="edit" aspectratio="t"/>
                <v:textbox>
                  <w:txbxContent>
                    <w:p w14:paraId="4A0C8E92"/>
                  </w:txbxContent>
                </v:textbox>
                <w10:wrap type="none"/>
                <w10:anchorlock/>
              </v:rect>
            </w:pict>
          </mc:Fallback>
        </mc:AlternateContent>
      </w:r>
    </w:p>
    <w:p w14:paraId="42294F97">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关于印发《吉林省强化政府采购政策支持中小企业发展落实举措》</w:t>
      </w:r>
    </w:p>
    <w:p w14:paraId="13A8EC9B">
      <w:pPr>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的通知</w:t>
      </w:r>
    </w:p>
    <w:p w14:paraId="773FFC29">
      <w:pPr>
        <w:pStyle w:val="10"/>
        <w:spacing w:line="360" w:lineRule="auto"/>
        <w:ind w:left="63" w:right="63" w:firstLine="482"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吉财采购〔2022〕478号</w:t>
      </w:r>
    </w:p>
    <w:p w14:paraId="046C999C">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各省级主管预算单位，各市（州）、县（市、区）财政局，长白山管委会、长春新区、中韩（长春）国际合作示范区管委会财政局，各政府采购代理机构：</w:t>
      </w:r>
    </w:p>
    <w:p w14:paraId="3C707FAB">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现将《吉林省强化政府采购政策支持中小企业发展落实举措》印发给你们，请遵照执行。</w:t>
      </w:r>
    </w:p>
    <w:p w14:paraId="28D5E1A0">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附件：吉林省强化政府采购政策支持中小企业发展落实举措</w:t>
      </w:r>
    </w:p>
    <w:p w14:paraId="3AD03BCA">
      <w:pPr>
        <w:pStyle w:val="20"/>
        <w:adjustRightInd w:val="0"/>
        <w:snapToGrid w:val="0"/>
        <w:spacing w:before="0" w:beforeAutospacing="0" w:after="0" w:afterAutospacing="0" w:line="340" w:lineRule="exact"/>
        <w:ind w:firstLine="420" w:firstLineChars="200"/>
        <w:jc w:val="both"/>
        <w:rPr>
          <w:rFonts w:hint="eastAsia" w:cs="宋体"/>
          <w:color w:val="auto"/>
          <w:sz w:val="21"/>
          <w:szCs w:val="21"/>
        </w:rPr>
      </w:pPr>
      <w:r>
        <w:rPr>
          <w:rFonts w:hint="eastAsia" w:cs="宋体"/>
          <w:color w:val="auto"/>
          <w:sz w:val="21"/>
          <w:szCs w:val="21"/>
        </w:rPr>
        <w:t> </w:t>
      </w:r>
    </w:p>
    <w:p w14:paraId="2FBFBB35">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吉林省财政厅</w:t>
      </w:r>
    </w:p>
    <w:p w14:paraId="001B44BF">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2022年6月6日</w:t>
      </w:r>
    </w:p>
    <w:p w14:paraId="6E37915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p>
    <w:p w14:paraId="430FE027">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吉林省强化政府采购政策支持中小企业发展落实举措</w:t>
      </w:r>
    </w:p>
    <w:p w14:paraId="4B313554">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14:paraId="16EC8E1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2678B9BA">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一、强化政策落实支持中小企业发展</w:t>
      </w:r>
    </w:p>
    <w:p w14:paraId="6943C5E8">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214347AC">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 </w:t>
      </w:r>
    </w:p>
    <w:p w14:paraId="68B5CF3C">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二、提高政府采购项目价格评审优惠幅度</w:t>
      </w:r>
    </w:p>
    <w:p w14:paraId="37A4CF7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123A909E">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三、提高政府采购工程项目预留份额比例</w:t>
      </w:r>
    </w:p>
    <w:p w14:paraId="68641BA4">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10ABD515">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四、降低经营成本提高履约能力</w:t>
      </w:r>
    </w:p>
    <w:p w14:paraId="1BAF9E1D">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0B4B5280">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五、优化政府采购程序推进全流程电子化</w:t>
      </w:r>
    </w:p>
    <w:p w14:paraId="7B971088">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EC3E40F">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六、加强项目执行管理提升政府采购透明度</w:t>
      </w:r>
    </w:p>
    <w:p w14:paraId="5A80111F">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46959959">
      <w:pPr>
        <w:pStyle w:val="20"/>
        <w:adjustRightInd w:val="0"/>
        <w:snapToGrid w:val="0"/>
        <w:spacing w:before="0" w:beforeAutospacing="0" w:after="0" w:afterAutospacing="0" w:line="340" w:lineRule="exact"/>
        <w:ind w:firstLine="420" w:firstLineChars="200"/>
        <w:jc w:val="both"/>
        <w:rPr>
          <w:rFonts w:hint="eastAsia" w:cs="宋体"/>
          <w:color w:val="auto"/>
          <w:sz w:val="21"/>
          <w:szCs w:val="21"/>
          <w:lang w:eastAsia="zh-CN"/>
        </w:rPr>
      </w:pPr>
      <w:r>
        <w:rPr>
          <w:rFonts w:hint="eastAsia" w:cs="宋体"/>
          <w:color w:val="auto"/>
          <w:sz w:val="21"/>
          <w:szCs w:val="21"/>
          <w:lang w:eastAsia="zh-CN"/>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79729BC6">
      <w:pPr>
        <w:pStyle w:val="20"/>
        <w:adjustRightInd w:val="0"/>
        <w:snapToGrid w:val="0"/>
        <w:spacing w:before="0" w:beforeAutospacing="0" w:after="0" w:afterAutospacing="0" w:line="340" w:lineRule="exact"/>
        <w:ind w:firstLine="420" w:firstLineChars="200"/>
        <w:jc w:val="both"/>
        <w:rPr>
          <w:rFonts w:hint="eastAsia" w:cs="宋体"/>
          <w:color w:val="auto"/>
          <w:sz w:val="21"/>
          <w:szCs w:val="21"/>
        </w:rPr>
        <w:sectPr>
          <w:footerReference r:id="rId18" w:type="default"/>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54FA451">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14:paraId="1D787451">
      <w:pPr>
        <w:pStyle w:val="20"/>
        <w:spacing w:before="0" w:beforeAutospacing="0" w:after="0" w:afterAutospacing="0" w:line="360" w:lineRule="auto"/>
        <w:ind w:firstLine="480" w:firstLineChars="200"/>
        <w:jc w:val="center"/>
        <w:rPr>
          <w:b/>
          <w:color w:val="auto"/>
          <w:kern w:val="2"/>
          <w:szCs w:val="24"/>
        </w:rPr>
      </w:pPr>
      <w:bookmarkStart w:id="153" w:name="sendNo"/>
      <w:r>
        <w:rPr>
          <w:rFonts w:hint="eastAsia"/>
          <w:color w:val="auto"/>
          <w:kern w:val="2"/>
        </w:rPr>
        <w:t>财库〔</w:t>
      </w:r>
      <w:bookmarkEnd w:id="153"/>
      <w:r>
        <w:rPr>
          <w:rFonts w:hint="eastAsia"/>
          <w:color w:val="auto"/>
          <w:kern w:val="2"/>
        </w:rPr>
        <w:t>2017〕141号</w:t>
      </w:r>
    </w:p>
    <w:p w14:paraId="07EC237C">
      <w:pPr>
        <w:pStyle w:val="20"/>
        <w:spacing w:before="0" w:beforeAutospacing="0" w:after="0" w:afterAutospacing="0" w:line="360" w:lineRule="auto"/>
        <w:ind w:firstLine="420" w:firstLineChars="200"/>
        <w:jc w:val="both"/>
        <w:rPr>
          <w:rFonts w:cs="宋体"/>
          <w:color w:val="auto"/>
          <w:sz w:val="21"/>
          <w:szCs w:val="21"/>
        </w:rPr>
      </w:pPr>
      <w:bookmarkStart w:id="154"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54"/>
      <w:r>
        <w:rPr>
          <w:rFonts w:hint="eastAsia" w:cs="宋体"/>
          <w:color w:val="auto"/>
          <w:sz w:val="21"/>
          <w:szCs w:val="21"/>
          <w:shd w:val="clear" w:color="auto" w:fill="FFFFFF"/>
        </w:rPr>
        <w:t>：</w:t>
      </w:r>
    </w:p>
    <w:p w14:paraId="5A78F47F">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565E2003">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14:paraId="1E680EBF">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14:paraId="6015917B">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14:paraId="53CFC5C1">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14:paraId="26186A06">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14:paraId="74962AD8">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593E74DA">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779715">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274FE57">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22689D78">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14:paraId="45D3E6E1">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FA5D676">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348351CC">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574D61">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130ADAB">
      <w:pPr>
        <w:pStyle w:val="20"/>
        <w:spacing w:before="0" w:beforeAutospacing="0" w:after="0" w:afterAutospacing="0"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14:paraId="7ED2B4FD">
      <w:pPr>
        <w:pStyle w:val="20"/>
        <w:spacing w:before="0" w:beforeAutospacing="0" w:after="0" w:afterAutospacing="0"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14:paraId="404F1CB3">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14:paraId="686D2CF0">
      <w:pPr>
        <w:spacing w:line="360" w:lineRule="auto"/>
        <w:jc w:val="center"/>
        <w:rPr>
          <w:rFonts w:ascii="宋体" w:hAnsi="宋体" w:cs="宋体"/>
          <w:color w:val="auto"/>
          <w:szCs w:val="21"/>
        </w:rPr>
      </w:pPr>
      <w:r>
        <w:rPr>
          <w:rFonts w:hint="eastAsia" w:ascii="宋体" w:hAnsi="宋体" w:cs="宋体"/>
          <w:color w:val="auto"/>
          <w:szCs w:val="21"/>
        </w:rPr>
        <w:t>财库〔2014〕68号</w:t>
      </w:r>
    </w:p>
    <w:p w14:paraId="787CAEBD">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1F227E9">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4C7A4D5">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2BA415A">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95CDB77">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3CD1E02">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14:paraId="6BF1336A">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254D83C">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14:paraId="3079956B">
      <w:pPr>
        <w:spacing w:line="360" w:lineRule="auto"/>
        <w:jc w:val="right"/>
        <w:rPr>
          <w:rFonts w:hint="eastAsia"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中华人民共和国司法部</w:t>
      </w:r>
    </w:p>
    <w:p w14:paraId="6BD83F1D">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4"/>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14:paraId="5F14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0"/>
            <w:vAlign w:val="center"/>
          </w:tcPr>
          <w:p w14:paraId="232F3EA6">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0"/>
            <w:vAlign w:val="center"/>
          </w:tcPr>
          <w:p w14:paraId="46ACE243">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0"/>
            <w:vAlign w:val="center"/>
          </w:tcPr>
          <w:p w14:paraId="1A5556B4">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0"/>
            <w:vAlign w:val="center"/>
          </w:tcPr>
          <w:p w14:paraId="37919942">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0"/>
            <w:vAlign w:val="center"/>
          </w:tcPr>
          <w:p w14:paraId="78338CA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0"/>
            <w:vAlign w:val="center"/>
          </w:tcPr>
          <w:p w14:paraId="616BD000">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0"/>
            <w:vAlign w:val="center"/>
          </w:tcPr>
          <w:p w14:paraId="63AEEBE7">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微型</w:t>
            </w:r>
          </w:p>
        </w:tc>
      </w:tr>
      <w:tr w14:paraId="6F75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0"/>
            <w:vAlign w:val="center"/>
          </w:tcPr>
          <w:p w14:paraId="0AB0CC3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0"/>
            <w:vAlign w:val="center"/>
          </w:tcPr>
          <w:p w14:paraId="084F455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5A9FE3E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1DB6A4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14:paraId="29CBF7E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14:paraId="3D3735F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0"/>
            <w:vAlign w:val="center"/>
          </w:tcPr>
          <w:p w14:paraId="3BECB29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14:paraId="289B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08DC200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工业 *</w:t>
            </w:r>
          </w:p>
        </w:tc>
        <w:tc>
          <w:tcPr>
            <w:tcW w:w="1494" w:type="dxa"/>
            <w:noWrap w:val="0"/>
            <w:vAlign w:val="center"/>
          </w:tcPr>
          <w:p w14:paraId="1284751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4C37F3F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446FA10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7C03A7E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5BA7743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14:paraId="09397BA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2A4E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4896F8F6">
            <w:pPr>
              <w:bidi w:val="0"/>
              <w:jc w:val="center"/>
              <w:rPr>
                <w:rFonts w:hint="eastAsia" w:ascii="宋体" w:hAnsi="宋体" w:eastAsia="宋体" w:cs="宋体"/>
                <w:b/>
                <w:bCs/>
                <w:color w:val="auto"/>
                <w:sz w:val="18"/>
                <w:szCs w:val="18"/>
              </w:rPr>
            </w:pPr>
          </w:p>
        </w:tc>
        <w:tc>
          <w:tcPr>
            <w:tcW w:w="1494" w:type="dxa"/>
            <w:noWrap w:val="0"/>
            <w:vAlign w:val="center"/>
          </w:tcPr>
          <w:p w14:paraId="36C5B59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A41D1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46728FB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14:paraId="4AE937D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0"/>
            <w:vAlign w:val="center"/>
          </w:tcPr>
          <w:p w14:paraId="5091249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0"/>
            <w:vAlign w:val="center"/>
          </w:tcPr>
          <w:p w14:paraId="301FDD9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14:paraId="425D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5F270A07">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0"/>
            <w:vAlign w:val="center"/>
          </w:tcPr>
          <w:p w14:paraId="4E77AD5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68255FC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5799BCE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0"/>
            <w:vAlign w:val="center"/>
          </w:tcPr>
          <w:p w14:paraId="1887C6F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0"/>
            <w:vAlign w:val="center"/>
          </w:tcPr>
          <w:p w14:paraId="3F004CE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0"/>
            <w:vAlign w:val="center"/>
          </w:tcPr>
          <w:p w14:paraId="669AB68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w:t>
            </w:r>
          </w:p>
        </w:tc>
      </w:tr>
      <w:tr w14:paraId="52B8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6B52F07B">
            <w:pPr>
              <w:bidi w:val="0"/>
              <w:jc w:val="center"/>
              <w:rPr>
                <w:rFonts w:hint="eastAsia" w:ascii="宋体" w:hAnsi="宋体" w:eastAsia="宋体" w:cs="宋体"/>
                <w:b/>
                <w:bCs/>
                <w:color w:val="auto"/>
                <w:sz w:val="18"/>
                <w:szCs w:val="18"/>
              </w:rPr>
            </w:pPr>
          </w:p>
        </w:tc>
        <w:tc>
          <w:tcPr>
            <w:tcW w:w="1494" w:type="dxa"/>
            <w:noWrap w:val="0"/>
            <w:vAlign w:val="center"/>
          </w:tcPr>
          <w:p w14:paraId="75F8724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14:paraId="2B54BE8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4734AE8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0"/>
            <w:vAlign w:val="center"/>
          </w:tcPr>
          <w:p w14:paraId="542ABE1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0"/>
            <w:vAlign w:val="center"/>
          </w:tcPr>
          <w:p w14:paraId="6ECC23A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0"/>
            <w:vAlign w:val="center"/>
          </w:tcPr>
          <w:p w14:paraId="23809DC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Z＜300</w:t>
            </w:r>
          </w:p>
        </w:tc>
      </w:tr>
      <w:tr w14:paraId="6667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D22C5DA">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0"/>
            <w:vAlign w:val="center"/>
          </w:tcPr>
          <w:p w14:paraId="4028516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54CBE72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185E1B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14:paraId="77D8A6E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0"/>
            <w:vAlign w:val="center"/>
          </w:tcPr>
          <w:p w14:paraId="565FEE0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0"/>
            <w:vAlign w:val="center"/>
          </w:tcPr>
          <w:p w14:paraId="6C24C47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X＜5</w:t>
            </w:r>
          </w:p>
        </w:tc>
      </w:tr>
      <w:tr w14:paraId="1C38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5828B89D">
            <w:pPr>
              <w:bidi w:val="0"/>
              <w:jc w:val="center"/>
              <w:rPr>
                <w:rFonts w:hint="eastAsia" w:ascii="宋体" w:hAnsi="宋体" w:eastAsia="宋体" w:cs="宋体"/>
                <w:b/>
                <w:bCs/>
                <w:color w:val="auto"/>
                <w:sz w:val="18"/>
                <w:szCs w:val="18"/>
              </w:rPr>
            </w:pPr>
          </w:p>
        </w:tc>
        <w:tc>
          <w:tcPr>
            <w:tcW w:w="1494" w:type="dxa"/>
            <w:noWrap w:val="0"/>
            <w:vAlign w:val="center"/>
          </w:tcPr>
          <w:p w14:paraId="4EF3949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3BD80E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27B1477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0"/>
            <w:vAlign w:val="center"/>
          </w:tcPr>
          <w:p w14:paraId="6EC0945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0"/>
            <w:vAlign w:val="center"/>
          </w:tcPr>
          <w:p w14:paraId="36DFEDC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0"/>
            <w:vAlign w:val="center"/>
          </w:tcPr>
          <w:p w14:paraId="0928CFA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w:t>
            </w:r>
          </w:p>
        </w:tc>
      </w:tr>
      <w:tr w14:paraId="3F81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B997BDC">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0"/>
            <w:vAlign w:val="center"/>
          </w:tcPr>
          <w:p w14:paraId="6AAD77F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011173E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24D6281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649631D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0"/>
            <w:vAlign w:val="center"/>
          </w:tcPr>
          <w:p w14:paraId="1EAE3FF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0"/>
            <w:vAlign w:val="center"/>
          </w:tcPr>
          <w:p w14:paraId="56AB183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175A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3895803D">
            <w:pPr>
              <w:bidi w:val="0"/>
              <w:jc w:val="center"/>
              <w:rPr>
                <w:rFonts w:hint="eastAsia" w:ascii="宋体" w:hAnsi="宋体" w:eastAsia="宋体" w:cs="宋体"/>
                <w:b/>
                <w:bCs/>
                <w:color w:val="auto"/>
                <w:sz w:val="18"/>
                <w:szCs w:val="18"/>
              </w:rPr>
            </w:pPr>
          </w:p>
        </w:tc>
        <w:tc>
          <w:tcPr>
            <w:tcW w:w="1494" w:type="dxa"/>
            <w:noWrap w:val="0"/>
            <w:vAlign w:val="center"/>
          </w:tcPr>
          <w:p w14:paraId="47DF618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1CC1200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6094D9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0"/>
            <w:vAlign w:val="center"/>
          </w:tcPr>
          <w:p w14:paraId="176FABD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0"/>
            <w:vAlign w:val="center"/>
          </w:tcPr>
          <w:p w14:paraId="03ED3A0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0"/>
            <w:vAlign w:val="center"/>
          </w:tcPr>
          <w:p w14:paraId="61FEFEF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421E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2D927834">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交通运输业 *</w:t>
            </w:r>
          </w:p>
        </w:tc>
        <w:tc>
          <w:tcPr>
            <w:tcW w:w="1494" w:type="dxa"/>
            <w:noWrap w:val="0"/>
            <w:vAlign w:val="center"/>
          </w:tcPr>
          <w:p w14:paraId="01ADC39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29E4A48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60BACC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4DB7F3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5102844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14:paraId="34E991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6A72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67DDA7C5">
            <w:pPr>
              <w:bidi w:val="0"/>
              <w:jc w:val="center"/>
              <w:rPr>
                <w:rFonts w:hint="eastAsia" w:ascii="宋体" w:hAnsi="宋体" w:eastAsia="宋体" w:cs="宋体"/>
                <w:b/>
                <w:bCs/>
                <w:color w:val="auto"/>
                <w:sz w:val="18"/>
                <w:szCs w:val="18"/>
              </w:rPr>
            </w:pPr>
          </w:p>
        </w:tc>
        <w:tc>
          <w:tcPr>
            <w:tcW w:w="1494" w:type="dxa"/>
            <w:noWrap w:val="0"/>
            <w:vAlign w:val="center"/>
          </w:tcPr>
          <w:p w14:paraId="15FC5D7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565A452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56B73AF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14:paraId="37726FC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0"/>
            <w:vAlign w:val="center"/>
          </w:tcPr>
          <w:p w14:paraId="6F70B11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0"/>
            <w:vAlign w:val="center"/>
          </w:tcPr>
          <w:p w14:paraId="7900F01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w:t>
            </w:r>
          </w:p>
        </w:tc>
      </w:tr>
      <w:tr w14:paraId="2FE0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6ECD5358">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0"/>
            <w:vAlign w:val="center"/>
          </w:tcPr>
          <w:p w14:paraId="07A54A2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71ED4CA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4C8277C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0"/>
            <w:vAlign w:val="center"/>
          </w:tcPr>
          <w:p w14:paraId="41E9C07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0"/>
            <w:vAlign w:val="center"/>
          </w:tcPr>
          <w:p w14:paraId="2102950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0"/>
            <w:vAlign w:val="center"/>
          </w:tcPr>
          <w:p w14:paraId="37B9340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414B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2811020E">
            <w:pPr>
              <w:bidi w:val="0"/>
              <w:jc w:val="center"/>
              <w:rPr>
                <w:rFonts w:hint="eastAsia" w:ascii="宋体" w:hAnsi="宋体" w:eastAsia="宋体" w:cs="宋体"/>
                <w:b/>
                <w:bCs/>
                <w:color w:val="auto"/>
                <w:sz w:val="18"/>
                <w:szCs w:val="18"/>
              </w:rPr>
            </w:pPr>
          </w:p>
        </w:tc>
        <w:tc>
          <w:tcPr>
            <w:tcW w:w="1494" w:type="dxa"/>
            <w:noWrap w:val="0"/>
            <w:vAlign w:val="center"/>
          </w:tcPr>
          <w:p w14:paraId="1C85AEC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10574B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61711CF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14:paraId="3C3EC0B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0"/>
            <w:vAlign w:val="center"/>
          </w:tcPr>
          <w:p w14:paraId="4123AB4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14:paraId="34AC2A7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7E49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63AED8A">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0"/>
            <w:vAlign w:val="center"/>
          </w:tcPr>
          <w:p w14:paraId="54F0FE7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574F188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C4A0BA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345873C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0A2A3CE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0"/>
            <w:vAlign w:val="center"/>
          </w:tcPr>
          <w:p w14:paraId="0035527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w:t>
            </w:r>
          </w:p>
        </w:tc>
      </w:tr>
      <w:tr w14:paraId="2169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557C4C6D">
            <w:pPr>
              <w:bidi w:val="0"/>
              <w:jc w:val="center"/>
              <w:rPr>
                <w:rFonts w:hint="eastAsia" w:ascii="宋体" w:hAnsi="宋体" w:eastAsia="宋体" w:cs="宋体"/>
                <w:b/>
                <w:bCs/>
                <w:color w:val="auto"/>
                <w:sz w:val="18"/>
                <w:szCs w:val="18"/>
              </w:rPr>
            </w:pPr>
          </w:p>
        </w:tc>
        <w:tc>
          <w:tcPr>
            <w:tcW w:w="1494" w:type="dxa"/>
            <w:noWrap w:val="0"/>
            <w:vAlign w:val="center"/>
          </w:tcPr>
          <w:p w14:paraId="64450F0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35A154D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0BF0E6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0"/>
            <w:vAlign w:val="center"/>
          </w:tcPr>
          <w:p w14:paraId="3B19972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0"/>
            <w:vAlign w:val="center"/>
          </w:tcPr>
          <w:p w14:paraId="7441DE9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14:paraId="3D7CCB1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0316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FACAC36">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0"/>
            <w:vAlign w:val="center"/>
          </w:tcPr>
          <w:p w14:paraId="2BD9E3C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3755143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28470CE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46B5537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7C521DF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57AF395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3B8C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29E341C4">
            <w:pPr>
              <w:bidi w:val="0"/>
              <w:jc w:val="center"/>
              <w:rPr>
                <w:rFonts w:hint="eastAsia" w:ascii="宋体" w:hAnsi="宋体" w:eastAsia="宋体" w:cs="宋体"/>
                <w:b/>
                <w:bCs/>
                <w:color w:val="auto"/>
                <w:sz w:val="18"/>
                <w:szCs w:val="18"/>
              </w:rPr>
            </w:pPr>
          </w:p>
        </w:tc>
        <w:tc>
          <w:tcPr>
            <w:tcW w:w="1494" w:type="dxa"/>
            <w:noWrap w:val="0"/>
            <w:vAlign w:val="center"/>
          </w:tcPr>
          <w:p w14:paraId="33F4D96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79258F4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420468B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14:paraId="6782325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14:paraId="2DC6CDD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14:paraId="39451BA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5F9D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752DABBE">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0"/>
            <w:vAlign w:val="center"/>
          </w:tcPr>
          <w:p w14:paraId="2DCE140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06C1147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0DCB46A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421163D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1498876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7C6E6EA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6944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5A3E99FB">
            <w:pPr>
              <w:bidi w:val="0"/>
              <w:jc w:val="center"/>
              <w:rPr>
                <w:rFonts w:hint="eastAsia" w:ascii="宋体" w:hAnsi="宋体" w:eastAsia="宋体" w:cs="宋体"/>
                <w:b/>
                <w:bCs/>
                <w:color w:val="auto"/>
                <w:sz w:val="18"/>
                <w:szCs w:val="18"/>
              </w:rPr>
            </w:pPr>
          </w:p>
        </w:tc>
        <w:tc>
          <w:tcPr>
            <w:tcW w:w="1494" w:type="dxa"/>
            <w:noWrap w:val="0"/>
            <w:vAlign w:val="center"/>
          </w:tcPr>
          <w:p w14:paraId="7C0FFC0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0B781F9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28B931C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14:paraId="03CD1AC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0"/>
            <w:vAlign w:val="center"/>
          </w:tcPr>
          <w:p w14:paraId="122DFEC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0"/>
            <w:vAlign w:val="center"/>
          </w:tcPr>
          <w:p w14:paraId="03EA436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4D90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14987081">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信息传输业 *</w:t>
            </w:r>
          </w:p>
        </w:tc>
        <w:tc>
          <w:tcPr>
            <w:tcW w:w="1494" w:type="dxa"/>
            <w:noWrap w:val="0"/>
            <w:vAlign w:val="center"/>
          </w:tcPr>
          <w:p w14:paraId="4786041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51794AB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0B95ED6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0"/>
            <w:vAlign w:val="center"/>
          </w:tcPr>
          <w:p w14:paraId="28305A3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0"/>
            <w:vAlign w:val="center"/>
          </w:tcPr>
          <w:p w14:paraId="34B4F6C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25C721C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298A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2B448566">
            <w:pPr>
              <w:bidi w:val="0"/>
              <w:jc w:val="center"/>
              <w:rPr>
                <w:rFonts w:hint="eastAsia" w:ascii="宋体" w:hAnsi="宋体" w:eastAsia="宋体" w:cs="宋体"/>
                <w:b/>
                <w:bCs/>
                <w:color w:val="auto"/>
                <w:sz w:val="18"/>
                <w:szCs w:val="18"/>
              </w:rPr>
            </w:pPr>
          </w:p>
        </w:tc>
        <w:tc>
          <w:tcPr>
            <w:tcW w:w="1494" w:type="dxa"/>
            <w:noWrap w:val="0"/>
            <w:vAlign w:val="center"/>
          </w:tcPr>
          <w:p w14:paraId="2A6F3D4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120D2F7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1C654DE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0"/>
            <w:vAlign w:val="center"/>
          </w:tcPr>
          <w:p w14:paraId="0A3F4A6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0"/>
            <w:vAlign w:val="center"/>
          </w:tcPr>
          <w:p w14:paraId="069D069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14:paraId="43664BE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2B9C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06B46B9D">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0"/>
            <w:vAlign w:val="center"/>
          </w:tcPr>
          <w:p w14:paraId="6385828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2B84B5C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2CC9A8A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298C030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2F95C69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181F980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1A93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4D0BFF46">
            <w:pPr>
              <w:bidi w:val="0"/>
              <w:jc w:val="center"/>
              <w:rPr>
                <w:rFonts w:hint="eastAsia" w:ascii="宋体" w:hAnsi="宋体" w:eastAsia="宋体" w:cs="宋体"/>
                <w:b/>
                <w:bCs/>
                <w:color w:val="auto"/>
                <w:sz w:val="18"/>
                <w:szCs w:val="18"/>
              </w:rPr>
            </w:pPr>
          </w:p>
        </w:tc>
        <w:tc>
          <w:tcPr>
            <w:tcW w:w="1494" w:type="dxa"/>
            <w:noWrap w:val="0"/>
            <w:vAlign w:val="center"/>
          </w:tcPr>
          <w:p w14:paraId="72FB3CC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403DFB0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783B264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0"/>
            <w:vAlign w:val="center"/>
          </w:tcPr>
          <w:p w14:paraId="5219AE0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0"/>
            <w:vAlign w:val="center"/>
          </w:tcPr>
          <w:p w14:paraId="467EEC8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0"/>
            <w:vAlign w:val="center"/>
          </w:tcPr>
          <w:p w14:paraId="5AC0377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w:t>
            </w:r>
          </w:p>
        </w:tc>
      </w:tr>
      <w:tr w14:paraId="056B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3AD11BE0">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0"/>
            <w:vAlign w:val="center"/>
          </w:tcPr>
          <w:p w14:paraId="4695D01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591C96C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384B0B2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0"/>
            <w:vAlign w:val="center"/>
          </w:tcPr>
          <w:p w14:paraId="7E111BE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0"/>
            <w:vAlign w:val="center"/>
          </w:tcPr>
          <w:p w14:paraId="376CF13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0"/>
            <w:vAlign w:val="center"/>
          </w:tcPr>
          <w:p w14:paraId="05ACAD6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Y＜100</w:t>
            </w:r>
          </w:p>
        </w:tc>
      </w:tr>
      <w:tr w14:paraId="0697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3073FFF7">
            <w:pPr>
              <w:bidi w:val="0"/>
              <w:jc w:val="center"/>
              <w:rPr>
                <w:rFonts w:hint="eastAsia" w:ascii="宋体" w:hAnsi="宋体" w:eastAsia="宋体" w:cs="宋体"/>
                <w:b/>
                <w:bCs/>
                <w:color w:val="auto"/>
                <w:sz w:val="18"/>
                <w:szCs w:val="18"/>
              </w:rPr>
            </w:pPr>
          </w:p>
        </w:tc>
        <w:tc>
          <w:tcPr>
            <w:tcW w:w="1494" w:type="dxa"/>
            <w:noWrap w:val="0"/>
            <w:vAlign w:val="center"/>
          </w:tcPr>
          <w:p w14:paraId="097EF1A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14:paraId="477237D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10F73454">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0"/>
            <w:vAlign w:val="center"/>
          </w:tcPr>
          <w:p w14:paraId="3313B1A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0"/>
            <w:vAlign w:val="center"/>
          </w:tcPr>
          <w:p w14:paraId="6DDA85B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0"/>
            <w:vAlign w:val="center"/>
          </w:tcPr>
          <w:p w14:paraId="176A972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Z＜2000</w:t>
            </w:r>
          </w:p>
        </w:tc>
      </w:tr>
      <w:tr w14:paraId="0CE1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7606B6ED">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0"/>
            <w:vAlign w:val="center"/>
          </w:tcPr>
          <w:p w14:paraId="26D39C3A">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6523CC2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621D79D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0"/>
            <w:vAlign w:val="center"/>
          </w:tcPr>
          <w:p w14:paraId="17209991">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0"/>
            <w:vAlign w:val="center"/>
          </w:tcPr>
          <w:p w14:paraId="0702C635">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0"/>
            <w:vAlign w:val="center"/>
          </w:tcPr>
          <w:p w14:paraId="164BF50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X＜100</w:t>
            </w:r>
          </w:p>
        </w:tc>
      </w:tr>
      <w:tr w14:paraId="0127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1057A06C">
            <w:pPr>
              <w:bidi w:val="0"/>
              <w:jc w:val="center"/>
              <w:rPr>
                <w:rFonts w:hint="eastAsia" w:ascii="宋体" w:hAnsi="宋体" w:eastAsia="宋体" w:cs="宋体"/>
                <w:b/>
                <w:bCs/>
                <w:color w:val="auto"/>
                <w:sz w:val="18"/>
                <w:szCs w:val="18"/>
              </w:rPr>
            </w:pPr>
          </w:p>
        </w:tc>
        <w:tc>
          <w:tcPr>
            <w:tcW w:w="1494" w:type="dxa"/>
            <w:noWrap w:val="0"/>
            <w:vAlign w:val="center"/>
          </w:tcPr>
          <w:p w14:paraId="2E7A0D2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0"/>
            <w:vAlign w:val="center"/>
          </w:tcPr>
          <w:p w14:paraId="0ECDC1B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0349EF46">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0"/>
            <w:vAlign w:val="center"/>
          </w:tcPr>
          <w:p w14:paraId="7FEB249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0"/>
            <w:vAlign w:val="center"/>
          </w:tcPr>
          <w:p w14:paraId="16318E7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0"/>
            <w:vAlign w:val="center"/>
          </w:tcPr>
          <w:p w14:paraId="6E1B0807">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Y＜500</w:t>
            </w:r>
          </w:p>
        </w:tc>
      </w:tr>
      <w:tr w14:paraId="239A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0"/>
            <w:vAlign w:val="center"/>
          </w:tcPr>
          <w:p w14:paraId="35C7E95F">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0"/>
            <w:vAlign w:val="center"/>
          </w:tcPr>
          <w:p w14:paraId="3CD228C9">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77C8BB5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70EB870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72FAF28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3CAE1B40">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3285D1F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r w14:paraId="6797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0"/>
            <w:vAlign w:val="center"/>
          </w:tcPr>
          <w:p w14:paraId="7BD86AE0">
            <w:pPr>
              <w:bidi w:val="0"/>
              <w:jc w:val="center"/>
              <w:rPr>
                <w:rFonts w:hint="eastAsia" w:ascii="宋体" w:hAnsi="宋体" w:eastAsia="宋体" w:cs="宋体"/>
                <w:b/>
                <w:bCs/>
                <w:color w:val="auto"/>
                <w:sz w:val="18"/>
                <w:szCs w:val="18"/>
              </w:rPr>
            </w:pPr>
          </w:p>
        </w:tc>
        <w:tc>
          <w:tcPr>
            <w:tcW w:w="1494" w:type="dxa"/>
            <w:noWrap w:val="0"/>
            <w:vAlign w:val="center"/>
          </w:tcPr>
          <w:p w14:paraId="23E1983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0"/>
            <w:vAlign w:val="center"/>
          </w:tcPr>
          <w:p w14:paraId="23E6B96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0"/>
            <w:vAlign w:val="center"/>
          </w:tcPr>
          <w:p w14:paraId="76F06C1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0"/>
            <w:vAlign w:val="center"/>
          </w:tcPr>
          <w:p w14:paraId="0FB2BF72">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0"/>
            <w:vAlign w:val="center"/>
          </w:tcPr>
          <w:p w14:paraId="46E8A29C">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0"/>
            <w:vAlign w:val="center"/>
          </w:tcPr>
          <w:p w14:paraId="4EEEB6B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Z＜100</w:t>
            </w:r>
          </w:p>
        </w:tc>
      </w:tr>
      <w:tr w14:paraId="1386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0"/>
            <w:vAlign w:val="center"/>
          </w:tcPr>
          <w:p w14:paraId="650F6A23">
            <w:pPr>
              <w:bidi w:val="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其他未列明行业 *</w:t>
            </w:r>
          </w:p>
        </w:tc>
        <w:tc>
          <w:tcPr>
            <w:tcW w:w="1494" w:type="dxa"/>
            <w:noWrap w:val="0"/>
            <w:vAlign w:val="center"/>
          </w:tcPr>
          <w:p w14:paraId="38833898">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0"/>
            <w:vAlign w:val="center"/>
          </w:tcPr>
          <w:p w14:paraId="647B9D73">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0"/>
            <w:vAlign w:val="center"/>
          </w:tcPr>
          <w:p w14:paraId="4C6A0C6F">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0"/>
            <w:vAlign w:val="center"/>
          </w:tcPr>
          <w:p w14:paraId="4E0D5F5B">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0"/>
            <w:vAlign w:val="center"/>
          </w:tcPr>
          <w:p w14:paraId="73031ECD">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0"/>
            <w:vAlign w:val="center"/>
          </w:tcPr>
          <w:p w14:paraId="5F7E5D8E">
            <w:pPr>
              <w:bidi w:val="0"/>
              <w:jc w:val="center"/>
              <w:rPr>
                <w:rFonts w:hint="eastAsia" w:ascii="宋体" w:hAnsi="宋体" w:eastAsia="宋体" w:cs="宋体"/>
                <w:color w:val="auto"/>
                <w:sz w:val="18"/>
                <w:szCs w:val="18"/>
              </w:rPr>
            </w:pPr>
            <w:r>
              <w:rPr>
                <w:rFonts w:hint="eastAsia" w:ascii="宋体" w:hAnsi="宋体" w:eastAsia="宋体" w:cs="宋体"/>
                <w:color w:val="auto"/>
                <w:sz w:val="18"/>
                <w:szCs w:val="18"/>
              </w:rPr>
              <w:t>X＜10</w:t>
            </w:r>
          </w:p>
        </w:tc>
      </w:tr>
    </w:tbl>
    <w:p w14:paraId="71FD4AC4">
      <w:pPr>
        <w:pStyle w:val="44"/>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pgNumType w:fmt="decimal"/>
          <w:cols w:space="0" w:num="1"/>
          <w:rtlGutter w:val="0"/>
          <w:docGrid w:type="lines" w:linePitch="321" w:charSpace="0"/>
        </w:sectPr>
      </w:pPr>
    </w:p>
    <w:p w14:paraId="66BF66E5">
      <w:pPr>
        <w:pStyle w:val="44"/>
        <w:rPr>
          <w:color w:val="auto"/>
        </w:rPr>
      </w:pPr>
    </w:p>
    <w:p w14:paraId="020FA17C">
      <w:pPr>
        <w:tabs>
          <w:tab w:val="left" w:pos="432"/>
        </w:tabs>
        <w:jc w:val="center"/>
        <w:outlineLvl w:val="0"/>
        <w:rPr>
          <w:rFonts w:hint="eastAsia" w:ascii="宋体" w:hAnsi="宋体" w:eastAsia="宋体" w:cs="宋体"/>
          <w:color w:val="auto"/>
        </w:rPr>
      </w:pPr>
      <w:bookmarkStart w:id="155" w:name="_Toc25180"/>
      <w:bookmarkStart w:id="156" w:name="_Toc24625"/>
      <w:r>
        <w:rPr>
          <w:rStyle w:val="69"/>
          <w:rFonts w:hint="eastAsia" w:ascii="宋体" w:hAnsi="宋体" w:eastAsia="宋体" w:cs="宋体"/>
          <w:color w:val="auto"/>
          <w:lang w:val="zh-CN"/>
        </w:rPr>
        <w:t>第七章</w:t>
      </w:r>
      <w:r>
        <w:rPr>
          <w:rStyle w:val="69"/>
          <w:rFonts w:hint="eastAsia" w:ascii="宋体" w:hAnsi="宋体" w:eastAsia="宋体" w:cs="宋体"/>
          <w:color w:val="auto"/>
          <w:lang w:val="en-US" w:eastAsia="zh-CN"/>
        </w:rPr>
        <w:t xml:space="preserve">  </w:t>
      </w:r>
      <w:r>
        <w:rPr>
          <w:rStyle w:val="69"/>
          <w:rFonts w:hint="eastAsia" w:ascii="宋体" w:hAnsi="宋体" w:eastAsia="宋体" w:cs="宋体"/>
          <w:color w:val="auto"/>
          <w:lang w:val="zh-CN"/>
        </w:rPr>
        <w:t>附</w:t>
      </w:r>
      <w:r>
        <w:rPr>
          <w:rStyle w:val="69"/>
          <w:rFonts w:hint="eastAsia" w:ascii="宋体" w:hAnsi="宋体" w:eastAsia="宋体" w:cs="宋体"/>
          <w:color w:val="auto"/>
        </w:rPr>
        <w:t xml:space="preserve"> </w:t>
      </w:r>
      <w:r>
        <w:rPr>
          <w:rStyle w:val="69"/>
          <w:rFonts w:hint="eastAsia" w:ascii="宋体" w:hAnsi="宋体" w:eastAsia="宋体" w:cs="宋体"/>
          <w:color w:val="auto"/>
          <w:lang w:val="zh-CN"/>
        </w:rPr>
        <w:t>件</w:t>
      </w:r>
      <w:bookmarkEnd w:id="155"/>
      <w:bookmarkEnd w:id="156"/>
    </w:p>
    <w:p w14:paraId="5AADE7D0">
      <w:pPr>
        <w:rPr>
          <w:rFonts w:hint="eastAsia" w:ascii="宋体" w:hAnsi="宋体" w:eastAsia="宋体" w:cs="宋体"/>
          <w:color w:val="auto"/>
        </w:rPr>
      </w:pPr>
    </w:p>
    <w:p w14:paraId="114A11A0">
      <w:pPr>
        <w:autoSpaceDE w:val="0"/>
        <w:autoSpaceDN w:val="0"/>
        <w:adjustRightInd w:val="0"/>
        <w:snapToGrid w:val="0"/>
        <w:spacing w:line="360" w:lineRule="auto"/>
        <w:jc w:val="center"/>
        <w:outlineLvl w:val="0"/>
        <w:rPr>
          <w:rFonts w:hint="eastAsia" w:ascii="宋体" w:hAnsi="宋体" w:eastAsia="宋体" w:cs="宋体"/>
          <w:b/>
          <w:color w:val="auto"/>
          <w:sz w:val="32"/>
          <w:szCs w:val="32"/>
        </w:rPr>
      </w:pPr>
      <w:bookmarkStart w:id="157" w:name="_Toc1040"/>
      <w:bookmarkStart w:id="158" w:name="_Toc12391"/>
      <w:bookmarkStart w:id="159" w:name="_Toc635"/>
      <w:r>
        <w:rPr>
          <w:rFonts w:hint="eastAsia" w:ascii="宋体" w:hAnsi="宋体" w:eastAsia="宋体" w:cs="宋体"/>
          <w:b/>
          <w:color w:val="auto"/>
          <w:sz w:val="32"/>
          <w:szCs w:val="32"/>
          <w:lang w:val="zh-CN"/>
        </w:rPr>
        <w:t>投标文件包装袋封面标贴（格式）</w:t>
      </w:r>
      <w:bookmarkEnd w:id="157"/>
      <w:bookmarkEnd w:id="158"/>
      <w:bookmarkEnd w:id="159"/>
    </w:p>
    <w:tbl>
      <w:tblPr>
        <w:tblStyle w:val="24"/>
        <w:tblW w:w="8584" w:type="dxa"/>
        <w:jc w:val="center"/>
        <w:tblLayout w:type="fixed"/>
        <w:tblCellMar>
          <w:top w:w="0" w:type="dxa"/>
          <w:left w:w="108" w:type="dxa"/>
          <w:bottom w:w="0" w:type="dxa"/>
          <w:right w:w="108" w:type="dxa"/>
        </w:tblCellMar>
      </w:tblPr>
      <w:tblGrid>
        <w:gridCol w:w="8584"/>
      </w:tblGrid>
      <w:tr w14:paraId="7016083D">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val="0"/>
            <w:vAlign w:val="top"/>
          </w:tcPr>
          <w:tbl>
            <w:tblPr>
              <w:tblStyle w:val="24"/>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B83EDA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42C9DC38">
                  <w:pPr>
                    <w:snapToGrid w:val="0"/>
                    <w:spacing w:line="360" w:lineRule="auto"/>
                    <w:jc w:val="center"/>
                    <w:rPr>
                      <w:rFonts w:hint="eastAsia" w:ascii="宋体" w:hAnsi="宋体" w:eastAsia="宋体" w:cs="宋体"/>
                      <w:b/>
                      <w:color w:val="auto"/>
                      <w:sz w:val="30"/>
                    </w:rPr>
                  </w:pPr>
                </w:p>
                <w:p w14:paraId="676F931C">
                  <w:pPr>
                    <w:pStyle w:val="10"/>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w:t>
                  </w:r>
                </w:p>
                <w:p w14:paraId="102DB5E7">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（封口处加盖投标人公章）</w:t>
                  </w:r>
                </w:p>
                <w:p w14:paraId="3CE33B1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 xml:space="preserve">文件正本 </w:t>
                  </w:r>
                  <w:r>
                    <w:rPr>
                      <w:rFonts w:hint="eastAsia" w:ascii="宋体" w:hAnsi="宋体" w:eastAsia="宋体" w:cs="宋体"/>
                      <w:color w:val="auto"/>
                      <w:szCs w:val="21"/>
                      <w:u w:val="single"/>
                    </w:rPr>
                    <w:t>1</w:t>
                  </w:r>
                  <w:r>
                    <w:rPr>
                      <w:rFonts w:hint="eastAsia" w:ascii="宋体" w:hAnsi="宋体" w:eastAsia="宋体" w:cs="宋体"/>
                      <w:color w:val="auto"/>
                      <w:szCs w:val="21"/>
                    </w:rPr>
                    <w:t>份</w:t>
                  </w:r>
                  <w:r>
                    <w:rPr>
                      <w:rFonts w:hint="eastAsia" w:ascii="宋体" w:hAnsi="宋体" w:eastAsia="宋体" w:cs="宋体"/>
                      <w:color w:val="auto"/>
                      <w:szCs w:val="21"/>
                      <w:lang w:val="en-US" w:eastAsia="zh-CN"/>
                    </w:rPr>
                    <w:t>/</w:t>
                  </w:r>
                  <w:r>
                    <w:rPr>
                      <w:rFonts w:hint="eastAsia" w:ascii="宋体" w:hAnsi="宋体" w:eastAsia="宋体" w:cs="宋体"/>
                      <w:color w:val="auto"/>
                      <w:szCs w:val="21"/>
                    </w:rPr>
                    <w:t>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14:paraId="42626B8E">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14:paraId="4BD662C3">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E06FAB9">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05BCAE73">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734C24BF">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14:paraId="7DCB22F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14:paraId="14186D61">
                  <w:pPr>
                    <w:snapToGrid w:val="0"/>
                    <w:spacing w:line="360" w:lineRule="auto"/>
                    <w:ind w:firstLine="840" w:firstLineChars="400"/>
                    <w:rPr>
                      <w:rFonts w:hint="eastAsia" w:ascii="宋体" w:hAnsi="宋体" w:eastAsia="宋体" w:cs="宋体"/>
                      <w:b/>
                      <w:bCs/>
                      <w:color w:val="auto"/>
                      <w:sz w:val="24"/>
                      <w:u w:val="single"/>
                    </w:rPr>
                  </w:pPr>
                  <w:r>
                    <w:rPr>
                      <w:rFonts w:hint="eastAsia" w:ascii="宋体" w:hAnsi="宋体" w:eastAsia="宋体" w:cs="宋体"/>
                      <w:bCs/>
                      <w:color w:val="auto"/>
                      <w:szCs w:val="21"/>
                    </w:rPr>
                    <w:t xml:space="preserve">递交地点： </w:t>
                  </w:r>
                </w:p>
              </w:tc>
            </w:tr>
          </w:tbl>
          <w:p w14:paraId="09FEE8E8">
            <w:pPr>
              <w:snapToGrid w:val="0"/>
              <w:spacing w:line="360" w:lineRule="auto"/>
              <w:rPr>
                <w:rFonts w:hint="eastAsia" w:ascii="宋体" w:hAnsi="宋体" w:eastAsia="宋体" w:cs="宋体"/>
                <w:color w:val="auto"/>
              </w:rPr>
            </w:pPr>
          </w:p>
        </w:tc>
      </w:tr>
    </w:tbl>
    <w:p w14:paraId="548F9170">
      <w:pPr>
        <w:autoSpaceDE w:val="0"/>
        <w:autoSpaceDN w:val="0"/>
        <w:adjustRightInd w:val="0"/>
        <w:snapToGrid w:val="0"/>
        <w:spacing w:line="360" w:lineRule="auto"/>
        <w:jc w:val="center"/>
        <w:rPr>
          <w:rFonts w:hint="eastAsia" w:ascii="宋体" w:hAnsi="宋体" w:eastAsia="宋体" w:cs="宋体"/>
          <w:b/>
          <w:color w:val="auto"/>
          <w:sz w:val="32"/>
          <w:szCs w:val="32"/>
          <w:lang w:val="zh-CN"/>
        </w:rPr>
      </w:pPr>
    </w:p>
    <w:p w14:paraId="50E181AB">
      <w:pPr>
        <w:autoSpaceDE w:val="0"/>
        <w:autoSpaceDN w:val="0"/>
        <w:adjustRightInd w:val="0"/>
        <w:snapToGrid w:val="0"/>
        <w:spacing w:line="360" w:lineRule="auto"/>
        <w:jc w:val="center"/>
        <w:outlineLvl w:val="0"/>
        <w:rPr>
          <w:rFonts w:hint="eastAsia" w:ascii="宋体" w:hAnsi="宋体" w:eastAsia="宋体" w:cs="宋体"/>
          <w:b/>
          <w:color w:val="auto"/>
          <w:kern w:val="0"/>
          <w:sz w:val="32"/>
          <w:szCs w:val="32"/>
        </w:rPr>
      </w:pPr>
      <w:bookmarkStart w:id="160" w:name="_Toc9116"/>
      <w:bookmarkStart w:id="161" w:name="_Toc27134"/>
      <w:bookmarkStart w:id="162" w:name="_Toc2744"/>
      <w:r>
        <w:rPr>
          <w:rFonts w:hint="eastAsia" w:ascii="宋体" w:hAnsi="宋体" w:eastAsia="宋体" w:cs="宋体"/>
          <w:b/>
          <w:color w:val="auto"/>
          <w:sz w:val="32"/>
          <w:szCs w:val="32"/>
          <w:lang w:val="zh-CN"/>
        </w:rPr>
        <w:t>投标文件电子版包装袋封面标贴（格式）</w:t>
      </w:r>
      <w:bookmarkEnd w:id="160"/>
      <w:bookmarkEnd w:id="161"/>
      <w:bookmarkEnd w:id="162"/>
    </w:p>
    <w:tbl>
      <w:tblPr>
        <w:tblStyle w:val="24"/>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74A5C96F">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val="0"/>
            <w:vAlign w:val="top"/>
          </w:tcPr>
          <w:p w14:paraId="1136C0DD">
            <w:pPr>
              <w:snapToGrid w:val="0"/>
              <w:spacing w:line="360" w:lineRule="auto"/>
              <w:jc w:val="center"/>
              <w:rPr>
                <w:rFonts w:hint="eastAsia" w:ascii="宋体" w:hAnsi="宋体" w:eastAsia="宋体" w:cs="宋体"/>
                <w:b/>
                <w:color w:val="auto"/>
                <w:sz w:val="30"/>
              </w:rPr>
            </w:pPr>
          </w:p>
          <w:p w14:paraId="6D712781">
            <w:pPr>
              <w:pStyle w:val="10"/>
              <w:snapToGrid w:val="0"/>
              <w:spacing w:line="360" w:lineRule="auto"/>
              <w:jc w:val="center"/>
              <w:rPr>
                <w:rFonts w:hint="eastAsia" w:ascii="宋体" w:hAnsi="宋体" w:eastAsia="宋体" w:cs="宋体"/>
                <w:b w:val="0"/>
                <w:color w:val="auto"/>
                <w:sz w:val="44"/>
              </w:rPr>
            </w:pPr>
            <w:r>
              <w:rPr>
                <w:rFonts w:hint="eastAsia" w:ascii="宋体" w:hAnsi="宋体" w:eastAsia="宋体" w:cs="宋体"/>
                <w:b w:val="0"/>
                <w:color w:val="auto"/>
                <w:sz w:val="44"/>
              </w:rPr>
              <w:t>政府采购项目投标文件电子版</w:t>
            </w:r>
          </w:p>
          <w:p w14:paraId="22F4D34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（封口处加盖供应商公章）</w:t>
            </w:r>
          </w:p>
          <w:p w14:paraId="2E1CB297">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密封内容：</w:t>
            </w:r>
            <w:r>
              <w:rPr>
                <w:rFonts w:hint="eastAsia" w:ascii="宋体" w:hAnsi="宋体" w:eastAsia="宋体" w:cs="宋体"/>
                <w:color w:val="auto"/>
                <w:szCs w:val="21"/>
                <w:lang w:eastAsia="zh-CN"/>
              </w:rPr>
              <w:t>投标</w:t>
            </w:r>
            <w:r>
              <w:rPr>
                <w:rFonts w:hint="eastAsia" w:ascii="宋体" w:hAnsi="宋体" w:eastAsia="宋体" w:cs="宋体"/>
                <w:color w:val="auto"/>
                <w:szCs w:val="21"/>
              </w:rPr>
              <w:t>文件电子版U盘</w:t>
            </w:r>
            <w:r>
              <w:rPr>
                <w:rFonts w:hint="eastAsia" w:ascii="宋体" w:hAnsi="宋体" w:eastAsia="宋体" w:cs="宋体"/>
                <w:color w:val="auto"/>
                <w:szCs w:val="21"/>
                <w:lang w:val="en-US" w:eastAsia="zh-CN"/>
              </w:rPr>
              <w:t>1</w:t>
            </w:r>
            <w:r>
              <w:rPr>
                <w:rFonts w:hint="eastAsia" w:ascii="宋体" w:hAnsi="宋体" w:eastAsia="宋体" w:cs="宋体"/>
                <w:color w:val="auto"/>
                <w:szCs w:val="21"/>
              </w:rPr>
              <w:t>份</w:t>
            </w:r>
          </w:p>
          <w:p w14:paraId="36E89E1A">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p>
          <w:p w14:paraId="2EA83C6B">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77C48D2">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6933135">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r>
              <w:rPr>
                <w:rFonts w:hint="eastAsia" w:ascii="宋体" w:hAnsi="宋体" w:eastAsia="宋体" w:cs="宋体"/>
                <w:color w:val="auto"/>
                <w:szCs w:val="21"/>
                <w:u w:val="single"/>
              </w:rPr>
              <w:t xml:space="preserve">                                 </w:t>
            </w:r>
          </w:p>
          <w:p w14:paraId="516538B4">
            <w:pPr>
              <w:snapToGrid w:val="0"/>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p>
          <w:p w14:paraId="1DB7061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在  年  月  日  时之前递交，且不得启封</w:t>
            </w:r>
          </w:p>
          <w:p w14:paraId="2FE3C020">
            <w:pPr>
              <w:snapToGrid w:val="0"/>
              <w:spacing w:line="360" w:lineRule="auto"/>
              <w:ind w:firstLine="840" w:firstLineChars="400"/>
              <w:rPr>
                <w:rFonts w:hint="eastAsia" w:ascii="宋体" w:hAnsi="宋体" w:eastAsia="宋体" w:cs="宋体"/>
                <w:color w:val="auto"/>
                <w:sz w:val="24"/>
              </w:rPr>
            </w:pPr>
            <w:r>
              <w:rPr>
                <w:rFonts w:hint="eastAsia" w:ascii="宋体" w:hAnsi="宋体" w:eastAsia="宋体" w:cs="宋体"/>
                <w:bCs/>
                <w:color w:val="auto"/>
                <w:szCs w:val="21"/>
              </w:rPr>
              <w:t xml:space="preserve">递交地点： </w:t>
            </w:r>
          </w:p>
        </w:tc>
      </w:tr>
    </w:tbl>
    <w:p w14:paraId="5EEE5D48">
      <w:pPr>
        <w:pStyle w:val="44"/>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HelveticaNeueLT Std Lt 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16C66">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A109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9A109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571E">
    <w:pPr>
      <w:pStyle w:val="16"/>
      <w:ind w:right="360"/>
      <w:jc w:val="both"/>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785E2">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0785E2">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19FF">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C2E0">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31FD7">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F431FD7">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r>
      <w:rPr>
        <w:kern w:val="0"/>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032B">
    <w:pPr>
      <w:rPr>
        <w:rFonts w:hint="eastAsi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8038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F80384">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5AFD">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3B60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3C3B60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30B4">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02A98">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5602A98">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3596F">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ABA0">
    <w:pPr>
      <w:pBdr>
        <w:bottom w:val="none" w:color="auto" w:sz="0" w:space="0"/>
      </w:pBdr>
      <w:spacing w:before="0" w:after="0" w:line="200" w:lineRule="exact"/>
      <w:jc w:val="left"/>
      <w:rPr>
        <w:rFonts w:hint="eastAsia" w:ascii="宋体" w:hAnsi="宋体" w:eastAsia="宋体" w:cs="宋体"/>
        <w:b/>
        <w:bCs/>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8C97">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5A1E">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4069A">
    <w:pPr>
      <w:pStyle w:val="18"/>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1180">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B151">
    <w:pPr>
      <w:rPr>
        <w:rFonts w:hint="eastAsia"/>
        <w:color w:val="0070C0"/>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5B76">
    <w:pP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4924">
    <w:pPr>
      <w:pStyle w:val="1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6572"/>
    <w:multiLevelType w:val="singleLevel"/>
    <w:tmpl w:val="8B996572"/>
    <w:lvl w:ilvl="0" w:tentative="0">
      <w:start w:val="1"/>
      <w:numFmt w:val="decimal"/>
      <w:lvlText w:val="%1."/>
      <w:lvlJc w:val="left"/>
      <w:pPr>
        <w:tabs>
          <w:tab w:val="left" w:pos="312"/>
        </w:tabs>
      </w:pPr>
    </w:lvl>
  </w:abstractNum>
  <w:abstractNum w:abstractNumId="1">
    <w:nsid w:val="9839F036"/>
    <w:multiLevelType w:val="singleLevel"/>
    <w:tmpl w:val="9839F036"/>
    <w:lvl w:ilvl="0" w:tentative="0">
      <w:start w:val="3"/>
      <w:numFmt w:val="chineseCounting"/>
      <w:suff w:val="space"/>
      <w:lvlText w:val="第%1章"/>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6122918"/>
    <w:multiLevelType w:val="singleLevel"/>
    <w:tmpl w:val="C6122918"/>
    <w:lvl w:ilvl="0" w:tentative="0">
      <w:start w:val="1"/>
      <w:numFmt w:val="decimal"/>
      <w:lvlText w:val="%1."/>
      <w:lvlJc w:val="left"/>
      <w:pPr>
        <w:tabs>
          <w:tab w:val="left" w:pos="312"/>
        </w:tabs>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2E6CA7A"/>
    <w:multiLevelType w:val="singleLevel"/>
    <w:tmpl w:val="D2E6CA7A"/>
    <w:lvl w:ilvl="0" w:tentative="0">
      <w:start w:val="1"/>
      <w:numFmt w:val="decimal"/>
      <w:lvlText w:val="%1."/>
      <w:lvlJc w:val="left"/>
      <w:pPr>
        <w:tabs>
          <w:tab w:val="left" w:pos="312"/>
        </w:tabs>
      </w:p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6F60F4"/>
    <w:multiLevelType w:val="multilevel"/>
    <w:tmpl w:val="6E6F60F4"/>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EE773E"/>
    <w:multiLevelType w:val="singleLevel"/>
    <w:tmpl w:val="78EE773E"/>
    <w:lvl w:ilvl="0" w:tentative="0">
      <w:start w:val="1"/>
      <w:numFmt w:val="decimal"/>
      <w:lvlText w:val="%1."/>
      <w:lvlJc w:val="left"/>
      <w:pPr>
        <w:tabs>
          <w:tab w:val="left" w:pos="312"/>
        </w:tabs>
      </w:pPr>
    </w:lvl>
  </w:abstractNum>
  <w:abstractNum w:abstractNumId="13">
    <w:nsid w:val="7A0F6431"/>
    <w:multiLevelType w:val="singleLevel"/>
    <w:tmpl w:val="7A0F6431"/>
    <w:lvl w:ilvl="0" w:tentative="0">
      <w:start w:val="1"/>
      <w:numFmt w:val="decimal"/>
      <w:suff w:val="space"/>
      <w:lvlText w:val="%1."/>
      <w:lvlJc w:val="left"/>
    </w:lvl>
  </w:abstractNum>
  <w:num w:numId="1">
    <w:abstractNumId w:val="1"/>
  </w:num>
  <w:num w:numId="2">
    <w:abstractNumId w:val="3"/>
  </w:num>
  <w:num w:numId="3">
    <w:abstractNumId w:val="12"/>
  </w:num>
  <w:num w:numId="4">
    <w:abstractNumId w:val="0"/>
  </w:num>
  <w:num w:numId="5">
    <w:abstractNumId w:val="13"/>
  </w:num>
  <w:num w:numId="6">
    <w:abstractNumId w:val="4"/>
  </w:num>
  <w:num w:numId="7">
    <w:abstractNumId w:val="9"/>
  </w:num>
  <w:num w:numId="8">
    <w:abstractNumId w:val="7"/>
  </w:num>
  <w:num w:numId="9">
    <w:abstractNumId w:val="6"/>
  </w:num>
  <w:num w:numId="10">
    <w:abstractNumId w:val="2"/>
  </w:num>
  <w:num w:numId="11">
    <w:abstractNumId w:val="8"/>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395B58"/>
    <w:rsid w:val="004B32E7"/>
    <w:rsid w:val="00C46AAD"/>
    <w:rsid w:val="00D81B6C"/>
    <w:rsid w:val="00DD3B71"/>
    <w:rsid w:val="00E83921"/>
    <w:rsid w:val="00EC47B0"/>
    <w:rsid w:val="00F97C2F"/>
    <w:rsid w:val="00FC5547"/>
    <w:rsid w:val="010035A1"/>
    <w:rsid w:val="01280DEF"/>
    <w:rsid w:val="012A5D20"/>
    <w:rsid w:val="01742708"/>
    <w:rsid w:val="01916C5A"/>
    <w:rsid w:val="019540B7"/>
    <w:rsid w:val="01DC4A33"/>
    <w:rsid w:val="01F0269B"/>
    <w:rsid w:val="01F42148"/>
    <w:rsid w:val="01F42BFC"/>
    <w:rsid w:val="020350EF"/>
    <w:rsid w:val="02044C7F"/>
    <w:rsid w:val="020734F9"/>
    <w:rsid w:val="022475A8"/>
    <w:rsid w:val="022573A2"/>
    <w:rsid w:val="02393042"/>
    <w:rsid w:val="025F77FD"/>
    <w:rsid w:val="02663C42"/>
    <w:rsid w:val="02690772"/>
    <w:rsid w:val="02875423"/>
    <w:rsid w:val="02886E99"/>
    <w:rsid w:val="028F052A"/>
    <w:rsid w:val="029B4386"/>
    <w:rsid w:val="02F55107"/>
    <w:rsid w:val="02FD6FF2"/>
    <w:rsid w:val="034C646D"/>
    <w:rsid w:val="03747EDC"/>
    <w:rsid w:val="0390167B"/>
    <w:rsid w:val="03C436E0"/>
    <w:rsid w:val="03CA5A63"/>
    <w:rsid w:val="03F67248"/>
    <w:rsid w:val="04072D96"/>
    <w:rsid w:val="040D4253"/>
    <w:rsid w:val="04104EB9"/>
    <w:rsid w:val="04231E5E"/>
    <w:rsid w:val="04461F17"/>
    <w:rsid w:val="046A1513"/>
    <w:rsid w:val="049671AF"/>
    <w:rsid w:val="04A32A9C"/>
    <w:rsid w:val="04A335EA"/>
    <w:rsid w:val="04D07A99"/>
    <w:rsid w:val="04F14911"/>
    <w:rsid w:val="052D7D6B"/>
    <w:rsid w:val="05532F0D"/>
    <w:rsid w:val="057F30A3"/>
    <w:rsid w:val="0588302D"/>
    <w:rsid w:val="059F4E6E"/>
    <w:rsid w:val="05A22CCB"/>
    <w:rsid w:val="05A6764F"/>
    <w:rsid w:val="05B252A0"/>
    <w:rsid w:val="060849E7"/>
    <w:rsid w:val="064B76E6"/>
    <w:rsid w:val="066A2DA8"/>
    <w:rsid w:val="06A2692E"/>
    <w:rsid w:val="06A65148"/>
    <w:rsid w:val="06B320CD"/>
    <w:rsid w:val="06C673A5"/>
    <w:rsid w:val="06D06953"/>
    <w:rsid w:val="06DD2419"/>
    <w:rsid w:val="06DE1AC9"/>
    <w:rsid w:val="06E05BC6"/>
    <w:rsid w:val="06FB0DA0"/>
    <w:rsid w:val="072C3D8B"/>
    <w:rsid w:val="07533CB0"/>
    <w:rsid w:val="07896E78"/>
    <w:rsid w:val="07C56628"/>
    <w:rsid w:val="07C97472"/>
    <w:rsid w:val="07DA6BA9"/>
    <w:rsid w:val="08026C2E"/>
    <w:rsid w:val="081E7539"/>
    <w:rsid w:val="081F2D98"/>
    <w:rsid w:val="082A57A7"/>
    <w:rsid w:val="083F2C94"/>
    <w:rsid w:val="083F3BEC"/>
    <w:rsid w:val="088C017B"/>
    <w:rsid w:val="089811AF"/>
    <w:rsid w:val="089A4974"/>
    <w:rsid w:val="08D459F0"/>
    <w:rsid w:val="08E531F4"/>
    <w:rsid w:val="08EC44FB"/>
    <w:rsid w:val="092B207F"/>
    <w:rsid w:val="093F4F85"/>
    <w:rsid w:val="09A267F6"/>
    <w:rsid w:val="09B173FC"/>
    <w:rsid w:val="09EF661F"/>
    <w:rsid w:val="09F26260"/>
    <w:rsid w:val="09F6286C"/>
    <w:rsid w:val="0A045276"/>
    <w:rsid w:val="0A0838DE"/>
    <w:rsid w:val="0A2515E6"/>
    <w:rsid w:val="0A2C6474"/>
    <w:rsid w:val="0A8B3D7B"/>
    <w:rsid w:val="0A9A0574"/>
    <w:rsid w:val="0AA23C86"/>
    <w:rsid w:val="0AB7040D"/>
    <w:rsid w:val="0AB9026D"/>
    <w:rsid w:val="0AE84A44"/>
    <w:rsid w:val="0B070EC8"/>
    <w:rsid w:val="0B11587B"/>
    <w:rsid w:val="0B1672F1"/>
    <w:rsid w:val="0B1D3918"/>
    <w:rsid w:val="0B293A5F"/>
    <w:rsid w:val="0B2A30B5"/>
    <w:rsid w:val="0B4C0839"/>
    <w:rsid w:val="0B503A5B"/>
    <w:rsid w:val="0B7C70F7"/>
    <w:rsid w:val="0B8D6906"/>
    <w:rsid w:val="0B8E171D"/>
    <w:rsid w:val="0BE83FC5"/>
    <w:rsid w:val="0BEA07FD"/>
    <w:rsid w:val="0BFC0893"/>
    <w:rsid w:val="0C012E0F"/>
    <w:rsid w:val="0C8073BB"/>
    <w:rsid w:val="0C863025"/>
    <w:rsid w:val="0C8B487F"/>
    <w:rsid w:val="0CA31B45"/>
    <w:rsid w:val="0D006A41"/>
    <w:rsid w:val="0D3A3E9A"/>
    <w:rsid w:val="0D550DDA"/>
    <w:rsid w:val="0D734853"/>
    <w:rsid w:val="0D7611DC"/>
    <w:rsid w:val="0D8B17F4"/>
    <w:rsid w:val="0DA871EA"/>
    <w:rsid w:val="0DD47709"/>
    <w:rsid w:val="0DF265EC"/>
    <w:rsid w:val="0E1336A7"/>
    <w:rsid w:val="0E212E81"/>
    <w:rsid w:val="0E5105C9"/>
    <w:rsid w:val="0E851C91"/>
    <w:rsid w:val="0E874A3E"/>
    <w:rsid w:val="0E885D3D"/>
    <w:rsid w:val="0EA97EFE"/>
    <w:rsid w:val="0EAB3E74"/>
    <w:rsid w:val="0EB275BE"/>
    <w:rsid w:val="0F070785"/>
    <w:rsid w:val="0F0F5662"/>
    <w:rsid w:val="0F613572"/>
    <w:rsid w:val="0F6D38DD"/>
    <w:rsid w:val="0FAB1C03"/>
    <w:rsid w:val="0FCA203F"/>
    <w:rsid w:val="0FE17F26"/>
    <w:rsid w:val="1004433E"/>
    <w:rsid w:val="10181B0C"/>
    <w:rsid w:val="101F5E39"/>
    <w:rsid w:val="102A2EC9"/>
    <w:rsid w:val="10386635"/>
    <w:rsid w:val="10453650"/>
    <w:rsid w:val="1063075B"/>
    <w:rsid w:val="106B19F2"/>
    <w:rsid w:val="106D4DFE"/>
    <w:rsid w:val="108252DB"/>
    <w:rsid w:val="10A15C1D"/>
    <w:rsid w:val="10A228E0"/>
    <w:rsid w:val="110B6824"/>
    <w:rsid w:val="11151A17"/>
    <w:rsid w:val="11251C17"/>
    <w:rsid w:val="11451ACE"/>
    <w:rsid w:val="11757A4A"/>
    <w:rsid w:val="11786EBD"/>
    <w:rsid w:val="11A13E11"/>
    <w:rsid w:val="11AF7A44"/>
    <w:rsid w:val="11B322D4"/>
    <w:rsid w:val="11EA2FBC"/>
    <w:rsid w:val="11EF5A27"/>
    <w:rsid w:val="12367C1B"/>
    <w:rsid w:val="12645DB1"/>
    <w:rsid w:val="126F0D08"/>
    <w:rsid w:val="12700AE5"/>
    <w:rsid w:val="12E956CE"/>
    <w:rsid w:val="12FB779B"/>
    <w:rsid w:val="130A6074"/>
    <w:rsid w:val="13275AA1"/>
    <w:rsid w:val="13294AF3"/>
    <w:rsid w:val="134428A7"/>
    <w:rsid w:val="13867CAA"/>
    <w:rsid w:val="13B3664F"/>
    <w:rsid w:val="13B95267"/>
    <w:rsid w:val="13D206E6"/>
    <w:rsid w:val="140137CB"/>
    <w:rsid w:val="14072F84"/>
    <w:rsid w:val="14196B13"/>
    <w:rsid w:val="14273644"/>
    <w:rsid w:val="14522BCA"/>
    <w:rsid w:val="145E4782"/>
    <w:rsid w:val="14A00569"/>
    <w:rsid w:val="14A561B7"/>
    <w:rsid w:val="14B25AD3"/>
    <w:rsid w:val="14B44CE1"/>
    <w:rsid w:val="14CF29F4"/>
    <w:rsid w:val="15211C4B"/>
    <w:rsid w:val="153A2726"/>
    <w:rsid w:val="156F0F1F"/>
    <w:rsid w:val="157E6F22"/>
    <w:rsid w:val="15945E76"/>
    <w:rsid w:val="1597323D"/>
    <w:rsid w:val="15A46A71"/>
    <w:rsid w:val="15C57501"/>
    <w:rsid w:val="15D33839"/>
    <w:rsid w:val="15F227C3"/>
    <w:rsid w:val="15FF68A6"/>
    <w:rsid w:val="16154ABF"/>
    <w:rsid w:val="16165263"/>
    <w:rsid w:val="1617126C"/>
    <w:rsid w:val="163D12AD"/>
    <w:rsid w:val="16875174"/>
    <w:rsid w:val="168A0709"/>
    <w:rsid w:val="169D32AE"/>
    <w:rsid w:val="16A707AD"/>
    <w:rsid w:val="16BC5E4C"/>
    <w:rsid w:val="16F42E70"/>
    <w:rsid w:val="173C4945"/>
    <w:rsid w:val="17412D5A"/>
    <w:rsid w:val="175C184B"/>
    <w:rsid w:val="17816537"/>
    <w:rsid w:val="17A10B0C"/>
    <w:rsid w:val="17CB1B67"/>
    <w:rsid w:val="17E5658D"/>
    <w:rsid w:val="182251A7"/>
    <w:rsid w:val="1834569B"/>
    <w:rsid w:val="18481E9F"/>
    <w:rsid w:val="185047EA"/>
    <w:rsid w:val="1858031E"/>
    <w:rsid w:val="18620079"/>
    <w:rsid w:val="1871499D"/>
    <w:rsid w:val="187A389E"/>
    <w:rsid w:val="18842D36"/>
    <w:rsid w:val="18A5483E"/>
    <w:rsid w:val="18F61CFA"/>
    <w:rsid w:val="1914521E"/>
    <w:rsid w:val="192B668C"/>
    <w:rsid w:val="193516E3"/>
    <w:rsid w:val="19552CD2"/>
    <w:rsid w:val="195F248B"/>
    <w:rsid w:val="198D0107"/>
    <w:rsid w:val="19CD04FD"/>
    <w:rsid w:val="1A4C22E1"/>
    <w:rsid w:val="1A5634EF"/>
    <w:rsid w:val="1A9C170C"/>
    <w:rsid w:val="1AA22E1F"/>
    <w:rsid w:val="1AB43318"/>
    <w:rsid w:val="1AB63DC9"/>
    <w:rsid w:val="1B364F75"/>
    <w:rsid w:val="1B366A39"/>
    <w:rsid w:val="1B4E4DAB"/>
    <w:rsid w:val="1B5241D2"/>
    <w:rsid w:val="1B5710E2"/>
    <w:rsid w:val="1B760DB7"/>
    <w:rsid w:val="1B7E245F"/>
    <w:rsid w:val="1B9B37FD"/>
    <w:rsid w:val="1B9E5610"/>
    <w:rsid w:val="1BA222ED"/>
    <w:rsid w:val="1BAF319C"/>
    <w:rsid w:val="1BB2477E"/>
    <w:rsid w:val="1BB67FEC"/>
    <w:rsid w:val="1BB77E36"/>
    <w:rsid w:val="1BC4734C"/>
    <w:rsid w:val="1BDE4373"/>
    <w:rsid w:val="1BE175E3"/>
    <w:rsid w:val="1C0C5403"/>
    <w:rsid w:val="1C2A13ED"/>
    <w:rsid w:val="1C500D77"/>
    <w:rsid w:val="1C9C777B"/>
    <w:rsid w:val="1CA2245A"/>
    <w:rsid w:val="1CA47475"/>
    <w:rsid w:val="1CB32466"/>
    <w:rsid w:val="1CB36B84"/>
    <w:rsid w:val="1CBA77F5"/>
    <w:rsid w:val="1CFE69C3"/>
    <w:rsid w:val="1D0C7170"/>
    <w:rsid w:val="1D171A07"/>
    <w:rsid w:val="1D33787D"/>
    <w:rsid w:val="1D392A66"/>
    <w:rsid w:val="1D3B4320"/>
    <w:rsid w:val="1D496450"/>
    <w:rsid w:val="1D7D31BA"/>
    <w:rsid w:val="1D8B7418"/>
    <w:rsid w:val="1E133295"/>
    <w:rsid w:val="1E140646"/>
    <w:rsid w:val="1E1A02B2"/>
    <w:rsid w:val="1E364678"/>
    <w:rsid w:val="1E370AA5"/>
    <w:rsid w:val="1E5858D1"/>
    <w:rsid w:val="1E725431"/>
    <w:rsid w:val="1E7B1632"/>
    <w:rsid w:val="1E7D7EF2"/>
    <w:rsid w:val="1E89515C"/>
    <w:rsid w:val="1E964D21"/>
    <w:rsid w:val="1EAB0F03"/>
    <w:rsid w:val="1EB03C19"/>
    <w:rsid w:val="1EE862BF"/>
    <w:rsid w:val="1EF42956"/>
    <w:rsid w:val="1F0D66C1"/>
    <w:rsid w:val="1F122A17"/>
    <w:rsid w:val="1F126D8C"/>
    <w:rsid w:val="1F196954"/>
    <w:rsid w:val="1F3B03AF"/>
    <w:rsid w:val="1F3F552E"/>
    <w:rsid w:val="1FC34CD5"/>
    <w:rsid w:val="1FDD2B21"/>
    <w:rsid w:val="1FE31339"/>
    <w:rsid w:val="20152942"/>
    <w:rsid w:val="202D76F6"/>
    <w:rsid w:val="20513FEE"/>
    <w:rsid w:val="205D3F27"/>
    <w:rsid w:val="206156D7"/>
    <w:rsid w:val="209E49A9"/>
    <w:rsid w:val="20A36642"/>
    <w:rsid w:val="20BC73F6"/>
    <w:rsid w:val="20BD6CCC"/>
    <w:rsid w:val="20C54185"/>
    <w:rsid w:val="20E20AB0"/>
    <w:rsid w:val="20EB5FEB"/>
    <w:rsid w:val="20EE1865"/>
    <w:rsid w:val="210613DC"/>
    <w:rsid w:val="210822A7"/>
    <w:rsid w:val="21603C14"/>
    <w:rsid w:val="21661914"/>
    <w:rsid w:val="21D81DB2"/>
    <w:rsid w:val="22001566"/>
    <w:rsid w:val="220B11B4"/>
    <w:rsid w:val="2211568A"/>
    <w:rsid w:val="22184C4F"/>
    <w:rsid w:val="22321F41"/>
    <w:rsid w:val="2237112D"/>
    <w:rsid w:val="223F0DAE"/>
    <w:rsid w:val="22423249"/>
    <w:rsid w:val="224D187D"/>
    <w:rsid w:val="22534A89"/>
    <w:rsid w:val="22CA56D0"/>
    <w:rsid w:val="22F230EA"/>
    <w:rsid w:val="22F95FB5"/>
    <w:rsid w:val="2302081B"/>
    <w:rsid w:val="23081528"/>
    <w:rsid w:val="23251E14"/>
    <w:rsid w:val="23333575"/>
    <w:rsid w:val="23342A6A"/>
    <w:rsid w:val="2383091E"/>
    <w:rsid w:val="23863DFB"/>
    <w:rsid w:val="23964DE2"/>
    <w:rsid w:val="23AE1C91"/>
    <w:rsid w:val="23BE3486"/>
    <w:rsid w:val="23BF1144"/>
    <w:rsid w:val="23E505A2"/>
    <w:rsid w:val="23F65690"/>
    <w:rsid w:val="23F8612F"/>
    <w:rsid w:val="24AA264F"/>
    <w:rsid w:val="24C95072"/>
    <w:rsid w:val="24D4643D"/>
    <w:rsid w:val="24D87EB8"/>
    <w:rsid w:val="24FA263C"/>
    <w:rsid w:val="25225191"/>
    <w:rsid w:val="252B4B4C"/>
    <w:rsid w:val="254054E9"/>
    <w:rsid w:val="25952490"/>
    <w:rsid w:val="25AE1D42"/>
    <w:rsid w:val="25D03AAA"/>
    <w:rsid w:val="26034850"/>
    <w:rsid w:val="260D60B2"/>
    <w:rsid w:val="262E2F26"/>
    <w:rsid w:val="26581C46"/>
    <w:rsid w:val="26602A19"/>
    <w:rsid w:val="2666119D"/>
    <w:rsid w:val="266677F1"/>
    <w:rsid w:val="26926505"/>
    <w:rsid w:val="26947E31"/>
    <w:rsid w:val="26B15CA8"/>
    <w:rsid w:val="26C1041E"/>
    <w:rsid w:val="270868C7"/>
    <w:rsid w:val="270B2B20"/>
    <w:rsid w:val="270E035A"/>
    <w:rsid w:val="271D6716"/>
    <w:rsid w:val="27243FAE"/>
    <w:rsid w:val="27261217"/>
    <w:rsid w:val="2728195E"/>
    <w:rsid w:val="27382EDD"/>
    <w:rsid w:val="273F2584"/>
    <w:rsid w:val="277B343D"/>
    <w:rsid w:val="279F4A40"/>
    <w:rsid w:val="27A77AAD"/>
    <w:rsid w:val="280C79FC"/>
    <w:rsid w:val="2859668E"/>
    <w:rsid w:val="28682A7F"/>
    <w:rsid w:val="288A7DDB"/>
    <w:rsid w:val="288E128F"/>
    <w:rsid w:val="289B4722"/>
    <w:rsid w:val="28A101CD"/>
    <w:rsid w:val="28D0114A"/>
    <w:rsid w:val="28E4376F"/>
    <w:rsid w:val="28FE2B76"/>
    <w:rsid w:val="290651DC"/>
    <w:rsid w:val="2908618E"/>
    <w:rsid w:val="29160C34"/>
    <w:rsid w:val="29192172"/>
    <w:rsid w:val="2919519C"/>
    <w:rsid w:val="29376BC8"/>
    <w:rsid w:val="29591FEF"/>
    <w:rsid w:val="29B860EB"/>
    <w:rsid w:val="29F8767A"/>
    <w:rsid w:val="2A0718D0"/>
    <w:rsid w:val="2A0B5713"/>
    <w:rsid w:val="2A1366E5"/>
    <w:rsid w:val="2A323AFB"/>
    <w:rsid w:val="2A486221"/>
    <w:rsid w:val="2AA85397"/>
    <w:rsid w:val="2AA947AB"/>
    <w:rsid w:val="2ABB3F65"/>
    <w:rsid w:val="2AE30886"/>
    <w:rsid w:val="2AF90E15"/>
    <w:rsid w:val="2B4A0FE1"/>
    <w:rsid w:val="2B7A2E53"/>
    <w:rsid w:val="2BA315DB"/>
    <w:rsid w:val="2BD35B22"/>
    <w:rsid w:val="2BF912D2"/>
    <w:rsid w:val="2C372033"/>
    <w:rsid w:val="2C505BF9"/>
    <w:rsid w:val="2C770E03"/>
    <w:rsid w:val="2C7E684A"/>
    <w:rsid w:val="2CBB65D9"/>
    <w:rsid w:val="2CC25D53"/>
    <w:rsid w:val="2CC679D3"/>
    <w:rsid w:val="2CCA591B"/>
    <w:rsid w:val="2CDD6F7D"/>
    <w:rsid w:val="2CF041F0"/>
    <w:rsid w:val="2D085F4B"/>
    <w:rsid w:val="2D121C43"/>
    <w:rsid w:val="2D4358F8"/>
    <w:rsid w:val="2D7D2A72"/>
    <w:rsid w:val="2D933BBB"/>
    <w:rsid w:val="2D996EDA"/>
    <w:rsid w:val="2DBE4F31"/>
    <w:rsid w:val="2E0E27F9"/>
    <w:rsid w:val="2E144748"/>
    <w:rsid w:val="2E165FEC"/>
    <w:rsid w:val="2E1B2277"/>
    <w:rsid w:val="2E4A09D1"/>
    <w:rsid w:val="2E762E50"/>
    <w:rsid w:val="2E882B17"/>
    <w:rsid w:val="2E936009"/>
    <w:rsid w:val="2EB513B0"/>
    <w:rsid w:val="2ECE62A1"/>
    <w:rsid w:val="2ED26C0D"/>
    <w:rsid w:val="2EDB48DD"/>
    <w:rsid w:val="2EED2804"/>
    <w:rsid w:val="2F020C7A"/>
    <w:rsid w:val="2F0D23F0"/>
    <w:rsid w:val="2F1553C8"/>
    <w:rsid w:val="2F876BA1"/>
    <w:rsid w:val="2F8E7492"/>
    <w:rsid w:val="2FBD42F4"/>
    <w:rsid w:val="2FC92972"/>
    <w:rsid w:val="2FCA68E6"/>
    <w:rsid w:val="2FD76C30"/>
    <w:rsid w:val="2FF03DBF"/>
    <w:rsid w:val="300B294A"/>
    <w:rsid w:val="301E2235"/>
    <w:rsid w:val="305E799E"/>
    <w:rsid w:val="30604C50"/>
    <w:rsid w:val="307A46ED"/>
    <w:rsid w:val="307D166E"/>
    <w:rsid w:val="308D0D35"/>
    <w:rsid w:val="30985799"/>
    <w:rsid w:val="309D133A"/>
    <w:rsid w:val="309E046A"/>
    <w:rsid w:val="30C85734"/>
    <w:rsid w:val="30CD02C6"/>
    <w:rsid w:val="30D94E5A"/>
    <w:rsid w:val="31045E10"/>
    <w:rsid w:val="314C66F8"/>
    <w:rsid w:val="31585D86"/>
    <w:rsid w:val="316372CE"/>
    <w:rsid w:val="318647B8"/>
    <w:rsid w:val="319C7325"/>
    <w:rsid w:val="31A2725B"/>
    <w:rsid w:val="31B4098A"/>
    <w:rsid w:val="31BD0A75"/>
    <w:rsid w:val="32023E0A"/>
    <w:rsid w:val="321B34FE"/>
    <w:rsid w:val="3238406C"/>
    <w:rsid w:val="32523DE7"/>
    <w:rsid w:val="32761A27"/>
    <w:rsid w:val="32A847DC"/>
    <w:rsid w:val="32D0500A"/>
    <w:rsid w:val="331B6CB4"/>
    <w:rsid w:val="3358706C"/>
    <w:rsid w:val="337C585D"/>
    <w:rsid w:val="337E0A1E"/>
    <w:rsid w:val="33A46D62"/>
    <w:rsid w:val="33E66022"/>
    <w:rsid w:val="34180735"/>
    <w:rsid w:val="34312801"/>
    <w:rsid w:val="34372892"/>
    <w:rsid w:val="344633A1"/>
    <w:rsid w:val="34484799"/>
    <w:rsid w:val="346A231A"/>
    <w:rsid w:val="34B76E60"/>
    <w:rsid w:val="34E66AA0"/>
    <w:rsid w:val="35210518"/>
    <w:rsid w:val="35503048"/>
    <w:rsid w:val="35516836"/>
    <w:rsid w:val="35C93368"/>
    <w:rsid w:val="360F65D2"/>
    <w:rsid w:val="361A55C6"/>
    <w:rsid w:val="362D7D2D"/>
    <w:rsid w:val="3646703E"/>
    <w:rsid w:val="36490F24"/>
    <w:rsid w:val="36546EC1"/>
    <w:rsid w:val="365C5A21"/>
    <w:rsid w:val="36734407"/>
    <w:rsid w:val="36AC3B15"/>
    <w:rsid w:val="36CE2325"/>
    <w:rsid w:val="36DC0386"/>
    <w:rsid w:val="370D6A0A"/>
    <w:rsid w:val="373A5EAF"/>
    <w:rsid w:val="37B13A18"/>
    <w:rsid w:val="37B37B17"/>
    <w:rsid w:val="37BF3C99"/>
    <w:rsid w:val="37C863CA"/>
    <w:rsid w:val="37CA0F32"/>
    <w:rsid w:val="37E62B54"/>
    <w:rsid w:val="37F22186"/>
    <w:rsid w:val="382A7D7A"/>
    <w:rsid w:val="38316036"/>
    <w:rsid w:val="386A108F"/>
    <w:rsid w:val="388116E1"/>
    <w:rsid w:val="38821630"/>
    <w:rsid w:val="38866568"/>
    <w:rsid w:val="38934E7C"/>
    <w:rsid w:val="389925DE"/>
    <w:rsid w:val="38B46952"/>
    <w:rsid w:val="38FC2956"/>
    <w:rsid w:val="390B7209"/>
    <w:rsid w:val="39171FBA"/>
    <w:rsid w:val="393157D1"/>
    <w:rsid w:val="393424EE"/>
    <w:rsid w:val="39441C7A"/>
    <w:rsid w:val="39611066"/>
    <w:rsid w:val="397A398F"/>
    <w:rsid w:val="398E0A89"/>
    <w:rsid w:val="39970EFF"/>
    <w:rsid w:val="399B1E8F"/>
    <w:rsid w:val="39AF008B"/>
    <w:rsid w:val="39B959A2"/>
    <w:rsid w:val="39EC3034"/>
    <w:rsid w:val="3A040DD9"/>
    <w:rsid w:val="3A340E1C"/>
    <w:rsid w:val="3A652DFC"/>
    <w:rsid w:val="3A8B4A80"/>
    <w:rsid w:val="3A9F27CC"/>
    <w:rsid w:val="3AAD2709"/>
    <w:rsid w:val="3AB13B21"/>
    <w:rsid w:val="3AC340D5"/>
    <w:rsid w:val="3AD53AEF"/>
    <w:rsid w:val="3AED376C"/>
    <w:rsid w:val="3AF34C6C"/>
    <w:rsid w:val="3B0F3632"/>
    <w:rsid w:val="3B245F49"/>
    <w:rsid w:val="3B2742FF"/>
    <w:rsid w:val="3B6C4F63"/>
    <w:rsid w:val="3B80043C"/>
    <w:rsid w:val="3B89333F"/>
    <w:rsid w:val="3B9D79CE"/>
    <w:rsid w:val="3BA754B1"/>
    <w:rsid w:val="3BC66AA5"/>
    <w:rsid w:val="3BC75DD9"/>
    <w:rsid w:val="3BF86C78"/>
    <w:rsid w:val="3C5C16A6"/>
    <w:rsid w:val="3C7F0E81"/>
    <w:rsid w:val="3C896CAE"/>
    <w:rsid w:val="3C8C6288"/>
    <w:rsid w:val="3C8F32A2"/>
    <w:rsid w:val="3C9524C7"/>
    <w:rsid w:val="3CC56D98"/>
    <w:rsid w:val="3CC659DD"/>
    <w:rsid w:val="3CEB236D"/>
    <w:rsid w:val="3D04097B"/>
    <w:rsid w:val="3D462262"/>
    <w:rsid w:val="3DC05588"/>
    <w:rsid w:val="3DC456E6"/>
    <w:rsid w:val="3DDF52B7"/>
    <w:rsid w:val="3E08054B"/>
    <w:rsid w:val="3E2B12C1"/>
    <w:rsid w:val="3EE25C68"/>
    <w:rsid w:val="3EE56777"/>
    <w:rsid w:val="3EEA143A"/>
    <w:rsid w:val="3EEE4839"/>
    <w:rsid w:val="3EF55F3D"/>
    <w:rsid w:val="3F0D6905"/>
    <w:rsid w:val="3F5D0D52"/>
    <w:rsid w:val="3F60728F"/>
    <w:rsid w:val="3F6B2967"/>
    <w:rsid w:val="3FD2010C"/>
    <w:rsid w:val="3FDB1DC5"/>
    <w:rsid w:val="3FE61C9B"/>
    <w:rsid w:val="3FEF530B"/>
    <w:rsid w:val="40175DF6"/>
    <w:rsid w:val="401C1EC0"/>
    <w:rsid w:val="403B1563"/>
    <w:rsid w:val="405404A4"/>
    <w:rsid w:val="40545931"/>
    <w:rsid w:val="40852EA8"/>
    <w:rsid w:val="40872753"/>
    <w:rsid w:val="40B057B7"/>
    <w:rsid w:val="40CB1007"/>
    <w:rsid w:val="40EA5463"/>
    <w:rsid w:val="40F9619C"/>
    <w:rsid w:val="4116587D"/>
    <w:rsid w:val="412A0206"/>
    <w:rsid w:val="412E2AAC"/>
    <w:rsid w:val="413F59B5"/>
    <w:rsid w:val="415E01D2"/>
    <w:rsid w:val="415E6718"/>
    <w:rsid w:val="416A0945"/>
    <w:rsid w:val="41845E3E"/>
    <w:rsid w:val="41D93893"/>
    <w:rsid w:val="41DB0635"/>
    <w:rsid w:val="41F140A7"/>
    <w:rsid w:val="41F543BB"/>
    <w:rsid w:val="41FD518C"/>
    <w:rsid w:val="421B6F49"/>
    <w:rsid w:val="421D3616"/>
    <w:rsid w:val="42236939"/>
    <w:rsid w:val="42383125"/>
    <w:rsid w:val="42972FD4"/>
    <w:rsid w:val="42E41E7D"/>
    <w:rsid w:val="42FE38EE"/>
    <w:rsid w:val="430976F7"/>
    <w:rsid w:val="432F5491"/>
    <w:rsid w:val="434F5475"/>
    <w:rsid w:val="435F733A"/>
    <w:rsid w:val="43634B06"/>
    <w:rsid w:val="438549CD"/>
    <w:rsid w:val="438F22F2"/>
    <w:rsid w:val="438F42E8"/>
    <w:rsid w:val="43B2251C"/>
    <w:rsid w:val="43FA3C0F"/>
    <w:rsid w:val="44297293"/>
    <w:rsid w:val="442F692A"/>
    <w:rsid w:val="44633D92"/>
    <w:rsid w:val="44761E67"/>
    <w:rsid w:val="44BE0D1E"/>
    <w:rsid w:val="451B3EB1"/>
    <w:rsid w:val="451F7083"/>
    <w:rsid w:val="45255743"/>
    <w:rsid w:val="45285F65"/>
    <w:rsid w:val="45323CD8"/>
    <w:rsid w:val="453412AC"/>
    <w:rsid w:val="45AC5CBD"/>
    <w:rsid w:val="45DE6E20"/>
    <w:rsid w:val="46251DE0"/>
    <w:rsid w:val="462F61DD"/>
    <w:rsid w:val="463E4A03"/>
    <w:rsid w:val="46641B70"/>
    <w:rsid w:val="466F45E0"/>
    <w:rsid w:val="46A94684"/>
    <w:rsid w:val="46AF13FF"/>
    <w:rsid w:val="46B052EA"/>
    <w:rsid w:val="46B7319D"/>
    <w:rsid w:val="46DE4D6B"/>
    <w:rsid w:val="47027509"/>
    <w:rsid w:val="471516F3"/>
    <w:rsid w:val="47254704"/>
    <w:rsid w:val="474651F6"/>
    <w:rsid w:val="47830878"/>
    <w:rsid w:val="47BA0074"/>
    <w:rsid w:val="47C75C6A"/>
    <w:rsid w:val="481B1D63"/>
    <w:rsid w:val="48224FC6"/>
    <w:rsid w:val="483C3D23"/>
    <w:rsid w:val="486539C9"/>
    <w:rsid w:val="48842608"/>
    <w:rsid w:val="48A04BD6"/>
    <w:rsid w:val="48E348B9"/>
    <w:rsid w:val="490F0EA3"/>
    <w:rsid w:val="492E2242"/>
    <w:rsid w:val="493059DD"/>
    <w:rsid w:val="49332F4B"/>
    <w:rsid w:val="495763F2"/>
    <w:rsid w:val="49843CAA"/>
    <w:rsid w:val="49D04944"/>
    <w:rsid w:val="4A373620"/>
    <w:rsid w:val="4A3C47C9"/>
    <w:rsid w:val="4A513E5D"/>
    <w:rsid w:val="4A800876"/>
    <w:rsid w:val="4A814BE1"/>
    <w:rsid w:val="4ABB2DCE"/>
    <w:rsid w:val="4AC3192A"/>
    <w:rsid w:val="4ACE02BF"/>
    <w:rsid w:val="4AD20CF4"/>
    <w:rsid w:val="4AF04A59"/>
    <w:rsid w:val="4B1056B8"/>
    <w:rsid w:val="4B1E7AFA"/>
    <w:rsid w:val="4B49666C"/>
    <w:rsid w:val="4B9C3D69"/>
    <w:rsid w:val="4BCC42C1"/>
    <w:rsid w:val="4BD76C71"/>
    <w:rsid w:val="4BF13566"/>
    <w:rsid w:val="4C264C54"/>
    <w:rsid w:val="4C2E2A8A"/>
    <w:rsid w:val="4C337134"/>
    <w:rsid w:val="4C733FA7"/>
    <w:rsid w:val="4C887540"/>
    <w:rsid w:val="4CA60BFE"/>
    <w:rsid w:val="4CCC3053"/>
    <w:rsid w:val="4CD615D7"/>
    <w:rsid w:val="4CF62452"/>
    <w:rsid w:val="4D005384"/>
    <w:rsid w:val="4D324917"/>
    <w:rsid w:val="4DA56B30"/>
    <w:rsid w:val="4DD70A04"/>
    <w:rsid w:val="4DFD1C7D"/>
    <w:rsid w:val="4E060EE0"/>
    <w:rsid w:val="4E2231DF"/>
    <w:rsid w:val="4E2B0E50"/>
    <w:rsid w:val="4E4E290C"/>
    <w:rsid w:val="4E52092E"/>
    <w:rsid w:val="4E7C5765"/>
    <w:rsid w:val="4E915497"/>
    <w:rsid w:val="4E9C63DE"/>
    <w:rsid w:val="4F005FFC"/>
    <w:rsid w:val="4F037FE2"/>
    <w:rsid w:val="4F142D3C"/>
    <w:rsid w:val="4F30005F"/>
    <w:rsid w:val="4F3119F3"/>
    <w:rsid w:val="4F4137F2"/>
    <w:rsid w:val="4F5006D0"/>
    <w:rsid w:val="4F5610A4"/>
    <w:rsid w:val="4F887E26"/>
    <w:rsid w:val="4F9449AD"/>
    <w:rsid w:val="50453E87"/>
    <w:rsid w:val="50AC4A9C"/>
    <w:rsid w:val="51110D87"/>
    <w:rsid w:val="512B0D66"/>
    <w:rsid w:val="513D73A2"/>
    <w:rsid w:val="514209A3"/>
    <w:rsid w:val="519571F7"/>
    <w:rsid w:val="51993882"/>
    <w:rsid w:val="51A217D6"/>
    <w:rsid w:val="51AA0B29"/>
    <w:rsid w:val="51B40698"/>
    <w:rsid w:val="51D32F91"/>
    <w:rsid w:val="520F032D"/>
    <w:rsid w:val="52146DE8"/>
    <w:rsid w:val="524E7CE1"/>
    <w:rsid w:val="525D167B"/>
    <w:rsid w:val="52725D43"/>
    <w:rsid w:val="52796647"/>
    <w:rsid w:val="52796A3F"/>
    <w:rsid w:val="52B61649"/>
    <w:rsid w:val="52CE708B"/>
    <w:rsid w:val="52F8157B"/>
    <w:rsid w:val="534F3236"/>
    <w:rsid w:val="535D333D"/>
    <w:rsid w:val="536224F1"/>
    <w:rsid w:val="538D587F"/>
    <w:rsid w:val="53B02B97"/>
    <w:rsid w:val="53BA131B"/>
    <w:rsid w:val="54121E5E"/>
    <w:rsid w:val="54170CD6"/>
    <w:rsid w:val="542B43C7"/>
    <w:rsid w:val="543F60E9"/>
    <w:rsid w:val="546222EE"/>
    <w:rsid w:val="54E51A3C"/>
    <w:rsid w:val="55324D30"/>
    <w:rsid w:val="554E0F89"/>
    <w:rsid w:val="55510EE0"/>
    <w:rsid w:val="555F6B30"/>
    <w:rsid w:val="5575518C"/>
    <w:rsid w:val="55A53ECF"/>
    <w:rsid w:val="55C91DC1"/>
    <w:rsid w:val="55D40AD3"/>
    <w:rsid w:val="560921BB"/>
    <w:rsid w:val="5633235B"/>
    <w:rsid w:val="564219A9"/>
    <w:rsid w:val="56607BC9"/>
    <w:rsid w:val="567B3B76"/>
    <w:rsid w:val="567C2335"/>
    <w:rsid w:val="568C7AEB"/>
    <w:rsid w:val="569B54F7"/>
    <w:rsid w:val="56BD6CE8"/>
    <w:rsid w:val="56E1704D"/>
    <w:rsid w:val="570F34A5"/>
    <w:rsid w:val="571E6A70"/>
    <w:rsid w:val="572A4BF6"/>
    <w:rsid w:val="572F3C30"/>
    <w:rsid w:val="57982E98"/>
    <w:rsid w:val="57990444"/>
    <w:rsid w:val="579D4B86"/>
    <w:rsid w:val="57E767DB"/>
    <w:rsid w:val="57F81A2D"/>
    <w:rsid w:val="58070DA1"/>
    <w:rsid w:val="582813FD"/>
    <w:rsid w:val="58471F1C"/>
    <w:rsid w:val="5859521B"/>
    <w:rsid w:val="58E978B0"/>
    <w:rsid w:val="59567DC7"/>
    <w:rsid w:val="597F778F"/>
    <w:rsid w:val="59984902"/>
    <w:rsid w:val="599A156F"/>
    <w:rsid w:val="599C071E"/>
    <w:rsid w:val="59BB183D"/>
    <w:rsid w:val="59C00807"/>
    <w:rsid w:val="59CB4CED"/>
    <w:rsid w:val="59D92F40"/>
    <w:rsid w:val="59E9140D"/>
    <w:rsid w:val="59EE16C8"/>
    <w:rsid w:val="59F96B9D"/>
    <w:rsid w:val="5A307F33"/>
    <w:rsid w:val="5A5172EE"/>
    <w:rsid w:val="5A557999"/>
    <w:rsid w:val="5A767F63"/>
    <w:rsid w:val="5AB9795B"/>
    <w:rsid w:val="5AC8673A"/>
    <w:rsid w:val="5AC93F70"/>
    <w:rsid w:val="5AD36106"/>
    <w:rsid w:val="5AE91A9D"/>
    <w:rsid w:val="5AEA1E3F"/>
    <w:rsid w:val="5AEF4765"/>
    <w:rsid w:val="5B2902CB"/>
    <w:rsid w:val="5B3C51ED"/>
    <w:rsid w:val="5B4841F9"/>
    <w:rsid w:val="5B5B5E65"/>
    <w:rsid w:val="5B78675B"/>
    <w:rsid w:val="5B786F07"/>
    <w:rsid w:val="5B7D2AB2"/>
    <w:rsid w:val="5B941CAD"/>
    <w:rsid w:val="5B9A7BBF"/>
    <w:rsid w:val="5BB77629"/>
    <w:rsid w:val="5BCE6C66"/>
    <w:rsid w:val="5BCF2503"/>
    <w:rsid w:val="5C362559"/>
    <w:rsid w:val="5C3A3FF3"/>
    <w:rsid w:val="5C69739A"/>
    <w:rsid w:val="5C8271FC"/>
    <w:rsid w:val="5CAD0998"/>
    <w:rsid w:val="5CFD0A1E"/>
    <w:rsid w:val="5D1915B9"/>
    <w:rsid w:val="5D1B45A3"/>
    <w:rsid w:val="5D4305E5"/>
    <w:rsid w:val="5D853F18"/>
    <w:rsid w:val="5D8E6227"/>
    <w:rsid w:val="5D9C533F"/>
    <w:rsid w:val="5DB045FF"/>
    <w:rsid w:val="5DBA7287"/>
    <w:rsid w:val="5DD27EAF"/>
    <w:rsid w:val="5DDA06E5"/>
    <w:rsid w:val="5DDF25B5"/>
    <w:rsid w:val="5E1511A9"/>
    <w:rsid w:val="5E1F44CA"/>
    <w:rsid w:val="5E604C26"/>
    <w:rsid w:val="5E87679A"/>
    <w:rsid w:val="5E92578E"/>
    <w:rsid w:val="5EC71B65"/>
    <w:rsid w:val="5F0C7335"/>
    <w:rsid w:val="5F3156D7"/>
    <w:rsid w:val="5F834C6B"/>
    <w:rsid w:val="5FBB24D0"/>
    <w:rsid w:val="5FC80ED8"/>
    <w:rsid w:val="5FCB7E0D"/>
    <w:rsid w:val="5FD05D3D"/>
    <w:rsid w:val="5FE308D8"/>
    <w:rsid w:val="5FEB7814"/>
    <w:rsid w:val="5FFC0490"/>
    <w:rsid w:val="600B5602"/>
    <w:rsid w:val="600C35A2"/>
    <w:rsid w:val="601156B4"/>
    <w:rsid w:val="602A7586"/>
    <w:rsid w:val="603A6D71"/>
    <w:rsid w:val="60594EBD"/>
    <w:rsid w:val="608F34D9"/>
    <w:rsid w:val="60AC2CF1"/>
    <w:rsid w:val="60C8325D"/>
    <w:rsid w:val="60E857B6"/>
    <w:rsid w:val="60E86B97"/>
    <w:rsid w:val="60FA737C"/>
    <w:rsid w:val="60FB2D31"/>
    <w:rsid w:val="60FD3B17"/>
    <w:rsid w:val="60FE4AB5"/>
    <w:rsid w:val="610B3E18"/>
    <w:rsid w:val="612D6046"/>
    <w:rsid w:val="614F5763"/>
    <w:rsid w:val="61B068EB"/>
    <w:rsid w:val="61C30503"/>
    <w:rsid w:val="61C85F17"/>
    <w:rsid w:val="625D128F"/>
    <w:rsid w:val="6269265D"/>
    <w:rsid w:val="62D25CA1"/>
    <w:rsid w:val="62D7717A"/>
    <w:rsid w:val="62F26C9D"/>
    <w:rsid w:val="631C23D6"/>
    <w:rsid w:val="63285DAD"/>
    <w:rsid w:val="63500DA3"/>
    <w:rsid w:val="635B2773"/>
    <w:rsid w:val="636F1C55"/>
    <w:rsid w:val="6397392D"/>
    <w:rsid w:val="63F01C9E"/>
    <w:rsid w:val="64204AE0"/>
    <w:rsid w:val="6438001E"/>
    <w:rsid w:val="644F0316"/>
    <w:rsid w:val="64572560"/>
    <w:rsid w:val="645E38EF"/>
    <w:rsid w:val="645F3C33"/>
    <w:rsid w:val="6467324D"/>
    <w:rsid w:val="6478658A"/>
    <w:rsid w:val="647F192D"/>
    <w:rsid w:val="647F48D1"/>
    <w:rsid w:val="64C939C4"/>
    <w:rsid w:val="64CF3CF1"/>
    <w:rsid w:val="64E43E87"/>
    <w:rsid w:val="64E84A93"/>
    <w:rsid w:val="652677FD"/>
    <w:rsid w:val="654D1BA5"/>
    <w:rsid w:val="65674143"/>
    <w:rsid w:val="6573771B"/>
    <w:rsid w:val="6593581A"/>
    <w:rsid w:val="65AC0081"/>
    <w:rsid w:val="65C07C91"/>
    <w:rsid w:val="65CA3DFC"/>
    <w:rsid w:val="65CB1F90"/>
    <w:rsid w:val="660214B0"/>
    <w:rsid w:val="6603303F"/>
    <w:rsid w:val="662629C3"/>
    <w:rsid w:val="66262F8E"/>
    <w:rsid w:val="662D049F"/>
    <w:rsid w:val="663027B3"/>
    <w:rsid w:val="666A2B12"/>
    <w:rsid w:val="668F398C"/>
    <w:rsid w:val="669D227B"/>
    <w:rsid w:val="67197305"/>
    <w:rsid w:val="67346A2B"/>
    <w:rsid w:val="673F0CCA"/>
    <w:rsid w:val="675B5F01"/>
    <w:rsid w:val="6761487F"/>
    <w:rsid w:val="67B5214F"/>
    <w:rsid w:val="67ED7463"/>
    <w:rsid w:val="67F64824"/>
    <w:rsid w:val="681F5AE6"/>
    <w:rsid w:val="68376BD9"/>
    <w:rsid w:val="6867167A"/>
    <w:rsid w:val="689870AC"/>
    <w:rsid w:val="68A14CB7"/>
    <w:rsid w:val="68BA3916"/>
    <w:rsid w:val="68CA0CAE"/>
    <w:rsid w:val="68DB4DB9"/>
    <w:rsid w:val="69476B41"/>
    <w:rsid w:val="69861FB1"/>
    <w:rsid w:val="699D0726"/>
    <w:rsid w:val="69A730D1"/>
    <w:rsid w:val="69BC7CD4"/>
    <w:rsid w:val="6A0E0C43"/>
    <w:rsid w:val="6A0F04B8"/>
    <w:rsid w:val="6A46685B"/>
    <w:rsid w:val="6A473715"/>
    <w:rsid w:val="6A5415FD"/>
    <w:rsid w:val="6A600491"/>
    <w:rsid w:val="6A7A6FA8"/>
    <w:rsid w:val="6A7B092A"/>
    <w:rsid w:val="6A8D19C6"/>
    <w:rsid w:val="6AE353C7"/>
    <w:rsid w:val="6AE87C13"/>
    <w:rsid w:val="6AFC6742"/>
    <w:rsid w:val="6B03194B"/>
    <w:rsid w:val="6B064398"/>
    <w:rsid w:val="6B565FDE"/>
    <w:rsid w:val="6B7235F7"/>
    <w:rsid w:val="6B785C6A"/>
    <w:rsid w:val="6B7F16AF"/>
    <w:rsid w:val="6BDC027D"/>
    <w:rsid w:val="6BE859EB"/>
    <w:rsid w:val="6BF54B38"/>
    <w:rsid w:val="6C12513D"/>
    <w:rsid w:val="6C136D6D"/>
    <w:rsid w:val="6C3F2E1C"/>
    <w:rsid w:val="6C557E72"/>
    <w:rsid w:val="6C594CDA"/>
    <w:rsid w:val="6C5B76A8"/>
    <w:rsid w:val="6C6002DD"/>
    <w:rsid w:val="6C7F4402"/>
    <w:rsid w:val="6CA210BB"/>
    <w:rsid w:val="6CAB1E86"/>
    <w:rsid w:val="6CE83CC8"/>
    <w:rsid w:val="6CF323DA"/>
    <w:rsid w:val="6D0112BB"/>
    <w:rsid w:val="6D252EE9"/>
    <w:rsid w:val="6D48513C"/>
    <w:rsid w:val="6D5D0BE7"/>
    <w:rsid w:val="6D8217D6"/>
    <w:rsid w:val="6D8B550C"/>
    <w:rsid w:val="6D9949ED"/>
    <w:rsid w:val="6DA74691"/>
    <w:rsid w:val="6DB97361"/>
    <w:rsid w:val="6DBD3434"/>
    <w:rsid w:val="6DBF3E94"/>
    <w:rsid w:val="6E3000E1"/>
    <w:rsid w:val="6E3449E9"/>
    <w:rsid w:val="6E4849B3"/>
    <w:rsid w:val="6E5C0E9F"/>
    <w:rsid w:val="6E6A4564"/>
    <w:rsid w:val="6E7104A8"/>
    <w:rsid w:val="6E922D4C"/>
    <w:rsid w:val="6E95363D"/>
    <w:rsid w:val="6EAE1AAA"/>
    <w:rsid w:val="6EDC761D"/>
    <w:rsid w:val="6EE46F12"/>
    <w:rsid w:val="6EEB71F8"/>
    <w:rsid w:val="6F044E3E"/>
    <w:rsid w:val="6F281617"/>
    <w:rsid w:val="6F3C3AA0"/>
    <w:rsid w:val="6F5B769C"/>
    <w:rsid w:val="6F765C12"/>
    <w:rsid w:val="6F783750"/>
    <w:rsid w:val="6F7C784D"/>
    <w:rsid w:val="6F7D660A"/>
    <w:rsid w:val="6F9014D6"/>
    <w:rsid w:val="6FB47A4E"/>
    <w:rsid w:val="6FC54878"/>
    <w:rsid w:val="6FE4132D"/>
    <w:rsid w:val="6FF258E2"/>
    <w:rsid w:val="6FF87AD9"/>
    <w:rsid w:val="7016626E"/>
    <w:rsid w:val="704416AC"/>
    <w:rsid w:val="706051B4"/>
    <w:rsid w:val="707822DA"/>
    <w:rsid w:val="708171B0"/>
    <w:rsid w:val="70A05028"/>
    <w:rsid w:val="70A83A69"/>
    <w:rsid w:val="70BA4909"/>
    <w:rsid w:val="70E76D94"/>
    <w:rsid w:val="70F40803"/>
    <w:rsid w:val="710739B3"/>
    <w:rsid w:val="71260839"/>
    <w:rsid w:val="714D278A"/>
    <w:rsid w:val="7195752F"/>
    <w:rsid w:val="71C26195"/>
    <w:rsid w:val="71C72529"/>
    <w:rsid w:val="7200762F"/>
    <w:rsid w:val="72194BB5"/>
    <w:rsid w:val="72352D34"/>
    <w:rsid w:val="725B146D"/>
    <w:rsid w:val="725E037D"/>
    <w:rsid w:val="726C0120"/>
    <w:rsid w:val="729F135A"/>
    <w:rsid w:val="72D930E7"/>
    <w:rsid w:val="730302F8"/>
    <w:rsid w:val="730E028E"/>
    <w:rsid w:val="730E67AE"/>
    <w:rsid w:val="7331397E"/>
    <w:rsid w:val="733D3D42"/>
    <w:rsid w:val="734A78F8"/>
    <w:rsid w:val="735A7977"/>
    <w:rsid w:val="736743DD"/>
    <w:rsid w:val="736C4093"/>
    <w:rsid w:val="737C74B3"/>
    <w:rsid w:val="737F4531"/>
    <w:rsid w:val="73BB6A80"/>
    <w:rsid w:val="73C82DC9"/>
    <w:rsid w:val="73D77D84"/>
    <w:rsid w:val="73DC48A4"/>
    <w:rsid w:val="74044778"/>
    <w:rsid w:val="7423258A"/>
    <w:rsid w:val="742F3714"/>
    <w:rsid w:val="743054DC"/>
    <w:rsid w:val="74543118"/>
    <w:rsid w:val="74617C76"/>
    <w:rsid w:val="7466495B"/>
    <w:rsid w:val="74763DFB"/>
    <w:rsid w:val="747F7B17"/>
    <w:rsid w:val="74D87576"/>
    <w:rsid w:val="74E44ACA"/>
    <w:rsid w:val="74F81534"/>
    <w:rsid w:val="75065DE4"/>
    <w:rsid w:val="75114065"/>
    <w:rsid w:val="75272800"/>
    <w:rsid w:val="75422471"/>
    <w:rsid w:val="7574240D"/>
    <w:rsid w:val="758C6B50"/>
    <w:rsid w:val="758E2CD2"/>
    <w:rsid w:val="75A57E58"/>
    <w:rsid w:val="75BE1A00"/>
    <w:rsid w:val="75CE5976"/>
    <w:rsid w:val="75DD43B2"/>
    <w:rsid w:val="75FE5451"/>
    <w:rsid w:val="76354A40"/>
    <w:rsid w:val="763F1CCE"/>
    <w:rsid w:val="763F535A"/>
    <w:rsid w:val="76580D30"/>
    <w:rsid w:val="766C5D71"/>
    <w:rsid w:val="76A61C59"/>
    <w:rsid w:val="76AF53ED"/>
    <w:rsid w:val="76FE6510"/>
    <w:rsid w:val="77351533"/>
    <w:rsid w:val="77630534"/>
    <w:rsid w:val="779A7906"/>
    <w:rsid w:val="779E07BB"/>
    <w:rsid w:val="77B24736"/>
    <w:rsid w:val="77E03EC1"/>
    <w:rsid w:val="77F7671B"/>
    <w:rsid w:val="77F81D88"/>
    <w:rsid w:val="77FE2FC7"/>
    <w:rsid w:val="78000B40"/>
    <w:rsid w:val="781524F9"/>
    <w:rsid w:val="78174088"/>
    <w:rsid w:val="783F7C0E"/>
    <w:rsid w:val="7847284E"/>
    <w:rsid w:val="78546508"/>
    <w:rsid w:val="788C6B26"/>
    <w:rsid w:val="78C80859"/>
    <w:rsid w:val="78DC79F9"/>
    <w:rsid w:val="78F91935"/>
    <w:rsid w:val="79040ECA"/>
    <w:rsid w:val="795025F4"/>
    <w:rsid w:val="799E56AB"/>
    <w:rsid w:val="79A50EDE"/>
    <w:rsid w:val="79BE3388"/>
    <w:rsid w:val="79CB21FB"/>
    <w:rsid w:val="79D605D6"/>
    <w:rsid w:val="7A2E0622"/>
    <w:rsid w:val="7A487974"/>
    <w:rsid w:val="7A487EA8"/>
    <w:rsid w:val="7A4F4C9D"/>
    <w:rsid w:val="7A7533E8"/>
    <w:rsid w:val="7A8D23E0"/>
    <w:rsid w:val="7A9A3A3A"/>
    <w:rsid w:val="7AB665A5"/>
    <w:rsid w:val="7AD7100E"/>
    <w:rsid w:val="7AE10CB7"/>
    <w:rsid w:val="7AFE3F8C"/>
    <w:rsid w:val="7B0D351A"/>
    <w:rsid w:val="7B0E45C5"/>
    <w:rsid w:val="7B1B73FE"/>
    <w:rsid w:val="7B2A2D79"/>
    <w:rsid w:val="7B504B90"/>
    <w:rsid w:val="7B625DF6"/>
    <w:rsid w:val="7B630288"/>
    <w:rsid w:val="7BBB6C2C"/>
    <w:rsid w:val="7BCE4D30"/>
    <w:rsid w:val="7BDD7288"/>
    <w:rsid w:val="7BEB5610"/>
    <w:rsid w:val="7BF726C8"/>
    <w:rsid w:val="7C1837B1"/>
    <w:rsid w:val="7CFD3E8B"/>
    <w:rsid w:val="7D0A4830"/>
    <w:rsid w:val="7D282BA2"/>
    <w:rsid w:val="7D3C176D"/>
    <w:rsid w:val="7D9A40AD"/>
    <w:rsid w:val="7E01593B"/>
    <w:rsid w:val="7E0E07CF"/>
    <w:rsid w:val="7E277154"/>
    <w:rsid w:val="7E27775F"/>
    <w:rsid w:val="7E550A2F"/>
    <w:rsid w:val="7EA87B5E"/>
    <w:rsid w:val="7EAF27D5"/>
    <w:rsid w:val="7EFC0FC9"/>
    <w:rsid w:val="7F1B58F9"/>
    <w:rsid w:val="7F2B4E5F"/>
    <w:rsid w:val="7F39685D"/>
    <w:rsid w:val="7F4A6450"/>
    <w:rsid w:val="7F72234E"/>
    <w:rsid w:val="7F8B138A"/>
    <w:rsid w:val="7F9F075F"/>
    <w:rsid w:val="7FA536FE"/>
    <w:rsid w:val="7FAA09FC"/>
    <w:rsid w:val="7FB47434"/>
    <w:rsid w:val="7FB92CE4"/>
    <w:rsid w:val="7FBC53E8"/>
    <w:rsid w:val="7FCE6BB2"/>
    <w:rsid w:val="7FDA0A5B"/>
    <w:rsid w:val="7FDE1A66"/>
    <w:rsid w:val="7FE02F83"/>
    <w:rsid w:val="7FE06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9"/>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kern w:val="0"/>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next w:val="1"/>
    <w:qFormat/>
    <w:uiPriority w:val="0"/>
    <w:pPr>
      <w:spacing w:line="0" w:lineRule="atLeast"/>
    </w:pPr>
    <w:rPr>
      <w:b/>
      <w:sz w:val="30"/>
      <w:szCs w:val="20"/>
    </w:rPr>
  </w:style>
  <w:style w:type="paragraph" w:styleId="11">
    <w:name w:val="Body Text Indent"/>
    <w:basedOn w:val="1"/>
    <w:qFormat/>
    <w:uiPriority w:val="0"/>
    <w:pPr>
      <w:spacing w:after="120" w:afterLines="0" w:afterAutospacing="0"/>
      <w:ind w:left="420" w:leftChars="200"/>
    </w:pPr>
  </w:style>
  <w:style w:type="paragraph" w:styleId="12">
    <w:name w:val="List 2"/>
    <w:basedOn w:val="1"/>
    <w:qFormat/>
    <w:uiPriority w:val="0"/>
    <w:pPr>
      <w:ind w:left="100" w:leftChars="200" w:hanging="200" w:hangingChars="200"/>
    </w:pPr>
    <w:rPr>
      <w:rFonts w:ascii="Times New Roman" w:hAnsi="Times New Roman" w:eastAsia="仿宋"/>
      <w:sz w:val="28"/>
      <w:szCs w:val="24"/>
    </w:rPr>
  </w:style>
  <w:style w:type="paragraph" w:styleId="13">
    <w:name w:val="Plain Text"/>
    <w:basedOn w:val="1"/>
    <w:qFormat/>
    <w:uiPriority w:val="0"/>
    <w:rPr>
      <w:rFonts w:ascii="宋体" w:hAnsi="Courier New"/>
    </w:rPr>
  </w:style>
  <w:style w:type="paragraph" w:styleId="14">
    <w:name w:val="Date"/>
    <w:basedOn w:val="1"/>
    <w:next w:val="1"/>
    <w:qFormat/>
    <w:uiPriority w:val="0"/>
    <w:rPr>
      <w:sz w:val="24"/>
      <w:szCs w:val="20"/>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pPr>
      <w:spacing w:before="120" w:after="120"/>
      <w:jc w:val="left"/>
    </w:pPr>
    <w:rPr>
      <w:b/>
      <w:bCs/>
      <w:caps/>
      <w:sz w:val="20"/>
      <w:szCs w:val="20"/>
    </w:rPr>
  </w:style>
  <w:style w:type="paragraph" w:styleId="20">
    <w:name w:val="Normal (Web)"/>
    <w:basedOn w:val="1"/>
    <w:qFormat/>
    <w:uiPriority w:val="0"/>
    <w:pPr>
      <w:jc w:val="left"/>
    </w:pPr>
    <w:rPr>
      <w:rFonts w:cs="Times New Roman"/>
      <w:kern w:val="0"/>
      <w:sz w:val="24"/>
    </w:rPr>
  </w:style>
  <w:style w:type="paragraph" w:styleId="21">
    <w:name w:val="Title"/>
    <w:basedOn w:val="1"/>
    <w:next w:val="1"/>
    <w:link w:val="92"/>
    <w:qFormat/>
    <w:uiPriority w:val="0"/>
    <w:pPr>
      <w:widowControl/>
      <w:spacing w:before="240" w:beforeLines="0" w:after="60" w:afterLines="0"/>
      <w:jc w:val="center"/>
      <w:outlineLvl w:val="0"/>
    </w:pPr>
    <w:rPr>
      <w:rFonts w:ascii="Arial" w:hAnsi="Arial" w:cs="Arial"/>
      <w:b/>
      <w:bCs/>
      <w:kern w:val="0"/>
      <w:sz w:val="44"/>
      <w:szCs w:val="32"/>
    </w:rPr>
  </w:style>
  <w:style w:type="paragraph" w:styleId="22">
    <w:name w:val="Body Text First Indent"/>
    <w:basedOn w:val="1"/>
    <w:next w:val="1"/>
    <w:qFormat/>
    <w:uiPriority w:val="0"/>
    <w:pPr>
      <w:spacing w:after="120" w:afterLines="0"/>
      <w:ind w:firstLine="420" w:firstLineChars="100"/>
    </w:pPr>
    <w:rPr>
      <w:rFonts w:eastAsia="宋体"/>
      <w:sz w:val="21"/>
      <w:szCs w:val="24"/>
    </w:rPr>
  </w:style>
  <w:style w:type="paragraph" w:styleId="23">
    <w:name w:val="Body Text First Indent 2"/>
    <w:basedOn w:val="11"/>
    <w:qFormat/>
    <w:uiPriority w:val="0"/>
    <w:pPr>
      <w:spacing w:after="120"/>
      <w:ind w:left="420" w:leftChars="200" w:firstLine="420" w:firstLineChars="200"/>
    </w:pPr>
    <w:rPr>
      <w:rFonts w:ascii="Times New Roman"/>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800080"/>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0"/>
    <w:rPr>
      <w:color w:val="0000FF"/>
      <w:u w:val="none"/>
    </w:rPr>
  </w:style>
  <w:style w:type="character" w:styleId="36">
    <w:name w:val="HTML Code"/>
    <w:basedOn w:val="26"/>
    <w:qFormat/>
    <w:uiPriority w:val="0"/>
    <w:rPr>
      <w:rFonts w:hint="default" w:ascii="monospace" w:hAnsi="monospace" w:eastAsia="monospace" w:cs="monospace"/>
      <w:sz w:val="20"/>
    </w:rPr>
  </w:style>
  <w:style w:type="character" w:styleId="37">
    <w:name w:val="HTML Cite"/>
    <w:basedOn w:val="26"/>
    <w:qFormat/>
    <w:uiPriority w:val="0"/>
  </w:style>
  <w:style w:type="character" w:styleId="38">
    <w:name w:val="HTML Keyboard"/>
    <w:basedOn w:val="26"/>
    <w:qFormat/>
    <w:uiPriority w:val="0"/>
    <w:rPr>
      <w:rFonts w:ascii="monospace" w:hAnsi="monospace" w:eastAsia="monospace" w:cs="monospace"/>
      <w:sz w:val="20"/>
    </w:rPr>
  </w:style>
  <w:style w:type="character" w:styleId="39">
    <w:name w:val="HTML Sample"/>
    <w:basedOn w:val="26"/>
    <w:qFormat/>
    <w:uiPriority w:val="0"/>
    <w:rPr>
      <w:rFonts w:hint="default" w:ascii="monospace" w:hAnsi="monospace" w:eastAsia="monospace" w:cs="monospac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方案正文"/>
    <w:basedOn w:val="1"/>
    <w:qFormat/>
    <w:uiPriority w:val="0"/>
    <w:pPr>
      <w:spacing w:before="156" w:line="360" w:lineRule="auto"/>
      <w:ind w:firstLine="359" w:firstLineChars="171"/>
      <w:jc w:val="left"/>
    </w:pPr>
    <w:rPr>
      <w:sz w:val="24"/>
    </w:rPr>
  </w:style>
  <w:style w:type="paragraph" w:customStyle="1" w:styleId="42">
    <w:name w:val="_Style 3"/>
    <w:next w:val="4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Pa13"/>
    <w:basedOn w:val="44"/>
    <w:next w:val="44"/>
    <w:qFormat/>
    <w:uiPriority w:val="99"/>
    <w:pPr>
      <w:spacing w:line="241" w:lineRule="atLeast"/>
    </w:pPr>
    <w:rPr>
      <w:rFonts w:ascii="HelveticaNeueLT Std Lt Cn" w:hAnsi="Calibri" w:eastAsia="HelveticaNeueLT Std Lt Cn" w:cs="Times New Roman"/>
      <w:color w:val="auto"/>
    </w:rPr>
  </w:style>
  <w:style w:type="paragraph" w:customStyle="1" w:styleId="44">
    <w:name w:val="Default"/>
    <w:next w:val="14"/>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6">
    <w:name w:val="正文格式"/>
    <w:basedOn w:val="1"/>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7">
    <w:name w:val="Char Char Char"/>
    <w:basedOn w:val="1"/>
    <w:qFormat/>
    <w:uiPriority w:val="0"/>
    <w:rPr>
      <w:szCs w:val="20"/>
    </w:rPr>
  </w:style>
  <w:style w:type="character" w:customStyle="1" w:styleId="48">
    <w:name w:val="font01"/>
    <w:basedOn w:val="26"/>
    <w:qFormat/>
    <w:uiPriority w:val="0"/>
    <w:rPr>
      <w:rFonts w:hint="eastAsia" w:ascii="宋体" w:hAnsi="宋体" w:eastAsia="宋体" w:cs="宋体"/>
      <w:color w:val="000000"/>
      <w:sz w:val="28"/>
      <w:szCs w:val="28"/>
      <w:u w:val="none"/>
    </w:rPr>
  </w:style>
  <w:style w:type="paragraph" w:customStyle="1" w:styleId="49">
    <w:name w:val="目录"/>
    <w:basedOn w:val="1"/>
    <w:qFormat/>
    <w:uiPriority w:val="0"/>
    <w:pPr>
      <w:jc w:val="center"/>
    </w:pPr>
    <w:rPr>
      <w:rFonts w:ascii="宋体" w:hAnsi="Times New Roman" w:eastAsia="宋体" w:cs="Times New Roman"/>
      <w:sz w:val="36"/>
    </w:rPr>
  </w:style>
  <w:style w:type="character" w:customStyle="1" w:styleId="50">
    <w:name w:val="font51"/>
    <w:basedOn w:val="26"/>
    <w:qFormat/>
    <w:uiPriority w:val="0"/>
    <w:rPr>
      <w:rFonts w:hint="eastAsia" w:ascii="宋体" w:hAnsi="宋体" w:eastAsia="宋体" w:cs="宋体"/>
      <w:color w:val="000000"/>
      <w:sz w:val="28"/>
      <w:szCs w:val="28"/>
      <w:u w:val="none"/>
    </w:rPr>
  </w:style>
  <w:style w:type="character" w:customStyle="1" w:styleId="51">
    <w:name w:val="font21"/>
    <w:basedOn w:val="26"/>
    <w:qFormat/>
    <w:uiPriority w:val="0"/>
    <w:rPr>
      <w:rFonts w:ascii="Arial" w:hAnsi="Arial" w:cs="Arial"/>
      <w:color w:val="000000"/>
      <w:sz w:val="28"/>
      <w:szCs w:val="28"/>
      <w:u w:val="none"/>
    </w:rPr>
  </w:style>
  <w:style w:type="character" w:customStyle="1" w:styleId="52">
    <w:name w:val="font61"/>
    <w:basedOn w:val="26"/>
    <w:qFormat/>
    <w:uiPriority w:val="0"/>
    <w:rPr>
      <w:rFonts w:hint="eastAsia" w:ascii="宋体" w:hAnsi="宋体" w:eastAsia="宋体" w:cs="宋体"/>
      <w:color w:val="000000"/>
      <w:sz w:val="20"/>
      <w:szCs w:val="20"/>
      <w:u w:val="none"/>
    </w:rPr>
  </w:style>
  <w:style w:type="character" w:customStyle="1" w:styleId="53">
    <w:name w:val="font11"/>
    <w:basedOn w:val="26"/>
    <w:qFormat/>
    <w:uiPriority w:val="0"/>
    <w:rPr>
      <w:rFonts w:hint="eastAsia" w:ascii="宋体" w:hAnsi="宋体" w:eastAsia="宋体" w:cs="宋体"/>
      <w:color w:val="FF0000"/>
      <w:sz w:val="20"/>
      <w:szCs w:val="20"/>
      <w:u w:val="none"/>
    </w:rPr>
  </w:style>
  <w:style w:type="character" w:customStyle="1" w:styleId="54">
    <w:name w:val="font31"/>
    <w:basedOn w:val="26"/>
    <w:qFormat/>
    <w:uiPriority w:val="0"/>
    <w:rPr>
      <w:rFonts w:hint="default" w:ascii="Times New Roman" w:hAnsi="Times New Roman" w:cs="Times New Roman"/>
      <w:color w:val="FF0000"/>
      <w:sz w:val="21"/>
      <w:szCs w:val="21"/>
      <w:u w:val="none"/>
    </w:rPr>
  </w:style>
  <w:style w:type="character" w:customStyle="1" w:styleId="55">
    <w:name w:val="font41"/>
    <w:basedOn w:val="26"/>
    <w:qFormat/>
    <w:uiPriority w:val="0"/>
    <w:rPr>
      <w:rFonts w:hint="eastAsia" w:ascii="宋体" w:hAnsi="宋体" w:eastAsia="宋体" w:cs="宋体"/>
      <w:color w:val="FF0000"/>
      <w:sz w:val="21"/>
      <w:szCs w:val="21"/>
      <w:u w:val="none"/>
    </w:rPr>
  </w:style>
  <w:style w:type="paragraph" w:customStyle="1" w:styleId="56">
    <w:name w:val="_Style 2"/>
    <w:basedOn w:val="1"/>
    <w:qFormat/>
    <w:uiPriority w:val="34"/>
    <w:pPr>
      <w:widowControl/>
      <w:ind w:firstLine="420" w:firstLineChars="200"/>
      <w:jc w:val="left"/>
    </w:pPr>
    <w:rPr>
      <w:rFonts w:ascii="宋体" w:hAnsi="宋体" w:cs="宋体"/>
      <w:kern w:val="0"/>
      <w:sz w:val="24"/>
    </w:rPr>
  </w:style>
  <w:style w:type="character" w:customStyle="1" w:styleId="57">
    <w:name w:val="font71"/>
    <w:basedOn w:val="26"/>
    <w:qFormat/>
    <w:uiPriority w:val="0"/>
    <w:rPr>
      <w:rFonts w:hint="eastAsia" w:ascii="宋体" w:hAnsi="宋体" w:eastAsia="宋体" w:cs="宋体"/>
      <w:color w:val="000000"/>
      <w:sz w:val="28"/>
      <w:szCs w:val="28"/>
      <w:u w:val="none"/>
    </w:rPr>
  </w:style>
  <w:style w:type="paragraph" w:customStyle="1" w:styleId="58">
    <w:name w:val="GF报告一级标题"/>
    <w:basedOn w:val="1"/>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9">
    <w:name w:val="GF报告正文"/>
    <w:basedOn w:val="1"/>
    <w:qFormat/>
    <w:uiPriority w:val="0"/>
    <w:pPr>
      <w:widowControl/>
      <w:adjustRightInd w:val="0"/>
      <w:spacing w:line="360" w:lineRule="atLeast"/>
      <w:ind w:firstLine="431"/>
      <w:jc w:val="left"/>
      <w:textAlignment w:val="baseline"/>
    </w:pPr>
    <w:rPr>
      <w:rFonts w:ascii="黑体"/>
      <w:kern w:val="0"/>
      <w:szCs w:val="20"/>
    </w:rPr>
  </w:style>
  <w:style w:type="paragraph" w:customStyle="1" w:styleId="60">
    <w:name w:val="GF报告二级标题"/>
    <w:basedOn w:val="1"/>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61">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62">
    <w:name w:val="redfilenumber"/>
    <w:basedOn w:val="26"/>
    <w:qFormat/>
    <w:uiPriority w:val="0"/>
    <w:rPr>
      <w:color w:val="BA2636"/>
      <w:sz w:val="18"/>
      <w:szCs w:val="18"/>
    </w:rPr>
  </w:style>
  <w:style w:type="character" w:customStyle="1" w:styleId="63">
    <w:name w:val="gjfg"/>
    <w:basedOn w:val="26"/>
    <w:qFormat/>
    <w:uiPriority w:val="0"/>
  </w:style>
  <w:style w:type="character" w:customStyle="1" w:styleId="64">
    <w:name w:val="qxdate"/>
    <w:basedOn w:val="26"/>
    <w:qFormat/>
    <w:uiPriority w:val="0"/>
    <w:rPr>
      <w:color w:val="333333"/>
      <w:sz w:val="18"/>
      <w:szCs w:val="18"/>
    </w:rPr>
  </w:style>
  <w:style w:type="character" w:customStyle="1" w:styleId="65">
    <w:name w:val="redfilefwwh"/>
    <w:basedOn w:val="26"/>
    <w:qFormat/>
    <w:uiPriority w:val="0"/>
    <w:rPr>
      <w:color w:val="BA2636"/>
      <w:sz w:val="18"/>
      <w:szCs w:val="18"/>
    </w:rPr>
  </w:style>
  <w:style w:type="character" w:customStyle="1" w:styleId="66">
    <w:name w:val="cfdate"/>
    <w:basedOn w:val="26"/>
    <w:qFormat/>
    <w:uiPriority w:val="0"/>
    <w:rPr>
      <w:color w:val="333333"/>
      <w:sz w:val="18"/>
      <w:szCs w:val="18"/>
    </w:rPr>
  </w:style>
  <w:style w:type="character" w:customStyle="1" w:styleId="67">
    <w:name w:val="displayarti"/>
    <w:basedOn w:val="26"/>
    <w:qFormat/>
    <w:uiPriority w:val="0"/>
    <w:rPr>
      <w:color w:val="FFFFFF"/>
      <w:shd w:val="clear" w:color="auto" w:fill="A00000"/>
    </w:rPr>
  </w:style>
  <w:style w:type="paragraph" w:styleId="68">
    <w:name w:val="List Paragraph"/>
    <w:basedOn w:val="1"/>
    <w:qFormat/>
    <w:uiPriority w:val="34"/>
    <w:pPr>
      <w:ind w:left="720"/>
      <w:contextualSpacing/>
    </w:pPr>
  </w:style>
  <w:style w:type="character" w:customStyle="1" w:styleId="69">
    <w:name w:val="标题 1 Char"/>
    <w:link w:val="3"/>
    <w:qFormat/>
    <w:uiPriority w:val="0"/>
    <w:rPr>
      <w:b/>
      <w:bCs/>
      <w:kern w:val="44"/>
      <w:sz w:val="44"/>
      <w:szCs w:val="44"/>
    </w:rPr>
  </w:style>
  <w:style w:type="character" w:customStyle="1" w:styleId="70">
    <w:name w:val="hover5"/>
    <w:basedOn w:val="26"/>
    <w:qFormat/>
    <w:uiPriority w:val="0"/>
    <w:rPr>
      <w:color w:val="0063BA"/>
    </w:rPr>
  </w:style>
  <w:style w:type="character" w:customStyle="1" w:styleId="71">
    <w:name w:val="before"/>
    <w:basedOn w:val="26"/>
    <w:qFormat/>
    <w:uiPriority w:val="0"/>
    <w:rPr>
      <w:shd w:val="clear" w:fill="E22323"/>
    </w:rPr>
  </w:style>
  <w:style w:type="paragraph" w:customStyle="1" w:styleId="72">
    <w:name w:val="Table Paragraph"/>
    <w:basedOn w:val="1"/>
    <w:qFormat/>
    <w:uiPriority w:val="1"/>
    <w:rPr>
      <w:rFonts w:ascii="宋体" w:hAnsi="宋体" w:eastAsia="宋体" w:cs="宋体"/>
      <w:lang w:val="zh-CN" w:eastAsia="zh-CN" w:bidi="zh-CN"/>
    </w:rPr>
  </w:style>
  <w:style w:type="character" w:customStyle="1" w:styleId="73">
    <w:name w:val="prev"/>
    <w:basedOn w:val="26"/>
    <w:qFormat/>
    <w:uiPriority w:val="0"/>
    <w:rPr>
      <w:rFonts w:ascii="微软雅黑" w:hAnsi="微软雅黑" w:eastAsia="微软雅黑" w:cs="微软雅黑"/>
      <w:sz w:val="21"/>
      <w:szCs w:val="21"/>
    </w:rPr>
  </w:style>
  <w:style w:type="character" w:customStyle="1" w:styleId="74">
    <w:name w:val="prev1"/>
    <w:basedOn w:val="26"/>
    <w:qFormat/>
    <w:uiPriority w:val="0"/>
    <w:rPr>
      <w:color w:val="888888"/>
    </w:rPr>
  </w:style>
  <w:style w:type="character" w:customStyle="1" w:styleId="75">
    <w:name w:val="next"/>
    <w:basedOn w:val="26"/>
    <w:qFormat/>
    <w:uiPriority w:val="0"/>
    <w:rPr>
      <w:rFonts w:hint="eastAsia" w:ascii="微软雅黑" w:hAnsi="微软雅黑" w:eastAsia="微软雅黑" w:cs="微软雅黑"/>
      <w:sz w:val="21"/>
      <w:szCs w:val="21"/>
    </w:rPr>
  </w:style>
  <w:style w:type="character" w:customStyle="1" w:styleId="76">
    <w:name w:val="next1"/>
    <w:basedOn w:val="26"/>
    <w:qFormat/>
    <w:uiPriority w:val="0"/>
    <w:rPr>
      <w:color w:val="888888"/>
    </w:rPr>
  </w:style>
  <w:style w:type="character" w:customStyle="1" w:styleId="77">
    <w:name w:val="NormalCharacter"/>
    <w:qFormat/>
    <w:uiPriority w:val="0"/>
    <w:rPr>
      <w:kern w:val="2"/>
      <w:sz w:val="21"/>
      <w:szCs w:val="22"/>
      <w:lang w:val="en-US" w:eastAsia="zh-CN" w:bidi="ar-SA"/>
    </w:rPr>
  </w:style>
  <w:style w:type="paragraph" w:customStyle="1" w:styleId="78">
    <w:name w:val="列出段落1"/>
    <w:basedOn w:val="1"/>
    <w:qFormat/>
    <w:uiPriority w:val="0"/>
    <w:pPr>
      <w:ind w:firstLine="420" w:firstLineChars="200"/>
    </w:pPr>
    <w:rPr>
      <w:szCs w:val="24"/>
    </w:rPr>
  </w:style>
  <w:style w:type="paragraph" w:customStyle="1" w:styleId="79">
    <w:name w:val="列表段落1"/>
    <w:basedOn w:val="1"/>
    <w:qFormat/>
    <w:uiPriority w:val="34"/>
    <w:pPr>
      <w:ind w:firstLine="420" w:firstLineChars="200"/>
    </w:pPr>
    <w:rPr>
      <w:szCs w:val="24"/>
    </w:rPr>
  </w:style>
  <w:style w:type="paragraph" w:customStyle="1" w:styleId="80">
    <w:name w:val="CM11"/>
    <w:basedOn w:val="44"/>
    <w:next w:val="44"/>
    <w:unhideWhenUsed/>
    <w:qFormat/>
    <w:uiPriority w:val="99"/>
    <w:pPr>
      <w:spacing w:beforeLines="0" w:afterLines="0" w:line="520" w:lineRule="atLeast"/>
    </w:pPr>
    <w:rPr>
      <w:rFonts w:hint="default"/>
      <w:sz w:val="24"/>
    </w:rPr>
  </w:style>
  <w:style w:type="paragraph" w:customStyle="1" w:styleId="81">
    <w:name w:val="CM13"/>
    <w:basedOn w:val="44"/>
    <w:next w:val="44"/>
    <w:unhideWhenUsed/>
    <w:qFormat/>
    <w:uiPriority w:val="99"/>
    <w:pPr>
      <w:spacing w:beforeLines="0" w:afterLines="0" w:line="520" w:lineRule="atLeast"/>
    </w:pPr>
    <w:rPr>
      <w:rFonts w:hint="default"/>
      <w:sz w:val="24"/>
    </w:rPr>
  </w:style>
  <w:style w:type="paragraph" w:customStyle="1" w:styleId="82">
    <w:name w:val="CM14"/>
    <w:basedOn w:val="44"/>
    <w:next w:val="44"/>
    <w:unhideWhenUsed/>
    <w:qFormat/>
    <w:uiPriority w:val="99"/>
    <w:pPr>
      <w:spacing w:beforeLines="0" w:afterLines="0" w:line="546" w:lineRule="atLeast"/>
    </w:pPr>
    <w:rPr>
      <w:rFonts w:hint="default"/>
      <w:sz w:val="24"/>
    </w:rPr>
  </w:style>
  <w:style w:type="paragraph" w:customStyle="1" w:styleId="83">
    <w:name w:val="正文 A"/>
    <w:qFormat/>
    <w:uiPriority w:val="0"/>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84">
    <w:name w:val="BodyText1I2"/>
    <w:basedOn w:val="85"/>
    <w:qFormat/>
    <w:uiPriority w:val="0"/>
    <w:pPr>
      <w:spacing w:after="120"/>
      <w:ind w:left="420" w:leftChars="200" w:firstLine="420" w:firstLineChars="200"/>
    </w:pPr>
    <w:rPr>
      <w:szCs w:val="21"/>
    </w:rPr>
  </w:style>
  <w:style w:type="paragraph" w:customStyle="1" w:styleId="85">
    <w:name w:val="BodyTextIndent"/>
    <w:basedOn w:val="1"/>
    <w:qFormat/>
    <w:uiPriority w:val="0"/>
    <w:pPr>
      <w:spacing w:after="120"/>
      <w:ind w:left="420" w:leftChars="200"/>
    </w:pPr>
    <w:rPr>
      <w:szCs w:val="21"/>
    </w:rPr>
  </w:style>
  <w:style w:type="paragraph" w:customStyle="1" w:styleId="86">
    <w:name w:val="Normal_1"/>
    <w:next w:val="8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Normal Indent"/>
    <w:basedOn w:val="86"/>
    <w:qFormat/>
    <w:uiPriority w:val="0"/>
    <w:pPr>
      <w:widowControl/>
      <w:ind w:firstLine="420"/>
      <w:jc w:val="left"/>
    </w:pPr>
    <w:rPr>
      <w:kern w:val="0"/>
      <w:sz w:val="20"/>
      <w:szCs w:val="20"/>
    </w:rPr>
  </w:style>
  <w:style w:type="paragraph" w:customStyle="1" w:styleId="88">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正文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90">
    <w:name w:val="正文1"/>
    <w:next w:val="9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目录 11"/>
    <w:basedOn w:val="90"/>
    <w:next w:val="90"/>
    <w:unhideWhenUsed/>
    <w:qFormat/>
    <w:uiPriority w:val="99"/>
    <w:pPr>
      <w:spacing w:before="120" w:beforeAutospacing="0" w:after="120" w:afterAutospacing="0"/>
      <w:jc w:val="left"/>
    </w:pPr>
    <w:rPr>
      <w:b/>
      <w:bCs/>
      <w:caps/>
      <w:sz w:val="20"/>
      <w:szCs w:val="20"/>
    </w:rPr>
  </w:style>
  <w:style w:type="character" w:customStyle="1" w:styleId="92">
    <w:name w:val="标题 Char"/>
    <w:link w:val="21"/>
    <w:qFormat/>
    <w:uiPriority w:val="0"/>
    <w:rPr>
      <w:rFonts w:ascii="Arial" w:hAnsi="Arial" w:cs="Arial"/>
      <w:b/>
      <w:bCs/>
      <w:kern w:val="0"/>
      <w:sz w:val="44"/>
      <w:szCs w:val="32"/>
    </w:rPr>
  </w:style>
  <w:style w:type="paragraph" w:styleId="93">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Normal_0"/>
    <w:qFormat/>
    <w:uiPriority w:val="0"/>
    <w:pPr>
      <w:widowControl w:val="0"/>
      <w:jc w:val="both"/>
    </w:pPr>
    <w:rPr>
      <w:rFonts w:ascii="Times New Roman" w:hAnsi="Times New Roman" w:eastAsia="宋体" w:cs="Times New Roman"/>
      <w:szCs w:val="21"/>
      <w:lang w:val="en-US" w:eastAsia="zh-CN" w:bidi="ar-SA"/>
    </w:rPr>
  </w:style>
  <w:style w:type="paragraph" w:customStyle="1" w:styleId="95">
    <w:name w:val="正文 New New New New New New New New New New New New New New New New New"/>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96">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9">
    <w:name w:val="列出段落_0"/>
    <w:basedOn w:val="98"/>
    <w:qFormat/>
    <w:uiPriority w:val="34"/>
    <w:pPr>
      <w:widowControl/>
      <w:ind w:firstLine="420" w:firstLineChars="200"/>
      <w:jc w:val="left"/>
    </w:pPr>
    <w:rPr>
      <w:rFonts w:ascii="Calibri" w:hAnsi="Calibri" w:eastAsia="宋体"/>
      <w:kern w:val="0"/>
      <w:szCs w:val="20"/>
    </w:rPr>
  </w:style>
  <w:style w:type="paragraph" w:customStyle="1" w:styleId="10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1">
    <w:name w:val="样式2"/>
    <w:basedOn w:val="1"/>
    <w:qFormat/>
    <w:uiPriority w:val="0"/>
    <w:pPr>
      <w:widowControl w:val="0"/>
      <w:jc w:val="both"/>
    </w:pPr>
    <w:rPr>
      <w:rFonts w:ascii="仿宋_GB2312" w:hAnsi="Times New Roman" w:eastAsia="仿宋_GB2312" w:cs="Times New Roman"/>
      <w:kern w:val="2"/>
      <w:sz w:val="32"/>
      <w:szCs w:val="20"/>
    </w:rPr>
  </w:style>
  <w:style w:type="paragraph" w:customStyle="1" w:styleId="102">
    <w:name w:val="章节题目"/>
    <w:basedOn w:val="103"/>
    <w:next w:val="1"/>
    <w:qFormat/>
    <w:uiPriority w:val="0"/>
    <w:pPr>
      <w:spacing w:before="720" w:after="400" w:line="540" w:lineRule="atLeast"/>
      <w:ind w:right="2160"/>
    </w:pPr>
    <w:rPr>
      <w:rFonts w:ascii="Times New Roman" w:hAnsi="Times New Roman"/>
      <w:spacing w:val="-40"/>
      <w:sz w:val="60"/>
    </w:rPr>
  </w:style>
  <w:style w:type="paragraph" w:customStyle="1" w:styleId="103">
    <w:name w:val="基准标题"/>
    <w:basedOn w:val="1"/>
    <w:next w:val="10"/>
    <w:qFormat/>
    <w:uiPriority w:val="0"/>
    <w:pPr>
      <w:keepNext/>
      <w:keepLines/>
      <w:spacing w:before="140" w:line="220" w:lineRule="atLeast"/>
    </w:pPr>
    <w:rPr>
      <w:rFonts w:ascii="Arial" w:hAnsi="Arial"/>
      <w:spacing w:val="-4"/>
      <w:kern w:val="28"/>
      <w:sz w:val="22"/>
    </w:rPr>
  </w:style>
  <w:style w:type="paragraph" w:customStyle="1" w:styleId="104">
    <w:name w:val="说明正文"/>
    <w:basedOn w:val="1"/>
    <w:qFormat/>
    <w:uiPriority w:val="0"/>
    <w:pPr>
      <w:spacing w:line="360" w:lineRule="auto"/>
      <w:ind w:firstLine="480"/>
    </w:pPr>
    <w:rPr>
      <w:sz w:val="24"/>
    </w:rPr>
  </w:style>
  <w:style w:type="paragraph" w:customStyle="1" w:styleId="105">
    <w:name w:val="表格文字"/>
    <w:basedOn w:val="1"/>
    <w:autoRedefine/>
    <w:qFormat/>
    <w:uiPriority w:val="0"/>
    <w:rPr>
      <w:rFonts w:ascii="Calibri" w:hAnsi="Calibri"/>
      <w:szCs w:val="21"/>
    </w:rPr>
  </w:style>
  <w:style w:type="paragraph" w:customStyle="1" w:styleId="106">
    <w:name w:val="正文_0"/>
    <w:next w:val="10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正文缩进_0"/>
    <w:basedOn w:val="106"/>
    <w:qFormat/>
    <w:uiPriority w:val="0"/>
    <w:pPr>
      <w:autoSpaceDE/>
      <w:autoSpaceDN/>
      <w:spacing w:line="312" w:lineRule="atLeast"/>
      <w:ind w:firstLine="420"/>
      <w:jc w:val="both"/>
      <w:textAlignment w:val="baseline"/>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19857</Words>
  <Characters>21305</Characters>
  <Lines>215</Lines>
  <Paragraphs>60</Paragraphs>
  <TotalTime>12</TotalTime>
  <ScaleCrop>false</ScaleCrop>
  <LinksUpToDate>false</LinksUpToDate>
  <CharactersWithSpaces>21585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Pure White</cp:lastModifiedBy>
  <cp:lastPrinted>2020-12-07T01:09:00Z</cp:lastPrinted>
  <dcterms:modified xsi:type="dcterms:W3CDTF">2025-07-03T03:13:52Z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B1345789CE1C4A57860C73B649F57857_13</vt:lpwstr>
  </property>
  <property fmtid="{D5CDD505-2E9C-101B-9397-08002B2CF9AE}" pid="4" name="KSOTemplateDocerSaveRecord">
    <vt:lpwstr>eyJoZGlkIjoiZTFmN2YyNjcyOGZkODIzMTQ2NDlkODg1MDk4YTBjMjciLCJ1c2VySWQiOiIzNzI4Mjg4NTcifQ==</vt:lpwstr>
  </property>
</Properties>
</file>