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54222">
      <w:pPr>
        <w:pStyle w:val="39"/>
        <w:rPr>
          <w:rFonts w:hint="eastAsia" w:ascii="仿宋" w:hAnsi="仿宋" w:eastAsia="仿宋" w:cs="仿宋"/>
          <w:color w:val="auto"/>
          <w:highlight w:val="none"/>
        </w:rPr>
      </w:pPr>
    </w:p>
    <w:p w14:paraId="0EC1583D">
      <w:pPr>
        <w:pStyle w:val="19"/>
        <w:ind w:left="0" w:leftChars="0" w:firstLine="0" w:firstLineChars="0"/>
        <w:jc w:val="both"/>
        <w:rPr>
          <w:rFonts w:hint="eastAsia" w:ascii="仿宋" w:hAnsi="仿宋" w:eastAsia="仿宋" w:cs="仿宋"/>
          <w:b/>
          <w:bCs/>
          <w:color w:val="auto"/>
          <w:sz w:val="44"/>
          <w:szCs w:val="44"/>
          <w:highlight w:val="none"/>
          <w:lang w:val="en-US" w:eastAsia="zh-CN"/>
        </w:rPr>
      </w:pPr>
    </w:p>
    <w:p w14:paraId="4DAC94CA">
      <w:pPr>
        <w:ind w:left="0" w:leftChars="0" w:firstLine="0" w:firstLineChars="0"/>
        <w:jc w:val="center"/>
        <w:rPr>
          <w:rFonts w:hint="eastAsia" w:cs="仿宋"/>
          <w:b/>
          <w:bCs/>
          <w:color w:val="auto"/>
          <w:sz w:val="52"/>
          <w:szCs w:val="52"/>
          <w:highlight w:val="none"/>
          <w:lang w:val="en-US" w:eastAsia="zh-CN"/>
        </w:rPr>
      </w:pPr>
      <w:r>
        <w:rPr>
          <w:rFonts w:hint="eastAsia" w:cs="仿宋"/>
          <w:b/>
          <w:bCs/>
          <w:color w:val="auto"/>
          <w:sz w:val="52"/>
          <w:szCs w:val="52"/>
          <w:highlight w:val="none"/>
          <w:lang w:val="en-US" w:eastAsia="zh-CN"/>
        </w:rPr>
        <w:t>2025年丰满区集中供养特困人员购买社会服务项目</w:t>
      </w:r>
    </w:p>
    <w:p w14:paraId="46ECED5D">
      <w:pPr>
        <w:ind w:left="0" w:leftChars="0" w:firstLine="0" w:firstLineChars="0"/>
        <w:jc w:val="center"/>
        <w:rPr>
          <w:rFonts w:hint="default" w:cs="仿宋"/>
          <w:b/>
          <w:bCs/>
          <w:color w:val="auto"/>
          <w:sz w:val="44"/>
          <w:szCs w:val="44"/>
          <w:highlight w:val="none"/>
          <w:lang w:val="en-US" w:eastAsia="zh-CN"/>
        </w:rPr>
      </w:pPr>
      <w:r>
        <w:rPr>
          <w:rFonts w:hint="eastAsia" w:cs="仿宋"/>
          <w:b/>
          <w:bCs/>
          <w:color w:val="auto"/>
          <w:sz w:val="44"/>
          <w:szCs w:val="44"/>
          <w:highlight w:val="none"/>
          <w:lang w:val="en-US" w:eastAsia="zh-CN"/>
        </w:rPr>
        <w:t>三次招标</w:t>
      </w:r>
    </w:p>
    <w:p w14:paraId="7C522DFE">
      <w:pPr>
        <w:ind w:left="0" w:leftChars="0" w:firstLine="0" w:firstLineChars="0"/>
        <w:jc w:val="center"/>
        <w:rPr>
          <w:rFonts w:hint="eastAsia" w:cs="仿宋"/>
          <w:color w:val="auto"/>
          <w:sz w:val="44"/>
          <w:szCs w:val="48"/>
          <w:highlight w:val="none"/>
          <w:lang w:val="en-US" w:eastAsia="zh-CN"/>
        </w:rPr>
      </w:pPr>
      <w:r>
        <w:rPr>
          <w:rFonts w:hint="eastAsia" w:cs="仿宋"/>
          <w:color w:val="auto"/>
          <w:sz w:val="44"/>
          <w:szCs w:val="48"/>
          <w:highlight w:val="none"/>
          <w:lang w:val="en-US" w:eastAsia="zh-CN"/>
        </w:rPr>
        <w:t>招标文件</w:t>
      </w:r>
    </w:p>
    <w:p w14:paraId="7A105BAA">
      <w:pPr>
        <w:ind w:left="0" w:leftChars="0" w:firstLine="0" w:firstLineChars="0"/>
        <w:jc w:val="center"/>
        <w:rPr>
          <w:rFonts w:hint="eastAsia" w:cs="仿宋"/>
          <w:color w:val="auto"/>
          <w:sz w:val="44"/>
          <w:szCs w:val="48"/>
          <w:highlight w:val="none"/>
          <w:lang w:val="en-US" w:eastAsia="zh-CN"/>
        </w:rPr>
      </w:pPr>
    </w:p>
    <w:p w14:paraId="06363EEF">
      <w:pPr>
        <w:pStyle w:val="16"/>
        <w:ind w:left="0" w:leftChars="0" w:firstLine="0" w:firstLineChars="0"/>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项目编号：</w:t>
      </w:r>
      <w:r>
        <w:rPr>
          <w:rFonts w:hint="eastAsia" w:ascii="仿宋" w:hAnsi="仿宋" w:cs="仿宋"/>
          <w:color w:val="auto"/>
          <w:sz w:val="32"/>
          <w:szCs w:val="32"/>
          <w:highlight w:val="none"/>
          <w:lang w:eastAsia="zh-CN"/>
        </w:rPr>
        <w:t>采购计划-[2025]-00048号-027</w:t>
      </w:r>
    </w:p>
    <w:p w14:paraId="598C7FCB">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3252716F">
      <w:pPr>
        <w:pStyle w:val="19"/>
        <w:ind w:left="0" w:leftChars="0" w:firstLine="0" w:firstLineChars="0"/>
        <w:jc w:val="center"/>
        <w:rPr>
          <w:rFonts w:hint="eastAsia" w:ascii="仿宋" w:hAnsi="仿宋" w:eastAsia="仿宋" w:cs="仿宋"/>
          <w:color w:val="auto"/>
          <w:highlight w:val="none"/>
        </w:rPr>
      </w:pPr>
    </w:p>
    <w:p w14:paraId="689FF5AF">
      <w:pPr>
        <w:rPr>
          <w:rFonts w:hint="eastAsia" w:ascii="仿宋" w:hAnsi="仿宋" w:eastAsia="仿宋" w:cs="仿宋"/>
          <w:color w:val="auto"/>
          <w:highlight w:val="none"/>
        </w:rPr>
      </w:pPr>
    </w:p>
    <w:p w14:paraId="3AF00E1D">
      <w:pPr>
        <w:rPr>
          <w:rFonts w:hint="eastAsia" w:ascii="仿宋" w:hAnsi="仿宋" w:eastAsia="仿宋" w:cs="仿宋"/>
          <w:color w:val="auto"/>
          <w:highlight w:val="none"/>
        </w:rPr>
      </w:pPr>
    </w:p>
    <w:p w14:paraId="39554A04">
      <w:pPr>
        <w:rPr>
          <w:rFonts w:hint="eastAsia" w:ascii="仿宋" w:hAnsi="仿宋" w:eastAsia="仿宋" w:cs="仿宋"/>
          <w:color w:val="auto"/>
          <w:highlight w:val="none"/>
        </w:rPr>
      </w:pPr>
    </w:p>
    <w:p w14:paraId="1DDABF44">
      <w:pPr>
        <w:rPr>
          <w:rFonts w:hint="eastAsia" w:ascii="仿宋" w:hAnsi="仿宋" w:eastAsia="仿宋" w:cs="仿宋"/>
          <w:color w:val="auto"/>
          <w:highlight w:val="none"/>
        </w:rPr>
      </w:pPr>
    </w:p>
    <w:p w14:paraId="5572443E">
      <w:pPr>
        <w:rPr>
          <w:rFonts w:hint="eastAsia" w:ascii="仿宋" w:hAnsi="仿宋" w:eastAsia="仿宋" w:cs="仿宋"/>
          <w:color w:val="auto"/>
          <w:highlight w:val="none"/>
        </w:rPr>
      </w:pPr>
    </w:p>
    <w:p w14:paraId="27B99803">
      <w:pPr>
        <w:rPr>
          <w:rFonts w:hint="eastAsia" w:ascii="仿宋" w:hAnsi="仿宋" w:eastAsia="仿宋" w:cs="仿宋"/>
          <w:color w:val="auto"/>
          <w:highlight w:val="none"/>
        </w:rPr>
      </w:pPr>
    </w:p>
    <w:p w14:paraId="2195E145">
      <w:pPr>
        <w:ind w:firstLine="480"/>
        <w:rPr>
          <w:rFonts w:hint="eastAsia" w:ascii="仿宋" w:hAnsi="仿宋" w:eastAsia="仿宋" w:cs="仿宋"/>
          <w:color w:val="auto"/>
          <w:highlight w:val="none"/>
        </w:rPr>
      </w:pPr>
    </w:p>
    <w:p w14:paraId="56AD17E5">
      <w:pPr>
        <w:ind w:left="420" w:leftChars="0" w:firstLine="420" w:firstLineChars="0"/>
        <w:rPr>
          <w:rFonts w:hint="eastAsia" w:ascii="仿宋" w:hAnsi="仿宋" w:eastAsia="仿宋" w:cs="仿宋"/>
          <w:color w:val="auto"/>
          <w:sz w:val="28"/>
          <w:szCs w:val="32"/>
          <w:highlight w:val="none"/>
        </w:rPr>
      </w:pPr>
      <w:bookmarkStart w:id="0" w:name="_Toc296602400"/>
      <w:bookmarkStart w:id="1" w:name="_Toc246996898"/>
      <w:bookmarkStart w:id="2" w:name="_Toc247085669"/>
      <w:r>
        <w:rPr>
          <w:rFonts w:hint="eastAsia" w:ascii="仿宋" w:hAnsi="仿宋" w:eastAsia="仿宋" w:cs="仿宋"/>
          <w:color w:val="auto"/>
          <w:sz w:val="28"/>
          <w:szCs w:val="32"/>
          <w:highlight w:val="none"/>
        </w:rPr>
        <w:t>招 标 人：</w:t>
      </w:r>
      <w:r>
        <w:rPr>
          <w:rFonts w:hint="eastAsia" w:cs="仿宋"/>
          <w:color w:val="auto"/>
          <w:sz w:val="28"/>
          <w:szCs w:val="32"/>
          <w:highlight w:val="none"/>
          <w:lang w:val="en-US" w:eastAsia="zh-CN"/>
        </w:rPr>
        <w:t>吉林市丰满区民政局（本级）</w:t>
      </w:r>
    </w:p>
    <w:p w14:paraId="066FFA9A">
      <w:pPr>
        <w:ind w:left="420" w:leftChars="0" w:firstLine="420" w:firstLineChars="0"/>
        <w:rPr>
          <w:rFonts w:hint="eastAsia" w:ascii="仿宋" w:hAnsi="仿宋" w:eastAsia="仿宋" w:cs="仿宋"/>
          <w:color w:val="auto"/>
          <w:sz w:val="28"/>
          <w:szCs w:val="32"/>
          <w:highlight w:val="none"/>
        </w:rPr>
      </w:pPr>
      <w:r>
        <w:rPr>
          <w:rFonts w:hint="eastAsia" w:ascii="仿宋" w:hAnsi="仿宋" w:eastAsia="仿宋" w:cs="仿宋"/>
          <w:color w:val="auto"/>
          <w:sz w:val="28"/>
          <w:szCs w:val="32"/>
          <w:highlight w:val="none"/>
        </w:rPr>
        <w:t>招标代理机构：</w:t>
      </w:r>
      <w:r>
        <w:rPr>
          <w:rFonts w:hint="eastAsia" w:cs="仿宋"/>
          <w:color w:val="auto"/>
          <w:sz w:val="28"/>
          <w:szCs w:val="32"/>
          <w:highlight w:val="none"/>
          <w:lang w:val="zh-CN" w:eastAsia="zh-CN"/>
        </w:rPr>
        <w:t>吉林东亿来项目管理有限公司</w:t>
      </w:r>
    </w:p>
    <w:p w14:paraId="26E436BC">
      <w:pPr>
        <w:ind w:left="420" w:leftChars="0" w:firstLine="420" w:firstLineChars="0"/>
        <w:rPr>
          <w:rFonts w:hint="eastAsia" w:ascii="仿宋" w:hAnsi="仿宋" w:eastAsia="仿宋" w:cs="仿宋"/>
          <w:color w:val="auto"/>
          <w:sz w:val="28"/>
          <w:szCs w:val="32"/>
          <w:highlight w:val="none"/>
        </w:rPr>
      </w:pPr>
      <w:r>
        <w:rPr>
          <w:rFonts w:hint="eastAsia" w:ascii="仿宋" w:hAnsi="仿宋" w:eastAsia="仿宋" w:cs="仿宋"/>
          <w:color w:val="auto"/>
          <w:sz w:val="28"/>
          <w:szCs w:val="32"/>
          <w:highlight w:val="none"/>
        </w:rPr>
        <w:t>日    期：</w:t>
      </w:r>
      <w:bookmarkStart w:id="3" w:name="EB2b6acbf80ec34a13b99020645ace3bba"/>
      <w:r>
        <w:rPr>
          <w:rFonts w:hint="eastAsia" w:ascii="仿宋" w:hAnsi="仿宋" w:eastAsia="仿宋" w:cs="仿宋"/>
          <w:color w:val="auto"/>
          <w:sz w:val="28"/>
          <w:szCs w:val="32"/>
          <w:highlight w:val="none"/>
        </w:rPr>
        <w:t>202</w:t>
      </w:r>
      <w:r>
        <w:rPr>
          <w:rFonts w:hint="eastAsia" w:cs="仿宋"/>
          <w:color w:val="auto"/>
          <w:sz w:val="28"/>
          <w:szCs w:val="32"/>
          <w:highlight w:val="none"/>
          <w:lang w:val="en-US" w:eastAsia="zh-CN"/>
        </w:rPr>
        <w:t>5</w:t>
      </w:r>
      <w:r>
        <w:rPr>
          <w:rFonts w:hint="eastAsia" w:ascii="仿宋" w:hAnsi="仿宋" w:eastAsia="仿宋" w:cs="仿宋"/>
          <w:color w:val="auto"/>
          <w:sz w:val="28"/>
          <w:szCs w:val="32"/>
          <w:highlight w:val="none"/>
        </w:rPr>
        <w:t>年</w:t>
      </w:r>
      <w:r>
        <w:rPr>
          <w:rFonts w:hint="eastAsia" w:cs="仿宋"/>
          <w:color w:val="auto"/>
          <w:sz w:val="28"/>
          <w:szCs w:val="32"/>
          <w:highlight w:val="none"/>
          <w:lang w:val="en-US" w:eastAsia="zh-CN"/>
        </w:rPr>
        <w:t>06</w:t>
      </w:r>
      <w:r>
        <w:rPr>
          <w:rFonts w:hint="eastAsia" w:ascii="仿宋" w:hAnsi="仿宋" w:eastAsia="仿宋" w:cs="仿宋"/>
          <w:color w:val="auto"/>
          <w:sz w:val="28"/>
          <w:szCs w:val="32"/>
          <w:highlight w:val="none"/>
        </w:rPr>
        <w:t>月</w:t>
      </w:r>
      <w:bookmarkEnd w:id="3"/>
    </w:p>
    <w:p w14:paraId="5BB40E1A">
      <w:pPr>
        <w:ind w:firstLine="480"/>
        <w:jc w:val="center"/>
        <w:rPr>
          <w:rFonts w:hint="eastAsia" w:ascii="仿宋" w:hAnsi="仿宋" w:eastAsia="仿宋" w:cs="仿宋"/>
          <w:color w:val="auto"/>
          <w:sz w:val="36"/>
          <w:szCs w:val="40"/>
          <w:highlight w:val="none"/>
        </w:rPr>
      </w:pPr>
      <w:r>
        <w:rPr>
          <w:rFonts w:hint="eastAsia" w:ascii="仿宋" w:hAnsi="仿宋" w:eastAsia="仿宋" w:cs="仿宋"/>
          <w:color w:val="auto"/>
          <w:highlight w:val="none"/>
        </w:rPr>
        <w:br w:type="page"/>
      </w:r>
      <w:r>
        <w:rPr>
          <w:rFonts w:hint="eastAsia" w:ascii="仿宋" w:hAnsi="仿宋" w:eastAsia="仿宋" w:cs="仿宋"/>
          <w:color w:val="auto"/>
          <w:sz w:val="36"/>
          <w:szCs w:val="40"/>
          <w:highlight w:val="none"/>
        </w:rPr>
        <w:t>目   录</w:t>
      </w:r>
      <w:bookmarkEnd w:id="0"/>
      <w:bookmarkEnd w:id="1"/>
      <w:bookmarkEnd w:id="2"/>
    </w:p>
    <w:p w14:paraId="3C574917">
      <w:pPr>
        <w:pStyle w:val="19"/>
        <w:rPr>
          <w:rFonts w:hint="eastAsia" w:ascii="仿宋" w:hAnsi="仿宋" w:eastAsia="仿宋" w:cs="仿宋"/>
          <w:color w:val="auto"/>
          <w:highlight w:val="none"/>
        </w:rPr>
      </w:pPr>
    </w:p>
    <w:p w14:paraId="44BE8F64">
      <w:pPr>
        <w:pStyle w:val="14"/>
        <w:tabs>
          <w:tab w:val="right" w:leader="dot" w:pos="8307"/>
        </w:tabs>
        <w:rPr>
          <w:highlight w:val="none"/>
        </w:rPr>
      </w:pPr>
      <w:bookmarkStart w:id="4" w:name="_Toc152045511"/>
      <w:bookmarkStart w:id="5" w:name="_Toc152042287"/>
      <w:bookmarkStart w:id="6" w:name="_Toc179632527"/>
      <w:bookmarkStart w:id="7" w:name="_Toc144974479"/>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TOC \o "1-1" \h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_Toc22494 </w:instrText>
      </w:r>
      <w:r>
        <w:rPr>
          <w:rFonts w:hint="eastAsia" w:ascii="仿宋" w:hAnsi="仿宋" w:eastAsia="仿宋" w:cs="仿宋"/>
          <w:szCs w:val="24"/>
          <w:highlight w:val="none"/>
        </w:rPr>
        <w:fldChar w:fldCharType="separate"/>
      </w:r>
      <w:r>
        <w:rPr>
          <w:rFonts w:hint="eastAsia"/>
          <w:highlight w:val="none"/>
          <w:lang w:val="en-US" w:eastAsia="zh-CN"/>
        </w:rPr>
        <w:t>第一章 招标公告</w:t>
      </w:r>
      <w:r>
        <w:rPr>
          <w:highlight w:val="none"/>
        </w:rPr>
        <w:tab/>
      </w:r>
      <w:r>
        <w:rPr>
          <w:highlight w:val="none"/>
        </w:rPr>
        <w:fldChar w:fldCharType="begin"/>
      </w:r>
      <w:r>
        <w:rPr>
          <w:highlight w:val="none"/>
        </w:rPr>
        <w:instrText xml:space="preserve"> PAGEREF _Toc22494 \h </w:instrText>
      </w:r>
      <w:r>
        <w:rPr>
          <w:highlight w:val="none"/>
        </w:rPr>
        <w:fldChar w:fldCharType="separate"/>
      </w:r>
      <w:r>
        <w:rPr>
          <w:highlight w:val="none"/>
        </w:rPr>
        <w:t>1</w:t>
      </w:r>
      <w:r>
        <w:rPr>
          <w:highlight w:val="none"/>
        </w:rPr>
        <w:fldChar w:fldCharType="end"/>
      </w:r>
      <w:r>
        <w:rPr>
          <w:rFonts w:hint="eastAsia" w:ascii="仿宋" w:hAnsi="仿宋" w:eastAsia="仿宋" w:cs="仿宋"/>
          <w:color w:val="auto"/>
          <w:szCs w:val="24"/>
          <w:highlight w:val="none"/>
        </w:rPr>
        <w:fldChar w:fldCharType="end"/>
      </w:r>
    </w:p>
    <w:p w14:paraId="0A96B257">
      <w:pPr>
        <w:pStyle w:val="14"/>
        <w:tabs>
          <w:tab w:val="right" w:leader="dot" w:pos="8307"/>
        </w:tabs>
        <w:rPr>
          <w:highlight w:val="none"/>
        </w:rPr>
      </w:pPr>
      <w:r>
        <w:rPr>
          <w:rFonts w:hint="eastAsia" w:ascii="仿宋" w:hAnsi="仿宋" w:eastAsia="仿宋" w:cs="仿宋"/>
          <w:color w:val="auto"/>
          <w:szCs w:val="40"/>
          <w:highlight w:val="none"/>
        </w:rPr>
        <w:fldChar w:fldCharType="begin"/>
      </w:r>
      <w:r>
        <w:rPr>
          <w:rFonts w:hint="eastAsia" w:ascii="仿宋" w:hAnsi="仿宋" w:eastAsia="仿宋" w:cs="仿宋"/>
          <w:szCs w:val="40"/>
          <w:highlight w:val="none"/>
        </w:rPr>
        <w:instrText xml:space="preserve"> HYPERLINK \l _Toc11731 </w:instrText>
      </w:r>
      <w:r>
        <w:rPr>
          <w:rFonts w:hint="eastAsia" w:ascii="仿宋" w:hAnsi="仿宋" w:eastAsia="仿宋" w:cs="仿宋"/>
          <w:szCs w:val="40"/>
          <w:highlight w:val="none"/>
        </w:rPr>
        <w:fldChar w:fldCharType="separate"/>
      </w:r>
      <w:r>
        <w:rPr>
          <w:rFonts w:hint="eastAsia"/>
          <w:bCs/>
          <w:highlight w:val="none"/>
          <w:lang w:val="en-US" w:eastAsia="zh-CN"/>
        </w:rPr>
        <w:t>第二章 投标人须知</w:t>
      </w:r>
      <w:r>
        <w:rPr>
          <w:highlight w:val="none"/>
        </w:rPr>
        <w:tab/>
      </w:r>
      <w:r>
        <w:rPr>
          <w:highlight w:val="none"/>
        </w:rPr>
        <w:fldChar w:fldCharType="begin"/>
      </w:r>
      <w:r>
        <w:rPr>
          <w:highlight w:val="none"/>
        </w:rPr>
        <w:instrText xml:space="preserve"> PAGEREF _Toc11731 \h </w:instrText>
      </w:r>
      <w:r>
        <w:rPr>
          <w:highlight w:val="none"/>
        </w:rPr>
        <w:fldChar w:fldCharType="separate"/>
      </w:r>
      <w:r>
        <w:rPr>
          <w:highlight w:val="none"/>
        </w:rPr>
        <w:t>4</w:t>
      </w:r>
      <w:r>
        <w:rPr>
          <w:highlight w:val="none"/>
        </w:rPr>
        <w:fldChar w:fldCharType="end"/>
      </w:r>
      <w:r>
        <w:rPr>
          <w:rFonts w:hint="eastAsia" w:ascii="仿宋" w:hAnsi="仿宋" w:eastAsia="仿宋" w:cs="仿宋"/>
          <w:color w:val="auto"/>
          <w:szCs w:val="40"/>
          <w:highlight w:val="none"/>
        </w:rPr>
        <w:fldChar w:fldCharType="end"/>
      </w:r>
    </w:p>
    <w:p w14:paraId="6F3129E6">
      <w:pPr>
        <w:pStyle w:val="14"/>
        <w:tabs>
          <w:tab w:val="right" w:leader="dot" w:pos="8307"/>
        </w:tabs>
        <w:rPr>
          <w:highlight w:val="none"/>
        </w:rPr>
      </w:pPr>
      <w:r>
        <w:rPr>
          <w:rFonts w:hint="eastAsia" w:ascii="仿宋" w:hAnsi="仿宋" w:eastAsia="仿宋" w:cs="仿宋"/>
          <w:color w:val="auto"/>
          <w:szCs w:val="40"/>
          <w:highlight w:val="none"/>
        </w:rPr>
        <w:fldChar w:fldCharType="begin"/>
      </w:r>
      <w:r>
        <w:rPr>
          <w:rFonts w:hint="eastAsia" w:ascii="仿宋" w:hAnsi="仿宋" w:eastAsia="仿宋" w:cs="仿宋"/>
          <w:szCs w:val="40"/>
          <w:highlight w:val="none"/>
        </w:rPr>
        <w:instrText xml:space="preserve"> HYPERLINK \l _Toc2144 </w:instrText>
      </w:r>
      <w:r>
        <w:rPr>
          <w:rFonts w:hint="eastAsia" w:ascii="仿宋" w:hAnsi="仿宋" w:eastAsia="仿宋" w:cs="仿宋"/>
          <w:szCs w:val="40"/>
          <w:highlight w:val="none"/>
        </w:rPr>
        <w:fldChar w:fldCharType="separate"/>
      </w:r>
      <w:r>
        <w:rPr>
          <w:rFonts w:hint="eastAsia"/>
          <w:highlight w:val="none"/>
          <w:lang w:val="en-US" w:eastAsia="zh-CN"/>
        </w:rPr>
        <w:t xml:space="preserve">第三章 </w:t>
      </w:r>
      <w:r>
        <w:rPr>
          <w:rFonts w:hint="eastAsia"/>
          <w:highlight w:val="none"/>
        </w:rPr>
        <w:t>合同条款</w:t>
      </w:r>
      <w:r>
        <w:rPr>
          <w:highlight w:val="none"/>
        </w:rPr>
        <w:tab/>
      </w:r>
      <w:r>
        <w:rPr>
          <w:highlight w:val="none"/>
        </w:rPr>
        <w:fldChar w:fldCharType="begin"/>
      </w:r>
      <w:r>
        <w:rPr>
          <w:highlight w:val="none"/>
        </w:rPr>
        <w:instrText xml:space="preserve"> PAGEREF _Toc2144 \h </w:instrText>
      </w:r>
      <w:r>
        <w:rPr>
          <w:highlight w:val="none"/>
        </w:rPr>
        <w:fldChar w:fldCharType="separate"/>
      </w:r>
      <w:r>
        <w:rPr>
          <w:highlight w:val="none"/>
        </w:rPr>
        <w:t>22</w:t>
      </w:r>
      <w:r>
        <w:rPr>
          <w:highlight w:val="none"/>
        </w:rPr>
        <w:fldChar w:fldCharType="end"/>
      </w:r>
      <w:r>
        <w:rPr>
          <w:rFonts w:hint="eastAsia" w:ascii="仿宋" w:hAnsi="仿宋" w:eastAsia="仿宋" w:cs="仿宋"/>
          <w:color w:val="auto"/>
          <w:szCs w:val="40"/>
          <w:highlight w:val="none"/>
        </w:rPr>
        <w:fldChar w:fldCharType="end"/>
      </w:r>
    </w:p>
    <w:p w14:paraId="784B4987">
      <w:pPr>
        <w:pStyle w:val="14"/>
        <w:tabs>
          <w:tab w:val="right" w:leader="dot" w:pos="8307"/>
        </w:tabs>
        <w:rPr>
          <w:highlight w:val="none"/>
        </w:rPr>
      </w:pPr>
      <w:r>
        <w:rPr>
          <w:rFonts w:hint="eastAsia" w:ascii="仿宋" w:hAnsi="仿宋" w:eastAsia="仿宋" w:cs="仿宋"/>
          <w:color w:val="auto"/>
          <w:szCs w:val="40"/>
          <w:highlight w:val="none"/>
        </w:rPr>
        <w:fldChar w:fldCharType="begin"/>
      </w:r>
      <w:r>
        <w:rPr>
          <w:rFonts w:hint="eastAsia" w:ascii="仿宋" w:hAnsi="仿宋" w:eastAsia="仿宋" w:cs="仿宋"/>
          <w:szCs w:val="40"/>
          <w:highlight w:val="none"/>
        </w:rPr>
        <w:instrText xml:space="preserve"> HYPERLINK \l _Toc295 </w:instrText>
      </w:r>
      <w:r>
        <w:rPr>
          <w:rFonts w:hint="eastAsia" w:ascii="仿宋" w:hAnsi="仿宋" w:eastAsia="仿宋" w:cs="仿宋"/>
          <w:szCs w:val="40"/>
          <w:highlight w:val="none"/>
        </w:rPr>
        <w:fldChar w:fldCharType="separate"/>
      </w:r>
      <w:r>
        <w:rPr>
          <w:rFonts w:hint="eastAsia"/>
          <w:highlight w:val="none"/>
          <w:lang w:val="en-US" w:eastAsia="zh-CN"/>
        </w:rPr>
        <w:t>第四章 合同格式</w:t>
      </w:r>
      <w:r>
        <w:rPr>
          <w:highlight w:val="none"/>
        </w:rPr>
        <w:tab/>
      </w:r>
      <w:r>
        <w:rPr>
          <w:highlight w:val="none"/>
        </w:rPr>
        <w:fldChar w:fldCharType="begin"/>
      </w:r>
      <w:r>
        <w:rPr>
          <w:highlight w:val="none"/>
        </w:rPr>
        <w:instrText xml:space="preserve"> PAGEREF _Toc295 \h </w:instrText>
      </w:r>
      <w:r>
        <w:rPr>
          <w:highlight w:val="none"/>
        </w:rPr>
        <w:fldChar w:fldCharType="separate"/>
      </w:r>
      <w:r>
        <w:rPr>
          <w:highlight w:val="none"/>
        </w:rPr>
        <w:t>27</w:t>
      </w:r>
      <w:r>
        <w:rPr>
          <w:highlight w:val="none"/>
        </w:rPr>
        <w:fldChar w:fldCharType="end"/>
      </w:r>
      <w:r>
        <w:rPr>
          <w:rFonts w:hint="eastAsia" w:ascii="仿宋" w:hAnsi="仿宋" w:eastAsia="仿宋" w:cs="仿宋"/>
          <w:color w:val="auto"/>
          <w:szCs w:val="40"/>
          <w:highlight w:val="none"/>
        </w:rPr>
        <w:fldChar w:fldCharType="end"/>
      </w:r>
    </w:p>
    <w:p w14:paraId="20A7FFC4">
      <w:pPr>
        <w:pStyle w:val="14"/>
        <w:tabs>
          <w:tab w:val="right" w:leader="dot" w:pos="8307"/>
        </w:tabs>
        <w:rPr>
          <w:highlight w:val="none"/>
        </w:rPr>
      </w:pPr>
      <w:r>
        <w:rPr>
          <w:rFonts w:hint="eastAsia" w:ascii="仿宋" w:hAnsi="仿宋" w:eastAsia="仿宋" w:cs="仿宋"/>
          <w:color w:val="auto"/>
          <w:szCs w:val="40"/>
          <w:highlight w:val="none"/>
        </w:rPr>
        <w:fldChar w:fldCharType="begin"/>
      </w:r>
      <w:r>
        <w:rPr>
          <w:rFonts w:hint="eastAsia" w:ascii="仿宋" w:hAnsi="仿宋" w:eastAsia="仿宋" w:cs="仿宋"/>
          <w:szCs w:val="40"/>
          <w:highlight w:val="none"/>
        </w:rPr>
        <w:instrText xml:space="preserve"> HYPERLINK \l _Toc25725 </w:instrText>
      </w:r>
      <w:r>
        <w:rPr>
          <w:rFonts w:hint="eastAsia" w:ascii="仿宋" w:hAnsi="仿宋" w:eastAsia="仿宋" w:cs="仿宋"/>
          <w:szCs w:val="40"/>
          <w:highlight w:val="none"/>
        </w:rPr>
        <w:fldChar w:fldCharType="separate"/>
      </w:r>
      <w:r>
        <w:rPr>
          <w:rFonts w:hint="eastAsia" w:ascii="仿宋" w:hAnsi="仿宋" w:eastAsia="仿宋" w:cs="仿宋"/>
          <w:szCs w:val="21"/>
          <w:highlight w:val="none"/>
          <w:lang w:val="en-US" w:eastAsia="zh-CN"/>
        </w:rPr>
        <w:t>第</w:t>
      </w:r>
      <w:r>
        <w:rPr>
          <w:rFonts w:hint="eastAsia" w:cs="仿宋"/>
          <w:szCs w:val="21"/>
          <w:highlight w:val="none"/>
          <w:lang w:val="en-US" w:eastAsia="zh-CN"/>
        </w:rPr>
        <w:t>五</w:t>
      </w:r>
      <w:r>
        <w:rPr>
          <w:rFonts w:hint="eastAsia" w:ascii="仿宋" w:hAnsi="仿宋" w:eastAsia="仿宋" w:cs="仿宋"/>
          <w:szCs w:val="21"/>
          <w:highlight w:val="none"/>
          <w:lang w:val="en-US" w:eastAsia="zh-CN"/>
        </w:rPr>
        <w:t>章</w:t>
      </w:r>
      <w:r>
        <w:rPr>
          <w:rFonts w:hint="eastAsia" w:cs="仿宋"/>
          <w:szCs w:val="21"/>
          <w:highlight w:val="none"/>
          <w:lang w:val="en-US" w:eastAsia="zh-CN"/>
        </w:rPr>
        <w:t xml:space="preserve"> </w:t>
      </w:r>
      <w:r>
        <w:rPr>
          <w:rFonts w:hint="eastAsia"/>
          <w:highlight w:val="none"/>
          <w:lang w:val="en-US" w:eastAsia="zh-CN"/>
        </w:rPr>
        <w:t>服务需求及要求</w:t>
      </w:r>
      <w:r>
        <w:rPr>
          <w:highlight w:val="none"/>
        </w:rPr>
        <w:tab/>
      </w:r>
      <w:r>
        <w:rPr>
          <w:highlight w:val="none"/>
        </w:rPr>
        <w:fldChar w:fldCharType="begin"/>
      </w:r>
      <w:r>
        <w:rPr>
          <w:highlight w:val="none"/>
        </w:rPr>
        <w:instrText xml:space="preserve"> PAGEREF _Toc25725 \h </w:instrText>
      </w:r>
      <w:r>
        <w:rPr>
          <w:highlight w:val="none"/>
        </w:rPr>
        <w:fldChar w:fldCharType="separate"/>
      </w:r>
      <w:r>
        <w:rPr>
          <w:highlight w:val="none"/>
        </w:rPr>
        <w:t>30</w:t>
      </w:r>
      <w:r>
        <w:rPr>
          <w:highlight w:val="none"/>
        </w:rPr>
        <w:fldChar w:fldCharType="end"/>
      </w:r>
      <w:r>
        <w:rPr>
          <w:rFonts w:hint="eastAsia" w:ascii="仿宋" w:hAnsi="仿宋" w:eastAsia="仿宋" w:cs="仿宋"/>
          <w:color w:val="auto"/>
          <w:szCs w:val="40"/>
          <w:highlight w:val="none"/>
        </w:rPr>
        <w:fldChar w:fldCharType="end"/>
      </w:r>
    </w:p>
    <w:p w14:paraId="4236DAF9">
      <w:pPr>
        <w:pStyle w:val="14"/>
        <w:tabs>
          <w:tab w:val="right" w:leader="dot" w:pos="8307"/>
        </w:tabs>
        <w:rPr>
          <w:highlight w:val="none"/>
        </w:rPr>
      </w:pPr>
      <w:r>
        <w:rPr>
          <w:rFonts w:hint="eastAsia" w:ascii="仿宋" w:hAnsi="仿宋" w:eastAsia="仿宋" w:cs="仿宋"/>
          <w:color w:val="auto"/>
          <w:szCs w:val="40"/>
          <w:highlight w:val="none"/>
        </w:rPr>
        <w:fldChar w:fldCharType="begin"/>
      </w:r>
      <w:r>
        <w:rPr>
          <w:rFonts w:hint="eastAsia" w:ascii="仿宋" w:hAnsi="仿宋" w:eastAsia="仿宋" w:cs="仿宋"/>
          <w:szCs w:val="40"/>
          <w:highlight w:val="none"/>
        </w:rPr>
        <w:instrText xml:space="preserve"> HYPERLINK \l _Toc23728 </w:instrText>
      </w:r>
      <w:r>
        <w:rPr>
          <w:rFonts w:hint="eastAsia" w:ascii="仿宋" w:hAnsi="仿宋" w:eastAsia="仿宋" w:cs="仿宋"/>
          <w:szCs w:val="40"/>
          <w:highlight w:val="none"/>
        </w:rPr>
        <w:fldChar w:fldCharType="separate"/>
      </w:r>
      <w:r>
        <w:rPr>
          <w:rFonts w:hint="eastAsia" w:ascii="仿宋" w:hAnsi="仿宋" w:eastAsia="仿宋" w:cs="仿宋"/>
          <w:szCs w:val="21"/>
          <w:highlight w:val="none"/>
          <w:lang w:val="en-US" w:eastAsia="zh-CN"/>
        </w:rPr>
        <w:t>第</w:t>
      </w:r>
      <w:r>
        <w:rPr>
          <w:rFonts w:hint="eastAsia" w:cs="仿宋"/>
          <w:szCs w:val="21"/>
          <w:highlight w:val="none"/>
          <w:lang w:val="en-US" w:eastAsia="zh-CN"/>
        </w:rPr>
        <w:t>六</w:t>
      </w:r>
      <w:r>
        <w:rPr>
          <w:rFonts w:hint="eastAsia" w:ascii="仿宋" w:hAnsi="仿宋" w:eastAsia="仿宋" w:cs="仿宋"/>
          <w:szCs w:val="21"/>
          <w:highlight w:val="none"/>
          <w:lang w:val="en-US" w:eastAsia="zh-CN"/>
        </w:rPr>
        <w:t xml:space="preserve">章 </w:t>
      </w:r>
      <w:r>
        <w:rPr>
          <w:rFonts w:hint="eastAsia" w:cs="仿宋"/>
          <w:szCs w:val="44"/>
          <w:highlight w:val="none"/>
          <w:lang w:eastAsia="zh-CN"/>
        </w:rPr>
        <w:t>投标文件格式</w:t>
      </w:r>
      <w:r>
        <w:rPr>
          <w:highlight w:val="none"/>
        </w:rPr>
        <w:tab/>
      </w:r>
      <w:r>
        <w:rPr>
          <w:highlight w:val="none"/>
        </w:rPr>
        <w:fldChar w:fldCharType="begin"/>
      </w:r>
      <w:r>
        <w:rPr>
          <w:highlight w:val="none"/>
        </w:rPr>
        <w:instrText xml:space="preserve"> PAGEREF _Toc23728 \h </w:instrText>
      </w:r>
      <w:r>
        <w:rPr>
          <w:highlight w:val="none"/>
        </w:rPr>
        <w:fldChar w:fldCharType="separate"/>
      </w:r>
      <w:r>
        <w:rPr>
          <w:highlight w:val="none"/>
        </w:rPr>
        <w:t>31</w:t>
      </w:r>
      <w:r>
        <w:rPr>
          <w:highlight w:val="none"/>
        </w:rPr>
        <w:fldChar w:fldCharType="end"/>
      </w:r>
      <w:r>
        <w:rPr>
          <w:rFonts w:hint="eastAsia" w:ascii="仿宋" w:hAnsi="仿宋" w:eastAsia="仿宋" w:cs="仿宋"/>
          <w:color w:val="auto"/>
          <w:szCs w:val="40"/>
          <w:highlight w:val="none"/>
        </w:rPr>
        <w:fldChar w:fldCharType="end"/>
      </w:r>
    </w:p>
    <w:p w14:paraId="17F7CA6C">
      <w:pPr>
        <w:pStyle w:val="14"/>
        <w:tabs>
          <w:tab w:val="right" w:leader="dot" w:pos="8307"/>
        </w:tabs>
        <w:rPr>
          <w:highlight w:val="none"/>
        </w:rPr>
      </w:pPr>
      <w:r>
        <w:rPr>
          <w:rFonts w:hint="eastAsia" w:ascii="仿宋" w:hAnsi="仿宋" w:eastAsia="仿宋" w:cs="仿宋"/>
          <w:color w:val="auto"/>
          <w:szCs w:val="40"/>
          <w:highlight w:val="none"/>
        </w:rPr>
        <w:fldChar w:fldCharType="begin"/>
      </w:r>
      <w:r>
        <w:rPr>
          <w:rFonts w:hint="eastAsia" w:ascii="仿宋" w:hAnsi="仿宋" w:eastAsia="仿宋" w:cs="仿宋"/>
          <w:szCs w:val="40"/>
          <w:highlight w:val="none"/>
        </w:rPr>
        <w:instrText xml:space="preserve"> HYPERLINK \l _Toc11240 </w:instrText>
      </w:r>
      <w:r>
        <w:rPr>
          <w:rFonts w:hint="eastAsia" w:ascii="仿宋" w:hAnsi="仿宋" w:eastAsia="仿宋" w:cs="仿宋"/>
          <w:szCs w:val="40"/>
          <w:highlight w:val="none"/>
        </w:rPr>
        <w:fldChar w:fldCharType="separate"/>
      </w:r>
      <w:r>
        <w:rPr>
          <w:rFonts w:hint="eastAsia" w:ascii="仿宋" w:hAnsi="仿宋" w:eastAsia="仿宋" w:cs="仿宋"/>
          <w:bCs/>
          <w:highlight w:val="none"/>
          <w:lang w:val="en-US" w:eastAsia="zh-CN"/>
        </w:rPr>
        <w:t>第</w:t>
      </w:r>
      <w:r>
        <w:rPr>
          <w:rFonts w:hint="eastAsia" w:cs="仿宋"/>
          <w:bCs/>
          <w:highlight w:val="none"/>
          <w:lang w:val="en-US" w:eastAsia="zh-CN"/>
        </w:rPr>
        <w:t>七</w:t>
      </w:r>
      <w:r>
        <w:rPr>
          <w:rFonts w:hint="eastAsia" w:ascii="仿宋" w:hAnsi="仿宋" w:eastAsia="仿宋" w:cs="仿宋"/>
          <w:bCs/>
          <w:highlight w:val="none"/>
          <w:lang w:val="en-US" w:eastAsia="zh-CN"/>
        </w:rPr>
        <w:t>章</w:t>
      </w:r>
      <w:r>
        <w:rPr>
          <w:rFonts w:hint="eastAsia" w:ascii="仿宋" w:hAnsi="仿宋" w:eastAsia="仿宋" w:cs="仿宋"/>
          <w:highlight w:val="none"/>
          <w:lang w:val="en-US" w:eastAsia="zh-CN"/>
        </w:rPr>
        <w:t xml:space="preserve"> </w:t>
      </w:r>
      <w:r>
        <w:rPr>
          <w:rFonts w:hint="eastAsia" w:ascii="仿宋" w:hAnsi="仿宋" w:eastAsia="仿宋" w:cs="仿宋"/>
          <w:bCs/>
          <w:szCs w:val="44"/>
          <w:highlight w:val="none"/>
          <w:lang w:eastAsia="zh-CN"/>
        </w:rPr>
        <w:t>评标办法</w:t>
      </w:r>
      <w:r>
        <w:rPr>
          <w:highlight w:val="none"/>
        </w:rPr>
        <w:tab/>
      </w:r>
      <w:r>
        <w:rPr>
          <w:highlight w:val="none"/>
        </w:rPr>
        <w:fldChar w:fldCharType="begin"/>
      </w:r>
      <w:r>
        <w:rPr>
          <w:highlight w:val="none"/>
        </w:rPr>
        <w:instrText xml:space="preserve"> PAGEREF _Toc11240 \h </w:instrText>
      </w:r>
      <w:r>
        <w:rPr>
          <w:highlight w:val="none"/>
        </w:rPr>
        <w:fldChar w:fldCharType="separate"/>
      </w:r>
      <w:r>
        <w:rPr>
          <w:highlight w:val="none"/>
        </w:rPr>
        <w:t>48</w:t>
      </w:r>
      <w:r>
        <w:rPr>
          <w:highlight w:val="none"/>
        </w:rPr>
        <w:fldChar w:fldCharType="end"/>
      </w:r>
      <w:r>
        <w:rPr>
          <w:rFonts w:hint="eastAsia" w:ascii="仿宋" w:hAnsi="仿宋" w:eastAsia="仿宋" w:cs="仿宋"/>
          <w:color w:val="auto"/>
          <w:szCs w:val="40"/>
          <w:highlight w:val="none"/>
        </w:rPr>
        <w:fldChar w:fldCharType="end"/>
      </w:r>
    </w:p>
    <w:p w14:paraId="015A52E1">
      <w:pPr>
        <w:rPr>
          <w:rFonts w:hint="eastAsia" w:ascii="仿宋" w:hAnsi="仿宋" w:eastAsia="仿宋" w:cs="仿宋"/>
          <w:color w:val="auto"/>
          <w:sz w:val="36"/>
          <w:szCs w:val="40"/>
          <w:highlight w:val="none"/>
        </w:rPr>
      </w:pPr>
      <w:r>
        <w:rPr>
          <w:rFonts w:hint="eastAsia" w:ascii="仿宋" w:hAnsi="仿宋" w:eastAsia="仿宋" w:cs="仿宋"/>
          <w:color w:val="auto"/>
          <w:szCs w:val="40"/>
          <w:highlight w:val="none"/>
        </w:rPr>
        <w:fldChar w:fldCharType="end"/>
      </w:r>
      <w:bookmarkEnd w:id="4"/>
      <w:bookmarkEnd w:id="5"/>
      <w:bookmarkEnd w:id="6"/>
      <w:bookmarkEnd w:id="7"/>
      <w:bookmarkStart w:id="8" w:name="_Toc18657"/>
      <w:bookmarkStart w:id="9" w:name="_Toc55285621"/>
      <w:bookmarkStart w:id="10" w:name="_Toc52181453"/>
    </w:p>
    <w:p w14:paraId="3F6C4BA5">
      <w:pPr>
        <w:pStyle w:val="2"/>
        <w:numPr>
          <w:ilvl w:val="0"/>
          <w:numId w:val="3"/>
        </w:numPr>
        <w:bidi w:val="0"/>
        <w:rPr>
          <w:rFonts w:hint="eastAsia"/>
          <w:color w:val="auto"/>
          <w:highlight w:val="none"/>
          <w:lang w:val="en-US" w:eastAsia="zh-CN"/>
        </w:rPr>
        <w:sectPr>
          <w:footerReference r:id="rId5" w:type="default"/>
          <w:pgSz w:w="11907" w:h="16840"/>
          <w:pgMar w:top="1440" w:right="1800" w:bottom="1440" w:left="1800" w:header="680" w:footer="907" w:gutter="0"/>
          <w:pgNumType w:fmt="decimal" w:start="1"/>
          <w:cols w:space="0" w:num="1"/>
          <w:rtlGutter w:val="0"/>
          <w:docGrid w:linePitch="271" w:charSpace="0"/>
        </w:sectPr>
      </w:pPr>
    </w:p>
    <w:p w14:paraId="17E7E726">
      <w:pPr>
        <w:pStyle w:val="2"/>
        <w:numPr>
          <w:ilvl w:val="0"/>
          <w:numId w:val="3"/>
        </w:numPr>
        <w:bidi w:val="0"/>
        <w:rPr>
          <w:rFonts w:hint="eastAsia"/>
          <w:color w:val="auto"/>
          <w:highlight w:val="none"/>
          <w:lang w:val="en-US" w:eastAsia="zh-CN"/>
        </w:rPr>
      </w:pPr>
      <w:bookmarkStart w:id="11" w:name="_Toc22494"/>
      <w:r>
        <w:rPr>
          <w:rFonts w:hint="eastAsia"/>
          <w:color w:val="auto"/>
          <w:highlight w:val="none"/>
          <w:lang w:val="en-US" w:eastAsia="zh-CN"/>
        </w:rPr>
        <w:t>招标公告</w:t>
      </w:r>
      <w:bookmarkEnd w:id="8"/>
      <w:bookmarkEnd w:id="11"/>
    </w:p>
    <w:bookmarkEnd w:id="9"/>
    <w:bookmarkEnd w:id="10"/>
    <w:p w14:paraId="74E30E40">
      <w:pPr>
        <w:bidi w:val="0"/>
        <w:jc w:val="center"/>
        <w:rPr>
          <w:rFonts w:hint="eastAsia" w:cs="仿宋"/>
          <w:sz w:val="36"/>
          <w:szCs w:val="36"/>
          <w:highlight w:val="none"/>
          <w:lang w:eastAsia="zh-CN"/>
        </w:rPr>
      </w:pPr>
      <w:bookmarkStart w:id="12" w:name="_Toc152042304"/>
      <w:bookmarkStart w:id="13" w:name="_Toc152045528"/>
      <w:bookmarkStart w:id="14" w:name="_Toc246996917"/>
      <w:bookmarkStart w:id="15" w:name="_Toc247085688"/>
      <w:bookmarkStart w:id="16" w:name="_Toc144974496"/>
      <w:bookmarkStart w:id="17" w:name="_Toc179632545"/>
      <w:bookmarkStart w:id="18" w:name="_Toc296602419"/>
      <w:bookmarkStart w:id="19" w:name="_Toc246996174"/>
      <w:r>
        <w:rPr>
          <w:rFonts w:hint="eastAsia" w:cs="仿宋"/>
          <w:sz w:val="36"/>
          <w:szCs w:val="36"/>
          <w:highlight w:val="none"/>
          <w:lang w:eastAsia="zh-CN"/>
        </w:rPr>
        <w:t>2025年丰满区集中供养特困人员购买社会服务项目</w:t>
      </w:r>
    </w:p>
    <w:p w14:paraId="54E2A9FE">
      <w:pPr>
        <w:bidi w:val="0"/>
        <w:jc w:val="center"/>
        <w:rPr>
          <w:rFonts w:hint="default" w:cs="仿宋"/>
          <w:sz w:val="36"/>
          <w:szCs w:val="36"/>
          <w:highlight w:val="none"/>
          <w:lang w:val="en-US" w:eastAsia="zh-CN"/>
        </w:rPr>
      </w:pPr>
      <w:r>
        <w:rPr>
          <w:rFonts w:hint="eastAsia" w:cs="仿宋"/>
          <w:sz w:val="36"/>
          <w:szCs w:val="36"/>
          <w:highlight w:val="none"/>
          <w:lang w:val="en-US" w:eastAsia="zh-CN"/>
        </w:rPr>
        <w:t>三次招标</w:t>
      </w:r>
    </w:p>
    <w:p w14:paraId="59455B10">
      <w:pPr>
        <w:bidi w:val="0"/>
        <w:jc w:val="center"/>
        <w:rPr>
          <w:rFonts w:hint="eastAsia"/>
          <w:sz w:val="28"/>
          <w:szCs w:val="32"/>
          <w:highlight w:val="none"/>
        </w:rPr>
      </w:pPr>
      <w:r>
        <w:rPr>
          <w:rFonts w:hint="eastAsia"/>
          <w:sz w:val="28"/>
          <w:szCs w:val="32"/>
          <w:highlight w:val="none"/>
          <w:lang w:val="en-US" w:eastAsia="zh-CN"/>
        </w:rPr>
        <w:t>公开招标公告</w:t>
      </w:r>
    </w:p>
    <w:tbl>
      <w:tblPr>
        <w:tblStyle w:val="20"/>
        <w:tblW w:w="0" w:type="auto"/>
        <w:tblInd w:w="9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1"/>
      </w:tblGrid>
      <w:tr w14:paraId="5D1F1C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83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306B6E59">
            <w:pPr>
              <w:bidi w:val="0"/>
              <w:rPr>
                <w:rFonts w:hint="eastAsia" w:ascii="仿宋" w:hAnsi="仿宋" w:eastAsia="仿宋" w:cs="仿宋"/>
                <w:sz w:val="21"/>
                <w:szCs w:val="21"/>
                <w:highlight w:val="none"/>
              </w:rPr>
            </w:pPr>
            <w:r>
              <w:rPr>
                <w:rFonts w:hint="eastAsia" w:ascii="仿宋" w:hAnsi="仿宋" w:eastAsia="仿宋" w:cs="仿宋"/>
                <w:sz w:val="21"/>
                <w:szCs w:val="21"/>
                <w:highlight w:val="none"/>
              </w:rPr>
              <w:t>项目概况</w:t>
            </w:r>
          </w:p>
          <w:p w14:paraId="18BF7883">
            <w:pPr>
              <w:bidi w:val="0"/>
              <w:ind w:firstLine="420" w:firstLineChars="200"/>
              <w:rPr>
                <w:rFonts w:hint="eastAsia" w:ascii="仿宋" w:hAnsi="仿宋" w:eastAsia="仿宋" w:cs="仿宋"/>
                <w:sz w:val="21"/>
                <w:szCs w:val="21"/>
                <w:highlight w:val="none"/>
              </w:rPr>
            </w:pPr>
            <w:r>
              <w:rPr>
                <w:rFonts w:hint="eastAsia" w:cs="仿宋"/>
                <w:sz w:val="21"/>
                <w:szCs w:val="21"/>
                <w:highlight w:val="none"/>
                <w:u w:val="single"/>
                <w:lang w:eastAsia="zh-CN"/>
              </w:rPr>
              <w:t>2025年丰满区集中供养特困人员购买社会服务项目</w:t>
            </w:r>
            <w:r>
              <w:rPr>
                <w:rFonts w:hint="eastAsia" w:ascii="仿宋" w:hAnsi="仿宋" w:eastAsia="仿宋" w:cs="仿宋"/>
                <w:sz w:val="21"/>
                <w:szCs w:val="21"/>
                <w:highlight w:val="none"/>
              </w:rPr>
              <w:t>的潜在</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应</w:t>
            </w:r>
            <w:r>
              <w:rPr>
                <w:rFonts w:hint="eastAsia" w:ascii="仿宋" w:hAnsi="仿宋" w:eastAsia="仿宋" w:cs="仿宋"/>
                <w:sz w:val="21"/>
                <w:szCs w:val="21"/>
                <w:highlight w:val="none"/>
                <w:lang w:val="en-US" w:eastAsia="zh-CN"/>
              </w:rPr>
              <w:t>在</w:t>
            </w:r>
            <w:r>
              <w:rPr>
                <w:rFonts w:hint="eastAsia" w:ascii="仿宋" w:hAnsi="仿宋" w:eastAsia="仿宋" w:cs="仿宋"/>
                <w:sz w:val="21"/>
                <w:szCs w:val="21"/>
                <w:highlight w:val="none"/>
              </w:rPr>
              <w:t>政采云平台（http：//www.zcygov.cn）</w:t>
            </w:r>
            <w:r>
              <w:rPr>
                <w:rFonts w:hint="eastAsia" w:ascii="仿宋" w:hAnsi="仿宋" w:eastAsia="仿宋" w:cs="仿宋"/>
                <w:sz w:val="21"/>
                <w:szCs w:val="21"/>
                <w:highlight w:val="none"/>
                <w:lang w:val="en-US" w:eastAsia="zh-CN"/>
              </w:rPr>
              <w:t>线上</w:t>
            </w:r>
            <w:r>
              <w:rPr>
                <w:rFonts w:hint="eastAsia" w:ascii="仿宋" w:hAnsi="仿宋" w:eastAsia="仿宋" w:cs="仿宋"/>
                <w:sz w:val="21"/>
                <w:szCs w:val="21"/>
                <w:highlight w:val="none"/>
              </w:rPr>
              <w:t>获取</w:t>
            </w:r>
            <w:r>
              <w:rPr>
                <w:rFonts w:hint="eastAsia" w:ascii="仿宋" w:hAnsi="仿宋" w:eastAsia="仿宋" w:cs="仿宋"/>
                <w:sz w:val="21"/>
                <w:szCs w:val="21"/>
                <w:highlight w:val="none"/>
                <w:lang w:val="en-US" w:eastAsia="zh-CN"/>
              </w:rPr>
              <w:t>招标文件</w:t>
            </w:r>
            <w:r>
              <w:rPr>
                <w:rFonts w:hint="eastAsia" w:ascii="仿宋" w:hAnsi="仿宋" w:eastAsia="仿宋" w:cs="仿宋"/>
                <w:sz w:val="21"/>
                <w:szCs w:val="21"/>
                <w:highlight w:val="none"/>
              </w:rPr>
              <w:t>，并于</w:t>
            </w:r>
            <w:r>
              <w:rPr>
                <w:rFonts w:hint="eastAsia" w:cs="仿宋"/>
                <w:sz w:val="21"/>
                <w:szCs w:val="21"/>
                <w:highlight w:val="none"/>
                <w:u w:val="single"/>
                <w:lang w:eastAsia="zh-CN"/>
              </w:rPr>
              <w:t>2025年07月31日09时30分</w:t>
            </w:r>
            <w:r>
              <w:rPr>
                <w:rFonts w:hint="eastAsia" w:ascii="仿宋" w:hAnsi="仿宋" w:eastAsia="仿宋" w:cs="仿宋"/>
                <w:sz w:val="21"/>
                <w:szCs w:val="21"/>
                <w:highlight w:val="none"/>
              </w:rPr>
              <w:t>（北京时间）前提交响应文件。</w:t>
            </w:r>
          </w:p>
        </w:tc>
      </w:tr>
    </w:tbl>
    <w:p w14:paraId="756DF224">
      <w:pPr>
        <w:bidi w:val="0"/>
        <w:outlineLvl w:val="1"/>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一、项目基本情况</w:t>
      </w:r>
    </w:p>
    <w:p w14:paraId="6BE99DCE">
      <w:pPr>
        <w:bidi w:val="0"/>
        <w:ind w:firstLine="420" w:firstLineChars="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项目编号：</w:t>
      </w:r>
      <w:r>
        <w:rPr>
          <w:rFonts w:hint="eastAsia" w:cs="仿宋"/>
          <w:sz w:val="21"/>
          <w:szCs w:val="21"/>
          <w:highlight w:val="none"/>
          <w:lang w:eastAsia="zh-CN"/>
        </w:rPr>
        <w:t>采购计划-[2025]-00048号-027</w:t>
      </w:r>
    </w:p>
    <w:p w14:paraId="3ECA25F0">
      <w:pPr>
        <w:bidi w:val="0"/>
        <w:ind w:firstLine="420" w:firstLineChars="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项目名称：</w:t>
      </w:r>
      <w:r>
        <w:rPr>
          <w:rFonts w:hint="eastAsia" w:cs="仿宋"/>
          <w:sz w:val="21"/>
          <w:szCs w:val="21"/>
          <w:highlight w:val="none"/>
          <w:lang w:eastAsia="zh-CN"/>
        </w:rPr>
        <w:t>2025年丰满区集中供养特困人员购买社会服务项目</w:t>
      </w:r>
    </w:p>
    <w:p w14:paraId="65178B76">
      <w:pPr>
        <w:bidi w:val="0"/>
        <w:ind w:firstLine="420" w:firstLineChars="0"/>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rPr>
        <w:t>预算金额：</w:t>
      </w:r>
      <w:r>
        <w:rPr>
          <w:rFonts w:hint="eastAsia" w:cs="仿宋"/>
          <w:sz w:val="21"/>
          <w:szCs w:val="21"/>
          <w:highlight w:val="none"/>
          <w:lang w:val="en-US" w:eastAsia="zh-CN"/>
        </w:rPr>
        <w:t>203.70万元</w:t>
      </w:r>
    </w:p>
    <w:p w14:paraId="395172D6">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最高限价（如有）：</w:t>
      </w:r>
      <w:r>
        <w:rPr>
          <w:rFonts w:hint="eastAsia" w:cs="仿宋"/>
          <w:sz w:val="21"/>
          <w:szCs w:val="21"/>
          <w:highlight w:val="none"/>
          <w:lang w:eastAsia="zh-CN"/>
        </w:rPr>
        <w:t>203.7</w:t>
      </w:r>
      <w:r>
        <w:rPr>
          <w:rFonts w:hint="eastAsia" w:cs="仿宋"/>
          <w:sz w:val="21"/>
          <w:szCs w:val="21"/>
          <w:highlight w:val="none"/>
          <w:lang w:val="en-US" w:eastAsia="zh-CN"/>
        </w:rPr>
        <w:t>0</w:t>
      </w:r>
      <w:r>
        <w:rPr>
          <w:rFonts w:hint="eastAsia" w:ascii="仿宋" w:hAnsi="仿宋" w:eastAsia="仿宋" w:cs="仿宋"/>
          <w:sz w:val="21"/>
          <w:szCs w:val="21"/>
          <w:highlight w:val="none"/>
        </w:rPr>
        <w:t>万元</w:t>
      </w:r>
    </w:p>
    <w:p w14:paraId="29D57A22">
      <w:pPr>
        <w:bidi w:val="0"/>
        <w:ind w:firstLine="420" w:firstLineChars="0"/>
        <w:rPr>
          <w:rFonts w:hint="eastAsia" w:cs="仿宋"/>
          <w:sz w:val="21"/>
          <w:szCs w:val="21"/>
          <w:highlight w:val="none"/>
          <w:lang w:val="en-US" w:eastAsia="zh-CN"/>
        </w:rPr>
      </w:pPr>
      <w:r>
        <w:rPr>
          <w:rFonts w:hint="eastAsia" w:ascii="仿宋" w:hAnsi="仿宋" w:eastAsia="仿宋" w:cs="仿宋"/>
          <w:sz w:val="21"/>
          <w:szCs w:val="21"/>
          <w:highlight w:val="none"/>
        </w:rPr>
        <w:t>采购需求：</w:t>
      </w:r>
      <w:r>
        <w:rPr>
          <w:rFonts w:hint="eastAsia" w:cs="仿宋"/>
          <w:sz w:val="21"/>
          <w:szCs w:val="21"/>
          <w:highlight w:val="none"/>
          <w:lang w:eastAsia="zh-CN"/>
        </w:rPr>
        <w:t>集中供养特困人员购买社会服务，</w:t>
      </w:r>
      <w:r>
        <w:rPr>
          <w:rFonts w:hint="eastAsia" w:cs="仿宋"/>
          <w:sz w:val="21"/>
          <w:szCs w:val="21"/>
          <w:highlight w:val="none"/>
          <w:lang w:val="en-US" w:eastAsia="zh-CN"/>
        </w:rPr>
        <w:t>详见招标文件</w:t>
      </w:r>
    </w:p>
    <w:p w14:paraId="16728F5B">
      <w:pPr>
        <w:bidi w:val="0"/>
        <w:ind w:firstLine="420" w:firstLineChars="0"/>
        <w:rPr>
          <w:rFonts w:hint="default" w:cs="仿宋"/>
          <w:sz w:val="21"/>
          <w:szCs w:val="21"/>
          <w:highlight w:val="none"/>
          <w:lang w:val="en-US" w:eastAsia="zh-CN"/>
        </w:rPr>
      </w:pPr>
      <w:r>
        <w:rPr>
          <w:rFonts w:hint="eastAsia" w:ascii="仿宋" w:hAnsi="仿宋" w:eastAsia="仿宋" w:cs="仿宋"/>
          <w:sz w:val="21"/>
          <w:szCs w:val="21"/>
          <w:highlight w:val="none"/>
        </w:rPr>
        <w:t>采购需求：</w:t>
      </w:r>
      <w:r>
        <w:rPr>
          <w:rFonts w:hint="eastAsia" w:cs="仿宋"/>
          <w:sz w:val="21"/>
          <w:szCs w:val="21"/>
          <w:highlight w:val="none"/>
          <w:lang w:val="en-US" w:eastAsia="zh-CN"/>
        </w:rPr>
        <w:t>符合国家、行业现行相关标准及采购人合理要求的合格服务</w:t>
      </w:r>
    </w:p>
    <w:p w14:paraId="19A7AF52">
      <w:pPr>
        <w:bidi w:val="0"/>
        <w:ind w:firstLine="420" w:firstLineChars="0"/>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rPr>
        <w:t>合同履行期限：</w:t>
      </w:r>
      <w:r>
        <w:rPr>
          <w:rFonts w:hint="eastAsia" w:cs="仿宋"/>
          <w:sz w:val="21"/>
          <w:szCs w:val="21"/>
          <w:highlight w:val="none"/>
          <w:lang w:val="en-US" w:eastAsia="zh-CN"/>
        </w:rPr>
        <w:t>合同签订后至2026年7月6日，具体以实际合同签订为准</w:t>
      </w:r>
    </w:p>
    <w:p w14:paraId="72914193">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本项目</w:t>
      </w:r>
      <w:r>
        <w:rPr>
          <w:rFonts w:hint="eastAsia" w:cs="仿宋"/>
          <w:sz w:val="21"/>
          <w:szCs w:val="21"/>
          <w:highlight w:val="none"/>
          <w:lang w:val="en-US" w:eastAsia="zh-CN"/>
        </w:rPr>
        <w:t>不</w:t>
      </w:r>
      <w:r>
        <w:rPr>
          <w:rFonts w:hint="eastAsia" w:ascii="仿宋" w:hAnsi="仿宋" w:eastAsia="仿宋" w:cs="仿宋"/>
          <w:sz w:val="21"/>
          <w:szCs w:val="21"/>
          <w:highlight w:val="none"/>
        </w:rPr>
        <w:t>接受联合体投标。</w:t>
      </w:r>
    </w:p>
    <w:p w14:paraId="651851A5">
      <w:pPr>
        <w:bidi w:val="0"/>
        <w:outlineLvl w:val="1"/>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二、申请人资格要求</w:t>
      </w:r>
    </w:p>
    <w:p w14:paraId="1E6818FB">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1、满足《中华人民共和国政府采购法》第二十二条规定：</w:t>
      </w:r>
    </w:p>
    <w:p w14:paraId="462A747C">
      <w:pPr>
        <w:bidi w:val="0"/>
        <w:ind w:left="420" w:leftChars="0"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(1)具有独立承担民事责任的能力；</w:t>
      </w:r>
    </w:p>
    <w:p w14:paraId="7BB3A89E">
      <w:pPr>
        <w:bidi w:val="0"/>
        <w:ind w:left="420" w:leftChars="0"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(2)具有良好的商业信誉和健全的财务会计制度；</w:t>
      </w:r>
    </w:p>
    <w:p w14:paraId="079B22A4">
      <w:pPr>
        <w:bidi w:val="0"/>
        <w:ind w:left="420" w:leftChars="0"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(3)具有履行合同所必需的设备和专业技术能力；</w:t>
      </w:r>
    </w:p>
    <w:p w14:paraId="3581CF84">
      <w:pPr>
        <w:bidi w:val="0"/>
        <w:ind w:left="420" w:leftChars="0"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(4)有依法缴纳税收和社会保障资金的良好记录；</w:t>
      </w:r>
    </w:p>
    <w:p w14:paraId="691FE54D">
      <w:pPr>
        <w:bidi w:val="0"/>
        <w:ind w:left="420" w:leftChars="0"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(5)参加政府采购活动前三年内，在经营活动中没有重大违法记录；</w:t>
      </w:r>
    </w:p>
    <w:p w14:paraId="40ADD110">
      <w:pPr>
        <w:bidi w:val="0"/>
        <w:ind w:left="420" w:leftChars="0"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(6)法律、行政法规规定的其他条件。</w:t>
      </w:r>
    </w:p>
    <w:p w14:paraId="3E3B964E">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2、落实政府采购政策需满足的资格要求：</w:t>
      </w:r>
    </w:p>
    <w:p w14:paraId="20E15887">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（1）本项目专门面向中小企业采购；</w:t>
      </w:r>
    </w:p>
    <w:p w14:paraId="5E3A90AB">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（2）《政府采购促进中小企业发展管理办法》（财库[2020]46号）；</w:t>
      </w:r>
    </w:p>
    <w:p w14:paraId="37FBE087">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（3）《关于政府采购支持监狱企业发展有关问题的通知》（财库〔2014〕68号）</w:t>
      </w:r>
    </w:p>
    <w:p w14:paraId="43C515BE">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（4）《关于促进残疾人就业政府采购政策的通知》（财库〔2017〕141号）</w:t>
      </w:r>
    </w:p>
    <w:p w14:paraId="2944CBB3">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（5）《关于环境标志产品政府采购实施的意见》（财库〔2006〕90号）</w:t>
      </w:r>
    </w:p>
    <w:p w14:paraId="21D281D3">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（6）《节能产品政府采购实施意见》的通知（财库〔2004〕185号）</w:t>
      </w:r>
    </w:p>
    <w:p w14:paraId="1422F4B4">
      <w:pPr>
        <w:bidi w:val="0"/>
        <w:ind w:left="420" w:leftChars="0"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（7）《关于调整优化节能产品、环境标志产品政府采购执行机制的通知》（财库〔2019〕9号）等。</w:t>
      </w:r>
    </w:p>
    <w:p w14:paraId="1CD403A9">
      <w:pPr>
        <w:bidi w:val="0"/>
        <w:rPr>
          <w:rFonts w:hint="eastAsia" w:ascii="仿宋" w:hAnsi="仿宋" w:eastAsia="仿宋" w:cs="仿宋"/>
          <w:sz w:val="21"/>
          <w:szCs w:val="21"/>
          <w:highlight w:val="none"/>
        </w:rPr>
      </w:pPr>
      <w:r>
        <w:rPr>
          <w:rFonts w:hint="eastAsia" w:ascii="仿宋" w:hAnsi="仿宋" w:eastAsia="仿宋" w:cs="仿宋"/>
          <w:sz w:val="21"/>
          <w:szCs w:val="21"/>
          <w:highlight w:val="none"/>
        </w:rPr>
        <w:t>3、本项目的特定资格要求：</w:t>
      </w:r>
    </w:p>
    <w:p w14:paraId="6B91323F">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须是在中国境内注册具有独立承担民事责任能力的独立法人或其他组织形式，具备有效的营业执照，</w:t>
      </w:r>
      <w:r>
        <w:rPr>
          <w:rFonts w:hint="eastAsia" w:ascii="仿宋" w:hAnsi="仿宋" w:eastAsia="仿宋" w:cs="仿宋"/>
          <w:sz w:val="21"/>
          <w:szCs w:val="21"/>
          <w:highlight w:val="none"/>
          <w:lang w:val="en-US" w:eastAsia="zh-CN"/>
        </w:rPr>
        <w:t>符合《中华人民共和国政府采购法》第二十二条，并在人员、设备、资金等方面具有相应的能力</w:t>
      </w:r>
      <w:r>
        <w:rPr>
          <w:rFonts w:hint="eastAsia" w:ascii="仿宋" w:hAnsi="仿宋" w:eastAsia="仿宋" w:cs="仿宋"/>
          <w:sz w:val="21"/>
          <w:szCs w:val="21"/>
          <w:highlight w:val="none"/>
        </w:rPr>
        <w:t>；</w:t>
      </w:r>
    </w:p>
    <w:p w14:paraId="5653FF2F">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cs="仿宋"/>
          <w:sz w:val="21"/>
          <w:szCs w:val="21"/>
          <w:highlight w:val="none"/>
          <w:lang w:val="en-US" w:eastAsia="zh-CN"/>
        </w:rPr>
        <w:t>2</w:t>
      </w:r>
      <w:r>
        <w:rPr>
          <w:rFonts w:hint="eastAsia" w:ascii="仿宋" w:hAnsi="仿宋" w:eastAsia="仿宋" w:cs="仿宋"/>
          <w:sz w:val="21"/>
          <w:szCs w:val="21"/>
          <w:highlight w:val="none"/>
        </w:rPr>
        <w:t>）</w:t>
      </w:r>
      <w:r>
        <w:rPr>
          <w:rFonts w:hint="eastAsia" w:cs="仿宋"/>
          <w:sz w:val="21"/>
          <w:szCs w:val="21"/>
          <w:highlight w:val="none"/>
          <w:lang w:val="en-US" w:eastAsia="zh-CN"/>
        </w:rPr>
        <w:t xml:space="preserve"> </w:t>
      </w:r>
      <w:r>
        <w:rPr>
          <w:rFonts w:hint="eastAsia" w:ascii="仿宋" w:hAnsi="仿宋" w:eastAsia="仿宋" w:cs="仿宋"/>
          <w:sz w:val="21"/>
          <w:szCs w:val="21"/>
          <w:highlight w:val="none"/>
        </w:rPr>
        <w:t>财务要求：应出具近三年（</w:t>
      </w:r>
      <w:r>
        <w:rPr>
          <w:rFonts w:hint="eastAsia" w:cs="仿宋"/>
          <w:sz w:val="21"/>
          <w:szCs w:val="21"/>
          <w:highlight w:val="none"/>
          <w:lang w:eastAsia="zh-CN"/>
        </w:rPr>
        <w:t>2022年至2024年</w:t>
      </w:r>
      <w:r>
        <w:rPr>
          <w:rFonts w:hint="eastAsia" w:ascii="仿宋" w:hAnsi="仿宋" w:eastAsia="仿宋" w:cs="仿宋"/>
          <w:sz w:val="21"/>
          <w:szCs w:val="21"/>
          <w:highlight w:val="none"/>
        </w:rPr>
        <w:t>）经会计师事务所审计的财务审计报告</w:t>
      </w:r>
      <w:r>
        <w:rPr>
          <w:rFonts w:hint="eastAsia" w:ascii="仿宋" w:hAnsi="仿宋" w:eastAsia="仿宋" w:cs="仿宋"/>
          <w:sz w:val="21"/>
          <w:szCs w:val="21"/>
          <w:highlight w:val="none"/>
          <w:lang w:val="en-US" w:eastAsia="zh-CN"/>
        </w:rPr>
        <w:t>或财务报表</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的成立时间少于规定年份的，</w:t>
      </w:r>
      <w:r>
        <w:rPr>
          <w:rFonts w:hint="eastAsia" w:cs="仿宋"/>
          <w:sz w:val="21"/>
          <w:szCs w:val="21"/>
          <w:highlight w:val="none"/>
          <w:lang w:eastAsia="zh-CN"/>
        </w:rPr>
        <w:t>应提供成立以来至2024年的财务审计报告或财务报表</w:t>
      </w:r>
      <w:r>
        <w:rPr>
          <w:rFonts w:hint="eastAsia" w:ascii="仿宋" w:hAnsi="仿宋" w:eastAsia="仿宋" w:cs="仿宋"/>
          <w:sz w:val="21"/>
          <w:szCs w:val="21"/>
          <w:highlight w:val="none"/>
        </w:rPr>
        <w:t>；</w:t>
      </w:r>
      <w:r>
        <w:rPr>
          <w:rFonts w:hint="eastAsia" w:cs="仿宋"/>
          <w:sz w:val="21"/>
          <w:szCs w:val="21"/>
          <w:highlight w:val="none"/>
          <w:lang w:eastAsia="zh-CN"/>
        </w:rPr>
        <w:t>2025年以后新成立企业需提供近三个月内银行出具的公司资信证明）</w:t>
      </w:r>
      <w:r>
        <w:rPr>
          <w:rFonts w:hint="eastAsia" w:ascii="仿宋" w:hAnsi="仿宋" w:eastAsia="仿宋" w:cs="仿宋"/>
          <w:sz w:val="21"/>
          <w:szCs w:val="21"/>
          <w:highlight w:val="none"/>
        </w:rPr>
        <w:t>；</w:t>
      </w:r>
    </w:p>
    <w:p w14:paraId="4CEFD55D">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cs="仿宋"/>
          <w:sz w:val="21"/>
          <w:szCs w:val="21"/>
          <w:highlight w:val="none"/>
          <w:lang w:val="en-US" w:eastAsia="zh-CN"/>
        </w:rPr>
        <w:t>3</w:t>
      </w:r>
      <w:r>
        <w:rPr>
          <w:rFonts w:hint="eastAsia" w:ascii="仿宋" w:hAnsi="仿宋" w:eastAsia="仿宋" w:cs="仿宋"/>
          <w:sz w:val="21"/>
          <w:szCs w:val="21"/>
          <w:highlight w:val="none"/>
        </w:rPr>
        <w:t>)供应商应提供近六个月中至少一个月的社会缴纳社会保险的凭据（专用收据或社会保险缴纳清单）和良好缴纳税收的相关凭据（以税务机关提供的纳税凭据或银行入账单为准），并加盖本单位公章。依法免税或不需要缴纳社会保障资金的供应商，应提供相应文件证明其依法免税或不需要缴纳社会保障资金；</w:t>
      </w:r>
    </w:p>
    <w:p w14:paraId="0EC08168">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cs="仿宋"/>
          <w:sz w:val="21"/>
          <w:szCs w:val="21"/>
          <w:highlight w:val="none"/>
          <w:lang w:val="en-US" w:eastAsia="zh-CN"/>
        </w:rPr>
        <w:t>4</w:t>
      </w:r>
      <w:r>
        <w:rPr>
          <w:rFonts w:hint="eastAsia" w:ascii="仿宋" w:hAnsi="仿宋" w:eastAsia="仿宋" w:cs="仿宋"/>
          <w:sz w:val="21"/>
          <w:szCs w:val="21"/>
          <w:highlight w:val="none"/>
        </w:rPr>
        <w:t>)拒绝被列入政府取消投标资格记录期间的企业或个人投标；</w:t>
      </w:r>
    </w:p>
    <w:p w14:paraId="28E6105A">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cs="仿宋"/>
          <w:sz w:val="21"/>
          <w:szCs w:val="21"/>
          <w:highlight w:val="none"/>
          <w:lang w:val="en-US" w:eastAsia="zh-CN"/>
        </w:rPr>
        <w:t>5</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未被列入“失信被执行人、重大税收违法案件当事人”的记录名单，通过“信用中国”网站（www.creditchina.gov.cn)查询；</w:t>
      </w:r>
    </w:p>
    <w:p w14:paraId="44C5E788">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cs="仿宋"/>
          <w:sz w:val="21"/>
          <w:szCs w:val="21"/>
          <w:highlight w:val="none"/>
          <w:lang w:val="en-US" w:eastAsia="zh-CN"/>
        </w:rPr>
        <w:t>6</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未被列入“政府采购严重违法失信行为记录名单”，通过“中国政府采购网”（www.ccgp.gov.cn）查询；</w:t>
      </w:r>
    </w:p>
    <w:p w14:paraId="3ACB524D">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cs="仿宋"/>
          <w:sz w:val="21"/>
          <w:szCs w:val="21"/>
          <w:highlight w:val="none"/>
          <w:lang w:val="en-US" w:eastAsia="zh-CN"/>
        </w:rPr>
        <w:t>7</w:t>
      </w:r>
      <w:r>
        <w:rPr>
          <w:rFonts w:hint="eastAsia" w:ascii="仿宋" w:hAnsi="仿宋" w:eastAsia="仿宋" w:cs="仿宋"/>
          <w:sz w:val="21"/>
          <w:szCs w:val="21"/>
          <w:highlight w:val="none"/>
        </w:rPr>
        <w:t>)投标单位和个人（指法定代表人）未在“中国裁判文书网”（wenshu.court.gov.cn）上有行贿犯罪行为；</w:t>
      </w:r>
    </w:p>
    <w:p w14:paraId="27ED15AE">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cs="仿宋"/>
          <w:sz w:val="21"/>
          <w:szCs w:val="21"/>
          <w:highlight w:val="none"/>
          <w:lang w:val="en-US" w:eastAsia="zh-CN"/>
        </w:rPr>
        <w:t>8</w:t>
      </w:r>
      <w:r>
        <w:rPr>
          <w:rFonts w:hint="eastAsia" w:ascii="仿宋" w:hAnsi="仿宋" w:eastAsia="仿宋" w:cs="仿宋"/>
          <w:sz w:val="21"/>
          <w:szCs w:val="21"/>
          <w:highlight w:val="none"/>
        </w:rPr>
        <w:t>)单位负责人为同一人或者存在直接控股、管理关系的不同</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，不得参加同一合同项目下的政府采购活动，否则，相关投标均无效。</w:t>
      </w:r>
    </w:p>
    <w:p w14:paraId="6AE97A71">
      <w:pPr>
        <w:bidi w:val="0"/>
        <w:outlineLvl w:val="1"/>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rPr>
        <w:t>三、获取</w:t>
      </w:r>
      <w:r>
        <w:rPr>
          <w:rFonts w:hint="eastAsia" w:ascii="仿宋" w:hAnsi="仿宋" w:eastAsia="仿宋" w:cs="仿宋"/>
          <w:b/>
          <w:bCs/>
          <w:sz w:val="21"/>
          <w:szCs w:val="21"/>
          <w:highlight w:val="none"/>
          <w:lang w:eastAsia="zh-CN"/>
        </w:rPr>
        <w:t>招标文件</w:t>
      </w:r>
    </w:p>
    <w:p w14:paraId="674E5EE7">
      <w:pPr>
        <w:bidi w:val="0"/>
        <w:ind w:firstLine="420" w:firstLineChars="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1、时间：</w:t>
      </w:r>
      <w:r>
        <w:rPr>
          <w:rFonts w:hint="eastAsia" w:ascii="仿宋" w:hAnsi="仿宋" w:eastAsia="仿宋" w:cs="仿宋"/>
          <w:sz w:val="21"/>
          <w:szCs w:val="21"/>
          <w:highlight w:val="none"/>
          <w:lang w:val="en-US" w:eastAsia="zh-CN"/>
        </w:rPr>
        <w:t>2025</w:t>
      </w:r>
      <w:r>
        <w:rPr>
          <w:rFonts w:hint="eastAsia" w:ascii="仿宋" w:hAnsi="仿宋" w:eastAsia="仿宋" w:cs="仿宋"/>
          <w:sz w:val="21"/>
          <w:szCs w:val="21"/>
          <w:highlight w:val="none"/>
          <w:lang w:eastAsia="zh-CN"/>
        </w:rPr>
        <w:t>年</w:t>
      </w:r>
      <w:r>
        <w:rPr>
          <w:rFonts w:hint="eastAsia" w:cs="仿宋"/>
          <w:sz w:val="21"/>
          <w:szCs w:val="21"/>
          <w:highlight w:val="none"/>
          <w:lang w:val="en-US" w:eastAsia="zh-CN"/>
        </w:rPr>
        <w:t>07</w:t>
      </w:r>
      <w:r>
        <w:rPr>
          <w:rFonts w:hint="eastAsia" w:ascii="仿宋" w:hAnsi="仿宋" w:eastAsia="仿宋" w:cs="仿宋"/>
          <w:sz w:val="21"/>
          <w:szCs w:val="21"/>
          <w:highlight w:val="none"/>
          <w:lang w:eastAsia="zh-CN"/>
        </w:rPr>
        <w:t>月</w:t>
      </w:r>
      <w:r>
        <w:rPr>
          <w:rFonts w:hint="eastAsia" w:cs="仿宋"/>
          <w:sz w:val="21"/>
          <w:szCs w:val="21"/>
          <w:highlight w:val="none"/>
          <w:lang w:val="en-US" w:eastAsia="zh-CN"/>
        </w:rPr>
        <w:t>10</w:t>
      </w:r>
      <w:r>
        <w:rPr>
          <w:rFonts w:hint="eastAsia" w:ascii="仿宋" w:hAnsi="仿宋" w:eastAsia="仿宋" w:cs="仿宋"/>
          <w:sz w:val="21"/>
          <w:szCs w:val="21"/>
          <w:highlight w:val="none"/>
          <w:lang w:eastAsia="zh-CN"/>
        </w:rPr>
        <w:t>日</w:t>
      </w:r>
      <w:r>
        <w:rPr>
          <w:rFonts w:hint="eastAsia" w:ascii="仿宋" w:hAnsi="仿宋" w:eastAsia="仿宋" w:cs="仿宋"/>
          <w:sz w:val="21"/>
          <w:szCs w:val="21"/>
          <w:highlight w:val="none"/>
        </w:rPr>
        <w:t>至</w:t>
      </w:r>
      <w:r>
        <w:rPr>
          <w:rFonts w:hint="eastAsia" w:ascii="仿宋" w:hAnsi="仿宋" w:eastAsia="仿宋" w:cs="仿宋"/>
          <w:sz w:val="21"/>
          <w:szCs w:val="21"/>
          <w:highlight w:val="none"/>
          <w:lang w:eastAsia="zh-CN"/>
        </w:rPr>
        <w:t>202</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lang w:eastAsia="zh-CN"/>
        </w:rPr>
        <w:t>年</w:t>
      </w:r>
      <w:r>
        <w:rPr>
          <w:rFonts w:hint="eastAsia" w:cs="仿宋"/>
          <w:sz w:val="21"/>
          <w:szCs w:val="21"/>
          <w:highlight w:val="none"/>
          <w:lang w:val="en-US" w:eastAsia="zh-CN"/>
        </w:rPr>
        <w:t>07</w:t>
      </w:r>
      <w:r>
        <w:rPr>
          <w:rFonts w:hint="eastAsia" w:ascii="仿宋" w:hAnsi="仿宋" w:eastAsia="仿宋" w:cs="仿宋"/>
          <w:sz w:val="21"/>
          <w:szCs w:val="21"/>
          <w:highlight w:val="none"/>
          <w:lang w:eastAsia="zh-CN"/>
        </w:rPr>
        <w:t>月</w:t>
      </w:r>
      <w:r>
        <w:rPr>
          <w:rFonts w:hint="eastAsia" w:cs="仿宋"/>
          <w:sz w:val="21"/>
          <w:szCs w:val="21"/>
          <w:highlight w:val="none"/>
          <w:lang w:val="en-US" w:eastAsia="zh-CN"/>
        </w:rPr>
        <w:t>17</w:t>
      </w:r>
      <w:r>
        <w:rPr>
          <w:rFonts w:hint="eastAsia" w:ascii="仿宋" w:hAnsi="仿宋" w:eastAsia="仿宋" w:cs="仿宋"/>
          <w:sz w:val="21"/>
          <w:szCs w:val="21"/>
          <w:highlight w:val="none"/>
          <w:lang w:eastAsia="zh-CN"/>
        </w:rPr>
        <w:t>日</w:t>
      </w:r>
      <w:r>
        <w:rPr>
          <w:rFonts w:hint="eastAsia" w:ascii="仿宋" w:hAnsi="仿宋" w:eastAsia="仿宋" w:cs="仿宋"/>
          <w:sz w:val="21"/>
          <w:szCs w:val="21"/>
          <w:highlight w:val="none"/>
        </w:rPr>
        <w:t>16:00（北京时间，法定节假日除外）</w:t>
      </w:r>
    </w:p>
    <w:p w14:paraId="685376BE">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2、地点：政府采购云平台https://www.zcygov.cn/</w:t>
      </w:r>
    </w:p>
    <w:p w14:paraId="3646BB62">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3、方式：供应商登录政府采购云平台https://www.zcygov.cn/在线申请获取采购文件（进入“项目采购”应用，在获取采购文件菜单中选择项目，申请获取采购文件）</w:t>
      </w:r>
    </w:p>
    <w:p w14:paraId="23828E63">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4、售价：0元</w:t>
      </w:r>
    </w:p>
    <w:p w14:paraId="2D356E88">
      <w:pPr>
        <w:bidi w:val="0"/>
        <w:outlineLvl w:val="1"/>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四、提交响应文件截止时间、开标时间和地点</w:t>
      </w:r>
    </w:p>
    <w:p w14:paraId="05E41854">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1、截止时间（即开标时间）：</w:t>
      </w:r>
      <w:r>
        <w:rPr>
          <w:rFonts w:hint="eastAsia" w:cs="仿宋"/>
          <w:sz w:val="21"/>
          <w:szCs w:val="21"/>
          <w:highlight w:val="none"/>
          <w:lang w:eastAsia="zh-CN"/>
        </w:rPr>
        <w:t>2025年07月31日09时30分</w:t>
      </w:r>
      <w:r>
        <w:rPr>
          <w:rFonts w:hint="eastAsia" w:ascii="仿宋" w:hAnsi="仿宋" w:eastAsia="仿宋" w:cs="仿宋"/>
          <w:sz w:val="21"/>
          <w:szCs w:val="21"/>
          <w:highlight w:val="none"/>
        </w:rPr>
        <w:t>（北京时间）。</w:t>
      </w:r>
    </w:p>
    <w:p w14:paraId="7487713A">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2、地点：在线开标</w:t>
      </w:r>
    </w:p>
    <w:p w14:paraId="02EC4EE3">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3、开标方式：本项目执行电子化招投标（供应商无需到达现场），供应商须通过政府采购云平台（网址：http:// www.zcygov.cn）递交电子版投标文件</w:t>
      </w:r>
    </w:p>
    <w:p w14:paraId="1F031D2E">
      <w:pPr>
        <w:bidi w:val="0"/>
        <w:outlineLvl w:val="1"/>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五、公告期限</w:t>
      </w:r>
    </w:p>
    <w:p w14:paraId="3B4960E3">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自本公告发布之日起5个工作日。</w:t>
      </w:r>
    </w:p>
    <w:p w14:paraId="5F47605D">
      <w:pPr>
        <w:bidi w:val="0"/>
        <w:outlineLvl w:val="1"/>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六、其他补充事宜</w:t>
      </w:r>
    </w:p>
    <w:p w14:paraId="1FF2E383">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1、供应商在政采云平台注册入库成为正式供应商后，在平台上按《政府采购项目电子交易管理操作指南－供应商》进行投标操作。</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须办理数字证书方可参加投标。</w:t>
      </w:r>
    </w:p>
    <w:p w14:paraId="5C6E5E33">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2、收到CA锁以后在“政采云”登录界面，点击CA登录-CA驱动下载－下载并安装政采云投标客户端和CA驱动，账号绑定CA后才能进行投标文件制作。</w:t>
      </w:r>
    </w:p>
    <w:p w14:paraId="227667F3">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3、若对项目采购电子交易系统操作有疑问，可登录“政采云”平台，点击右侧咨询小采，获取采小蜜智能服务管家帮助，或拨打政采云服务热线95763获取帮助。</w:t>
      </w:r>
    </w:p>
    <w:p w14:paraId="05352D41">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4、有效</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不足三家时，招标人另行组织招标。</w:t>
      </w:r>
    </w:p>
    <w:p w14:paraId="29CD1957">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5、本次采购公告在“政采云”平台(http：//www.zcygov.cn)、中国政府采购网、中国采购与招标网上同时发布。</w:t>
      </w:r>
    </w:p>
    <w:p w14:paraId="79997FCD">
      <w:pPr>
        <w:bidi w:val="0"/>
        <w:outlineLvl w:val="1"/>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七、对本次招标提出询问，请按以下方式联系</w:t>
      </w:r>
    </w:p>
    <w:p w14:paraId="7529E726">
      <w:pPr>
        <w:bidi w:val="0"/>
        <w:ind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1、采购人信息</w:t>
      </w:r>
    </w:p>
    <w:p w14:paraId="1187C4BB">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名称：</w:t>
      </w:r>
      <w:r>
        <w:rPr>
          <w:rFonts w:hint="eastAsia" w:cs="仿宋"/>
          <w:sz w:val="21"/>
          <w:szCs w:val="21"/>
          <w:highlight w:val="none"/>
          <w:lang w:val="en-US" w:eastAsia="zh-CN"/>
        </w:rPr>
        <w:t>吉林市丰满区民政局（本级）</w:t>
      </w:r>
    </w:p>
    <w:p w14:paraId="29DFCFC5">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地址：</w:t>
      </w:r>
      <w:r>
        <w:rPr>
          <w:rFonts w:hint="eastAsia" w:cs="仿宋"/>
          <w:sz w:val="21"/>
          <w:szCs w:val="21"/>
          <w:highlight w:val="none"/>
          <w:lang w:val="en-US" w:eastAsia="zh-CN"/>
        </w:rPr>
        <w:t>吉林大街76号</w:t>
      </w:r>
    </w:p>
    <w:p w14:paraId="14D15D38">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联系人：</w:t>
      </w:r>
      <w:r>
        <w:rPr>
          <w:rFonts w:hint="eastAsia" w:cs="仿宋"/>
          <w:sz w:val="21"/>
          <w:szCs w:val="21"/>
          <w:highlight w:val="none"/>
          <w:lang w:val="en-US" w:eastAsia="zh-CN"/>
        </w:rPr>
        <w:t>赵雪</w:t>
      </w:r>
    </w:p>
    <w:p w14:paraId="7E2F0A2A">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联系方式：</w:t>
      </w:r>
      <w:r>
        <w:rPr>
          <w:rFonts w:hint="eastAsia" w:cs="仿宋"/>
          <w:sz w:val="21"/>
          <w:szCs w:val="21"/>
          <w:highlight w:val="none"/>
          <w:lang w:val="en-US" w:eastAsia="zh-CN"/>
        </w:rPr>
        <w:t>0432-64665880</w:t>
      </w:r>
    </w:p>
    <w:p w14:paraId="162BD1E8">
      <w:pPr>
        <w:bidi w:val="0"/>
        <w:ind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2、采购代理机构信息</w:t>
      </w:r>
    </w:p>
    <w:p w14:paraId="0B4E8F71">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名  称：</w:t>
      </w:r>
      <w:r>
        <w:rPr>
          <w:rFonts w:hint="eastAsia" w:cs="仿宋"/>
          <w:sz w:val="21"/>
          <w:szCs w:val="21"/>
          <w:highlight w:val="none"/>
          <w:lang w:val="en-US" w:eastAsia="zh-CN"/>
        </w:rPr>
        <w:t>吉林东亿来项目管理有限公司</w:t>
      </w:r>
    </w:p>
    <w:p w14:paraId="50161DD8">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地  址：</w:t>
      </w:r>
      <w:r>
        <w:rPr>
          <w:rFonts w:hint="eastAsia" w:cs="仿宋"/>
          <w:sz w:val="21"/>
          <w:szCs w:val="21"/>
          <w:highlight w:val="none"/>
          <w:lang w:val="en-US" w:eastAsia="zh-CN"/>
        </w:rPr>
        <w:t>吉林市船营区船营总部大厦2层204室</w:t>
      </w:r>
    </w:p>
    <w:p w14:paraId="6269EB9A">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联 系 人：</w:t>
      </w:r>
      <w:r>
        <w:rPr>
          <w:rFonts w:hint="eastAsia" w:cs="仿宋"/>
          <w:sz w:val="21"/>
          <w:szCs w:val="21"/>
          <w:highlight w:val="none"/>
          <w:lang w:val="en-US" w:eastAsia="zh-CN"/>
        </w:rPr>
        <w:t>王雪</w:t>
      </w:r>
      <w:r>
        <w:rPr>
          <w:rFonts w:hint="eastAsia" w:ascii="仿宋" w:hAnsi="仿宋" w:eastAsia="仿宋" w:cs="仿宋"/>
          <w:sz w:val="21"/>
          <w:szCs w:val="21"/>
          <w:highlight w:val="none"/>
          <w:lang w:val="en-US" w:eastAsia="zh-CN"/>
        </w:rPr>
        <w:t xml:space="preserve"> </w:t>
      </w:r>
    </w:p>
    <w:p w14:paraId="3B734C3B">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联系方式：</w:t>
      </w:r>
      <w:r>
        <w:rPr>
          <w:rFonts w:hint="eastAsia" w:cs="仿宋"/>
          <w:sz w:val="21"/>
          <w:szCs w:val="21"/>
          <w:highlight w:val="none"/>
          <w:lang w:val="en-US" w:eastAsia="zh-CN"/>
        </w:rPr>
        <w:t>13204328111</w:t>
      </w:r>
    </w:p>
    <w:p w14:paraId="6C9817E1">
      <w:pPr>
        <w:bidi w:val="0"/>
        <w:ind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3、项目联系方式</w:t>
      </w:r>
    </w:p>
    <w:p w14:paraId="02A868E5">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项目联系人：</w:t>
      </w:r>
      <w:r>
        <w:rPr>
          <w:rFonts w:hint="eastAsia" w:cs="仿宋"/>
          <w:sz w:val="21"/>
          <w:szCs w:val="21"/>
          <w:highlight w:val="none"/>
          <w:lang w:val="en-US" w:eastAsia="zh-CN"/>
        </w:rPr>
        <w:t>王雪</w:t>
      </w:r>
    </w:p>
    <w:p w14:paraId="48AE39E6">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电   话：</w:t>
      </w:r>
      <w:r>
        <w:rPr>
          <w:rFonts w:hint="eastAsia" w:cs="仿宋"/>
          <w:sz w:val="21"/>
          <w:szCs w:val="21"/>
          <w:highlight w:val="none"/>
          <w:lang w:val="en-US" w:eastAsia="zh-CN"/>
        </w:rPr>
        <w:t>13204328111</w:t>
      </w:r>
    </w:p>
    <w:p w14:paraId="6BE5D251">
      <w:pPr>
        <w:bidi w:val="0"/>
        <w:ind w:firstLine="420" w:firstLineChars="0"/>
        <w:rPr>
          <w:rFonts w:hint="eastAsia" w:ascii="仿宋" w:hAnsi="仿宋" w:eastAsia="仿宋" w:cs="仿宋"/>
          <w:color w:val="auto"/>
          <w:szCs w:val="21"/>
          <w:highlight w:val="none"/>
          <w:lang w:val="en-US" w:eastAsia="zh-CN"/>
        </w:rPr>
      </w:pPr>
      <w:r>
        <w:rPr>
          <w:rFonts w:hint="eastAsia" w:ascii="仿宋" w:hAnsi="仿宋" w:eastAsia="仿宋" w:cs="仿宋"/>
          <w:sz w:val="21"/>
          <w:szCs w:val="21"/>
          <w:highlight w:val="none"/>
          <w:lang w:val="en-US" w:eastAsia="zh-CN"/>
        </w:rPr>
        <w:t>4、监督部门：吉林市</w:t>
      </w:r>
      <w:r>
        <w:rPr>
          <w:rFonts w:hint="eastAsia" w:cs="仿宋"/>
          <w:sz w:val="21"/>
          <w:szCs w:val="21"/>
          <w:highlight w:val="none"/>
          <w:lang w:val="en-US" w:eastAsia="zh-CN"/>
        </w:rPr>
        <w:t>丰满区</w:t>
      </w:r>
      <w:r>
        <w:rPr>
          <w:rFonts w:hint="eastAsia" w:ascii="仿宋" w:hAnsi="仿宋" w:eastAsia="仿宋" w:cs="仿宋"/>
          <w:sz w:val="21"/>
          <w:szCs w:val="21"/>
          <w:highlight w:val="none"/>
          <w:lang w:val="en-US" w:eastAsia="zh-CN"/>
        </w:rPr>
        <w:t>政府采购管理工作办公室</w:t>
      </w:r>
    </w:p>
    <w:p w14:paraId="6F0C2CE6">
      <w:pPr>
        <w:pStyle w:val="2"/>
        <w:bidi w:val="0"/>
        <w:rPr>
          <w:rStyle w:val="37"/>
          <w:rFonts w:hint="eastAsia"/>
          <w:b/>
          <w:bCs/>
          <w:color w:val="auto"/>
          <w:highlight w:val="none"/>
          <w:lang w:val="en-US" w:eastAsia="zh-CN"/>
        </w:rPr>
      </w:pPr>
      <w:r>
        <w:rPr>
          <w:rFonts w:hint="eastAsia" w:ascii="仿宋" w:hAnsi="仿宋" w:eastAsia="仿宋" w:cs="仿宋"/>
          <w:color w:val="auto"/>
          <w:sz w:val="24"/>
          <w:szCs w:val="24"/>
          <w:highlight w:val="none"/>
          <w:shd w:val="clear" w:fill="FFFFFF"/>
          <w:lang w:val="zh-CN" w:eastAsia="zh-CN"/>
        </w:rPr>
        <w:br w:type="page"/>
      </w:r>
      <w:bookmarkStart w:id="20" w:name="_Toc11731"/>
      <w:r>
        <w:rPr>
          <w:rStyle w:val="37"/>
          <w:rFonts w:hint="eastAsia"/>
          <w:b/>
          <w:bCs/>
          <w:color w:val="auto"/>
          <w:highlight w:val="none"/>
          <w:lang w:val="en-US" w:eastAsia="zh-CN"/>
        </w:rPr>
        <w:t>第二章 投标人须知</w:t>
      </w:r>
      <w:bookmarkEnd w:id="20"/>
    </w:p>
    <w:p w14:paraId="50F27079">
      <w:pPr>
        <w:pStyle w:val="3"/>
        <w:numPr>
          <w:ilvl w:val="0"/>
          <w:numId w:val="0"/>
        </w:numPr>
        <w:ind w:leftChars="0"/>
        <w:jc w:val="center"/>
        <w:rPr>
          <w:rFonts w:hint="eastAsia" w:ascii="仿宋" w:hAnsi="仿宋" w:eastAsia="仿宋" w:cs="仿宋"/>
          <w:b/>
          <w:bCs w:val="0"/>
          <w:color w:val="auto"/>
          <w:highlight w:val="none"/>
        </w:rPr>
      </w:pPr>
      <w:bookmarkStart w:id="21" w:name="_Toc52181462"/>
      <w:bookmarkStart w:id="22" w:name="_Toc2590"/>
      <w:r>
        <w:rPr>
          <w:rFonts w:hint="eastAsia" w:ascii="仿宋" w:hAnsi="仿宋" w:eastAsia="仿宋" w:cs="仿宋"/>
          <w:b/>
          <w:bCs w:val="0"/>
          <w:color w:val="auto"/>
          <w:highlight w:val="none"/>
        </w:rPr>
        <w:t>投标人须知前附表</w:t>
      </w:r>
      <w:bookmarkEnd w:id="12"/>
      <w:bookmarkEnd w:id="13"/>
      <w:bookmarkEnd w:id="14"/>
      <w:bookmarkEnd w:id="15"/>
      <w:bookmarkEnd w:id="16"/>
      <w:bookmarkEnd w:id="17"/>
      <w:bookmarkEnd w:id="18"/>
      <w:bookmarkEnd w:id="19"/>
      <w:bookmarkEnd w:id="21"/>
      <w:bookmarkEnd w:id="22"/>
    </w:p>
    <w:tbl>
      <w:tblPr>
        <w:tblStyle w:val="20"/>
        <w:tblW w:w="8325" w:type="dxa"/>
        <w:tblInd w:w="96" w:type="dxa"/>
        <w:tblLayout w:type="fixed"/>
        <w:tblCellMar>
          <w:top w:w="0" w:type="dxa"/>
          <w:left w:w="108" w:type="dxa"/>
          <w:bottom w:w="0" w:type="dxa"/>
          <w:right w:w="108" w:type="dxa"/>
        </w:tblCellMar>
      </w:tblPr>
      <w:tblGrid>
        <w:gridCol w:w="1154"/>
        <w:gridCol w:w="1791"/>
        <w:gridCol w:w="5380"/>
      </w:tblGrid>
      <w:tr w14:paraId="61390069">
        <w:tblPrEx>
          <w:tblCellMar>
            <w:top w:w="0" w:type="dxa"/>
            <w:left w:w="108" w:type="dxa"/>
            <w:bottom w:w="0" w:type="dxa"/>
            <w:right w:w="108" w:type="dxa"/>
          </w:tblCellMar>
        </w:tblPrEx>
        <w:trPr>
          <w:trHeight w:val="453"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24EF8BBE">
            <w:pPr>
              <w:bidi w:val="0"/>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条款号</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7DCDF7C8">
            <w:pPr>
              <w:bidi w:val="0"/>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条  款  名  称</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3F27EC4F">
            <w:pPr>
              <w:bidi w:val="0"/>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编  列  内  容</w:t>
            </w:r>
          </w:p>
        </w:tc>
      </w:tr>
      <w:tr w14:paraId="5BAD50A6">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076B49FF">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63AEB87E">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招标人</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4F75BFE4">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名称：</w:t>
            </w:r>
            <w:r>
              <w:rPr>
                <w:rFonts w:hint="eastAsia" w:cs="仿宋"/>
                <w:color w:val="auto"/>
                <w:sz w:val="21"/>
                <w:szCs w:val="21"/>
                <w:highlight w:val="none"/>
                <w:lang w:val="en-US" w:eastAsia="zh-CN"/>
              </w:rPr>
              <w:t>吉林市丰满区民政局（本级）</w:t>
            </w:r>
          </w:p>
          <w:p w14:paraId="70D96634">
            <w:pPr>
              <w:bidi w:val="0"/>
              <w:spacing w:line="240" w:lineRule="auto"/>
              <w:rPr>
                <w:rFonts w:hint="eastAsia"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地址：</w:t>
            </w:r>
            <w:r>
              <w:rPr>
                <w:rFonts w:hint="eastAsia" w:cs="仿宋"/>
                <w:color w:val="auto"/>
                <w:sz w:val="21"/>
                <w:szCs w:val="21"/>
                <w:highlight w:val="none"/>
                <w:lang w:val="en-US" w:eastAsia="zh-CN"/>
              </w:rPr>
              <w:t>吉林大街76号</w:t>
            </w:r>
          </w:p>
          <w:p w14:paraId="4AD898B3">
            <w:pPr>
              <w:bidi w:val="0"/>
              <w:spacing w:line="240" w:lineRule="auto"/>
              <w:rPr>
                <w:rFonts w:hint="default" w:cs="仿宋"/>
                <w:color w:val="auto"/>
                <w:sz w:val="21"/>
                <w:szCs w:val="21"/>
                <w:highlight w:val="none"/>
                <w:lang w:val="en-US" w:eastAsia="zh-CN"/>
              </w:rPr>
            </w:pPr>
            <w:r>
              <w:rPr>
                <w:rFonts w:hint="eastAsia" w:cs="仿宋"/>
                <w:color w:val="auto"/>
                <w:sz w:val="21"/>
                <w:szCs w:val="21"/>
                <w:highlight w:val="none"/>
                <w:lang w:val="en-US" w:eastAsia="zh-CN"/>
              </w:rPr>
              <w:t>联系人：赵雪</w:t>
            </w:r>
          </w:p>
          <w:p w14:paraId="4F49020F">
            <w:pPr>
              <w:bidi w:val="0"/>
              <w:spacing w:line="240" w:lineRule="auto"/>
              <w:rPr>
                <w:rFonts w:hint="eastAsia"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联系方式：0432-64665880</w:t>
            </w:r>
          </w:p>
        </w:tc>
      </w:tr>
      <w:tr w14:paraId="5B86F4C3">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38D5C376">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1B529139">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招标代理机构</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1AD95D11">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名  称：</w:t>
            </w:r>
            <w:r>
              <w:rPr>
                <w:rFonts w:hint="eastAsia" w:cs="仿宋"/>
                <w:color w:val="auto"/>
                <w:sz w:val="21"/>
                <w:szCs w:val="21"/>
                <w:highlight w:val="none"/>
                <w:lang w:val="en-US" w:eastAsia="zh-CN"/>
              </w:rPr>
              <w:t>吉林东亿来项目管理有限公司</w:t>
            </w:r>
          </w:p>
          <w:p w14:paraId="00FE58AA">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地  址：</w:t>
            </w:r>
            <w:r>
              <w:rPr>
                <w:rFonts w:hint="eastAsia" w:cs="仿宋"/>
                <w:color w:val="auto"/>
                <w:sz w:val="21"/>
                <w:szCs w:val="21"/>
                <w:highlight w:val="none"/>
                <w:lang w:val="en-US" w:eastAsia="zh-CN"/>
              </w:rPr>
              <w:t>吉林市船营区船营总部大厦2层204室</w:t>
            </w:r>
          </w:p>
          <w:p w14:paraId="5943CF6A">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联系人：</w:t>
            </w:r>
            <w:r>
              <w:rPr>
                <w:rFonts w:hint="eastAsia" w:cs="仿宋"/>
                <w:color w:val="auto"/>
                <w:sz w:val="21"/>
                <w:szCs w:val="21"/>
                <w:highlight w:val="none"/>
                <w:lang w:val="en-US" w:eastAsia="zh-CN"/>
              </w:rPr>
              <w:t>王雪</w:t>
            </w:r>
            <w:r>
              <w:rPr>
                <w:rFonts w:hint="eastAsia" w:ascii="仿宋" w:hAnsi="仿宋" w:eastAsia="仿宋" w:cs="仿宋"/>
                <w:color w:val="auto"/>
                <w:sz w:val="21"/>
                <w:szCs w:val="21"/>
                <w:highlight w:val="none"/>
                <w:lang w:val="en-US" w:eastAsia="zh-CN"/>
              </w:rPr>
              <w:t xml:space="preserve"> </w:t>
            </w:r>
          </w:p>
          <w:p w14:paraId="4E25879D">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联系方式：</w:t>
            </w:r>
            <w:r>
              <w:rPr>
                <w:rFonts w:hint="eastAsia" w:cs="仿宋"/>
                <w:color w:val="auto"/>
                <w:sz w:val="21"/>
                <w:szCs w:val="21"/>
                <w:highlight w:val="none"/>
                <w:lang w:val="en-US" w:eastAsia="zh-CN"/>
              </w:rPr>
              <w:t>13204328111</w:t>
            </w:r>
          </w:p>
        </w:tc>
      </w:tr>
      <w:tr w14:paraId="264D7325">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23E9A731">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1.1.4</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74C54882">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0775D804">
            <w:pPr>
              <w:bidi w:val="0"/>
              <w:spacing w:line="240" w:lineRule="auto"/>
              <w:rPr>
                <w:rFonts w:hint="default"/>
                <w:color w:val="auto"/>
                <w:highlight w:val="none"/>
                <w:lang w:val="en-US" w:eastAsia="zh-CN"/>
              </w:rPr>
            </w:pPr>
            <w:r>
              <w:rPr>
                <w:rFonts w:hint="eastAsia" w:cs="仿宋"/>
                <w:color w:val="auto"/>
                <w:sz w:val="21"/>
                <w:szCs w:val="21"/>
                <w:highlight w:val="none"/>
                <w:lang w:val="en-US" w:eastAsia="zh-CN"/>
              </w:rPr>
              <w:t>2025年丰满区集中供养特困人员购买社会服务项目</w:t>
            </w:r>
          </w:p>
        </w:tc>
      </w:tr>
      <w:tr w14:paraId="46F50FFE">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0EECA167">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1.1.5</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1D7C516A">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项目</w:t>
            </w:r>
            <w:r>
              <w:rPr>
                <w:rFonts w:hint="eastAsia" w:ascii="仿宋" w:hAnsi="仿宋" w:eastAsia="仿宋" w:cs="仿宋"/>
                <w:color w:val="auto"/>
                <w:sz w:val="21"/>
                <w:szCs w:val="21"/>
                <w:highlight w:val="none"/>
              </w:rPr>
              <w:t>地点</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0907A36B">
            <w:pPr>
              <w:bidi w:val="0"/>
              <w:spacing w:line="240" w:lineRule="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采购人指定地点</w:t>
            </w:r>
          </w:p>
        </w:tc>
      </w:tr>
      <w:tr w14:paraId="5F30E68C">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3D625009">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1.2.1</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751DB0C3">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资金来源及比例</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0B905E70">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财政资金   100%</w:t>
            </w:r>
          </w:p>
        </w:tc>
      </w:tr>
      <w:tr w14:paraId="70A7B241">
        <w:tblPrEx>
          <w:tblCellMar>
            <w:top w:w="0" w:type="dxa"/>
            <w:left w:w="108" w:type="dxa"/>
            <w:bottom w:w="0" w:type="dxa"/>
            <w:right w:w="108" w:type="dxa"/>
          </w:tblCellMar>
        </w:tblPrEx>
        <w:trPr>
          <w:trHeight w:val="429"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1E59755F">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1.2.2</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597F3AE2">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资金落实情况</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1086B6B2">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已落实</w:t>
            </w:r>
          </w:p>
        </w:tc>
      </w:tr>
      <w:tr w14:paraId="20CDBFAD">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0420482A">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1.3.1</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251CEEF9">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招标范围</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6454CCDB">
            <w:pPr>
              <w:numPr>
                <w:ilvl w:val="0"/>
                <w:numId w:val="0"/>
              </w:numPr>
              <w:bidi w:val="0"/>
              <w:spacing w:line="240" w:lineRule="auto"/>
              <w:ind w:leftChars="0"/>
              <w:rPr>
                <w:rFonts w:hint="default"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集中供养特困人员购买社会服务,详见第五章 服务需求及要求</w:t>
            </w:r>
          </w:p>
        </w:tc>
      </w:tr>
      <w:tr w14:paraId="301191E0">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6A438AC6">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1.3.2</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2C523C11">
            <w:pPr>
              <w:bidi w:val="0"/>
              <w:spacing w:line="240" w:lineRule="auto"/>
              <w:jc w:val="center"/>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服务履行期限</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1079E785">
            <w:pPr>
              <w:bidi w:val="0"/>
              <w:spacing w:line="240" w:lineRule="auto"/>
              <w:rPr>
                <w:rFonts w:hint="default" w:ascii="仿宋" w:hAnsi="仿宋" w:eastAsia="仿宋" w:cs="仿宋"/>
                <w:color w:val="auto"/>
                <w:sz w:val="21"/>
                <w:szCs w:val="21"/>
                <w:highlight w:val="none"/>
                <w:lang w:val="en-US" w:eastAsia="zh-CN"/>
              </w:rPr>
            </w:pPr>
            <w:bookmarkStart w:id="126" w:name="_GoBack"/>
            <w:bookmarkEnd w:id="126"/>
            <w:r>
              <w:rPr>
                <w:rFonts w:hint="eastAsia" w:cs="仿宋"/>
                <w:sz w:val="21"/>
                <w:szCs w:val="21"/>
                <w:highlight w:val="none"/>
                <w:lang w:val="en-US" w:eastAsia="zh-CN"/>
              </w:rPr>
              <w:t>合同签订后至2026年7月6日，具体以实际合同签订为准</w:t>
            </w:r>
          </w:p>
        </w:tc>
      </w:tr>
      <w:tr w14:paraId="4E9DC60E">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7CD54153">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1.3.3</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48F697AE">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质量要求</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15F9589D">
            <w:pPr>
              <w:bidi w:val="0"/>
              <w:spacing w:line="240" w:lineRule="auto"/>
              <w:rPr>
                <w:rFonts w:hint="eastAsia"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符合国家及行业现行标准的合格产品</w:t>
            </w:r>
          </w:p>
        </w:tc>
      </w:tr>
      <w:tr w14:paraId="3B35DC64">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512AE940">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1.4.1</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3AEF6028">
            <w:pPr>
              <w:bidi w:val="0"/>
              <w:spacing w:line="240" w:lineRule="auto"/>
              <w:jc w:val="center"/>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rPr>
              <w:t>资质条件、能力</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25EF802A">
            <w:p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（1）投标人须是在中国境内注册具有独立承担民事责任能力的独立法人或其他组织形式，具备有效的营业执照，</w:t>
            </w:r>
            <w:r>
              <w:rPr>
                <w:rFonts w:hint="eastAsia" w:ascii="仿宋" w:hAnsi="仿宋" w:eastAsia="仿宋" w:cs="仿宋"/>
                <w:color w:val="auto"/>
                <w:sz w:val="21"/>
                <w:szCs w:val="21"/>
                <w:highlight w:val="none"/>
                <w:lang w:val="en-US" w:eastAsia="zh-CN"/>
              </w:rPr>
              <w:t>符合《中华人民共和国政府采购法》第二十二条，并在人员、设备、资金等方面具有相应的能力</w:t>
            </w:r>
            <w:r>
              <w:rPr>
                <w:rFonts w:hint="eastAsia" w:ascii="仿宋" w:hAnsi="仿宋" w:eastAsia="仿宋" w:cs="仿宋"/>
                <w:color w:val="auto"/>
                <w:sz w:val="21"/>
                <w:szCs w:val="21"/>
                <w:highlight w:val="none"/>
                <w:lang w:eastAsia="zh-CN"/>
              </w:rPr>
              <w:t>；</w:t>
            </w:r>
          </w:p>
          <w:p w14:paraId="1C9B6E57">
            <w:p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）财务要求：应出具近三年（</w:t>
            </w:r>
            <w:r>
              <w:rPr>
                <w:rFonts w:hint="eastAsia" w:cs="仿宋"/>
                <w:color w:val="auto"/>
                <w:sz w:val="21"/>
                <w:szCs w:val="21"/>
                <w:highlight w:val="none"/>
                <w:lang w:eastAsia="zh-CN"/>
              </w:rPr>
              <w:t>2022年至2024年</w:t>
            </w:r>
            <w:r>
              <w:rPr>
                <w:rFonts w:hint="eastAsia" w:ascii="仿宋" w:hAnsi="仿宋" w:eastAsia="仿宋" w:cs="仿宋"/>
                <w:color w:val="auto"/>
                <w:sz w:val="21"/>
                <w:szCs w:val="21"/>
                <w:highlight w:val="none"/>
                <w:lang w:eastAsia="zh-CN"/>
              </w:rPr>
              <w:t>）经会计师事务所审计的财务审计报告</w:t>
            </w:r>
            <w:r>
              <w:rPr>
                <w:rFonts w:hint="eastAsia" w:ascii="仿宋" w:hAnsi="仿宋" w:eastAsia="仿宋" w:cs="仿宋"/>
                <w:color w:val="auto"/>
                <w:sz w:val="21"/>
                <w:szCs w:val="21"/>
                <w:highlight w:val="none"/>
                <w:lang w:val="en-US" w:eastAsia="zh-CN"/>
              </w:rPr>
              <w:t>或财务报表</w:t>
            </w: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lang w:eastAsia="zh-CN"/>
              </w:rPr>
              <w:t>的成立时间少于规定年份的，</w:t>
            </w:r>
            <w:r>
              <w:rPr>
                <w:rFonts w:hint="eastAsia" w:cs="仿宋"/>
                <w:color w:val="auto"/>
                <w:sz w:val="21"/>
                <w:szCs w:val="21"/>
                <w:highlight w:val="none"/>
                <w:lang w:eastAsia="zh-CN"/>
              </w:rPr>
              <w:t>应提供成立以来至2024年的财务审计报告或财务报表</w:t>
            </w: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eastAsia="zh-CN"/>
              </w:rPr>
              <w:t>2025年以后新成立企业需提供近三个月内银行出具的公司资信证明）</w:t>
            </w:r>
            <w:r>
              <w:rPr>
                <w:rFonts w:hint="eastAsia" w:ascii="仿宋" w:hAnsi="仿宋" w:eastAsia="仿宋" w:cs="仿宋"/>
                <w:color w:val="auto"/>
                <w:sz w:val="21"/>
                <w:szCs w:val="21"/>
                <w:highlight w:val="none"/>
                <w:lang w:eastAsia="zh-CN"/>
              </w:rPr>
              <w:t>；</w:t>
            </w:r>
          </w:p>
          <w:p w14:paraId="7B073ED4">
            <w:p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供应商应提供近六个月中至少一个月的社会缴纳社会保险的凭据（专用收据或社会保险缴纳清单）和良好缴纳税收的相关凭据（以税务机关提供的纳税凭据或银行入账单为准），并加盖本单位公章。依法免税或不需要缴纳社会保障资金的供应商，应提供相应文件证明其依法免税或不需要缴纳社会保障资金；</w:t>
            </w:r>
          </w:p>
          <w:p w14:paraId="2E1B595A">
            <w:p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）拒绝被列入政府取消投标资格记录期间的企业或个人投标；</w:t>
            </w:r>
          </w:p>
          <w:p w14:paraId="0DC3F2D8">
            <w:p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lang w:eastAsia="zh-CN"/>
              </w:rPr>
              <w:t>未被列入“失信被执行人、重大税收违法案件当事人”的记录名单，通过“信用中国”网站（www.creditchina.gov.cn)查询；</w:t>
            </w:r>
          </w:p>
          <w:p w14:paraId="51F785EB">
            <w:p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val="en-US" w:eastAsia="zh-CN"/>
              </w:rPr>
              <w:t>6</w:t>
            </w: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lang w:eastAsia="zh-CN"/>
              </w:rPr>
              <w:t>未被列入“政府采购严重违法失信行为记录名单”，通过“中国政府采购网”（www.ccgp.gov.cn）查询；</w:t>
            </w:r>
          </w:p>
          <w:p w14:paraId="28138B13">
            <w:p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val="en-US" w:eastAsia="zh-CN"/>
              </w:rPr>
              <w:t>7</w:t>
            </w:r>
            <w:r>
              <w:rPr>
                <w:rFonts w:hint="eastAsia" w:ascii="仿宋" w:hAnsi="仿宋" w:eastAsia="仿宋" w:cs="仿宋"/>
                <w:color w:val="auto"/>
                <w:sz w:val="21"/>
                <w:szCs w:val="21"/>
                <w:highlight w:val="none"/>
                <w:lang w:eastAsia="zh-CN"/>
              </w:rPr>
              <w:t>）投标单位和个人（指法定代表人）未在“中国裁判文书网”（wenshu.court.gov.cn）上有行贿犯罪行为；</w:t>
            </w:r>
          </w:p>
          <w:p w14:paraId="586477FC">
            <w:p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）单位负责人为同一人或者存在直接控股、管理关系的不同</w:t>
            </w: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lang w:eastAsia="zh-CN"/>
              </w:rPr>
              <w:t>，不得参加同一合同项目下的政府采购活动，否则，相关投标均无效。</w:t>
            </w:r>
          </w:p>
        </w:tc>
      </w:tr>
      <w:tr w14:paraId="029D29AC">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7E7BD036">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1.4.2</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190A1912">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是否接受联合体投标</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1107E0C4">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不接受</w:t>
            </w:r>
          </w:p>
        </w:tc>
      </w:tr>
      <w:tr w14:paraId="19DF27FD">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06A70763">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1.10.2</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40E542EE">
            <w:pPr>
              <w:bidi w:val="0"/>
              <w:spacing w:line="240" w:lineRule="auto"/>
              <w:jc w:val="center"/>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rPr>
              <w:t>提出问题的截止时间</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07D9F17F">
            <w:p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fldChar w:fldCharType="begin"/>
            </w:r>
            <w:r>
              <w:rPr>
                <w:rFonts w:hint="eastAsia" w:ascii="仿宋" w:hAnsi="仿宋" w:eastAsia="仿宋" w:cs="仿宋"/>
                <w:color w:val="auto"/>
                <w:sz w:val="21"/>
                <w:szCs w:val="21"/>
                <w:highlight w:val="none"/>
                <w:lang w:eastAsia="zh-CN"/>
              </w:rPr>
              <w:instrText xml:space="preserve"> HYPERLINK "mailto:投标人应在开标15日前将疑问电子版文件传至采购代理机构邮箱（125529446@qq.com）" </w:instrText>
            </w:r>
            <w:r>
              <w:rPr>
                <w:rFonts w:hint="eastAsia" w:ascii="仿宋" w:hAnsi="仿宋" w:eastAsia="仿宋" w:cs="仿宋"/>
                <w:color w:val="auto"/>
                <w:sz w:val="21"/>
                <w:szCs w:val="21"/>
                <w:highlight w:val="none"/>
                <w:lang w:eastAsia="zh-CN"/>
              </w:rPr>
              <w:fldChar w:fldCharType="separate"/>
            </w:r>
            <w:r>
              <w:rPr>
                <w:rFonts w:hint="eastAsia" w:cs="仿宋"/>
                <w:color w:val="auto"/>
                <w:sz w:val="21"/>
                <w:szCs w:val="21"/>
                <w:highlight w:val="none"/>
                <w:lang w:val="en-US" w:eastAsia="zh-CN"/>
              </w:rPr>
              <w:t>供应商</w:t>
            </w:r>
            <w:r>
              <w:rPr>
                <w:rStyle w:val="31"/>
                <w:rFonts w:hint="eastAsia" w:ascii="仿宋" w:hAnsi="仿宋" w:eastAsia="仿宋" w:cs="仿宋"/>
                <w:color w:val="auto"/>
                <w:sz w:val="21"/>
                <w:szCs w:val="21"/>
                <w:highlight w:val="none"/>
                <w:lang w:eastAsia="zh-CN"/>
              </w:rPr>
              <w:t>应在开标</w:t>
            </w:r>
            <w:r>
              <w:rPr>
                <w:rStyle w:val="31"/>
                <w:rFonts w:hint="eastAsia" w:cs="仿宋"/>
                <w:color w:val="auto"/>
                <w:sz w:val="21"/>
                <w:szCs w:val="21"/>
                <w:highlight w:val="none"/>
                <w:lang w:val="en-US" w:eastAsia="zh-CN"/>
              </w:rPr>
              <w:t>1</w:t>
            </w:r>
            <w:r>
              <w:rPr>
                <w:rStyle w:val="31"/>
                <w:rFonts w:hint="eastAsia" w:ascii="仿宋" w:hAnsi="仿宋" w:eastAsia="仿宋" w:cs="仿宋"/>
                <w:color w:val="auto"/>
                <w:sz w:val="21"/>
                <w:szCs w:val="21"/>
                <w:highlight w:val="none"/>
                <w:lang w:val="en-US" w:eastAsia="zh-CN"/>
              </w:rPr>
              <w:t>5</w:t>
            </w:r>
            <w:r>
              <w:rPr>
                <w:rStyle w:val="31"/>
                <w:rFonts w:hint="eastAsia" w:ascii="仿宋" w:hAnsi="仿宋" w:eastAsia="仿宋" w:cs="仿宋"/>
                <w:color w:val="auto"/>
                <w:sz w:val="21"/>
                <w:szCs w:val="21"/>
                <w:highlight w:val="none"/>
                <w:lang w:eastAsia="zh-CN"/>
              </w:rPr>
              <w:t>日前将疑问电子版文件传至采购代理机构邮箱（</w:t>
            </w:r>
            <w:r>
              <w:rPr>
                <w:rStyle w:val="31"/>
                <w:rFonts w:hint="eastAsia" w:cs="仿宋"/>
                <w:color w:val="auto"/>
                <w:sz w:val="21"/>
                <w:szCs w:val="21"/>
                <w:highlight w:val="none"/>
                <w:lang w:val="en-US" w:eastAsia="zh-CN"/>
              </w:rPr>
              <w:t>125529446@qq.com</w:t>
            </w:r>
            <w:r>
              <w:rPr>
                <w:rStyle w:val="31"/>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eastAsia="zh-CN"/>
              </w:rPr>
              <w:fldChar w:fldCharType="end"/>
            </w:r>
          </w:p>
          <w:p w14:paraId="5953E9CF">
            <w:p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注：相关疑问按上述要求递交外，还应按</w:t>
            </w:r>
            <w:r>
              <w:rPr>
                <w:rFonts w:hint="eastAsia" w:ascii="仿宋" w:hAnsi="仿宋" w:eastAsia="仿宋" w:cs="仿宋"/>
                <w:color w:val="auto"/>
                <w:sz w:val="21"/>
                <w:szCs w:val="21"/>
                <w:highlight w:val="none"/>
                <w:lang w:val="zh-CN" w:eastAsia="zh-CN"/>
              </w:rPr>
              <w:t>政府采购云平台电子标要求在政府采购云平台提出</w:t>
            </w:r>
          </w:p>
        </w:tc>
      </w:tr>
      <w:tr w14:paraId="161E97BC">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4AD39430">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1.10.3</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40BB6EE8">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招标人书面澄清的时间</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31D5A841">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在收到相应文件后24小时内</w:t>
            </w:r>
          </w:p>
        </w:tc>
      </w:tr>
      <w:tr w14:paraId="35C0719D">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56E1C676">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569C3D48">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偏离</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5D9E6D00">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不允许</w:t>
            </w:r>
          </w:p>
          <w:p w14:paraId="6FBFB3C3">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□允许</w:t>
            </w:r>
          </w:p>
        </w:tc>
      </w:tr>
      <w:tr w14:paraId="41C67E3F">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4FAF0923">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2369C600">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构成</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的其他材料</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60AA5BDC">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14:paraId="1FFF46E7">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right w:val="single" w:color="auto" w:sz="4" w:space="0"/>
            </w:tcBorders>
            <w:noWrap w:val="0"/>
            <w:vAlign w:val="center"/>
          </w:tcPr>
          <w:p w14:paraId="2D07C57F">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2.2.1</w:t>
            </w:r>
          </w:p>
        </w:tc>
        <w:tc>
          <w:tcPr>
            <w:tcW w:w="1791" w:type="dxa"/>
            <w:tcBorders>
              <w:top w:val="single" w:color="auto" w:sz="4" w:space="0"/>
              <w:left w:val="single" w:color="auto" w:sz="4" w:space="0"/>
              <w:right w:val="single" w:color="auto" w:sz="4" w:space="0"/>
            </w:tcBorders>
            <w:noWrap w:val="0"/>
            <w:vAlign w:val="center"/>
          </w:tcPr>
          <w:p w14:paraId="7D55DF7C">
            <w:pPr>
              <w:bidi w:val="0"/>
              <w:spacing w:line="240" w:lineRule="auto"/>
              <w:jc w:val="center"/>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rPr>
              <w:t>要求澄清</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的截止时间</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08846C43">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时间：递交投标文件截止之日前</w:t>
            </w:r>
            <w:r>
              <w:rPr>
                <w:rFonts w:hint="eastAsia" w:cs="仿宋"/>
                <w:color w:val="auto"/>
                <w:sz w:val="21"/>
                <w:szCs w:val="21"/>
                <w:highlight w:val="none"/>
                <w:lang w:val="en-US" w:eastAsia="zh-CN"/>
              </w:rPr>
              <w:t>1</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天</w:t>
            </w:r>
          </w:p>
        </w:tc>
      </w:tr>
      <w:tr w14:paraId="427A7DA8">
        <w:tblPrEx>
          <w:tblCellMar>
            <w:top w:w="0" w:type="dxa"/>
            <w:left w:w="108" w:type="dxa"/>
            <w:bottom w:w="0" w:type="dxa"/>
            <w:right w:w="108" w:type="dxa"/>
          </w:tblCellMar>
        </w:tblPrEx>
        <w:trPr>
          <w:trHeight w:val="454" w:hRule="atLeast"/>
        </w:trPr>
        <w:tc>
          <w:tcPr>
            <w:tcW w:w="1154" w:type="dxa"/>
            <w:vMerge w:val="restart"/>
            <w:tcBorders>
              <w:top w:val="single" w:color="auto" w:sz="4" w:space="0"/>
              <w:left w:val="single" w:color="auto" w:sz="4" w:space="0"/>
              <w:right w:val="single" w:color="auto" w:sz="4" w:space="0"/>
            </w:tcBorders>
            <w:noWrap w:val="0"/>
            <w:vAlign w:val="center"/>
          </w:tcPr>
          <w:p w14:paraId="1FE99459">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2.2.3</w:t>
            </w:r>
          </w:p>
        </w:tc>
        <w:tc>
          <w:tcPr>
            <w:tcW w:w="1791" w:type="dxa"/>
            <w:vMerge w:val="restart"/>
            <w:tcBorders>
              <w:top w:val="single" w:color="auto" w:sz="4" w:space="0"/>
              <w:left w:val="single" w:color="auto" w:sz="4" w:space="0"/>
              <w:right w:val="single" w:color="auto" w:sz="4" w:space="0"/>
            </w:tcBorders>
            <w:noWrap w:val="0"/>
            <w:vAlign w:val="center"/>
          </w:tcPr>
          <w:p w14:paraId="30767CFE">
            <w:pPr>
              <w:bidi w:val="0"/>
              <w:spacing w:line="240" w:lineRule="auto"/>
              <w:jc w:val="center"/>
              <w:rPr>
                <w:rFonts w:hint="eastAsia" w:ascii="仿宋" w:hAnsi="仿宋" w:eastAsia="仿宋" w:cs="仿宋"/>
                <w:color w:val="auto"/>
                <w:sz w:val="21"/>
                <w:szCs w:val="21"/>
                <w:highlight w:val="none"/>
                <w:lang w:val="zh-CN"/>
              </w:rPr>
            </w:pP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lang w:val="zh-CN"/>
              </w:rPr>
              <w:t>确认收到</w:t>
            </w:r>
          </w:p>
          <w:p w14:paraId="62F9237E">
            <w:pPr>
              <w:bidi w:val="0"/>
              <w:spacing w:line="240"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招标文件澄清</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15CC6D42">
            <w:pPr>
              <w:bidi w:val="0"/>
              <w:spacing w:line="24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时间：收到澄清后24小时内（以发出时间为准）。</w:t>
            </w:r>
          </w:p>
        </w:tc>
      </w:tr>
      <w:tr w14:paraId="2BE5977D">
        <w:tblPrEx>
          <w:tblCellMar>
            <w:top w:w="0" w:type="dxa"/>
            <w:left w:w="108" w:type="dxa"/>
            <w:bottom w:w="0" w:type="dxa"/>
            <w:right w:w="108" w:type="dxa"/>
          </w:tblCellMar>
        </w:tblPrEx>
        <w:trPr>
          <w:trHeight w:val="454" w:hRule="atLeast"/>
        </w:trPr>
        <w:tc>
          <w:tcPr>
            <w:tcW w:w="1154" w:type="dxa"/>
            <w:vMerge w:val="continue"/>
            <w:tcBorders>
              <w:left w:val="single" w:color="auto" w:sz="4" w:space="0"/>
              <w:bottom w:val="single" w:color="auto" w:sz="4" w:space="0"/>
              <w:right w:val="single" w:color="auto" w:sz="4" w:space="0"/>
            </w:tcBorders>
            <w:noWrap w:val="0"/>
            <w:vAlign w:val="center"/>
          </w:tcPr>
          <w:p w14:paraId="7E075A96">
            <w:pPr>
              <w:bidi w:val="0"/>
              <w:spacing w:line="240" w:lineRule="auto"/>
              <w:jc w:val="center"/>
              <w:rPr>
                <w:rFonts w:hint="eastAsia" w:ascii="仿宋" w:hAnsi="仿宋" w:eastAsia="仿宋" w:cs="仿宋"/>
                <w:color w:val="auto"/>
                <w:sz w:val="21"/>
                <w:szCs w:val="21"/>
                <w:highlight w:val="none"/>
              </w:rPr>
            </w:pPr>
          </w:p>
        </w:tc>
        <w:tc>
          <w:tcPr>
            <w:tcW w:w="1791" w:type="dxa"/>
            <w:vMerge w:val="continue"/>
            <w:tcBorders>
              <w:left w:val="single" w:color="auto" w:sz="4" w:space="0"/>
              <w:bottom w:val="single" w:color="auto" w:sz="4" w:space="0"/>
              <w:right w:val="single" w:color="auto" w:sz="4" w:space="0"/>
            </w:tcBorders>
            <w:noWrap w:val="0"/>
            <w:vAlign w:val="center"/>
          </w:tcPr>
          <w:p w14:paraId="21613BDB">
            <w:pPr>
              <w:bidi w:val="0"/>
              <w:spacing w:line="240" w:lineRule="auto"/>
              <w:jc w:val="center"/>
              <w:rPr>
                <w:rFonts w:hint="eastAsia" w:ascii="仿宋" w:hAnsi="仿宋" w:eastAsia="仿宋" w:cs="仿宋"/>
                <w:color w:val="auto"/>
                <w:sz w:val="21"/>
                <w:szCs w:val="21"/>
                <w:highlight w:val="none"/>
              </w:rPr>
            </w:pPr>
          </w:p>
        </w:tc>
        <w:tc>
          <w:tcPr>
            <w:tcW w:w="5380" w:type="dxa"/>
            <w:tcBorders>
              <w:top w:val="single" w:color="auto" w:sz="4" w:space="0"/>
              <w:left w:val="single" w:color="auto" w:sz="4" w:space="0"/>
              <w:bottom w:val="single" w:color="auto" w:sz="4" w:space="0"/>
              <w:right w:val="single" w:color="auto" w:sz="4" w:space="0"/>
            </w:tcBorders>
            <w:noWrap w:val="0"/>
            <w:vAlign w:val="center"/>
          </w:tcPr>
          <w:p w14:paraId="7C6D41EB">
            <w:pPr>
              <w:bidi w:val="0"/>
              <w:spacing w:line="24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形式：将收到澄清的答疑文件以确认函形式发送至</w:t>
            </w:r>
            <w:r>
              <w:rPr>
                <w:rFonts w:hint="eastAsia" w:cs="仿宋"/>
                <w:color w:val="auto"/>
                <w:sz w:val="21"/>
                <w:szCs w:val="21"/>
                <w:highlight w:val="none"/>
                <w:lang w:val="en-US" w:eastAsia="zh-CN"/>
              </w:rPr>
              <w:t>125529446@qq.com</w:t>
            </w:r>
            <w:r>
              <w:rPr>
                <w:rFonts w:hint="eastAsia" w:ascii="仿宋" w:hAnsi="仿宋" w:eastAsia="仿宋" w:cs="仿宋"/>
                <w:color w:val="auto"/>
                <w:sz w:val="21"/>
                <w:szCs w:val="21"/>
                <w:highlight w:val="none"/>
                <w:lang w:val="zh-CN"/>
              </w:rPr>
              <w:t>。</w:t>
            </w:r>
          </w:p>
        </w:tc>
      </w:tr>
      <w:tr w14:paraId="4E730417">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right w:val="single" w:color="auto" w:sz="4" w:space="0"/>
            </w:tcBorders>
            <w:noWrap w:val="0"/>
            <w:vAlign w:val="center"/>
          </w:tcPr>
          <w:p w14:paraId="3A0A4F15">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2.3.2</w:t>
            </w:r>
          </w:p>
        </w:tc>
        <w:tc>
          <w:tcPr>
            <w:tcW w:w="1791" w:type="dxa"/>
            <w:tcBorders>
              <w:top w:val="single" w:color="auto" w:sz="4" w:space="0"/>
              <w:left w:val="single" w:color="auto" w:sz="4" w:space="0"/>
              <w:right w:val="single" w:color="auto" w:sz="4" w:space="0"/>
            </w:tcBorders>
            <w:noWrap w:val="0"/>
            <w:vAlign w:val="center"/>
          </w:tcPr>
          <w:p w14:paraId="4E955BDC">
            <w:pPr>
              <w:bidi w:val="0"/>
              <w:spacing w:line="240" w:lineRule="auto"/>
              <w:jc w:val="center"/>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rPr>
              <w:t>确认收到</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修改的时间</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5AA14FF3">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在收到相应澄清文件后24小时内</w:t>
            </w:r>
          </w:p>
        </w:tc>
      </w:tr>
      <w:tr w14:paraId="3E35F46D">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2F30669C">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3.1.1</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41D2D25B">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构成投标文件的其他材料</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57DDDD31">
            <w:pPr>
              <w:bidi w:val="0"/>
              <w:spacing w:line="240" w:lineRule="auto"/>
              <w:rPr>
                <w:rFonts w:hint="eastAsia" w:ascii="仿宋" w:hAnsi="仿宋" w:eastAsia="仿宋" w:cs="仿宋"/>
                <w:color w:val="auto"/>
                <w:sz w:val="21"/>
                <w:szCs w:val="21"/>
                <w:highlight w:val="none"/>
                <w:lang w:eastAsia="zh-CN"/>
              </w:rPr>
            </w:pP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lang w:val="en-US" w:eastAsia="zh-CN"/>
              </w:rPr>
              <w:t>下列资质证明文件扫描件随投标文件同时上传</w:t>
            </w:r>
            <w:r>
              <w:rPr>
                <w:rFonts w:hint="eastAsia" w:ascii="仿宋" w:hAnsi="仿宋" w:eastAsia="仿宋" w:cs="仿宋"/>
                <w:color w:val="auto"/>
                <w:sz w:val="21"/>
                <w:szCs w:val="21"/>
                <w:highlight w:val="none"/>
                <w:lang w:eastAsia="zh-CN"/>
              </w:rPr>
              <w:t xml:space="preserve">： </w:t>
            </w:r>
          </w:p>
          <w:p w14:paraId="4D544836">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须是在中国境内注册具有独立承担民事责任能力的独立法人或其他组织形式，具备有效的营业执照，</w:t>
            </w:r>
            <w:r>
              <w:rPr>
                <w:rFonts w:hint="eastAsia" w:ascii="仿宋" w:hAnsi="仿宋" w:eastAsia="仿宋" w:cs="仿宋"/>
                <w:color w:val="auto"/>
                <w:sz w:val="21"/>
                <w:szCs w:val="21"/>
                <w:highlight w:val="none"/>
                <w:lang w:val="en-US" w:eastAsia="zh-CN"/>
              </w:rPr>
              <w:t>符合《中华人民共和国政府采购法》第二十二条，并在人员、设备、资金等方面具有相应的能力</w:t>
            </w:r>
            <w:r>
              <w:rPr>
                <w:rFonts w:hint="eastAsia" w:ascii="仿宋" w:hAnsi="仿宋" w:eastAsia="仿宋" w:cs="仿宋"/>
                <w:color w:val="auto"/>
                <w:sz w:val="21"/>
                <w:szCs w:val="21"/>
                <w:highlight w:val="none"/>
              </w:rPr>
              <w:t>；</w:t>
            </w:r>
          </w:p>
          <w:p w14:paraId="6FB68F67">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cs="仿宋"/>
                <w:color w:val="auto"/>
                <w:sz w:val="21"/>
                <w:szCs w:val="21"/>
                <w:highlight w:val="none"/>
                <w:lang w:val="en-US" w:eastAsia="zh-CN"/>
              </w:rPr>
              <w:t>2</w:t>
            </w:r>
            <w:r>
              <w:rPr>
                <w:rFonts w:hint="eastAsia" w:ascii="仿宋" w:hAnsi="仿宋" w:eastAsia="仿宋" w:cs="仿宋"/>
                <w:color w:val="auto"/>
                <w:sz w:val="21"/>
                <w:szCs w:val="21"/>
                <w:highlight w:val="none"/>
              </w:rPr>
              <w:t>）财务要求：应出具近三年（</w:t>
            </w:r>
            <w:r>
              <w:rPr>
                <w:rFonts w:hint="eastAsia" w:cs="仿宋"/>
                <w:color w:val="auto"/>
                <w:sz w:val="21"/>
                <w:szCs w:val="21"/>
                <w:highlight w:val="none"/>
                <w:lang w:eastAsia="zh-CN"/>
              </w:rPr>
              <w:t>2022年至2024年</w:t>
            </w:r>
            <w:r>
              <w:rPr>
                <w:rFonts w:hint="eastAsia" w:ascii="仿宋" w:hAnsi="仿宋" w:eastAsia="仿宋" w:cs="仿宋"/>
                <w:color w:val="auto"/>
                <w:sz w:val="21"/>
                <w:szCs w:val="21"/>
                <w:highlight w:val="none"/>
              </w:rPr>
              <w:t>）经会计师事务所审计的财务审计报告</w:t>
            </w:r>
            <w:r>
              <w:rPr>
                <w:rFonts w:hint="eastAsia" w:ascii="仿宋" w:hAnsi="仿宋" w:eastAsia="仿宋" w:cs="仿宋"/>
                <w:color w:val="auto"/>
                <w:sz w:val="21"/>
                <w:szCs w:val="21"/>
                <w:highlight w:val="none"/>
                <w:lang w:val="en-US" w:eastAsia="zh-CN"/>
              </w:rPr>
              <w:t>或财务报表</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的成立时间少于规定年份的，</w:t>
            </w:r>
            <w:r>
              <w:rPr>
                <w:rFonts w:hint="eastAsia" w:cs="仿宋"/>
                <w:color w:val="auto"/>
                <w:sz w:val="21"/>
                <w:szCs w:val="21"/>
                <w:highlight w:val="none"/>
                <w:lang w:eastAsia="zh-CN"/>
              </w:rPr>
              <w:t>应提供成立以来至2024年的财务审计报告或财务报表</w:t>
            </w:r>
            <w:r>
              <w:rPr>
                <w:rFonts w:hint="eastAsia" w:ascii="仿宋" w:hAnsi="仿宋" w:eastAsia="仿宋" w:cs="仿宋"/>
                <w:color w:val="auto"/>
                <w:sz w:val="21"/>
                <w:szCs w:val="21"/>
                <w:highlight w:val="none"/>
              </w:rPr>
              <w:t>；</w:t>
            </w:r>
            <w:r>
              <w:rPr>
                <w:rFonts w:hint="eastAsia" w:cs="仿宋"/>
                <w:color w:val="auto"/>
                <w:sz w:val="21"/>
                <w:szCs w:val="21"/>
                <w:highlight w:val="none"/>
                <w:lang w:eastAsia="zh-CN"/>
              </w:rPr>
              <w:t>2025年以后新成立企业需提供近三个月内银行出具的公司资信证明）</w:t>
            </w:r>
            <w:r>
              <w:rPr>
                <w:rFonts w:hint="eastAsia" w:ascii="仿宋" w:hAnsi="仿宋" w:eastAsia="仿宋" w:cs="仿宋"/>
                <w:color w:val="auto"/>
                <w:sz w:val="21"/>
                <w:szCs w:val="21"/>
                <w:highlight w:val="none"/>
              </w:rPr>
              <w:t>；</w:t>
            </w:r>
          </w:p>
          <w:p w14:paraId="3C34F63A">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供应商应提供近六个月中至少一个月的社会缴纳社会保险的凭据（专用收据或社会保险缴纳清单）和良好缴纳税收的相关凭据（以税务机关提供的纳税凭据或银行入账单为准），并加盖本单位公章。依法免税或不需要缴纳社会保障资金的供应商，应提供相应文件证明其依法免税或不需要缴纳社会保障资金；</w:t>
            </w:r>
          </w:p>
          <w:p w14:paraId="6B6D4E33">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拒绝被列入政府取消投标资格记录期间的企业或个人投标；</w:t>
            </w:r>
          </w:p>
          <w:p w14:paraId="5E4A59B1">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未被列入“失信被执行人、重大税收违法案件当事人”的记录名单，通过“信用中国”网站（www.creditchina.gov.cn)查询；</w:t>
            </w:r>
          </w:p>
          <w:p w14:paraId="6F9E9FF7">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val="en-US" w:eastAsia="zh-CN"/>
              </w:rPr>
              <w:t>6</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未被列入“政府采购严重违法失信行为记录名单”，通过“中国政府采购网”（www.ccgp.gov.cn）查询；</w:t>
            </w:r>
          </w:p>
          <w:p w14:paraId="16CB395F">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val="en-US" w:eastAsia="zh-CN"/>
              </w:rPr>
              <w:t>7</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投标单位和个人（指法定代表人）未在“中国裁判文书网”（wenshu.court.gov.cn）上有行贿犯罪行为；</w:t>
            </w:r>
          </w:p>
          <w:p w14:paraId="66463D8F">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单位负责人为同一人或者存在直接控股、管理关系的不同</w:t>
            </w: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rPr>
              <w:t>，不得参加同一合同项目下的政府采购活动，否则，相关投标均无效。</w:t>
            </w:r>
          </w:p>
          <w:p w14:paraId="416A3F23">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注：上述证件应在投标文件其他材料中上传</w:t>
            </w:r>
          </w:p>
        </w:tc>
      </w:tr>
      <w:tr w14:paraId="40947984">
        <w:tblPrEx>
          <w:tblCellMar>
            <w:top w:w="0" w:type="dxa"/>
            <w:left w:w="108" w:type="dxa"/>
            <w:bottom w:w="0" w:type="dxa"/>
            <w:right w:w="108" w:type="dxa"/>
          </w:tblCellMar>
        </w:tblPrEx>
        <w:trPr>
          <w:trHeight w:val="90"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3347D3C6">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3.2.</w:t>
            </w:r>
            <w:r>
              <w:rPr>
                <w:rFonts w:hint="eastAsia" w:ascii="仿宋" w:hAnsi="仿宋" w:eastAsia="仿宋" w:cs="仿宋"/>
                <w:color w:val="auto"/>
                <w:sz w:val="21"/>
                <w:szCs w:val="21"/>
                <w:highlight w:val="none"/>
                <w:lang w:val="en-US" w:eastAsia="zh-CN"/>
              </w:rPr>
              <w:t>1</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0D8122D3">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最高投标限价</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0E78CC58">
            <w:pPr>
              <w:bidi w:val="0"/>
              <w:spacing w:line="240" w:lineRule="auto"/>
              <w:rPr>
                <w:rFonts w:hint="eastAsia" w:ascii="仿宋" w:hAnsi="仿宋" w:eastAsia="仿宋" w:cs="仿宋"/>
                <w:color w:val="auto"/>
                <w:sz w:val="21"/>
                <w:szCs w:val="21"/>
                <w:highlight w:val="none"/>
              </w:rPr>
            </w:pPr>
            <w:r>
              <w:rPr>
                <w:rFonts w:hint="eastAsia" w:cs="仿宋"/>
                <w:color w:val="auto"/>
                <w:sz w:val="21"/>
                <w:szCs w:val="21"/>
                <w:highlight w:val="none"/>
                <w:lang w:eastAsia="zh-CN"/>
              </w:rPr>
              <w:t>预算金额：</w:t>
            </w:r>
            <w:r>
              <w:rPr>
                <w:rFonts w:hint="eastAsia" w:cs="仿宋"/>
                <w:color w:val="auto"/>
                <w:sz w:val="21"/>
                <w:szCs w:val="21"/>
                <w:highlight w:val="none"/>
                <w:lang w:val="en-US" w:eastAsia="zh-CN"/>
              </w:rPr>
              <w:t>203.7</w:t>
            </w:r>
            <w:r>
              <w:rPr>
                <w:rFonts w:hint="eastAsia" w:cs="仿宋"/>
                <w:color w:val="auto"/>
                <w:sz w:val="21"/>
                <w:szCs w:val="21"/>
                <w:highlight w:val="none"/>
                <w:lang w:eastAsia="zh-CN"/>
              </w:rPr>
              <w:t>万元</w:t>
            </w:r>
          </w:p>
        </w:tc>
      </w:tr>
      <w:tr w14:paraId="56B8E49C">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58D71CC6">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3.3.1</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04D4065A">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投标有效期</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4CE35BF1">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90天</w:t>
            </w:r>
          </w:p>
        </w:tc>
      </w:tr>
      <w:tr w14:paraId="602E73D6">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281572A4">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3.4.1</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44B61959">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投标保证金</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273727E8">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□不要求递交投标保证金</w:t>
            </w:r>
          </w:p>
          <w:p w14:paraId="3220EED4">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要求递交投标保证金</w:t>
            </w:r>
          </w:p>
          <w:p w14:paraId="7D75AAFB">
            <w:pPr>
              <w:bidi w:val="0"/>
              <w:spacing w:line="240" w:lineRule="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投标保证金的金额：</w:t>
            </w:r>
            <w:r>
              <w:rPr>
                <w:rFonts w:hint="eastAsia" w:cs="仿宋"/>
                <w:color w:val="auto"/>
                <w:sz w:val="21"/>
                <w:szCs w:val="21"/>
                <w:highlight w:val="none"/>
                <w:lang w:val="en-US" w:eastAsia="zh-CN"/>
              </w:rPr>
              <w:t>20300元</w:t>
            </w:r>
          </w:p>
          <w:p w14:paraId="458A3F88">
            <w:pPr>
              <w:bidi w:val="0"/>
              <w:spacing w:line="24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投标文件保证金的形式：</w:t>
            </w:r>
            <w:bookmarkStart w:id="23" w:name="EB8f897a1931a64a5d88e4d10dd9b71d7c"/>
            <w:r>
              <w:rPr>
                <w:rFonts w:hint="eastAsia" w:ascii="仿宋" w:hAnsi="仿宋" w:eastAsia="仿宋" w:cs="仿宋"/>
                <w:color w:val="auto"/>
                <w:sz w:val="21"/>
                <w:szCs w:val="21"/>
                <w:highlight w:val="none"/>
                <w:lang w:val="en-US" w:eastAsia="zh-CN"/>
              </w:rPr>
              <w:t>其形式包括</w:t>
            </w:r>
            <w:bookmarkEnd w:id="23"/>
            <w:r>
              <w:rPr>
                <w:rFonts w:hint="eastAsia" w:ascii="仿宋" w:hAnsi="仿宋" w:eastAsia="仿宋" w:cs="仿宋"/>
                <w:color w:val="auto"/>
                <w:sz w:val="21"/>
                <w:szCs w:val="21"/>
                <w:highlight w:val="none"/>
                <w:lang w:val="en-US" w:eastAsia="zh-CN"/>
              </w:rPr>
              <w:t>现金、现金支票、保兑支票、银行汇票、银行保函或者担保公司保函</w:t>
            </w:r>
            <w:r>
              <w:rPr>
                <w:rFonts w:hint="eastAsia" w:ascii="仿宋" w:hAnsi="仿宋" w:eastAsia="仿宋" w:cs="仿宋"/>
                <w:color w:val="auto"/>
                <w:sz w:val="21"/>
                <w:szCs w:val="21"/>
                <w:highlight w:val="none"/>
                <w:lang w:val="zh-CN"/>
              </w:rPr>
              <w:t>；</w:t>
            </w:r>
          </w:p>
          <w:p w14:paraId="4F35A99A">
            <w:pPr>
              <w:bidi w:val="0"/>
              <w:spacing w:line="24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账户名称:</w:t>
            </w:r>
            <w:r>
              <w:rPr>
                <w:rFonts w:hint="eastAsia" w:cs="仿宋"/>
                <w:color w:val="auto"/>
                <w:sz w:val="21"/>
                <w:szCs w:val="21"/>
                <w:highlight w:val="none"/>
                <w:lang w:val="zh-CN"/>
              </w:rPr>
              <w:t>吉林东亿来项目管理有限公司</w:t>
            </w:r>
          </w:p>
          <w:p w14:paraId="69BE1C09">
            <w:pPr>
              <w:bidi w:val="0"/>
              <w:spacing w:line="24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账    号:</w:t>
            </w:r>
            <w:r>
              <w:rPr>
                <w:rFonts w:hint="eastAsia" w:cs="仿宋"/>
                <w:color w:val="auto"/>
                <w:sz w:val="21"/>
                <w:szCs w:val="21"/>
                <w:highlight w:val="none"/>
                <w:lang w:val="zh-CN"/>
              </w:rPr>
              <w:t>0720622011015200006831</w:t>
            </w:r>
          </w:p>
          <w:p w14:paraId="2E8AA9ED">
            <w:pPr>
              <w:bidi w:val="0"/>
              <w:spacing w:line="24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开 户 行:吉林环城农村商业银行股份有限公司政务服务中心支行</w:t>
            </w:r>
          </w:p>
          <w:p w14:paraId="4FFCB606">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投标保证金提交时间：投标保证金须在投标截止时间1日前完成交纳，如开标前一天遇有公休日或法定节假日,应在公休日、法定节假日前一天交付到账。</w:t>
            </w:r>
          </w:p>
          <w:p w14:paraId="1AED9997">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w:t>
            </w:r>
          </w:p>
          <w:p w14:paraId="55437BDE">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1.投标单位应在汇款时认真核对收款单位、开户行名称、账号准确无误，确保保证金按时到账，否则后果自负。</w:t>
            </w:r>
          </w:p>
          <w:p w14:paraId="3DDDAB6D">
            <w:pPr>
              <w:bidi w:val="0"/>
              <w:spacing w:line="240" w:lineRule="auto"/>
              <w:rPr>
                <w:rFonts w:hint="default" w:ascii="仿宋" w:hAnsi="仿宋" w:eastAsia="仿宋" w:cs="仿宋"/>
                <w:color w:val="auto"/>
                <w:sz w:val="21"/>
                <w:szCs w:val="21"/>
                <w:highlight w:val="none"/>
                <w:lang w:val="en-US"/>
              </w:rPr>
            </w:pPr>
            <w:r>
              <w:rPr>
                <w:rFonts w:hint="eastAsia" w:cs="仿宋"/>
                <w:color w:val="auto"/>
                <w:sz w:val="21"/>
                <w:szCs w:val="21"/>
                <w:highlight w:val="none"/>
                <w:lang w:val="en-US" w:eastAsia="zh-CN"/>
              </w:rPr>
              <w:t>2.</w:t>
            </w:r>
            <w:r>
              <w:rPr>
                <w:rFonts w:hint="eastAsia" w:ascii="仿宋" w:hAnsi="仿宋" w:eastAsia="仿宋" w:cs="仿宋"/>
                <w:color w:val="auto"/>
                <w:sz w:val="21"/>
                <w:szCs w:val="21"/>
                <w:highlight w:val="none"/>
                <w:lang w:val="en-US" w:eastAsia="zh-CN"/>
              </w:rPr>
              <w:t>递交保函(所有形式的保函</w:t>
            </w:r>
            <w:r>
              <w:rPr>
                <w:rFonts w:hint="eastAsia" w:cs="仿宋"/>
                <w:color w:val="auto"/>
                <w:sz w:val="21"/>
                <w:szCs w:val="21"/>
                <w:highlight w:val="none"/>
                <w:lang w:val="en-US" w:eastAsia="zh-CN"/>
              </w:rPr>
              <w:t>,需支持网查</w:t>
            </w:r>
            <w:r>
              <w:rPr>
                <w:rFonts w:hint="eastAsia" w:ascii="仿宋" w:hAnsi="仿宋" w:eastAsia="仿宋" w:cs="仿宋"/>
                <w:color w:val="auto"/>
                <w:sz w:val="21"/>
                <w:szCs w:val="21"/>
                <w:highlight w:val="none"/>
                <w:lang w:val="en-US" w:eastAsia="zh-CN"/>
              </w:rPr>
              <w:t>)的投标单位，须在保证金递交截止日期前，将扫描件发送至</w:t>
            </w:r>
            <w:r>
              <w:rPr>
                <w:rFonts w:hint="eastAsia" w:cs="仿宋"/>
                <w:color w:val="auto"/>
                <w:sz w:val="21"/>
                <w:szCs w:val="21"/>
                <w:highlight w:val="none"/>
                <w:lang w:val="en-US" w:eastAsia="zh-CN"/>
              </w:rPr>
              <w:t>125529446@qq.com</w:t>
            </w:r>
            <w:r>
              <w:rPr>
                <w:rFonts w:hint="eastAsia" w:ascii="仿宋" w:hAnsi="仿宋" w:eastAsia="仿宋" w:cs="仿宋"/>
                <w:color w:val="auto"/>
                <w:sz w:val="21"/>
                <w:szCs w:val="21"/>
                <w:highlight w:val="none"/>
                <w:lang w:val="en-US" w:eastAsia="zh-CN"/>
              </w:rPr>
              <w:t>）</w:t>
            </w:r>
            <w:r>
              <w:rPr>
                <w:rFonts w:hint="eastAsia" w:cs="仿宋"/>
                <w:color w:val="auto"/>
                <w:sz w:val="21"/>
                <w:szCs w:val="21"/>
                <w:highlight w:val="none"/>
                <w:lang w:val="en-US" w:eastAsia="zh-CN"/>
              </w:rPr>
              <w:t>验证</w:t>
            </w:r>
          </w:p>
        </w:tc>
      </w:tr>
      <w:tr w14:paraId="4D94AA16">
        <w:tblPrEx>
          <w:tblCellMar>
            <w:top w:w="0" w:type="dxa"/>
            <w:left w:w="108" w:type="dxa"/>
            <w:bottom w:w="0" w:type="dxa"/>
            <w:right w:w="108" w:type="dxa"/>
          </w:tblCellMar>
        </w:tblPrEx>
        <w:trPr>
          <w:trHeight w:val="90"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0AE34C48">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3.4.2</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755DA140">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其他可以不予退还投标保证金的情形</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653DC472">
            <w:pPr>
              <w:bidi w:val="0"/>
              <w:spacing w:line="240" w:lineRule="auto"/>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rPr>
              <w:t>在投标过程中借用他人资质，互相串通、结盟，伪造虚假业绩、人员、财务、履约情况等，或违反国家有关规定，损害招标的公正性和竞争性进行投标者。</w:t>
            </w:r>
          </w:p>
        </w:tc>
      </w:tr>
      <w:tr w14:paraId="05D84065">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14909F58">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3.5.2</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31A0621D">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近年财务状况的年份要求</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6A5A2B34">
            <w:pPr>
              <w:bidi w:val="0"/>
              <w:spacing w:line="240" w:lineRule="auto"/>
              <w:rPr>
                <w:rFonts w:hint="eastAsia" w:ascii="仿宋" w:hAnsi="仿宋" w:eastAsia="仿宋" w:cs="仿宋"/>
                <w:color w:val="auto"/>
                <w:sz w:val="21"/>
                <w:szCs w:val="21"/>
                <w:highlight w:val="none"/>
                <w:lang w:val="en-US" w:eastAsia="zh-CN"/>
              </w:rPr>
            </w:pPr>
            <w:bookmarkStart w:id="24" w:name="EB718167d6cb014d2b8536538e5b2a907f"/>
            <w:r>
              <w:rPr>
                <w:rFonts w:hint="eastAsia" w:ascii="仿宋" w:hAnsi="仿宋" w:eastAsia="仿宋" w:cs="仿宋"/>
                <w:color w:val="auto"/>
                <w:sz w:val="21"/>
                <w:szCs w:val="21"/>
                <w:highlight w:val="none"/>
              </w:rPr>
              <w:t>3</w:t>
            </w:r>
            <w:bookmarkEnd w:id="24"/>
            <w:r>
              <w:rPr>
                <w:rFonts w:hint="eastAsia" w:ascii="仿宋" w:hAnsi="仿宋" w:eastAsia="仿宋" w:cs="仿宋"/>
                <w:color w:val="auto"/>
                <w:sz w:val="21"/>
                <w:szCs w:val="21"/>
                <w:highlight w:val="none"/>
              </w:rPr>
              <w:t>年，指</w:t>
            </w:r>
            <w:r>
              <w:rPr>
                <w:rFonts w:hint="eastAsia" w:cs="仿宋"/>
                <w:color w:val="auto"/>
                <w:sz w:val="21"/>
                <w:szCs w:val="21"/>
                <w:highlight w:val="none"/>
                <w:lang w:eastAsia="zh-CN"/>
              </w:rPr>
              <w:t>2022年至2024年</w:t>
            </w:r>
          </w:p>
          <w:p w14:paraId="685AC222">
            <w:pPr>
              <w:bidi w:val="0"/>
              <w:spacing w:line="240" w:lineRule="auto"/>
              <w:rPr>
                <w:rFonts w:hint="eastAsia" w:ascii="仿宋" w:hAnsi="仿宋" w:eastAsia="仿宋" w:cs="仿宋"/>
                <w:color w:val="auto"/>
                <w:sz w:val="21"/>
                <w:szCs w:val="21"/>
                <w:highlight w:val="none"/>
              </w:rPr>
            </w:pPr>
            <w:r>
              <w:rPr>
                <w:rFonts w:hint="eastAsia" w:cs="仿宋"/>
                <w:color w:val="auto"/>
                <w:sz w:val="21"/>
                <w:szCs w:val="21"/>
                <w:highlight w:val="none"/>
                <w:lang w:eastAsia="zh-CN"/>
              </w:rPr>
              <w:t>2025年以后新成立公司</w:t>
            </w:r>
            <w:r>
              <w:rPr>
                <w:rFonts w:hint="eastAsia" w:ascii="仿宋" w:hAnsi="仿宋" w:eastAsia="仿宋" w:cs="仿宋"/>
                <w:color w:val="auto"/>
                <w:sz w:val="21"/>
                <w:szCs w:val="21"/>
                <w:highlight w:val="none"/>
              </w:rPr>
              <w:t>：须提供由银行或其他金融机构出具的资信证明；</w:t>
            </w:r>
          </w:p>
        </w:tc>
      </w:tr>
      <w:tr w14:paraId="1AFDAD1F">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11F40484">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3.5.3</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67642C49">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近年完成的类似项目的年份要求</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0FCCF449">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3年，指20</w:t>
            </w:r>
            <w:r>
              <w:rPr>
                <w:rFonts w:hint="eastAsia" w:ascii="仿宋" w:hAnsi="仿宋" w:eastAsia="仿宋" w:cs="仿宋"/>
                <w:color w:val="auto"/>
                <w:sz w:val="21"/>
                <w:szCs w:val="21"/>
                <w:highlight w:val="none"/>
                <w:lang w:val="en-US" w:eastAsia="zh-CN"/>
              </w:rPr>
              <w:t>2</w:t>
            </w:r>
            <w:r>
              <w:rPr>
                <w:rFonts w:hint="eastAsia" w:cs="仿宋"/>
                <w:color w:val="auto"/>
                <w:sz w:val="21"/>
                <w:szCs w:val="21"/>
                <w:highlight w:val="none"/>
                <w:lang w:val="en-US" w:eastAsia="zh-CN"/>
              </w:rPr>
              <w:t>2</w:t>
            </w:r>
            <w:r>
              <w:rPr>
                <w:rFonts w:hint="eastAsia" w:ascii="仿宋" w:hAnsi="仿宋" w:eastAsia="仿宋" w:cs="仿宋"/>
                <w:color w:val="auto"/>
                <w:sz w:val="21"/>
                <w:szCs w:val="21"/>
                <w:highlight w:val="none"/>
              </w:rPr>
              <w:t>年1月1日起至</w:t>
            </w:r>
            <w:r>
              <w:rPr>
                <w:rFonts w:hint="eastAsia" w:ascii="仿宋" w:hAnsi="仿宋" w:eastAsia="仿宋" w:cs="仿宋"/>
                <w:color w:val="auto"/>
                <w:sz w:val="21"/>
                <w:szCs w:val="21"/>
                <w:highlight w:val="none"/>
                <w:lang w:val="en-US" w:eastAsia="zh-CN"/>
              </w:rPr>
              <w:t>今</w:t>
            </w:r>
            <w:r>
              <w:rPr>
                <w:rFonts w:hint="eastAsia" w:ascii="仿宋" w:hAnsi="仿宋" w:eastAsia="仿宋" w:cs="仿宋"/>
                <w:color w:val="auto"/>
                <w:sz w:val="21"/>
                <w:szCs w:val="21"/>
                <w:highlight w:val="none"/>
              </w:rPr>
              <w:t>。</w:t>
            </w:r>
          </w:p>
        </w:tc>
      </w:tr>
      <w:tr w14:paraId="05AE27C3">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14796B5D">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3.5.4</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776CA7D2">
            <w:pPr>
              <w:bidi w:val="0"/>
              <w:spacing w:line="240" w:lineRule="auto"/>
              <w:jc w:val="center"/>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rPr>
              <w:t>近年发生的诉讼及仲裁情况的年份要求</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6A5D6A26">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20</w:t>
            </w:r>
            <w:r>
              <w:rPr>
                <w:rFonts w:hint="eastAsia" w:ascii="仿宋" w:hAnsi="仿宋" w:eastAsia="仿宋" w:cs="仿宋"/>
                <w:color w:val="auto"/>
                <w:sz w:val="21"/>
                <w:szCs w:val="21"/>
                <w:highlight w:val="none"/>
                <w:lang w:val="en-US" w:eastAsia="zh-CN"/>
              </w:rPr>
              <w:t>2</w:t>
            </w:r>
            <w:r>
              <w:rPr>
                <w:rFonts w:hint="eastAsia" w:cs="仿宋"/>
                <w:color w:val="auto"/>
                <w:sz w:val="21"/>
                <w:szCs w:val="21"/>
                <w:highlight w:val="none"/>
                <w:lang w:val="en-US" w:eastAsia="zh-CN"/>
              </w:rPr>
              <w:t>2</w:t>
            </w:r>
            <w:r>
              <w:rPr>
                <w:rFonts w:hint="eastAsia" w:ascii="仿宋" w:hAnsi="仿宋" w:eastAsia="仿宋" w:cs="仿宋"/>
                <w:color w:val="auto"/>
                <w:sz w:val="21"/>
                <w:szCs w:val="21"/>
                <w:highlight w:val="none"/>
              </w:rPr>
              <w:t>年至今，指 20</w:t>
            </w:r>
            <w:r>
              <w:rPr>
                <w:rFonts w:hint="eastAsia" w:cs="仿宋"/>
                <w:color w:val="auto"/>
                <w:sz w:val="21"/>
                <w:szCs w:val="21"/>
                <w:highlight w:val="none"/>
                <w:lang w:val="en-US" w:eastAsia="zh-CN"/>
              </w:rPr>
              <w:t>22</w:t>
            </w:r>
            <w:r>
              <w:rPr>
                <w:rFonts w:hint="eastAsia" w:ascii="仿宋" w:hAnsi="仿宋" w:eastAsia="仿宋" w:cs="仿宋"/>
                <w:color w:val="auto"/>
                <w:sz w:val="21"/>
                <w:szCs w:val="21"/>
                <w:highlight w:val="none"/>
              </w:rPr>
              <w:t xml:space="preserve"> 年 1 月 1日起至今。</w:t>
            </w:r>
          </w:p>
        </w:tc>
      </w:tr>
      <w:tr w14:paraId="59ADBC8C">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26A917FB">
            <w:pPr>
              <w:bidi w:val="0"/>
              <w:spacing w:line="240" w:lineRule="auto"/>
              <w:jc w:val="center"/>
              <w:rPr>
                <w:rFonts w:hint="default"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3.5.5</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00CDD535">
            <w:pPr>
              <w:bidi w:val="0"/>
              <w:spacing w:line="240"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面向中小企业预留情况</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1BE4C159">
            <w:pPr>
              <w:bidi w:val="0"/>
              <w:spacing w:line="240" w:lineRule="auto"/>
              <w:rPr>
                <w:rFonts w:hint="eastAsia"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本项目专门面向中小企业采购</w:t>
            </w:r>
            <w:r>
              <w:rPr>
                <w:rFonts w:hint="eastAsia" w:ascii="仿宋" w:hAnsi="仿宋" w:eastAsia="仿宋" w:cs="仿宋"/>
                <w:sz w:val="21"/>
                <w:szCs w:val="21"/>
                <w:highlight w:val="none"/>
                <w:lang w:val="en-US" w:eastAsia="zh-CN"/>
              </w:rPr>
              <w:t>，供应商应为中型企业、小型企业、微型企业或监狱企业或残疾人福利性单位。供应商为中型企业、小型企业、微型企业的应根据《政府采购促进中小企业发展管理办法》（财库〔2020〕46 号）自行填写《中小企业声明函》，且中小企业的划分标准所属行业为：</w:t>
            </w:r>
            <w:r>
              <w:rPr>
                <w:rFonts w:hint="eastAsia" w:cs="仿宋"/>
                <w:sz w:val="21"/>
                <w:szCs w:val="21"/>
                <w:highlight w:val="none"/>
                <w:lang w:val="en-US" w:eastAsia="zh-CN"/>
              </w:rPr>
              <w:t>其他未列明行业</w:t>
            </w:r>
          </w:p>
        </w:tc>
      </w:tr>
      <w:tr w14:paraId="53FF3F41">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014D35BF">
            <w:pPr>
              <w:bidi w:val="0"/>
              <w:spacing w:line="240" w:lineRule="auto"/>
              <w:jc w:val="center"/>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rPr>
              <w:t>3.6.1</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3D8E5E36">
            <w:pPr>
              <w:bidi w:val="0"/>
              <w:spacing w:line="240" w:lineRule="auto"/>
              <w:jc w:val="center"/>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rPr>
              <w:t>是否允许递交备选投标方案</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4605ABFE">
            <w:pPr>
              <w:bidi w:val="0"/>
              <w:spacing w:line="240" w:lineRule="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rPr>
              <w:t>不允许</w:t>
            </w:r>
          </w:p>
        </w:tc>
      </w:tr>
      <w:tr w14:paraId="0FCDE9B5">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402BBF94">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3.7.3（1）</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21F93D04">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电子签字和（或）盖电子章要求</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5034DB61">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按系统要求签字盖章，如被授权人无法网上签字或其他无法电子签章或网上签字的情形，需将此页打印签字后扫描上传至投标文件。</w:t>
            </w:r>
          </w:p>
        </w:tc>
      </w:tr>
      <w:tr w14:paraId="0598CC8B">
        <w:tblPrEx>
          <w:tblCellMar>
            <w:top w:w="0" w:type="dxa"/>
            <w:left w:w="108" w:type="dxa"/>
            <w:bottom w:w="0" w:type="dxa"/>
            <w:right w:w="108" w:type="dxa"/>
          </w:tblCellMar>
        </w:tblPrEx>
        <w:trPr>
          <w:trHeight w:val="338"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388A0063">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3.7.3（2）</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4A93766D">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投标文件上传</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30ADF1DC">
            <w:p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rPr>
              <w:t>需在开标时间截止前将电子投标文件政采云平台（网址：http://www.zcygov.cn）上直接上传；逾期未上传的投标文件，招标人不予受理</w:t>
            </w:r>
            <w:r>
              <w:rPr>
                <w:rFonts w:hint="eastAsia" w:ascii="仿宋" w:hAnsi="仿宋" w:eastAsia="仿宋" w:cs="仿宋"/>
                <w:color w:val="auto"/>
                <w:sz w:val="21"/>
                <w:szCs w:val="21"/>
                <w:highlight w:val="none"/>
                <w:lang w:eastAsia="zh-CN"/>
              </w:rPr>
              <w:t>。</w:t>
            </w:r>
          </w:p>
          <w:p w14:paraId="52F86C65">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电子</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文件：在相应签章处签章。</w:t>
            </w:r>
          </w:p>
          <w:p w14:paraId="043167CB">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3、纸质响应文件：</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文件应使用打印、复印或不能擦去的墨水书写，文字要清晰，语言要明确，并按招标文件的要求封面加盖单位公章和由法定代表人（或委托代理人）签名。</w:t>
            </w:r>
          </w:p>
          <w:p w14:paraId="34B56063">
            <w:pPr>
              <w:bidi w:val="0"/>
              <w:spacing w:line="240" w:lineRule="auto"/>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4</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投标文件应尽量避免涂改和插字，若为了改正错误必须这样做时，除了按</w:t>
            </w:r>
            <w:r>
              <w:rPr>
                <w:rFonts w:hint="eastAsia" w:ascii="仿宋" w:hAnsi="仿宋" w:eastAsia="仿宋" w:cs="仿宋"/>
                <w:color w:val="auto"/>
                <w:sz w:val="21"/>
                <w:szCs w:val="21"/>
                <w:highlight w:val="none"/>
                <w:lang w:eastAsia="zh-CN"/>
              </w:rPr>
              <w:t>采购人</w:t>
            </w:r>
            <w:r>
              <w:rPr>
                <w:rFonts w:hint="eastAsia" w:ascii="仿宋" w:hAnsi="仿宋" w:eastAsia="仿宋" w:cs="仿宋"/>
                <w:color w:val="auto"/>
                <w:sz w:val="21"/>
                <w:szCs w:val="21"/>
                <w:highlight w:val="none"/>
              </w:rPr>
              <w:t>书面指示进行修改的以外，均应由法定代表人（或委托代理人）在修改处盖章或签名确认。</w:t>
            </w:r>
          </w:p>
        </w:tc>
      </w:tr>
      <w:tr w14:paraId="632EBC92">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3604C014">
            <w:pPr>
              <w:bidi w:val="0"/>
              <w:spacing w:line="240" w:lineRule="auto"/>
              <w:jc w:val="center"/>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rPr>
              <w:t>4.1.1</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5AD3D805">
            <w:pPr>
              <w:bidi w:val="0"/>
              <w:spacing w:line="240" w:lineRule="auto"/>
              <w:jc w:val="center"/>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rPr>
              <w:t>投标截止时间</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7C3E0085">
            <w:pPr>
              <w:bidi w:val="0"/>
              <w:spacing w:line="240" w:lineRule="auto"/>
              <w:rPr>
                <w:rFonts w:hint="eastAsia" w:ascii="仿宋" w:hAnsi="仿宋" w:eastAsia="仿宋" w:cs="仿宋"/>
                <w:color w:val="auto"/>
                <w:sz w:val="21"/>
                <w:szCs w:val="21"/>
                <w:highlight w:val="none"/>
                <w:lang w:val="en-US" w:eastAsia="zh-CN"/>
              </w:rPr>
            </w:pPr>
            <w:r>
              <w:rPr>
                <w:rFonts w:hint="eastAsia" w:cs="仿宋"/>
                <w:sz w:val="21"/>
                <w:szCs w:val="21"/>
                <w:highlight w:val="none"/>
                <w:lang w:eastAsia="zh-CN"/>
              </w:rPr>
              <w:t>2025年07月31日09时30分</w:t>
            </w:r>
            <w:r>
              <w:rPr>
                <w:rFonts w:hint="eastAsia" w:ascii="仿宋" w:hAnsi="仿宋" w:eastAsia="仿宋" w:cs="仿宋"/>
                <w:color w:val="auto"/>
                <w:sz w:val="21"/>
                <w:szCs w:val="21"/>
                <w:highlight w:val="none"/>
                <w:lang w:val="zh-CN"/>
              </w:rPr>
              <w:t>（北京时间）</w:t>
            </w:r>
          </w:p>
        </w:tc>
      </w:tr>
      <w:tr w14:paraId="0AE93A0B">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0EB85654">
            <w:pPr>
              <w:bidi w:val="0"/>
              <w:spacing w:line="240"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4.2.2</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61F497A4">
            <w:pPr>
              <w:bidi w:val="0"/>
              <w:spacing w:line="240"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递交投标文件</w:t>
            </w:r>
            <w:r>
              <w:rPr>
                <w:rFonts w:hint="eastAsia" w:ascii="仿宋" w:hAnsi="仿宋" w:eastAsia="仿宋" w:cs="仿宋"/>
                <w:color w:val="auto"/>
                <w:sz w:val="21"/>
                <w:szCs w:val="21"/>
                <w:highlight w:val="none"/>
                <w:lang w:val="en-US" w:eastAsia="zh-CN"/>
              </w:rPr>
              <w:t>时间及</w:t>
            </w:r>
            <w:r>
              <w:rPr>
                <w:rFonts w:hint="eastAsia" w:ascii="仿宋" w:hAnsi="仿宋" w:eastAsia="仿宋" w:cs="仿宋"/>
                <w:color w:val="auto"/>
                <w:sz w:val="21"/>
                <w:szCs w:val="21"/>
                <w:highlight w:val="none"/>
                <w:lang w:val="zh-CN"/>
              </w:rPr>
              <w:t>地点</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040AE227">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1、投标文件递交的截止时间(投标截止时间，下同)</w:t>
            </w:r>
            <w:r>
              <w:rPr>
                <w:rFonts w:hint="eastAsia" w:cs="仿宋"/>
                <w:sz w:val="21"/>
                <w:szCs w:val="21"/>
                <w:highlight w:val="none"/>
                <w:lang w:eastAsia="zh-CN"/>
              </w:rPr>
              <w:t>2025年07月31日09时30分</w:t>
            </w:r>
            <w:r>
              <w:rPr>
                <w:rFonts w:hint="eastAsia" w:ascii="仿宋" w:hAnsi="仿宋" w:eastAsia="仿宋" w:cs="仿宋"/>
                <w:color w:val="auto"/>
                <w:sz w:val="21"/>
                <w:szCs w:val="21"/>
                <w:highlight w:val="none"/>
                <w:lang w:val="en-US" w:eastAsia="zh-CN"/>
              </w:rPr>
              <w:t>,网上递交。电子投标文件在政采云平台上直接上传投标文件。逾期未上传的投标文件，招标人不予受理。</w:t>
            </w:r>
          </w:p>
          <w:p w14:paraId="4E921AA6">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2、CA证书在线解密：供应商投标时，需携带制作投标文件时用来加密的有效数字证书(CA认证)登录“政采云”平台电子开标大厅按规定时间对加密的投标文件进行解密，未能按要求进行解密的，由此产生的后果由</w:t>
            </w:r>
            <w:r>
              <w:rPr>
                <w:rFonts w:hint="eastAsia" w:cs="仿宋"/>
                <w:color w:val="auto"/>
                <w:sz w:val="21"/>
                <w:szCs w:val="21"/>
                <w:highlight w:val="none"/>
                <w:lang w:val="en-US" w:eastAsia="zh-CN"/>
              </w:rPr>
              <w:t>投标人</w:t>
            </w:r>
            <w:r>
              <w:rPr>
                <w:rFonts w:hint="eastAsia" w:ascii="仿宋" w:hAnsi="仿宋" w:eastAsia="仿宋" w:cs="仿宋"/>
                <w:color w:val="auto"/>
                <w:sz w:val="21"/>
                <w:szCs w:val="21"/>
                <w:highlight w:val="none"/>
                <w:lang w:val="en-US" w:eastAsia="zh-CN"/>
              </w:rPr>
              <w:t>自行承担。</w:t>
            </w:r>
          </w:p>
        </w:tc>
      </w:tr>
      <w:tr w14:paraId="23AE4891">
        <w:tblPrEx>
          <w:tblCellMar>
            <w:top w:w="0" w:type="dxa"/>
            <w:left w:w="108" w:type="dxa"/>
            <w:bottom w:w="0" w:type="dxa"/>
            <w:right w:w="108" w:type="dxa"/>
          </w:tblCellMar>
        </w:tblPrEx>
        <w:trPr>
          <w:trHeight w:val="643"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1706C666">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4.2.3</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40275582">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是否退还投标文件</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4990095E">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否</w:t>
            </w:r>
          </w:p>
          <w:p w14:paraId="6039F0BD">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w:t>
            </w:r>
          </w:p>
        </w:tc>
      </w:tr>
      <w:tr w14:paraId="02B3E7EC">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right w:val="single" w:color="auto" w:sz="4" w:space="0"/>
            </w:tcBorders>
            <w:noWrap w:val="0"/>
            <w:vAlign w:val="center"/>
          </w:tcPr>
          <w:p w14:paraId="07853300">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w:t>
            </w:r>
          </w:p>
        </w:tc>
        <w:tc>
          <w:tcPr>
            <w:tcW w:w="1791" w:type="dxa"/>
            <w:tcBorders>
              <w:top w:val="single" w:color="auto" w:sz="4" w:space="0"/>
              <w:left w:val="single" w:color="auto" w:sz="4" w:space="0"/>
              <w:right w:val="single" w:color="auto" w:sz="4" w:space="0"/>
            </w:tcBorders>
            <w:noWrap w:val="0"/>
            <w:vAlign w:val="center"/>
          </w:tcPr>
          <w:p w14:paraId="031CF9D6">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开标时间和地点</w:t>
            </w:r>
          </w:p>
        </w:tc>
        <w:tc>
          <w:tcPr>
            <w:tcW w:w="5380" w:type="dxa"/>
            <w:tcBorders>
              <w:top w:val="single" w:color="auto" w:sz="4" w:space="0"/>
              <w:left w:val="single" w:color="auto" w:sz="4" w:space="0"/>
              <w:right w:val="single" w:color="auto" w:sz="4" w:space="0"/>
            </w:tcBorders>
            <w:noWrap w:val="0"/>
            <w:vAlign w:val="center"/>
          </w:tcPr>
          <w:p w14:paraId="4C0CBF0C">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开标时间：</w:t>
            </w:r>
            <w:r>
              <w:rPr>
                <w:rFonts w:hint="eastAsia" w:cs="仿宋"/>
                <w:sz w:val="21"/>
                <w:szCs w:val="21"/>
                <w:highlight w:val="none"/>
                <w:lang w:eastAsia="zh-CN"/>
              </w:rPr>
              <w:t>2025年07月31日09时30分</w:t>
            </w:r>
            <w:r>
              <w:rPr>
                <w:rFonts w:hint="eastAsia" w:ascii="仿宋" w:hAnsi="仿宋" w:eastAsia="仿宋" w:cs="仿宋"/>
                <w:color w:val="auto"/>
                <w:sz w:val="21"/>
                <w:szCs w:val="21"/>
                <w:highlight w:val="none"/>
              </w:rPr>
              <w:t>（北京时间）</w:t>
            </w:r>
          </w:p>
          <w:p w14:paraId="44190257">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开标地点：吉林市解放西路16号政务服务中心</w:t>
            </w:r>
            <w:r>
              <w:rPr>
                <w:rFonts w:hint="eastAsia" w:cs="仿宋"/>
                <w:color w:val="auto"/>
                <w:sz w:val="21"/>
                <w:szCs w:val="21"/>
                <w:highlight w:val="none"/>
                <w:lang w:val="en-US" w:eastAsia="zh-CN"/>
              </w:rPr>
              <w:t>8</w:t>
            </w:r>
            <w:r>
              <w:rPr>
                <w:rFonts w:hint="eastAsia" w:ascii="仿宋" w:hAnsi="仿宋" w:eastAsia="仿宋" w:cs="仿宋"/>
                <w:color w:val="auto"/>
                <w:sz w:val="21"/>
                <w:szCs w:val="21"/>
                <w:highlight w:val="none"/>
              </w:rPr>
              <w:t>楼开标室</w:t>
            </w:r>
          </w:p>
        </w:tc>
      </w:tr>
      <w:tr w14:paraId="72A0886F">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right w:val="single" w:color="auto" w:sz="4" w:space="0"/>
            </w:tcBorders>
            <w:noWrap w:val="0"/>
            <w:vAlign w:val="center"/>
          </w:tcPr>
          <w:p w14:paraId="00C2CC66">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w:t>
            </w:r>
          </w:p>
        </w:tc>
        <w:tc>
          <w:tcPr>
            <w:tcW w:w="1791" w:type="dxa"/>
            <w:tcBorders>
              <w:top w:val="single" w:color="auto" w:sz="4" w:space="0"/>
              <w:left w:val="single" w:color="auto" w:sz="4" w:space="0"/>
              <w:right w:val="single" w:color="auto" w:sz="4" w:space="0"/>
            </w:tcBorders>
            <w:noWrap w:val="0"/>
            <w:vAlign w:val="center"/>
          </w:tcPr>
          <w:p w14:paraId="3FDA5EF9">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开标程序</w:t>
            </w:r>
          </w:p>
        </w:tc>
        <w:tc>
          <w:tcPr>
            <w:tcW w:w="5380" w:type="dxa"/>
            <w:tcBorders>
              <w:top w:val="single" w:color="auto" w:sz="4" w:space="0"/>
              <w:left w:val="single" w:color="auto" w:sz="4" w:space="0"/>
              <w:right w:val="single" w:color="auto" w:sz="4" w:space="0"/>
            </w:tcBorders>
            <w:noWrap w:val="0"/>
            <w:vAlign w:val="center"/>
          </w:tcPr>
          <w:p w14:paraId="17A07253">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开标顺序：按投标文件电子递交顺序进行</w:t>
            </w:r>
          </w:p>
        </w:tc>
      </w:tr>
      <w:tr w14:paraId="074A237E">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right w:val="single" w:color="auto" w:sz="4" w:space="0"/>
            </w:tcBorders>
            <w:noWrap w:val="0"/>
            <w:vAlign w:val="center"/>
          </w:tcPr>
          <w:p w14:paraId="22EA100E">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6.1.1</w:t>
            </w:r>
          </w:p>
        </w:tc>
        <w:tc>
          <w:tcPr>
            <w:tcW w:w="1791" w:type="dxa"/>
            <w:tcBorders>
              <w:top w:val="single" w:color="auto" w:sz="4" w:space="0"/>
              <w:left w:val="single" w:color="auto" w:sz="4" w:space="0"/>
              <w:right w:val="single" w:color="auto" w:sz="4" w:space="0"/>
            </w:tcBorders>
            <w:noWrap w:val="0"/>
            <w:vAlign w:val="center"/>
          </w:tcPr>
          <w:p w14:paraId="7B13528B">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评标委员会的组建</w:t>
            </w:r>
          </w:p>
        </w:tc>
        <w:tc>
          <w:tcPr>
            <w:tcW w:w="5380" w:type="dxa"/>
            <w:tcBorders>
              <w:top w:val="single" w:color="auto" w:sz="4" w:space="0"/>
              <w:left w:val="single" w:color="auto" w:sz="4" w:space="0"/>
              <w:right w:val="single" w:color="auto" w:sz="4" w:space="0"/>
            </w:tcBorders>
            <w:noWrap w:val="0"/>
            <w:vAlign w:val="center"/>
          </w:tcPr>
          <w:p w14:paraId="0DDD775E">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评标委员会构成：</w:t>
            </w:r>
            <w:r>
              <w:rPr>
                <w:rFonts w:hint="eastAsia" w:cs="仿宋"/>
                <w:color w:val="auto"/>
                <w:sz w:val="21"/>
                <w:szCs w:val="21"/>
                <w:highlight w:val="none"/>
                <w:lang w:val="en-US" w:eastAsia="zh-CN"/>
              </w:rPr>
              <w:t>5</w:t>
            </w:r>
            <w:r>
              <w:rPr>
                <w:rFonts w:hint="eastAsia" w:ascii="仿宋" w:hAnsi="仿宋" w:eastAsia="仿宋" w:cs="仿宋"/>
                <w:color w:val="auto"/>
                <w:sz w:val="21"/>
                <w:szCs w:val="21"/>
                <w:highlight w:val="none"/>
              </w:rPr>
              <w:t>人，其中招标人代表</w:t>
            </w:r>
            <w:bookmarkStart w:id="25" w:name="EBcc387c5aa187475cacda6c5356ff7425"/>
            <w:r>
              <w:rPr>
                <w:rFonts w:hint="eastAsia" w:ascii="仿宋" w:hAnsi="仿宋" w:eastAsia="仿宋" w:cs="仿宋"/>
                <w:color w:val="auto"/>
                <w:sz w:val="21"/>
                <w:szCs w:val="21"/>
                <w:highlight w:val="none"/>
              </w:rPr>
              <w:t>0</w:t>
            </w:r>
            <w:bookmarkEnd w:id="25"/>
            <w:r>
              <w:rPr>
                <w:rFonts w:hint="eastAsia" w:ascii="仿宋" w:hAnsi="仿宋" w:eastAsia="仿宋" w:cs="仿宋"/>
                <w:color w:val="auto"/>
                <w:sz w:val="21"/>
                <w:szCs w:val="21"/>
                <w:highlight w:val="none"/>
              </w:rPr>
              <w:t>-1人，专家</w:t>
            </w:r>
            <w:bookmarkStart w:id="26" w:name="EB11f222dec9764b00acd1f958c8c242bf"/>
            <w:r>
              <w:rPr>
                <w:rFonts w:hint="eastAsia" w:cs="仿宋"/>
                <w:color w:val="auto"/>
                <w:sz w:val="21"/>
                <w:szCs w:val="21"/>
                <w:highlight w:val="none"/>
                <w:lang w:val="en-US" w:eastAsia="zh-CN"/>
              </w:rPr>
              <w:t>4</w:t>
            </w:r>
            <w:r>
              <w:rPr>
                <w:rFonts w:hint="eastAsia" w:ascii="仿宋" w:hAnsi="仿宋" w:eastAsia="仿宋" w:cs="仿宋"/>
                <w:color w:val="auto"/>
                <w:sz w:val="21"/>
                <w:szCs w:val="21"/>
                <w:highlight w:val="none"/>
              </w:rPr>
              <w:t>-</w:t>
            </w:r>
            <w:bookmarkEnd w:id="26"/>
            <w:r>
              <w:rPr>
                <w:rFonts w:hint="eastAsia" w:cs="仿宋"/>
                <w:color w:val="auto"/>
                <w:sz w:val="21"/>
                <w:szCs w:val="21"/>
                <w:highlight w:val="none"/>
                <w:lang w:val="en-US" w:eastAsia="zh-CN"/>
              </w:rPr>
              <w:t>5</w:t>
            </w:r>
            <w:r>
              <w:rPr>
                <w:rFonts w:hint="eastAsia" w:ascii="仿宋" w:hAnsi="仿宋" w:eastAsia="仿宋" w:cs="仿宋"/>
                <w:color w:val="auto"/>
                <w:sz w:val="21"/>
                <w:szCs w:val="21"/>
                <w:highlight w:val="none"/>
              </w:rPr>
              <w:t>人；</w:t>
            </w:r>
          </w:p>
          <w:p w14:paraId="31B0BADD">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评标专家确定方式：在政府采购主管部门认定的评标专家库中随机抽取。</w:t>
            </w:r>
          </w:p>
        </w:tc>
      </w:tr>
      <w:tr w14:paraId="157171D1">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right w:val="single" w:color="auto" w:sz="4" w:space="0"/>
            </w:tcBorders>
            <w:noWrap w:val="0"/>
            <w:vAlign w:val="center"/>
          </w:tcPr>
          <w:p w14:paraId="1F2BCB09">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6.3.2</w:t>
            </w:r>
          </w:p>
        </w:tc>
        <w:tc>
          <w:tcPr>
            <w:tcW w:w="1791" w:type="dxa"/>
            <w:tcBorders>
              <w:top w:val="single" w:color="auto" w:sz="4" w:space="0"/>
              <w:left w:val="single" w:color="auto" w:sz="4" w:space="0"/>
              <w:right w:val="single" w:color="auto" w:sz="4" w:space="0"/>
            </w:tcBorders>
            <w:noWrap w:val="0"/>
            <w:vAlign w:val="center"/>
          </w:tcPr>
          <w:p w14:paraId="528ADC04">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是否授权评标委员会确定中标人</w:t>
            </w:r>
          </w:p>
        </w:tc>
        <w:tc>
          <w:tcPr>
            <w:tcW w:w="5380" w:type="dxa"/>
            <w:tcBorders>
              <w:top w:val="single" w:color="auto" w:sz="4" w:space="0"/>
              <w:left w:val="single" w:color="auto" w:sz="4" w:space="0"/>
              <w:right w:val="single" w:color="auto" w:sz="4" w:space="0"/>
            </w:tcBorders>
            <w:noWrap w:val="0"/>
            <w:vAlign w:val="center"/>
          </w:tcPr>
          <w:p w14:paraId="2AA13192">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sym w:font="Wingdings 2" w:char="00A3"/>
            </w:r>
            <w:r>
              <w:rPr>
                <w:rFonts w:hint="eastAsia" w:ascii="仿宋" w:hAnsi="仿宋" w:eastAsia="仿宋" w:cs="仿宋"/>
                <w:color w:val="auto"/>
                <w:sz w:val="21"/>
                <w:szCs w:val="21"/>
                <w:highlight w:val="none"/>
              </w:rPr>
              <w:t>是</w:t>
            </w:r>
          </w:p>
          <w:p w14:paraId="6FECA6AA">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sym w:font="Wingdings 2" w:char="0052"/>
            </w:r>
            <w:r>
              <w:rPr>
                <w:rFonts w:hint="eastAsia" w:ascii="仿宋" w:hAnsi="仿宋" w:eastAsia="仿宋" w:cs="仿宋"/>
                <w:color w:val="auto"/>
                <w:sz w:val="21"/>
                <w:szCs w:val="21"/>
                <w:highlight w:val="none"/>
              </w:rPr>
              <w:t>否，推荐的中标候选人数：3人。</w:t>
            </w:r>
          </w:p>
          <w:p w14:paraId="750A4ECF">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eastAsia="zh-CN"/>
              </w:rPr>
              <w:t>评标委员会推荐初步评审合格，综合评审得分由高到低排名第一、第二、第三的</w:t>
            </w: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lang w:val="zh-CN" w:eastAsia="zh-CN"/>
              </w:rPr>
              <w:t>为中标候选人。</w:t>
            </w:r>
          </w:p>
        </w:tc>
      </w:tr>
      <w:tr w14:paraId="709F6F17">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right w:val="single" w:color="auto" w:sz="4" w:space="0"/>
            </w:tcBorders>
            <w:noWrap w:val="0"/>
            <w:vAlign w:val="center"/>
          </w:tcPr>
          <w:p w14:paraId="18C11137">
            <w:pPr>
              <w:bidi w:val="0"/>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val="en-US" w:eastAsia="zh-CN"/>
              </w:rPr>
              <w:t>1</w:t>
            </w:r>
          </w:p>
        </w:tc>
        <w:tc>
          <w:tcPr>
            <w:tcW w:w="1791" w:type="dxa"/>
            <w:tcBorders>
              <w:top w:val="single" w:color="auto" w:sz="4" w:space="0"/>
              <w:left w:val="single" w:color="auto" w:sz="4" w:space="0"/>
              <w:right w:val="single" w:color="auto" w:sz="4" w:space="0"/>
            </w:tcBorders>
            <w:noWrap w:val="0"/>
            <w:vAlign w:val="center"/>
          </w:tcPr>
          <w:p w14:paraId="77AE10C4">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中标人公示媒介及期限</w:t>
            </w:r>
          </w:p>
        </w:tc>
        <w:tc>
          <w:tcPr>
            <w:tcW w:w="5380" w:type="dxa"/>
            <w:tcBorders>
              <w:top w:val="single" w:color="auto" w:sz="4" w:space="0"/>
              <w:left w:val="single" w:color="auto" w:sz="4" w:space="0"/>
              <w:right w:val="single" w:color="auto" w:sz="4" w:space="0"/>
            </w:tcBorders>
            <w:noWrap w:val="0"/>
            <w:vAlign w:val="center"/>
          </w:tcPr>
          <w:p w14:paraId="38DCF7D9">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公示媒介：“政采云”平台(http：//www.zcygov.cn)、中国政府采购网、</w:t>
            </w:r>
            <w:r>
              <w:rPr>
                <w:rFonts w:hint="eastAsia" w:ascii="仿宋" w:hAnsi="仿宋" w:eastAsia="仿宋" w:cs="仿宋"/>
                <w:color w:val="auto"/>
                <w:sz w:val="21"/>
                <w:szCs w:val="21"/>
                <w:highlight w:val="none"/>
                <w:lang w:eastAsia="zh-CN"/>
              </w:rPr>
              <w:t>中国采购与招标网</w:t>
            </w:r>
            <w:r>
              <w:rPr>
                <w:rFonts w:hint="eastAsia" w:ascii="仿宋" w:hAnsi="仿宋" w:eastAsia="仿宋" w:cs="仿宋"/>
                <w:color w:val="auto"/>
                <w:sz w:val="21"/>
                <w:szCs w:val="21"/>
                <w:highlight w:val="none"/>
              </w:rPr>
              <w:t>；</w:t>
            </w:r>
          </w:p>
          <w:p w14:paraId="46F91825">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公示期限：1个工作日；</w:t>
            </w:r>
          </w:p>
          <w:p w14:paraId="6AC4CD7F">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公示的其他内容：无。</w:t>
            </w:r>
          </w:p>
        </w:tc>
      </w:tr>
      <w:tr w14:paraId="7DBB326A">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59F00A60">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2982E4F0">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电子招标投标</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4EBCC2FE">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□否</w:t>
            </w:r>
          </w:p>
          <w:p w14:paraId="21C60D17">
            <w:p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是，具体要求：详见</w:t>
            </w:r>
            <w:r>
              <w:rPr>
                <w:rFonts w:hint="eastAsia" w:ascii="仿宋" w:hAnsi="仿宋" w:eastAsia="仿宋" w:cs="仿宋"/>
                <w:color w:val="auto"/>
                <w:sz w:val="21"/>
                <w:szCs w:val="21"/>
                <w:highlight w:val="none"/>
                <w:lang w:eastAsia="zh-CN"/>
              </w:rPr>
              <w:t>招标文件</w:t>
            </w:r>
          </w:p>
        </w:tc>
      </w:tr>
      <w:tr w14:paraId="55E1A984">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08B582EE">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7171" w:type="dxa"/>
            <w:gridSpan w:val="2"/>
            <w:tcBorders>
              <w:top w:val="single" w:color="auto" w:sz="4" w:space="0"/>
              <w:left w:val="single" w:color="auto" w:sz="4" w:space="0"/>
              <w:bottom w:val="single" w:color="auto" w:sz="4" w:space="0"/>
              <w:right w:val="single" w:color="auto" w:sz="4" w:space="0"/>
            </w:tcBorders>
            <w:noWrap w:val="0"/>
            <w:vAlign w:val="center"/>
          </w:tcPr>
          <w:p w14:paraId="5E71C641">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需要补充的其他内容</w:t>
            </w:r>
          </w:p>
        </w:tc>
      </w:tr>
      <w:tr w14:paraId="6FB31989">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21DC75B3">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9.1</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1207E987">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考察中标候选人</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1F49DE54">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采购人在招投标管理机构的监督下，可以对中标候选人进行考察</w:t>
            </w:r>
          </w:p>
        </w:tc>
      </w:tr>
      <w:tr w14:paraId="4888434C">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69377F09">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9.2</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5764C57E">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资格审查方式</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6DC53F50">
            <w:pPr>
              <w:bidi w:val="0"/>
              <w:spacing w:line="24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资格后审</w:t>
            </w:r>
          </w:p>
        </w:tc>
      </w:tr>
      <w:tr w14:paraId="3394FD47">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07DF5AC0">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9.3</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08508BB1">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评审办法</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1A4182A7">
            <w:pPr>
              <w:bidi w:val="0"/>
              <w:spacing w:line="24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综合评标法</w:t>
            </w:r>
          </w:p>
        </w:tc>
      </w:tr>
      <w:tr w14:paraId="605DBE73">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5EF808A4">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9.4</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18075E5E">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低于成本报价</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0068B71A">
            <w:pPr>
              <w:bidi w:val="0"/>
              <w:spacing w:line="24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依据财政部第</w:t>
            </w:r>
            <w:r>
              <w:rPr>
                <w:rFonts w:hint="eastAsia" w:ascii="仿宋" w:hAnsi="仿宋" w:eastAsia="仿宋" w:cs="仿宋"/>
                <w:color w:val="auto"/>
                <w:sz w:val="21"/>
                <w:szCs w:val="21"/>
                <w:highlight w:val="none"/>
              </w:rPr>
              <w:t>87号令第60条：</w:t>
            </w:r>
            <w:r>
              <w:rPr>
                <w:rFonts w:hint="eastAsia" w:ascii="仿宋" w:hAnsi="仿宋" w:eastAsia="仿宋" w:cs="仿宋"/>
                <w:color w:val="auto"/>
                <w:sz w:val="21"/>
                <w:szCs w:val="21"/>
                <w:highlight w:val="none"/>
                <w:lang w:val="zh-CN"/>
              </w:rPr>
              <w:t>评标委员会发现</w:t>
            </w: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lang w:val="zh-CN"/>
              </w:rPr>
              <w:t>的报价明显低于其他通过符合性审查</w:t>
            </w: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lang w:val="zh-CN"/>
              </w:rPr>
              <w:t>的报价，有可能影响产品质量或者不能诚信履约的，应当要求该</w:t>
            </w: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lang w:val="zh-CN"/>
              </w:rPr>
              <w:t>在评标现场合理时间内作出书面说明并提供相应的证明材料。</w:t>
            </w: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lang w:val="zh-CN"/>
              </w:rPr>
              <w:t>不能合理说明或者不能提供相应证明材料的，由评标委员会认定该</w:t>
            </w: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lang w:val="zh-CN"/>
              </w:rPr>
              <w:t>以低于成本报价竞标，其投标将被否决。</w:t>
            </w:r>
          </w:p>
        </w:tc>
      </w:tr>
      <w:tr w14:paraId="48B0BDE8">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45F2EDF0">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9.5</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51433436">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招标代理费</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3B04A81E">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收费依据：按照国家发展计划委员会“发改价格【2015】299号”文要求。</w:t>
            </w:r>
          </w:p>
          <w:p w14:paraId="39DAA746">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收取对象：中标人</w:t>
            </w:r>
          </w:p>
          <w:p w14:paraId="62D09AA5">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收费标准：</w:t>
            </w:r>
            <w:r>
              <w:rPr>
                <w:rFonts w:hint="eastAsia" w:cs="仿宋"/>
                <w:color w:val="auto"/>
                <w:sz w:val="21"/>
                <w:szCs w:val="21"/>
                <w:highlight w:val="none"/>
                <w:lang w:val="en-US" w:eastAsia="zh-CN"/>
              </w:rPr>
              <w:t>中标金额1.8%收取</w:t>
            </w:r>
          </w:p>
        </w:tc>
      </w:tr>
      <w:tr w14:paraId="7D269954">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02BE65A5">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9.6</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4353C2E3">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采购代理机构项目负责人</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3AFC0081">
            <w:pPr>
              <w:bidi w:val="0"/>
              <w:spacing w:line="240" w:lineRule="auto"/>
              <w:rPr>
                <w:rFonts w:hint="eastAsia" w:cs="仿宋"/>
                <w:color w:val="auto"/>
                <w:sz w:val="21"/>
                <w:szCs w:val="21"/>
                <w:highlight w:val="none"/>
                <w:lang w:val="en-US" w:eastAsia="zh-CN"/>
              </w:rPr>
            </w:pPr>
            <w:r>
              <w:rPr>
                <w:rFonts w:hint="eastAsia" w:cs="仿宋"/>
                <w:color w:val="auto"/>
                <w:sz w:val="21"/>
                <w:szCs w:val="21"/>
                <w:highlight w:val="none"/>
                <w:lang w:val="en-US" w:eastAsia="zh-CN"/>
              </w:rPr>
              <w:t>王雪</w:t>
            </w:r>
          </w:p>
        </w:tc>
      </w:tr>
      <w:tr w14:paraId="48D9AF1B">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0A0C633C">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9.7</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4FE0A477">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付款方式</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7955F9C7">
            <w:pPr>
              <w:bidi w:val="0"/>
              <w:spacing w:line="240" w:lineRule="auto"/>
              <w:rPr>
                <w:rFonts w:hint="default"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按月结算（以实际发生的金额进行结算，具体以合同签订为准）</w:t>
            </w:r>
          </w:p>
        </w:tc>
      </w:tr>
      <w:tr w14:paraId="72DBAE78">
        <w:tblPrEx>
          <w:tblCellMar>
            <w:top w:w="0" w:type="dxa"/>
            <w:left w:w="108" w:type="dxa"/>
            <w:bottom w:w="0" w:type="dxa"/>
            <w:right w:w="108" w:type="dxa"/>
          </w:tblCellMar>
        </w:tblPrEx>
        <w:trPr>
          <w:trHeight w:val="454" w:hRule="atLeast"/>
        </w:trPr>
        <w:tc>
          <w:tcPr>
            <w:tcW w:w="8325" w:type="dxa"/>
            <w:gridSpan w:val="3"/>
            <w:tcBorders>
              <w:top w:val="single" w:color="auto" w:sz="4" w:space="0"/>
              <w:left w:val="single" w:color="auto" w:sz="4" w:space="0"/>
              <w:bottom w:val="single" w:color="auto" w:sz="4" w:space="0"/>
              <w:right w:val="single" w:color="auto" w:sz="4" w:space="0"/>
            </w:tcBorders>
            <w:noWrap w:val="0"/>
            <w:vAlign w:val="center"/>
          </w:tcPr>
          <w:p w14:paraId="5C934FD7">
            <w:pPr>
              <w:bidi w:val="0"/>
              <w:spacing w:line="240" w:lineRule="auto"/>
              <w:jc w:val="center"/>
              <w:rPr>
                <w:rFonts w:hint="eastAsia" w:ascii="仿宋" w:hAnsi="仿宋" w:eastAsia="仿宋" w:cs="仿宋"/>
                <w:color w:val="auto"/>
                <w:sz w:val="21"/>
                <w:szCs w:val="21"/>
                <w:highlight w:val="none"/>
                <w:lang w:eastAsia="zh-CN"/>
              </w:rPr>
            </w:pPr>
            <w:bookmarkStart w:id="27" w:name="OLE_LINK28"/>
            <w:bookmarkStart w:id="28" w:name="OLE_LINK29"/>
            <w:bookmarkStart w:id="29" w:name="OLE_LINK27"/>
            <w:r>
              <w:rPr>
                <w:rFonts w:hint="eastAsia" w:ascii="仿宋" w:hAnsi="仿宋" w:eastAsia="仿宋" w:cs="仿宋"/>
                <w:color w:val="auto"/>
                <w:sz w:val="21"/>
                <w:szCs w:val="21"/>
                <w:highlight w:val="none"/>
                <w:lang w:eastAsia="zh-CN"/>
              </w:rPr>
              <w:t>注：投标人须知前附表”用于修改、补充和完善正文中的相关事宜，前附表与正文如有冲突以正文为准</w:t>
            </w:r>
            <w:bookmarkEnd w:id="27"/>
            <w:bookmarkEnd w:id="28"/>
            <w:bookmarkEnd w:id="29"/>
            <w:r>
              <w:rPr>
                <w:rFonts w:hint="eastAsia" w:ascii="仿宋" w:hAnsi="仿宋" w:eastAsia="仿宋" w:cs="仿宋"/>
                <w:color w:val="auto"/>
                <w:sz w:val="21"/>
                <w:szCs w:val="21"/>
                <w:highlight w:val="none"/>
                <w:lang w:eastAsia="zh-CN"/>
              </w:rPr>
              <w:t>，招标公告与招标文件不符之处以招标文件为准。</w:t>
            </w:r>
          </w:p>
        </w:tc>
      </w:tr>
      <w:tr w14:paraId="288A9C45">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6D318922">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特别提醒</w:t>
            </w:r>
          </w:p>
        </w:tc>
        <w:tc>
          <w:tcPr>
            <w:tcW w:w="7171" w:type="dxa"/>
            <w:gridSpan w:val="2"/>
            <w:tcBorders>
              <w:top w:val="single" w:color="auto" w:sz="4" w:space="0"/>
              <w:left w:val="single" w:color="auto" w:sz="4" w:space="0"/>
              <w:bottom w:val="single" w:color="auto" w:sz="4" w:space="0"/>
              <w:right w:val="single" w:color="auto" w:sz="4" w:space="0"/>
            </w:tcBorders>
            <w:noWrap w:val="0"/>
            <w:vAlign w:val="center"/>
          </w:tcPr>
          <w:p w14:paraId="75A3D54E">
            <w:pPr>
              <w:bidi w:val="0"/>
              <w:spacing w:line="240"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eastAsia="zh-CN"/>
              </w:rPr>
              <w:t>评标委员会认为</w:t>
            </w: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lang w:val="zh-CN" w:eastAsia="zh-CN"/>
              </w:rPr>
              <w:t>的报价明显低于其他通过符合性审查</w:t>
            </w: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lang w:val="zh-CN" w:eastAsia="zh-CN"/>
              </w:rPr>
              <w:t>的报价，有可能影响产品质量或者不能诚信履约的，应当要求其在评标现场合理的时间内提供书面说明，必要时提交相关证明材料；</w:t>
            </w: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lang w:val="zh-CN" w:eastAsia="zh-CN"/>
              </w:rPr>
              <w:t>不能证明其报价合理性的，评标委员会应当将其作为无效投标处理。</w:t>
            </w:r>
          </w:p>
          <w:p w14:paraId="6AC3BA48">
            <w:pPr>
              <w:bidi w:val="0"/>
              <w:spacing w:line="24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eastAsia="zh-CN"/>
              </w:rPr>
              <w:t>投标方应为响应文件中所提供的复印件材料真实性负责，一经查实如有虚假伪造，采购人有权取消</w:t>
            </w: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lang w:val="zh-CN" w:eastAsia="zh-CN"/>
              </w:rPr>
              <w:t>的投标资格，签订合同的，采购人有权单方面取消合同并按照相关法律法规追究投标方所造成的损失。</w:t>
            </w:r>
          </w:p>
        </w:tc>
      </w:tr>
      <w:tr w14:paraId="51C3BF7C">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0DF10503">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电子标操作说明</w:t>
            </w:r>
          </w:p>
        </w:tc>
        <w:tc>
          <w:tcPr>
            <w:tcW w:w="7171" w:type="dxa"/>
            <w:gridSpan w:val="2"/>
            <w:tcBorders>
              <w:top w:val="single" w:color="auto" w:sz="4" w:space="0"/>
              <w:left w:val="single" w:color="auto" w:sz="4" w:space="0"/>
              <w:bottom w:val="single" w:color="auto" w:sz="4" w:space="0"/>
              <w:right w:val="single" w:color="auto" w:sz="4" w:space="0"/>
            </w:tcBorders>
            <w:noWrap w:val="0"/>
            <w:vAlign w:val="center"/>
          </w:tcPr>
          <w:p w14:paraId="72ED32F0">
            <w:pPr>
              <w:bidi w:val="0"/>
              <w:spacing w:line="240"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本次招标实行不见面开标，具体要求如下：</w:t>
            </w:r>
          </w:p>
          <w:p w14:paraId="7EF0F6ED">
            <w:pPr>
              <w:bidi w:val="0"/>
              <w:spacing w:line="240"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(1)投标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吉林市“政采云”平台，供应商在“政采云”平台提交电子版投标文件时，请填写参加远程开标活动经办人联系方式。</w:t>
            </w:r>
          </w:p>
          <w:p w14:paraId="7215B6F6">
            <w:pPr>
              <w:bidi w:val="0"/>
              <w:spacing w:line="240"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具体办理流程请致电当地财政局）</w:t>
            </w:r>
          </w:p>
          <w:p w14:paraId="629861EC">
            <w:pPr>
              <w:bidi w:val="0"/>
              <w:spacing w:line="240"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(3)为确保网上操作合法、有效和安全，请投标供应商确保在电子投标过程中能够对相关数据电文进行加密和使用电子签章，妥善保管CA数字证书并使用有效的CA数字证书参与整个招标活动。</w:t>
            </w:r>
          </w:p>
          <w:p w14:paraId="28E54654">
            <w:pPr>
              <w:bidi w:val="0"/>
              <w:spacing w:line="240"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57E16189">
            <w:pPr>
              <w:bidi w:val="0"/>
              <w:spacing w:line="240"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(4)开标地点：本次招标将于</w:t>
            </w:r>
            <w:r>
              <w:rPr>
                <w:rFonts w:hint="eastAsia" w:cs="仿宋"/>
                <w:sz w:val="21"/>
                <w:szCs w:val="21"/>
                <w:highlight w:val="none"/>
                <w:lang w:eastAsia="zh-CN"/>
              </w:rPr>
              <w:t>2025年07月31日09时30分</w:t>
            </w:r>
            <w:r>
              <w:rPr>
                <w:rFonts w:hint="eastAsia" w:ascii="仿宋" w:hAnsi="仿宋" w:eastAsia="仿宋" w:cs="仿宋"/>
                <w:color w:val="auto"/>
                <w:sz w:val="21"/>
                <w:szCs w:val="21"/>
                <w:highlight w:val="none"/>
                <w:lang w:val="zh-CN" w:eastAsia="zh-CN"/>
              </w:rPr>
              <w:t>(北京时间)在“政采云”平台电子开标大厅开标。</w:t>
            </w:r>
          </w:p>
          <w:p w14:paraId="13155DF4">
            <w:pPr>
              <w:bidi w:val="0"/>
              <w:spacing w:line="240"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(5)CA证书在线解密：供应商投标时，需携带制作投标文件时用来加密的有效数字证书(CA认证)登录“政采云”平台电子开标大厅现场按规定时间对加密的投标文件进行解密，未能按要求进行解密的，由此产生的后果由投标人自行承担。</w:t>
            </w:r>
          </w:p>
        </w:tc>
      </w:tr>
      <w:tr w14:paraId="13D690EA">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3FE2533E">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招标文件份数补充说明</w:t>
            </w:r>
          </w:p>
        </w:tc>
        <w:tc>
          <w:tcPr>
            <w:tcW w:w="7171" w:type="dxa"/>
            <w:gridSpan w:val="2"/>
            <w:tcBorders>
              <w:top w:val="single" w:color="auto" w:sz="4" w:space="0"/>
              <w:left w:val="single" w:color="auto" w:sz="4" w:space="0"/>
              <w:bottom w:val="single" w:color="auto" w:sz="4" w:space="0"/>
              <w:right w:val="single" w:color="auto" w:sz="4" w:space="0"/>
            </w:tcBorders>
            <w:noWrap w:val="0"/>
            <w:vAlign w:val="center"/>
          </w:tcPr>
          <w:p w14:paraId="76BB9DE2">
            <w:pPr>
              <w:bidi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中标单位需在中标通知书领取之前到招标代理公司提交与中标文件相同的纸版投标文件</w:t>
            </w:r>
            <w:r>
              <w:rPr>
                <w:rFonts w:hint="eastAsia" w:cs="仿宋"/>
                <w:color w:val="auto"/>
                <w:sz w:val="21"/>
                <w:szCs w:val="21"/>
                <w:highlight w:val="none"/>
                <w:lang w:val="en-US" w:eastAsia="zh-CN"/>
              </w:rPr>
              <w:t>5</w:t>
            </w:r>
            <w:r>
              <w:rPr>
                <w:rFonts w:hint="eastAsia" w:ascii="仿宋" w:hAnsi="仿宋" w:eastAsia="仿宋" w:cs="仿宋"/>
                <w:color w:val="auto"/>
                <w:sz w:val="21"/>
                <w:szCs w:val="21"/>
                <w:highlight w:val="none"/>
              </w:rPr>
              <w:t>份（</w:t>
            </w:r>
            <w:r>
              <w:rPr>
                <w:rFonts w:hint="eastAsia" w:ascii="仿宋" w:hAnsi="仿宋" w:eastAsia="仿宋" w:cs="仿宋"/>
                <w:color w:val="auto"/>
                <w:sz w:val="21"/>
                <w:szCs w:val="21"/>
                <w:highlight w:val="none"/>
                <w:lang w:val="en-US" w:eastAsia="zh-CN"/>
              </w:rPr>
              <w:t>1正本</w:t>
            </w:r>
            <w:r>
              <w:rPr>
                <w:rFonts w:hint="eastAsia" w:cs="仿宋"/>
                <w:color w:val="auto"/>
                <w:sz w:val="21"/>
                <w:szCs w:val="21"/>
                <w:highlight w:val="none"/>
                <w:lang w:val="en-US" w:eastAsia="zh-CN"/>
              </w:rPr>
              <w:t>4</w:t>
            </w:r>
            <w:r>
              <w:rPr>
                <w:rFonts w:hint="eastAsia" w:ascii="仿宋" w:hAnsi="仿宋" w:eastAsia="仿宋" w:cs="仿宋"/>
                <w:color w:val="auto"/>
                <w:sz w:val="21"/>
                <w:szCs w:val="21"/>
                <w:highlight w:val="none"/>
                <w:lang w:val="en-US" w:eastAsia="zh-CN"/>
              </w:rPr>
              <w:t>副本</w:t>
            </w:r>
            <w:r>
              <w:rPr>
                <w:rFonts w:hint="eastAsia" w:ascii="仿宋" w:hAnsi="仿宋" w:eastAsia="仿宋" w:cs="仿宋"/>
                <w:color w:val="auto"/>
                <w:sz w:val="21"/>
                <w:szCs w:val="21"/>
                <w:highlight w:val="none"/>
              </w:rPr>
              <w:t>），软件制作生成的未加密及Word版电子投标文件1份，否则视为放弃中标。</w:t>
            </w:r>
          </w:p>
        </w:tc>
      </w:tr>
      <w:tr w14:paraId="1B8EF834">
        <w:tblPrEx>
          <w:tblCellMar>
            <w:top w:w="0" w:type="dxa"/>
            <w:left w:w="108" w:type="dxa"/>
            <w:bottom w:w="0" w:type="dxa"/>
            <w:right w:w="108" w:type="dxa"/>
          </w:tblCellMar>
        </w:tblPrEx>
        <w:trPr>
          <w:trHeight w:val="454" w:hRule="atLeast"/>
        </w:trPr>
        <w:tc>
          <w:tcPr>
            <w:tcW w:w="8325" w:type="dxa"/>
            <w:gridSpan w:val="3"/>
            <w:tcBorders>
              <w:top w:val="single" w:color="auto" w:sz="4" w:space="0"/>
              <w:left w:val="single" w:color="auto" w:sz="4" w:space="0"/>
              <w:bottom w:val="single" w:color="auto" w:sz="4" w:space="0"/>
              <w:right w:val="single" w:color="auto" w:sz="4" w:space="0"/>
            </w:tcBorders>
            <w:noWrap w:val="0"/>
            <w:vAlign w:val="center"/>
          </w:tcPr>
          <w:p w14:paraId="1E3F941E">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注：投标人须知前附表”用于修改、补充和完善正文中的相关事宜，前附表与正文如有冲突以正文为准。</w:t>
            </w:r>
          </w:p>
        </w:tc>
      </w:tr>
    </w:tbl>
    <w:p w14:paraId="3BCCFB20">
      <w:pPr>
        <w:rPr>
          <w:rFonts w:hint="eastAsia" w:ascii="仿宋" w:hAnsi="仿宋" w:eastAsia="仿宋" w:cs="仿宋"/>
          <w:color w:val="auto"/>
          <w:highlight w:val="none"/>
        </w:rPr>
      </w:pPr>
    </w:p>
    <w:p w14:paraId="369E6873">
      <w:pPr>
        <w:rPr>
          <w:rFonts w:hint="eastAsia" w:ascii="仿宋" w:hAnsi="仿宋" w:eastAsia="仿宋" w:cs="仿宋"/>
          <w:b/>
          <w:bCs/>
          <w:color w:val="auto"/>
          <w:kern w:val="2"/>
          <w:sz w:val="24"/>
          <w:szCs w:val="28"/>
          <w:highlight w:val="none"/>
          <w:lang w:val="en-US" w:eastAsia="zh-CN" w:bidi="ar-SA"/>
        </w:rPr>
      </w:pPr>
      <w:bookmarkStart w:id="30" w:name="_Toc152042305"/>
      <w:bookmarkStart w:id="31" w:name="_Toc246996918"/>
      <w:bookmarkStart w:id="32" w:name="_Toc179632546"/>
      <w:bookmarkStart w:id="33" w:name="_Toc296602420"/>
      <w:bookmarkStart w:id="34" w:name="_Toc247085689"/>
      <w:bookmarkStart w:id="35" w:name="_Toc152045529"/>
      <w:bookmarkStart w:id="36" w:name="_Toc246996175"/>
      <w:bookmarkStart w:id="37" w:name="_Toc144974497"/>
      <w:r>
        <w:rPr>
          <w:rFonts w:hint="eastAsia" w:ascii="仿宋" w:hAnsi="仿宋" w:eastAsia="仿宋" w:cs="仿宋"/>
          <w:b/>
          <w:bCs/>
          <w:color w:val="auto"/>
          <w:kern w:val="2"/>
          <w:sz w:val="24"/>
          <w:szCs w:val="28"/>
          <w:highlight w:val="none"/>
          <w:lang w:val="en-US" w:eastAsia="zh-CN" w:bidi="ar-SA"/>
        </w:rPr>
        <w:br w:type="page"/>
      </w:r>
    </w:p>
    <w:p w14:paraId="10C2873B">
      <w:pPr>
        <w:autoSpaceDE w:val="0"/>
        <w:autoSpaceDN w:val="0"/>
        <w:adjustRightInd w:val="0"/>
        <w:spacing w:beforeLines="50" w:afterLines="50" w:line="360" w:lineRule="auto"/>
        <w:jc w:val="center"/>
        <w:outlineLvl w:val="1"/>
        <w:rPr>
          <w:rFonts w:hint="eastAsia" w:ascii="仿宋" w:hAnsi="仿宋" w:eastAsia="仿宋" w:cs="仿宋"/>
          <w:b/>
          <w:bCs/>
          <w:color w:val="auto"/>
          <w:kern w:val="2"/>
          <w:sz w:val="24"/>
          <w:szCs w:val="28"/>
          <w:highlight w:val="none"/>
          <w:lang w:val="zh-CN" w:eastAsia="zh-CN" w:bidi="ar-SA"/>
        </w:rPr>
      </w:pPr>
      <w:r>
        <w:rPr>
          <w:rFonts w:hint="eastAsia" w:ascii="仿宋" w:hAnsi="仿宋" w:eastAsia="仿宋" w:cs="仿宋"/>
          <w:b/>
          <w:bCs/>
          <w:color w:val="auto"/>
          <w:kern w:val="2"/>
          <w:sz w:val="24"/>
          <w:szCs w:val="28"/>
          <w:highlight w:val="none"/>
          <w:lang w:val="en-US" w:eastAsia="zh-CN" w:bidi="ar-SA"/>
        </w:rPr>
        <w:t>投标人须知正文</w:t>
      </w:r>
    </w:p>
    <w:bookmarkEnd w:id="30"/>
    <w:bookmarkEnd w:id="31"/>
    <w:bookmarkEnd w:id="32"/>
    <w:bookmarkEnd w:id="33"/>
    <w:bookmarkEnd w:id="34"/>
    <w:bookmarkEnd w:id="35"/>
    <w:bookmarkEnd w:id="36"/>
    <w:bookmarkEnd w:id="37"/>
    <w:p w14:paraId="5B22811D">
      <w:pPr>
        <w:numPr>
          <w:ilvl w:val="0"/>
          <w:numId w:val="4"/>
        </w:numPr>
        <w:bidi w:val="0"/>
        <w:rPr>
          <w:color w:val="auto"/>
          <w:highlight w:val="none"/>
        </w:rPr>
      </w:pPr>
      <w:bookmarkStart w:id="38" w:name="_Toc55285624"/>
      <w:bookmarkStart w:id="39" w:name="_Toc152045609"/>
      <w:bookmarkStart w:id="40" w:name="_Toc144974577"/>
      <w:bookmarkStart w:id="41" w:name="_Toc179632627"/>
      <w:bookmarkStart w:id="42" w:name="_Toc152042387"/>
      <w:bookmarkStart w:id="43" w:name="_Toc246996995"/>
      <w:bookmarkStart w:id="44" w:name="_Toc247085767"/>
      <w:bookmarkStart w:id="45" w:name="_Toc52181483"/>
      <w:bookmarkStart w:id="46" w:name="_Toc246996252"/>
      <w:r>
        <w:rPr>
          <w:color w:val="auto"/>
          <w:highlight w:val="none"/>
        </w:rPr>
        <w:t>适用法律：本次招标适用法律法规为《中华人民共和国政府采购法》、《政府采购货物和服务招标投标管理办法》《中华人民共和国政府采购法实施条例》及政府采购其它相关法规。</w:t>
      </w:r>
    </w:p>
    <w:p w14:paraId="5D0EB3BE">
      <w:pPr>
        <w:numPr>
          <w:ilvl w:val="0"/>
          <w:numId w:val="4"/>
        </w:numPr>
        <w:bidi w:val="0"/>
        <w:rPr>
          <w:rFonts w:hint="eastAsia"/>
          <w:color w:val="auto"/>
          <w:highlight w:val="none"/>
          <w:lang w:val="zh-CN"/>
        </w:rPr>
      </w:pPr>
      <w:r>
        <w:rPr>
          <w:color w:val="auto"/>
          <w:highlight w:val="none"/>
        </w:rPr>
        <w:t>定义：</w:t>
      </w:r>
    </w:p>
    <w:p w14:paraId="7DB9DCAE">
      <w:pPr>
        <w:numPr>
          <w:ilvl w:val="0"/>
          <w:numId w:val="0"/>
        </w:numPr>
        <w:bidi w:val="0"/>
        <w:ind w:firstLine="420" w:firstLineChars="0"/>
        <w:rPr>
          <w:rFonts w:hint="eastAsia" w:eastAsia="仿宋"/>
          <w:color w:val="auto"/>
          <w:highlight w:val="none"/>
          <w:lang w:eastAsia="zh-CN"/>
        </w:rPr>
      </w:pPr>
      <w:r>
        <w:rPr>
          <w:color w:val="auto"/>
          <w:highlight w:val="none"/>
        </w:rPr>
        <w:t>2.1“招标代理机构”指负责采购活动的组织工作。</w:t>
      </w:r>
    </w:p>
    <w:p w14:paraId="040E3A29">
      <w:pPr>
        <w:numPr>
          <w:ilvl w:val="0"/>
          <w:numId w:val="0"/>
        </w:numPr>
        <w:bidi w:val="0"/>
        <w:ind w:firstLine="420" w:firstLineChars="0"/>
        <w:rPr>
          <w:rFonts w:hint="eastAsia" w:eastAsia="仿宋"/>
          <w:color w:val="auto"/>
          <w:highlight w:val="none"/>
          <w:lang w:eastAsia="zh-CN"/>
        </w:rPr>
      </w:pPr>
      <w:r>
        <w:rPr>
          <w:color w:val="auto"/>
          <w:highlight w:val="none"/>
        </w:rPr>
        <w:t>2.2“采购人”指详见招标文件前附表，负责采购项目的整体规划、采购需求设计和可行性论证，作为合同的需方，承担质疑答复，合同履行、验收、评价等义务。</w:t>
      </w:r>
    </w:p>
    <w:p w14:paraId="46DF5929">
      <w:pPr>
        <w:numPr>
          <w:ilvl w:val="0"/>
          <w:numId w:val="0"/>
        </w:numPr>
        <w:bidi w:val="0"/>
        <w:ind w:firstLine="420" w:firstLineChars="0"/>
        <w:rPr>
          <w:rFonts w:hint="eastAsia" w:eastAsia="仿宋"/>
          <w:color w:val="auto"/>
          <w:highlight w:val="none"/>
          <w:lang w:eastAsia="zh-CN"/>
        </w:rPr>
      </w:pPr>
      <w:r>
        <w:rPr>
          <w:color w:val="auto"/>
          <w:highlight w:val="none"/>
        </w:rPr>
        <w:t>2.3“招标内容”详见第五章《</w:t>
      </w:r>
      <w:r>
        <w:rPr>
          <w:rFonts w:hint="eastAsia"/>
          <w:color w:val="auto"/>
          <w:highlight w:val="none"/>
          <w:lang w:eastAsia="zh-CN"/>
        </w:rPr>
        <w:t>服务需求及要求</w:t>
      </w:r>
      <w:r>
        <w:rPr>
          <w:color w:val="auto"/>
          <w:highlight w:val="none"/>
        </w:rPr>
        <w:t>》。</w:t>
      </w:r>
    </w:p>
    <w:p w14:paraId="1534EE3D">
      <w:pPr>
        <w:numPr>
          <w:ilvl w:val="0"/>
          <w:numId w:val="0"/>
        </w:numPr>
        <w:bidi w:val="0"/>
        <w:ind w:firstLine="420" w:firstLineChars="0"/>
        <w:rPr>
          <w:rFonts w:hint="eastAsia" w:eastAsia="仿宋"/>
          <w:color w:val="auto"/>
          <w:highlight w:val="none"/>
          <w:lang w:eastAsia="zh-CN"/>
        </w:rPr>
      </w:pPr>
      <w:r>
        <w:rPr>
          <w:color w:val="auto"/>
          <w:highlight w:val="none"/>
        </w:rPr>
        <w:t>2.4“潜在供应商”指确认参加投标的供应商。</w:t>
      </w:r>
    </w:p>
    <w:p w14:paraId="3DB7564D">
      <w:pPr>
        <w:numPr>
          <w:ilvl w:val="0"/>
          <w:numId w:val="0"/>
        </w:numPr>
        <w:bidi w:val="0"/>
        <w:ind w:firstLine="420" w:firstLineChars="0"/>
        <w:rPr>
          <w:rFonts w:hint="eastAsia" w:eastAsia="仿宋"/>
          <w:color w:val="auto"/>
          <w:highlight w:val="none"/>
          <w:lang w:eastAsia="zh-CN"/>
        </w:rPr>
      </w:pPr>
      <w:r>
        <w:rPr>
          <w:color w:val="auto"/>
          <w:highlight w:val="none"/>
        </w:rPr>
        <w:t>2.5“供应商”指响应本招标文件参加投标的供应商。</w:t>
      </w:r>
    </w:p>
    <w:p w14:paraId="08F5CCDE">
      <w:pPr>
        <w:numPr>
          <w:ilvl w:val="0"/>
          <w:numId w:val="4"/>
        </w:numPr>
        <w:bidi w:val="0"/>
        <w:ind w:left="0" w:leftChars="0" w:firstLine="0" w:firstLineChars="0"/>
        <w:rPr>
          <w:color w:val="auto"/>
          <w:highlight w:val="none"/>
        </w:rPr>
      </w:pPr>
      <w:r>
        <w:rPr>
          <w:color w:val="auto"/>
          <w:highlight w:val="none"/>
        </w:rPr>
        <w:t>合格供应商资格条件要求：详见招标公告</w:t>
      </w:r>
    </w:p>
    <w:p w14:paraId="2C537CA0">
      <w:pPr>
        <w:numPr>
          <w:ilvl w:val="0"/>
          <w:numId w:val="4"/>
        </w:numPr>
        <w:bidi w:val="0"/>
        <w:ind w:left="0" w:leftChars="0" w:firstLine="0" w:firstLineChars="0"/>
        <w:rPr>
          <w:rFonts w:hint="eastAsia"/>
          <w:color w:val="auto"/>
          <w:highlight w:val="none"/>
          <w:lang w:val="zh-CN"/>
        </w:rPr>
      </w:pPr>
      <w:r>
        <w:rPr>
          <w:color w:val="auto"/>
          <w:highlight w:val="none"/>
        </w:rPr>
        <w:t>项目答疑会和踏勘现场：本项目不举行项目答疑会但组织踏勘现场。</w:t>
      </w:r>
    </w:p>
    <w:p w14:paraId="615B2FF4">
      <w:pPr>
        <w:numPr>
          <w:ilvl w:val="0"/>
          <w:numId w:val="4"/>
        </w:numPr>
        <w:bidi w:val="0"/>
        <w:ind w:left="0" w:leftChars="0" w:firstLine="0" w:firstLineChars="0"/>
        <w:rPr>
          <w:rFonts w:hint="eastAsia"/>
          <w:color w:val="auto"/>
          <w:highlight w:val="none"/>
          <w:lang w:val="zh-CN"/>
        </w:rPr>
      </w:pPr>
      <w:r>
        <w:rPr>
          <w:color w:val="auto"/>
          <w:highlight w:val="none"/>
        </w:rPr>
        <w:t>投标费用：供应商应自行承担所有与编写和提交投标文件有关的费用，无论投标的结果如何，采购人和采购人在任何情况下均无义务和责任承担这些费用。</w:t>
      </w:r>
    </w:p>
    <w:p w14:paraId="20E7A824">
      <w:pPr>
        <w:numPr>
          <w:ilvl w:val="0"/>
          <w:numId w:val="4"/>
        </w:numPr>
        <w:bidi w:val="0"/>
        <w:ind w:left="0" w:leftChars="0" w:firstLine="0" w:firstLineChars="0"/>
        <w:rPr>
          <w:rFonts w:hint="eastAsia"/>
          <w:color w:val="auto"/>
          <w:highlight w:val="none"/>
          <w:lang w:val="zh-CN"/>
        </w:rPr>
      </w:pPr>
      <w:r>
        <w:rPr>
          <w:color w:val="auto"/>
          <w:highlight w:val="none"/>
        </w:rPr>
        <w:t>招标文件：</w:t>
      </w:r>
    </w:p>
    <w:p w14:paraId="5506CCB3">
      <w:pPr>
        <w:numPr>
          <w:ilvl w:val="0"/>
          <w:numId w:val="0"/>
        </w:numPr>
        <w:bidi w:val="0"/>
        <w:ind w:leftChars="0" w:firstLine="420" w:firstLineChars="0"/>
        <w:rPr>
          <w:rFonts w:hint="eastAsia" w:eastAsia="仿宋"/>
          <w:color w:val="auto"/>
          <w:highlight w:val="none"/>
          <w:lang w:eastAsia="zh-CN"/>
        </w:rPr>
      </w:pPr>
      <w:r>
        <w:rPr>
          <w:color w:val="auto"/>
          <w:highlight w:val="none"/>
        </w:rPr>
        <w:t>6.1招标文件的构成：</w:t>
      </w:r>
    </w:p>
    <w:p w14:paraId="51E2FF5A">
      <w:pPr>
        <w:numPr>
          <w:ilvl w:val="0"/>
          <w:numId w:val="0"/>
        </w:numPr>
        <w:bidi w:val="0"/>
        <w:ind w:left="420" w:leftChars="0" w:firstLine="420" w:firstLineChars="0"/>
        <w:rPr>
          <w:color w:val="auto"/>
          <w:highlight w:val="none"/>
        </w:rPr>
      </w:pPr>
      <w:r>
        <w:rPr>
          <w:color w:val="auto"/>
          <w:highlight w:val="none"/>
        </w:rPr>
        <w:t xml:space="preserve">第一章 招标公告 </w:t>
      </w:r>
    </w:p>
    <w:p w14:paraId="0627A104">
      <w:pPr>
        <w:numPr>
          <w:ilvl w:val="0"/>
          <w:numId w:val="0"/>
        </w:numPr>
        <w:bidi w:val="0"/>
        <w:ind w:left="420" w:leftChars="0" w:firstLine="420" w:firstLineChars="0"/>
        <w:rPr>
          <w:color w:val="auto"/>
          <w:highlight w:val="none"/>
        </w:rPr>
      </w:pPr>
      <w:r>
        <w:rPr>
          <w:color w:val="auto"/>
          <w:highlight w:val="none"/>
        </w:rPr>
        <w:t xml:space="preserve">第二章 供应商须知 </w:t>
      </w:r>
    </w:p>
    <w:p w14:paraId="69F1D776">
      <w:pPr>
        <w:numPr>
          <w:ilvl w:val="0"/>
          <w:numId w:val="0"/>
        </w:numPr>
        <w:bidi w:val="0"/>
        <w:ind w:left="420" w:leftChars="0" w:firstLine="420" w:firstLineChars="0"/>
        <w:rPr>
          <w:color w:val="auto"/>
          <w:highlight w:val="none"/>
        </w:rPr>
      </w:pPr>
      <w:r>
        <w:rPr>
          <w:color w:val="auto"/>
          <w:highlight w:val="none"/>
        </w:rPr>
        <w:t xml:space="preserve">第三章 合同条款 </w:t>
      </w:r>
    </w:p>
    <w:p w14:paraId="6E483430">
      <w:pPr>
        <w:numPr>
          <w:ilvl w:val="0"/>
          <w:numId w:val="0"/>
        </w:numPr>
        <w:bidi w:val="0"/>
        <w:ind w:left="420" w:leftChars="0" w:firstLine="420" w:firstLineChars="0"/>
        <w:rPr>
          <w:color w:val="auto"/>
          <w:highlight w:val="none"/>
        </w:rPr>
      </w:pPr>
      <w:r>
        <w:rPr>
          <w:color w:val="auto"/>
          <w:highlight w:val="none"/>
        </w:rPr>
        <w:t xml:space="preserve">第四章 合同格式 </w:t>
      </w:r>
    </w:p>
    <w:p w14:paraId="68B0E394">
      <w:pPr>
        <w:numPr>
          <w:ilvl w:val="0"/>
          <w:numId w:val="0"/>
        </w:numPr>
        <w:bidi w:val="0"/>
        <w:ind w:left="420" w:leftChars="0" w:firstLine="420" w:firstLineChars="0"/>
        <w:rPr>
          <w:color w:val="auto"/>
          <w:highlight w:val="none"/>
        </w:rPr>
      </w:pPr>
      <w:r>
        <w:rPr>
          <w:color w:val="auto"/>
          <w:highlight w:val="none"/>
        </w:rPr>
        <w:t xml:space="preserve">第五章 </w:t>
      </w:r>
      <w:r>
        <w:rPr>
          <w:rFonts w:hint="eastAsia"/>
          <w:color w:val="auto"/>
          <w:highlight w:val="none"/>
          <w:lang w:eastAsia="zh-CN"/>
        </w:rPr>
        <w:t>服务需求及要求</w:t>
      </w:r>
      <w:r>
        <w:rPr>
          <w:color w:val="auto"/>
          <w:highlight w:val="none"/>
        </w:rPr>
        <w:t xml:space="preserve"> </w:t>
      </w:r>
    </w:p>
    <w:p w14:paraId="05DEBBAD">
      <w:pPr>
        <w:numPr>
          <w:ilvl w:val="0"/>
          <w:numId w:val="0"/>
        </w:numPr>
        <w:bidi w:val="0"/>
        <w:ind w:left="420" w:leftChars="0" w:firstLine="420" w:firstLineChars="0"/>
        <w:rPr>
          <w:color w:val="auto"/>
          <w:highlight w:val="none"/>
        </w:rPr>
      </w:pPr>
      <w:r>
        <w:rPr>
          <w:color w:val="auto"/>
          <w:highlight w:val="none"/>
        </w:rPr>
        <w:t xml:space="preserve">第六章 </w:t>
      </w:r>
      <w:r>
        <w:rPr>
          <w:rFonts w:hint="eastAsia"/>
          <w:color w:val="auto"/>
          <w:highlight w:val="none"/>
          <w:lang w:eastAsia="zh-CN"/>
        </w:rPr>
        <w:t>服务需求及要求</w:t>
      </w:r>
      <w:r>
        <w:rPr>
          <w:color w:val="auto"/>
          <w:highlight w:val="none"/>
        </w:rPr>
        <w:t xml:space="preserve"> </w:t>
      </w:r>
    </w:p>
    <w:p w14:paraId="77251010">
      <w:pPr>
        <w:numPr>
          <w:ilvl w:val="0"/>
          <w:numId w:val="0"/>
        </w:numPr>
        <w:bidi w:val="0"/>
        <w:ind w:left="420" w:leftChars="0" w:firstLine="420" w:firstLineChars="0"/>
        <w:rPr>
          <w:color w:val="auto"/>
          <w:highlight w:val="none"/>
        </w:rPr>
      </w:pPr>
      <w:r>
        <w:rPr>
          <w:color w:val="auto"/>
          <w:highlight w:val="none"/>
        </w:rPr>
        <w:t xml:space="preserve">第七章 评标办法 </w:t>
      </w:r>
    </w:p>
    <w:p w14:paraId="5524500F">
      <w:pPr>
        <w:numPr>
          <w:ilvl w:val="0"/>
          <w:numId w:val="0"/>
        </w:numPr>
        <w:bidi w:val="0"/>
        <w:ind w:left="420" w:leftChars="0" w:firstLine="420" w:firstLineChars="0"/>
        <w:rPr>
          <w:rFonts w:hint="eastAsia" w:eastAsia="仿宋"/>
          <w:color w:val="auto"/>
          <w:highlight w:val="none"/>
          <w:lang w:eastAsia="zh-CN"/>
        </w:rPr>
      </w:pPr>
      <w:r>
        <w:rPr>
          <w:color w:val="auto"/>
          <w:highlight w:val="none"/>
        </w:rPr>
        <w:t>附件</w:t>
      </w:r>
    </w:p>
    <w:p w14:paraId="46451A36">
      <w:pPr>
        <w:numPr>
          <w:ilvl w:val="0"/>
          <w:numId w:val="0"/>
        </w:numPr>
        <w:bidi w:val="0"/>
        <w:ind w:leftChars="0" w:firstLine="420" w:firstLineChars="0"/>
        <w:rPr>
          <w:rFonts w:hint="eastAsia" w:eastAsia="仿宋"/>
          <w:color w:val="auto"/>
          <w:highlight w:val="none"/>
          <w:lang w:eastAsia="zh-CN"/>
        </w:rPr>
      </w:pPr>
      <w:r>
        <w:rPr>
          <w:color w:val="auto"/>
          <w:highlight w:val="none"/>
        </w:rPr>
        <w:t>6.2供应商应认真阅读招标文件中所有事项、格式、条款和规范等要求。如果供应商没有按照招标文件要求提交全部文件资料或投标文件没有对招标文件在各方面都做出实质性响应，是供应商的风险。</w:t>
      </w:r>
    </w:p>
    <w:p w14:paraId="1D946389">
      <w:pPr>
        <w:numPr>
          <w:ilvl w:val="0"/>
          <w:numId w:val="4"/>
        </w:numPr>
        <w:bidi w:val="0"/>
        <w:ind w:firstLine="0"/>
        <w:rPr>
          <w:color w:val="auto"/>
          <w:highlight w:val="none"/>
        </w:rPr>
      </w:pPr>
      <w:r>
        <w:rPr>
          <w:color w:val="auto"/>
          <w:highlight w:val="none"/>
        </w:rPr>
        <w:t>招标文件的澄清和修改：</w:t>
      </w:r>
    </w:p>
    <w:p w14:paraId="7DCFE6E7">
      <w:pPr>
        <w:numPr>
          <w:ilvl w:val="0"/>
          <w:numId w:val="0"/>
        </w:numPr>
        <w:bidi w:val="0"/>
        <w:ind w:leftChars="0" w:firstLine="420" w:firstLineChars="0"/>
        <w:rPr>
          <w:rFonts w:hint="eastAsia" w:eastAsia="仿宋"/>
          <w:color w:val="auto"/>
          <w:highlight w:val="none"/>
          <w:lang w:eastAsia="zh-CN"/>
        </w:rPr>
      </w:pPr>
      <w:r>
        <w:rPr>
          <w:color w:val="auto"/>
          <w:highlight w:val="none"/>
        </w:rPr>
        <w:t>7.1任何要求对招标文件进行澄清的供应商，均应在投标截止期15天前在政采云平台（http：//www.zcygov.cn）发布，并按照招标公告中载明的招标代理机构的联系方式电话通知招标代理机构。代理机构及采购人将视所提问题具体情况的答复澄清，在政采云平台（http：//www.zcygov.cn）答疑文件中发布。供应商自行在政采云平台（http：//www.zcygov.cn）答疑文件处下载。否则，后果自负。招标代理机构及采购人不接受供应商的书面质疑。</w:t>
      </w:r>
    </w:p>
    <w:p w14:paraId="1F264951">
      <w:pPr>
        <w:numPr>
          <w:ilvl w:val="0"/>
          <w:numId w:val="0"/>
        </w:numPr>
        <w:bidi w:val="0"/>
        <w:ind w:leftChars="0" w:firstLine="420" w:firstLineChars="0"/>
        <w:rPr>
          <w:rFonts w:hint="eastAsia" w:eastAsia="仿宋"/>
          <w:color w:val="auto"/>
          <w:highlight w:val="none"/>
          <w:lang w:eastAsia="zh-CN"/>
        </w:rPr>
      </w:pPr>
      <w:r>
        <w:rPr>
          <w:color w:val="auto"/>
          <w:highlight w:val="none"/>
        </w:rPr>
        <w:t>7.2采购人可在投标截止时间15日前（含）对招标文件进行修改、补充。招标文件的修改、补充文件将在政采云平台（http：//www.zcygov.cn）发布向潜在供应商发出，供应商自行在政采云平台（http：//www.zcygov.cn）下载。并在发布招标公告的媒体上公告。</w:t>
      </w:r>
    </w:p>
    <w:p w14:paraId="0F8BE2E1">
      <w:pPr>
        <w:numPr>
          <w:ilvl w:val="0"/>
          <w:numId w:val="0"/>
        </w:numPr>
        <w:bidi w:val="0"/>
        <w:ind w:leftChars="0" w:firstLine="420" w:firstLineChars="0"/>
        <w:rPr>
          <w:rFonts w:hint="eastAsia" w:eastAsia="仿宋"/>
          <w:color w:val="auto"/>
          <w:highlight w:val="none"/>
          <w:lang w:eastAsia="zh-CN"/>
        </w:rPr>
      </w:pPr>
      <w:r>
        <w:rPr>
          <w:color w:val="auto"/>
          <w:highlight w:val="none"/>
        </w:rPr>
        <w:t>7.3招标文件的澄清、修改、补充文件均构成招标文件的组成部分，对所有供应商具有约束力，供应商未在政采云平台（http：//www.zcygov.cn）自行下载澄清、修改、补充文件，后果自负。</w:t>
      </w:r>
    </w:p>
    <w:p w14:paraId="35301911">
      <w:pPr>
        <w:numPr>
          <w:ilvl w:val="0"/>
          <w:numId w:val="0"/>
        </w:numPr>
        <w:bidi w:val="0"/>
        <w:ind w:leftChars="0" w:firstLine="420" w:firstLineChars="0"/>
        <w:rPr>
          <w:rFonts w:hint="eastAsia" w:eastAsia="仿宋"/>
          <w:color w:val="auto"/>
          <w:highlight w:val="none"/>
          <w:lang w:eastAsia="zh-CN"/>
        </w:rPr>
      </w:pPr>
      <w:r>
        <w:rPr>
          <w:color w:val="auto"/>
          <w:highlight w:val="none"/>
        </w:rPr>
        <w:t>7.4为使供应商有充分的时间对招标文件的澄清、修改、补充部分进行研究，采购人可在投标截止时间3日前（含）自行决定酌情延长投标截止时间，延长投标截止时间的公告将在发布招标公告的媒体上发告并在政采云平台（http：//www.zcygov.cn）向所有潜在供应商发布。在这种情况下，采购人和供应商受投标截止时间制约的所有权利和义务均相应延长至新的投标截止时间。</w:t>
      </w:r>
    </w:p>
    <w:p w14:paraId="1E4713F6">
      <w:pPr>
        <w:numPr>
          <w:ilvl w:val="0"/>
          <w:numId w:val="4"/>
        </w:numPr>
        <w:bidi w:val="0"/>
        <w:ind w:firstLine="0"/>
        <w:rPr>
          <w:color w:val="auto"/>
          <w:highlight w:val="none"/>
        </w:rPr>
      </w:pPr>
      <w:r>
        <w:rPr>
          <w:color w:val="auto"/>
          <w:highlight w:val="none"/>
        </w:rPr>
        <w:t>投标文件构成：</w:t>
      </w:r>
    </w:p>
    <w:p w14:paraId="4AB6D4DF">
      <w:pPr>
        <w:numPr>
          <w:ilvl w:val="0"/>
          <w:numId w:val="0"/>
        </w:numPr>
        <w:bidi w:val="0"/>
        <w:ind w:leftChars="0" w:firstLine="420" w:firstLineChars="0"/>
        <w:rPr>
          <w:rFonts w:hint="eastAsia" w:eastAsia="仿宋"/>
          <w:color w:val="auto"/>
          <w:highlight w:val="none"/>
          <w:lang w:eastAsia="zh-CN"/>
        </w:rPr>
      </w:pPr>
      <w:r>
        <w:rPr>
          <w:color w:val="auto"/>
          <w:highlight w:val="none"/>
        </w:rPr>
        <w:t>8.1投标文件分为商务部分和技术部分。商务部分是供应商提交的证明其具有合格的投标资格和中标后有能力履行合同的文件。技术部分是能够证明供应商所提供货物和服务的合格性和符合招标文件规定的文件。</w:t>
      </w:r>
    </w:p>
    <w:p w14:paraId="24995956">
      <w:pPr>
        <w:numPr>
          <w:ilvl w:val="0"/>
          <w:numId w:val="0"/>
        </w:numPr>
        <w:bidi w:val="0"/>
        <w:ind w:leftChars="0" w:firstLine="420" w:firstLineChars="0"/>
        <w:rPr>
          <w:rFonts w:hint="eastAsia" w:eastAsia="仿宋"/>
          <w:color w:val="auto"/>
          <w:highlight w:val="none"/>
          <w:lang w:eastAsia="zh-CN"/>
        </w:rPr>
      </w:pPr>
      <w:r>
        <w:rPr>
          <w:color w:val="auto"/>
          <w:highlight w:val="none"/>
        </w:rPr>
        <w:t>8.2供应商应提交本招标文件第六章《投标文件构成、要求及格式》规定的全部商务文件和技术文件，若有缺失、无效或者不符合招标文件要求，将导致其投标被拒绝。</w:t>
      </w:r>
    </w:p>
    <w:p w14:paraId="50E2BD32">
      <w:pPr>
        <w:numPr>
          <w:ilvl w:val="0"/>
          <w:numId w:val="0"/>
        </w:numPr>
        <w:bidi w:val="0"/>
        <w:ind w:leftChars="0" w:firstLine="420" w:firstLineChars="0"/>
        <w:rPr>
          <w:rFonts w:hint="eastAsia" w:eastAsia="仿宋"/>
          <w:color w:val="auto"/>
          <w:highlight w:val="none"/>
          <w:lang w:eastAsia="zh-CN"/>
        </w:rPr>
      </w:pPr>
      <w:r>
        <w:rPr>
          <w:color w:val="auto"/>
          <w:highlight w:val="none"/>
        </w:rPr>
        <w:t>8.3第二章《供应商须知》第11条要求提交的投标保证金。</w:t>
      </w:r>
    </w:p>
    <w:p w14:paraId="2295845A">
      <w:pPr>
        <w:numPr>
          <w:ilvl w:val="0"/>
          <w:numId w:val="4"/>
        </w:numPr>
        <w:bidi w:val="0"/>
        <w:ind w:firstLine="0"/>
        <w:rPr>
          <w:color w:val="auto"/>
          <w:highlight w:val="none"/>
        </w:rPr>
      </w:pPr>
      <w:r>
        <w:rPr>
          <w:color w:val="auto"/>
          <w:highlight w:val="none"/>
        </w:rPr>
        <w:t>投标文件的编制：</w:t>
      </w:r>
    </w:p>
    <w:p w14:paraId="6AF498AB">
      <w:pPr>
        <w:numPr>
          <w:ilvl w:val="0"/>
          <w:numId w:val="0"/>
        </w:numPr>
        <w:bidi w:val="0"/>
        <w:ind w:leftChars="0" w:firstLine="420" w:firstLineChars="0"/>
        <w:rPr>
          <w:color w:val="auto"/>
          <w:highlight w:val="none"/>
        </w:rPr>
      </w:pPr>
      <w:r>
        <w:rPr>
          <w:color w:val="auto"/>
          <w:highlight w:val="none"/>
        </w:rPr>
        <w:t>9.1投标语言：投标文件以及供应商与采购人就有关投标的来往函电均使用中文。</w:t>
      </w:r>
    </w:p>
    <w:p w14:paraId="7B4B2FEC">
      <w:pPr>
        <w:numPr>
          <w:ilvl w:val="0"/>
          <w:numId w:val="0"/>
        </w:numPr>
        <w:bidi w:val="0"/>
        <w:ind w:leftChars="0" w:firstLine="420" w:firstLineChars="0"/>
        <w:rPr>
          <w:rFonts w:hint="eastAsia" w:eastAsia="仿宋"/>
          <w:color w:val="auto"/>
          <w:highlight w:val="none"/>
          <w:lang w:eastAsia="zh-CN"/>
        </w:rPr>
      </w:pPr>
      <w:r>
        <w:rPr>
          <w:color w:val="auto"/>
          <w:highlight w:val="none"/>
        </w:rPr>
        <w:t>9.2计量单位：中华人民共和国法定计量单位。</w:t>
      </w:r>
    </w:p>
    <w:p w14:paraId="7BDC8BC4">
      <w:pPr>
        <w:numPr>
          <w:ilvl w:val="0"/>
          <w:numId w:val="0"/>
        </w:numPr>
        <w:bidi w:val="0"/>
        <w:ind w:leftChars="0" w:firstLine="420" w:firstLineChars="0"/>
        <w:rPr>
          <w:color w:val="auto"/>
          <w:highlight w:val="none"/>
        </w:rPr>
      </w:pPr>
      <w:r>
        <w:rPr>
          <w:color w:val="auto"/>
          <w:highlight w:val="none"/>
        </w:rPr>
        <w:t>9.3投标文件规格应采用A4幅面，打印，按照招标文件规定的顺序，统一编目编码装订。为便于评标，技术文件中的各项表格应按照招标文件第六章规定的格式制作。</w:t>
      </w:r>
    </w:p>
    <w:p w14:paraId="35A5C3C8">
      <w:pPr>
        <w:numPr>
          <w:ilvl w:val="0"/>
          <w:numId w:val="0"/>
        </w:numPr>
        <w:bidi w:val="0"/>
        <w:ind w:leftChars="0" w:firstLine="420" w:firstLineChars="0"/>
        <w:rPr>
          <w:color w:val="auto"/>
          <w:highlight w:val="none"/>
        </w:rPr>
      </w:pPr>
      <w:r>
        <w:rPr>
          <w:color w:val="auto"/>
          <w:highlight w:val="none"/>
        </w:rPr>
        <w:t>9.4供应商在投标文件以及在投标、谈判、合同签订、履行过程中所签署的相关文件中所加盖的公章，均须按照招标文件的规定加盖与供应商名称全称相一致的标准公章，不得使用彩喷或者彩印的印章，否则将被视为无效。</w:t>
      </w:r>
    </w:p>
    <w:p w14:paraId="02CEB7D9">
      <w:pPr>
        <w:numPr>
          <w:ilvl w:val="0"/>
          <w:numId w:val="0"/>
        </w:numPr>
        <w:bidi w:val="0"/>
        <w:ind w:leftChars="0" w:firstLine="420" w:firstLineChars="0"/>
        <w:rPr>
          <w:rFonts w:hint="eastAsia" w:eastAsia="仿宋"/>
          <w:color w:val="auto"/>
          <w:highlight w:val="none"/>
          <w:lang w:eastAsia="zh-CN"/>
        </w:rPr>
      </w:pPr>
      <w:r>
        <w:rPr>
          <w:color w:val="auto"/>
          <w:highlight w:val="none"/>
        </w:rPr>
        <w:t>9.5采购人不接受采用传真方式提交的投标文件。</w:t>
      </w:r>
    </w:p>
    <w:p w14:paraId="5095110A">
      <w:pPr>
        <w:numPr>
          <w:ilvl w:val="0"/>
          <w:numId w:val="4"/>
        </w:numPr>
        <w:bidi w:val="0"/>
        <w:ind w:firstLine="0"/>
        <w:rPr>
          <w:color w:val="auto"/>
          <w:highlight w:val="none"/>
        </w:rPr>
      </w:pPr>
      <w:r>
        <w:rPr>
          <w:color w:val="auto"/>
          <w:highlight w:val="none"/>
        </w:rPr>
        <w:t>投标报价：</w:t>
      </w:r>
    </w:p>
    <w:p w14:paraId="60D5C3BA">
      <w:pPr>
        <w:numPr>
          <w:ilvl w:val="0"/>
          <w:numId w:val="0"/>
        </w:numPr>
        <w:bidi w:val="0"/>
        <w:ind w:leftChars="0" w:firstLine="420" w:firstLineChars="0"/>
        <w:rPr>
          <w:rFonts w:hint="eastAsia" w:eastAsia="仿宋"/>
          <w:color w:val="auto"/>
          <w:highlight w:val="none"/>
          <w:lang w:eastAsia="zh-CN"/>
        </w:rPr>
      </w:pPr>
      <w:r>
        <w:rPr>
          <w:color w:val="auto"/>
          <w:highlight w:val="none"/>
        </w:rPr>
        <w:t>10.1投标货币：所有投标报价均以人民币元为计算单位。</w:t>
      </w:r>
    </w:p>
    <w:p w14:paraId="5203DA7C">
      <w:pPr>
        <w:numPr>
          <w:ilvl w:val="0"/>
          <w:numId w:val="0"/>
        </w:numPr>
        <w:bidi w:val="0"/>
        <w:ind w:leftChars="0" w:firstLine="420" w:firstLineChars="0"/>
        <w:rPr>
          <w:rFonts w:hint="eastAsia" w:eastAsia="仿宋"/>
          <w:color w:val="auto"/>
          <w:highlight w:val="none"/>
          <w:lang w:eastAsia="zh-CN"/>
        </w:rPr>
      </w:pPr>
      <w:r>
        <w:rPr>
          <w:color w:val="auto"/>
          <w:highlight w:val="none"/>
        </w:rPr>
        <w:t>10.2供应商应一次性报出投标货物的单价，每种货物只允许有一个报价，任何有选择的报价将不予接受。供应商所报价格应为在本招标文件指定地点交货、由供应商负责安装调试、验收合格并交付的全部价格。</w:t>
      </w:r>
    </w:p>
    <w:p w14:paraId="5E8CD901">
      <w:pPr>
        <w:numPr>
          <w:ilvl w:val="0"/>
          <w:numId w:val="0"/>
        </w:numPr>
        <w:bidi w:val="0"/>
        <w:ind w:leftChars="0" w:firstLine="420" w:firstLineChars="0"/>
        <w:rPr>
          <w:rFonts w:hint="eastAsia" w:eastAsia="仿宋"/>
          <w:color w:val="auto"/>
          <w:highlight w:val="none"/>
          <w:lang w:eastAsia="zh-CN"/>
        </w:rPr>
      </w:pPr>
      <w:r>
        <w:rPr>
          <w:color w:val="auto"/>
          <w:highlight w:val="none"/>
        </w:rPr>
        <w:t>10.3供应商所报的价格在合同执行过程中是固定不变的，不得以任何理由予以变更。以可调整的价格提交的投标将作为非响应性投标予以拒绝。</w:t>
      </w:r>
    </w:p>
    <w:p w14:paraId="11A633E9">
      <w:pPr>
        <w:numPr>
          <w:ilvl w:val="0"/>
          <w:numId w:val="0"/>
        </w:numPr>
        <w:bidi w:val="0"/>
        <w:ind w:leftChars="0" w:firstLine="420" w:firstLineChars="0"/>
        <w:rPr>
          <w:rFonts w:hint="eastAsia" w:eastAsia="仿宋"/>
          <w:color w:val="auto"/>
          <w:highlight w:val="none"/>
          <w:lang w:eastAsia="zh-CN"/>
        </w:rPr>
      </w:pPr>
      <w:r>
        <w:rPr>
          <w:color w:val="auto"/>
          <w:highlight w:val="none"/>
        </w:rPr>
        <w:t>10.4最低报价不能作为中标的保证。</w:t>
      </w:r>
    </w:p>
    <w:p w14:paraId="35A6C998">
      <w:pPr>
        <w:numPr>
          <w:ilvl w:val="0"/>
          <w:numId w:val="4"/>
        </w:numPr>
        <w:bidi w:val="0"/>
        <w:ind w:firstLine="0"/>
        <w:rPr>
          <w:color w:val="auto"/>
          <w:highlight w:val="none"/>
        </w:rPr>
      </w:pPr>
      <w:r>
        <w:rPr>
          <w:color w:val="auto"/>
          <w:highlight w:val="none"/>
        </w:rPr>
        <w:t>投标保证金：</w:t>
      </w:r>
    </w:p>
    <w:p w14:paraId="3A778432">
      <w:pPr>
        <w:numPr>
          <w:ilvl w:val="0"/>
          <w:numId w:val="0"/>
        </w:numPr>
        <w:bidi w:val="0"/>
        <w:ind w:leftChars="0" w:firstLine="420" w:firstLineChars="0"/>
        <w:rPr>
          <w:rFonts w:hint="eastAsia" w:eastAsia="仿宋"/>
          <w:color w:val="auto"/>
          <w:highlight w:val="none"/>
          <w:lang w:eastAsia="zh-CN"/>
        </w:rPr>
      </w:pPr>
      <w:r>
        <w:rPr>
          <w:color w:val="auto"/>
          <w:highlight w:val="none"/>
        </w:rPr>
        <w:t>11.1供应商应向采购人提交相应的投标保证金。供应商须按照《招标公告》标明的采购人帐户名称、开户银行和帐号，在投标截止时间之前将投标保证金足额汇入（存入）采购人帐户，并必须携带汇款银行出具的汇款（存款）凭证（进帐单复印件加盖供应商公章或财务章）参加开标会并领取收据。采购人特别声明：投标保证金必须以银行电汇、电子保函等形式在投标截止时间前汇入招标代理机构指定的账户，应从基本账户转出。银行电汇单据复印件及基本账户开户许可证复印件应放入投标文件中。详见投标人须知</w:t>
      </w:r>
      <w:r>
        <w:rPr>
          <w:rFonts w:hint="eastAsia"/>
          <w:color w:val="auto"/>
          <w:highlight w:val="none"/>
          <w:lang w:eastAsia="zh-CN"/>
        </w:rPr>
        <w:t>。</w:t>
      </w:r>
    </w:p>
    <w:p w14:paraId="4B626B9D">
      <w:pPr>
        <w:numPr>
          <w:ilvl w:val="0"/>
          <w:numId w:val="0"/>
        </w:numPr>
        <w:bidi w:val="0"/>
        <w:ind w:leftChars="0" w:firstLine="420" w:firstLineChars="0"/>
        <w:rPr>
          <w:rFonts w:hint="eastAsia" w:eastAsia="仿宋"/>
          <w:color w:val="auto"/>
          <w:highlight w:val="none"/>
          <w:lang w:eastAsia="zh-CN"/>
        </w:rPr>
      </w:pPr>
      <w:r>
        <w:rPr>
          <w:color w:val="auto"/>
          <w:highlight w:val="none"/>
        </w:rPr>
        <w:t>11.2投标保证金是为了弥补采购人因供应商的违规行为而蒙受的损失。采购人在因供应商的违规行为而受到损害时，将不予退还供应商的投标保证金，并作为所受损害的补偿。</w:t>
      </w:r>
    </w:p>
    <w:p w14:paraId="68C16EDD">
      <w:pPr>
        <w:numPr>
          <w:ilvl w:val="0"/>
          <w:numId w:val="0"/>
        </w:numPr>
        <w:bidi w:val="0"/>
        <w:ind w:leftChars="0" w:firstLine="420" w:firstLineChars="0"/>
        <w:rPr>
          <w:rFonts w:hint="eastAsia" w:eastAsia="仿宋"/>
          <w:color w:val="auto"/>
          <w:highlight w:val="none"/>
          <w:lang w:eastAsia="zh-CN"/>
        </w:rPr>
      </w:pPr>
      <w:r>
        <w:rPr>
          <w:color w:val="auto"/>
          <w:highlight w:val="none"/>
        </w:rPr>
        <w:t>11.3投标保证金是投标文件的一个组成部分。在开标时，凡没有按规定提交投标保证金的投标，将被视为非响应性投标予以拒绝。</w:t>
      </w:r>
    </w:p>
    <w:p w14:paraId="5B7452DE">
      <w:pPr>
        <w:numPr>
          <w:ilvl w:val="0"/>
          <w:numId w:val="0"/>
        </w:numPr>
        <w:bidi w:val="0"/>
        <w:ind w:leftChars="0" w:firstLine="420" w:firstLineChars="0"/>
        <w:rPr>
          <w:rFonts w:hint="eastAsia" w:eastAsia="仿宋"/>
          <w:color w:val="auto"/>
          <w:highlight w:val="none"/>
          <w:lang w:eastAsia="zh-CN"/>
        </w:rPr>
      </w:pPr>
      <w:r>
        <w:rPr>
          <w:color w:val="auto"/>
          <w:highlight w:val="none"/>
        </w:rPr>
        <w:t>11.4落标人的投标保证金将在中标通知书发出后5个工作日内退还，不计利息。</w:t>
      </w:r>
    </w:p>
    <w:p w14:paraId="1D2834A0">
      <w:pPr>
        <w:numPr>
          <w:ilvl w:val="0"/>
          <w:numId w:val="0"/>
        </w:numPr>
        <w:bidi w:val="0"/>
        <w:ind w:leftChars="0" w:firstLine="420" w:firstLineChars="0"/>
        <w:rPr>
          <w:rFonts w:hint="eastAsia" w:eastAsia="仿宋"/>
          <w:color w:val="auto"/>
          <w:highlight w:val="none"/>
          <w:lang w:eastAsia="zh-CN"/>
        </w:rPr>
      </w:pPr>
      <w:r>
        <w:rPr>
          <w:color w:val="auto"/>
          <w:highlight w:val="none"/>
        </w:rPr>
        <w:t>11.5中标人的投标保证金，在中标人按本须知第21条规定签署合同，并按第22条规定交纳了履约保证金后5个工作日内退还，不计利息。</w:t>
      </w:r>
    </w:p>
    <w:p w14:paraId="265E8807">
      <w:pPr>
        <w:numPr>
          <w:ilvl w:val="0"/>
          <w:numId w:val="0"/>
        </w:numPr>
        <w:bidi w:val="0"/>
        <w:ind w:leftChars="0" w:firstLine="420" w:firstLineChars="0"/>
        <w:rPr>
          <w:rFonts w:hint="eastAsia" w:eastAsia="仿宋"/>
          <w:color w:val="auto"/>
          <w:highlight w:val="none"/>
          <w:lang w:eastAsia="zh-CN"/>
        </w:rPr>
      </w:pPr>
      <w:r>
        <w:rPr>
          <w:color w:val="auto"/>
          <w:highlight w:val="none"/>
        </w:rPr>
        <w:t>11.6投标保证金将一律通过银行转帐方式退还。</w:t>
      </w:r>
    </w:p>
    <w:p w14:paraId="718049EB">
      <w:pPr>
        <w:numPr>
          <w:ilvl w:val="0"/>
          <w:numId w:val="0"/>
        </w:numPr>
        <w:bidi w:val="0"/>
        <w:ind w:leftChars="0" w:firstLine="420" w:firstLineChars="0"/>
        <w:rPr>
          <w:rFonts w:hint="eastAsia" w:eastAsia="仿宋"/>
          <w:color w:val="auto"/>
          <w:highlight w:val="none"/>
          <w:lang w:eastAsia="zh-CN"/>
        </w:rPr>
      </w:pPr>
      <w:r>
        <w:rPr>
          <w:color w:val="auto"/>
          <w:highlight w:val="none"/>
        </w:rPr>
        <w:t>11.7下列情况之一发生时，投标保证金将不予退还：</w:t>
      </w:r>
    </w:p>
    <w:p w14:paraId="1C73FCB1">
      <w:pPr>
        <w:numPr>
          <w:ilvl w:val="0"/>
          <w:numId w:val="0"/>
        </w:numPr>
        <w:bidi w:val="0"/>
        <w:ind w:leftChars="0" w:firstLine="420" w:firstLineChars="0"/>
        <w:rPr>
          <w:rFonts w:hint="eastAsia" w:eastAsia="仿宋"/>
          <w:color w:val="auto"/>
          <w:highlight w:val="none"/>
          <w:lang w:eastAsia="zh-CN"/>
        </w:rPr>
      </w:pPr>
      <w:r>
        <w:rPr>
          <w:color w:val="auto"/>
          <w:highlight w:val="none"/>
        </w:rPr>
        <w:t>（1）供应商在招标文件规定的投标有效期内撤回其投标；</w:t>
      </w:r>
    </w:p>
    <w:p w14:paraId="7482BDAD">
      <w:pPr>
        <w:numPr>
          <w:ilvl w:val="0"/>
          <w:numId w:val="0"/>
        </w:numPr>
        <w:bidi w:val="0"/>
        <w:ind w:leftChars="0" w:firstLine="420" w:firstLineChars="0"/>
        <w:rPr>
          <w:rFonts w:hint="eastAsia" w:eastAsia="仿宋"/>
          <w:color w:val="auto"/>
          <w:highlight w:val="none"/>
          <w:lang w:eastAsia="zh-CN"/>
        </w:rPr>
      </w:pPr>
      <w:r>
        <w:rPr>
          <w:color w:val="auto"/>
          <w:highlight w:val="none"/>
        </w:rPr>
        <w:t>（2）中标人在规定期限内未能做到：a.按照本须知第21条规定签订合同；b.按照本须知第22条规定提交履约保证金。</w:t>
      </w:r>
    </w:p>
    <w:p w14:paraId="72D087F5">
      <w:pPr>
        <w:numPr>
          <w:ilvl w:val="0"/>
          <w:numId w:val="0"/>
        </w:numPr>
        <w:bidi w:val="0"/>
        <w:ind w:leftChars="0" w:firstLine="420" w:firstLineChars="0"/>
        <w:rPr>
          <w:rFonts w:hint="eastAsia" w:eastAsia="仿宋"/>
          <w:color w:val="auto"/>
          <w:highlight w:val="none"/>
          <w:lang w:eastAsia="zh-CN"/>
        </w:rPr>
      </w:pPr>
      <w:r>
        <w:rPr>
          <w:color w:val="auto"/>
          <w:highlight w:val="none"/>
        </w:rPr>
        <w:t>（3）招标文件规定不予退还投标保证金的其他情形。</w:t>
      </w:r>
    </w:p>
    <w:p w14:paraId="2BE01AC0">
      <w:pPr>
        <w:numPr>
          <w:ilvl w:val="0"/>
          <w:numId w:val="0"/>
        </w:numPr>
        <w:bidi w:val="0"/>
        <w:ind w:leftChars="0" w:firstLine="420" w:firstLineChars="0"/>
        <w:rPr>
          <w:rFonts w:hint="eastAsia" w:eastAsia="仿宋"/>
          <w:color w:val="auto"/>
          <w:highlight w:val="none"/>
          <w:lang w:eastAsia="zh-CN"/>
        </w:rPr>
      </w:pPr>
      <w:r>
        <w:rPr>
          <w:color w:val="auto"/>
          <w:highlight w:val="none"/>
        </w:rPr>
        <w:t>11.8如投标保证金使用电子保函形式的，请务必仔细阅读公告及供应商须知前附表要求，若因未按照文件相关规定出具的，后果自负。</w:t>
      </w:r>
    </w:p>
    <w:p w14:paraId="4EF49065">
      <w:pPr>
        <w:numPr>
          <w:ilvl w:val="0"/>
          <w:numId w:val="4"/>
        </w:numPr>
        <w:bidi w:val="0"/>
        <w:ind w:firstLine="0"/>
        <w:rPr>
          <w:color w:val="auto"/>
          <w:highlight w:val="none"/>
        </w:rPr>
      </w:pPr>
      <w:r>
        <w:rPr>
          <w:color w:val="auto"/>
          <w:highlight w:val="none"/>
        </w:rPr>
        <w:t>投标有效期：</w:t>
      </w:r>
    </w:p>
    <w:p w14:paraId="5550B025">
      <w:pPr>
        <w:numPr>
          <w:ilvl w:val="0"/>
          <w:numId w:val="0"/>
        </w:numPr>
        <w:bidi w:val="0"/>
        <w:ind w:leftChars="0" w:firstLine="420" w:firstLineChars="0"/>
        <w:rPr>
          <w:color w:val="auto"/>
          <w:highlight w:val="none"/>
        </w:rPr>
      </w:pPr>
      <w:r>
        <w:rPr>
          <w:color w:val="auto"/>
          <w:highlight w:val="none"/>
        </w:rPr>
        <w:t>12.1投标有效期为自开标之时起90天。投标文件在这个规定期限内应保持有效。</w:t>
      </w:r>
    </w:p>
    <w:p w14:paraId="68547FE9">
      <w:pPr>
        <w:numPr>
          <w:ilvl w:val="0"/>
          <w:numId w:val="0"/>
        </w:numPr>
        <w:bidi w:val="0"/>
        <w:ind w:leftChars="0" w:firstLine="420" w:firstLineChars="0"/>
        <w:rPr>
          <w:color w:val="auto"/>
          <w:highlight w:val="none"/>
        </w:rPr>
      </w:pPr>
      <w:r>
        <w:rPr>
          <w:color w:val="auto"/>
          <w:highlight w:val="none"/>
        </w:rPr>
        <w:t>12.2在特殊情况下，采购人可与供应商协商延长投标有效期。这种要求和答复都应以书面形式进行。供应商可以拒绝接受延期要求而不会被没收投标保证金。同意延长投标有效期的供应商除按照采购人要求修改投标文件的有效期外，不能修改投标文件的其他内容。</w:t>
      </w:r>
    </w:p>
    <w:p w14:paraId="46BF3472">
      <w:pPr>
        <w:numPr>
          <w:ilvl w:val="0"/>
          <w:numId w:val="0"/>
        </w:numPr>
        <w:bidi w:val="0"/>
        <w:ind w:leftChars="0" w:firstLine="420" w:firstLineChars="0"/>
        <w:rPr>
          <w:rFonts w:hint="eastAsia" w:eastAsia="仿宋"/>
          <w:color w:val="auto"/>
          <w:highlight w:val="none"/>
          <w:lang w:eastAsia="zh-CN"/>
        </w:rPr>
      </w:pPr>
      <w:r>
        <w:rPr>
          <w:color w:val="auto"/>
          <w:highlight w:val="none"/>
        </w:rPr>
        <w:t>12.3中标人的投标文件有效期等同于合同履行期。</w:t>
      </w:r>
    </w:p>
    <w:p w14:paraId="7FA58CCB">
      <w:pPr>
        <w:numPr>
          <w:ilvl w:val="0"/>
          <w:numId w:val="4"/>
        </w:numPr>
        <w:bidi w:val="0"/>
        <w:rPr>
          <w:rFonts w:hint="eastAsia"/>
          <w:color w:val="auto"/>
          <w:highlight w:val="none"/>
          <w:lang w:eastAsia="zh-CN"/>
        </w:rPr>
      </w:pPr>
      <w:r>
        <w:rPr>
          <w:color w:val="auto"/>
          <w:highlight w:val="none"/>
        </w:rPr>
        <w:t>投标文件的式样和签署：</w:t>
      </w:r>
    </w:p>
    <w:p w14:paraId="3B612BEE">
      <w:pPr>
        <w:numPr>
          <w:ilvl w:val="0"/>
          <w:numId w:val="0"/>
        </w:numPr>
        <w:bidi w:val="0"/>
        <w:ind w:leftChars="0" w:firstLine="420" w:firstLineChars="0"/>
        <w:rPr>
          <w:rFonts w:hint="eastAsia" w:eastAsia="仿宋"/>
          <w:color w:val="auto"/>
          <w:highlight w:val="none"/>
          <w:lang w:eastAsia="zh-CN"/>
        </w:rPr>
      </w:pPr>
      <w:r>
        <w:rPr>
          <w:color w:val="auto"/>
          <w:highlight w:val="none"/>
        </w:rPr>
        <w:t>13.1投标文件需打印或用不褪色墨水书写。第六章《投标文件构成、要求及格式》中凡要求签署和加盖公章的，均须由供应商的法定代表人或其授权代理人手书签字和加盖供应商公章。投标文件由法定代表人签署的，须与其企业法人营业执照相符；由授权代理人签署的，须提交以书面形式出具的《法定代表人授权书》（按第六章规定的格式提交）。</w:t>
      </w:r>
    </w:p>
    <w:p w14:paraId="17CA0EB1">
      <w:pPr>
        <w:numPr>
          <w:ilvl w:val="0"/>
          <w:numId w:val="0"/>
        </w:numPr>
        <w:bidi w:val="0"/>
        <w:ind w:leftChars="0" w:firstLine="420" w:firstLineChars="0"/>
        <w:rPr>
          <w:rFonts w:hint="eastAsia" w:eastAsia="仿宋"/>
          <w:color w:val="auto"/>
          <w:highlight w:val="none"/>
          <w:lang w:eastAsia="zh-CN"/>
        </w:rPr>
      </w:pPr>
      <w:r>
        <w:rPr>
          <w:color w:val="auto"/>
          <w:highlight w:val="none"/>
        </w:rPr>
        <w:t>13.2投标文件中如有修改错漏处，应在修改处加盖供应商公章。</w:t>
      </w:r>
    </w:p>
    <w:p w14:paraId="2D05EACA">
      <w:pPr>
        <w:numPr>
          <w:ilvl w:val="0"/>
          <w:numId w:val="4"/>
        </w:numPr>
        <w:bidi w:val="0"/>
        <w:rPr>
          <w:rFonts w:hint="eastAsia"/>
          <w:color w:val="auto"/>
          <w:highlight w:val="none"/>
          <w:lang w:eastAsia="zh-CN"/>
        </w:rPr>
      </w:pPr>
      <w:r>
        <w:rPr>
          <w:color w:val="auto"/>
          <w:highlight w:val="none"/>
        </w:rPr>
        <w:t>投标文件的修改和撤回：</w:t>
      </w:r>
    </w:p>
    <w:p w14:paraId="196AAD3B">
      <w:pPr>
        <w:numPr>
          <w:ilvl w:val="0"/>
          <w:numId w:val="0"/>
        </w:numPr>
        <w:bidi w:val="0"/>
        <w:ind w:leftChars="0" w:firstLine="420" w:firstLineChars="0"/>
        <w:rPr>
          <w:color w:val="auto"/>
          <w:highlight w:val="none"/>
        </w:rPr>
      </w:pPr>
      <w:r>
        <w:rPr>
          <w:color w:val="auto"/>
          <w:highlight w:val="none"/>
        </w:rPr>
        <w:t>14.1供应商在递交投标文件后，可以修改或撤回其投标文件，但采购人必须在规定的投标截止时间之前收到供应商的修改或撤回的书面通知。</w:t>
      </w:r>
    </w:p>
    <w:p w14:paraId="30B97059">
      <w:pPr>
        <w:numPr>
          <w:ilvl w:val="0"/>
          <w:numId w:val="0"/>
        </w:numPr>
        <w:bidi w:val="0"/>
        <w:ind w:leftChars="0" w:firstLine="420" w:firstLineChars="0"/>
        <w:rPr>
          <w:rFonts w:hint="eastAsia" w:eastAsia="仿宋"/>
          <w:color w:val="auto"/>
          <w:highlight w:val="none"/>
          <w:lang w:eastAsia="zh-CN"/>
        </w:rPr>
      </w:pPr>
      <w:r>
        <w:rPr>
          <w:color w:val="auto"/>
          <w:highlight w:val="none"/>
        </w:rPr>
        <w:t>14.2供应商的修改或撤回通知书应按对投标文件的规定一样进行编制、密封、标记和递交，并标明“修改”或“撤回”字样。</w:t>
      </w:r>
    </w:p>
    <w:p w14:paraId="5E7872D8">
      <w:pPr>
        <w:numPr>
          <w:ilvl w:val="0"/>
          <w:numId w:val="0"/>
        </w:numPr>
        <w:bidi w:val="0"/>
        <w:ind w:leftChars="0" w:firstLine="420" w:firstLineChars="0"/>
        <w:rPr>
          <w:rFonts w:hint="eastAsia" w:eastAsia="仿宋"/>
          <w:color w:val="auto"/>
          <w:highlight w:val="none"/>
          <w:lang w:eastAsia="zh-CN"/>
        </w:rPr>
      </w:pPr>
      <w:r>
        <w:rPr>
          <w:color w:val="auto"/>
          <w:highlight w:val="none"/>
        </w:rPr>
        <w:t>14.3在投标截止时间（开标时间）之后，供应商不得对其投标书做任何修改（包括开标一览表的内容）。</w:t>
      </w:r>
    </w:p>
    <w:p w14:paraId="0375E182">
      <w:pPr>
        <w:numPr>
          <w:ilvl w:val="0"/>
          <w:numId w:val="0"/>
        </w:numPr>
        <w:bidi w:val="0"/>
        <w:ind w:leftChars="0" w:firstLine="420" w:firstLineChars="0"/>
        <w:rPr>
          <w:rFonts w:hint="eastAsia" w:eastAsia="仿宋"/>
          <w:color w:val="auto"/>
          <w:highlight w:val="none"/>
          <w:lang w:eastAsia="zh-CN"/>
        </w:rPr>
      </w:pPr>
      <w:r>
        <w:rPr>
          <w:color w:val="auto"/>
          <w:highlight w:val="none"/>
        </w:rPr>
        <w:t>14.4从开标时间起，至投标有效期期满，供应商不得撤回其投标，否则，其投标保证金将不予退还。投标（此条本项目不适用，本项目采用远程不见面投标，相关规定详见前附表）</w:t>
      </w:r>
    </w:p>
    <w:p w14:paraId="6712B9B5">
      <w:pPr>
        <w:numPr>
          <w:ilvl w:val="0"/>
          <w:numId w:val="4"/>
        </w:numPr>
        <w:bidi w:val="0"/>
        <w:rPr>
          <w:rFonts w:hint="eastAsia"/>
          <w:color w:val="auto"/>
          <w:highlight w:val="none"/>
          <w:lang w:eastAsia="zh-CN"/>
        </w:rPr>
      </w:pPr>
      <w:r>
        <w:rPr>
          <w:rFonts w:hint="eastAsia"/>
          <w:color w:val="auto"/>
          <w:highlight w:val="none"/>
          <w:lang w:val="en-US" w:eastAsia="zh-CN"/>
        </w:rPr>
        <w:t>投标</w:t>
      </w:r>
      <w:r>
        <w:rPr>
          <w:color w:val="auto"/>
          <w:highlight w:val="none"/>
        </w:rPr>
        <w:t>：</w:t>
      </w:r>
    </w:p>
    <w:p w14:paraId="55804E9E">
      <w:pPr>
        <w:numPr>
          <w:ilvl w:val="0"/>
          <w:numId w:val="0"/>
        </w:numPr>
        <w:bidi w:val="0"/>
        <w:ind w:leftChars="0" w:firstLine="420" w:firstLineChars="0"/>
        <w:rPr>
          <w:color w:val="auto"/>
          <w:highlight w:val="none"/>
        </w:rPr>
      </w:pPr>
      <w:r>
        <w:rPr>
          <w:color w:val="auto"/>
          <w:highlight w:val="none"/>
        </w:rPr>
        <w:t>15.1本项目采用远程不见面</w:t>
      </w:r>
      <w:r>
        <w:rPr>
          <w:rFonts w:hint="eastAsia"/>
          <w:color w:val="auto"/>
          <w:highlight w:val="none"/>
          <w:lang w:val="en-US" w:eastAsia="zh-CN"/>
        </w:rPr>
        <w:t>开评标</w:t>
      </w:r>
      <w:r>
        <w:rPr>
          <w:color w:val="auto"/>
          <w:highlight w:val="none"/>
        </w:rPr>
        <w:t xml:space="preserve">。 </w:t>
      </w:r>
    </w:p>
    <w:p w14:paraId="6A9C3797">
      <w:pPr>
        <w:numPr>
          <w:ilvl w:val="0"/>
          <w:numId w:val="0"/>
        </w:numPr>
        <w:bidi w:val="0"/>
        <w:ind w:leftChars="0" w:firstLine="420" w:firstLineChars="0"/>
        <w:rPr>
          <w:color w:val="auto"/>
          <w:highlight w:val="none"/>
        </w:rPr>
      </w:pPr>
      <w:r>
        <w:rPr>
          <w:color w:val="auto"/>
          <w:highlight w:val="none"/>
        </w:rPr>
        <w:t>15.</w:t>
      </w:r>
      <w:r>
        <w:rPr>
          <w:rFonts w:hint="eastAsia"/>
          <w:color w:val="auto"/>
          <w:highlight w:val="none"/>
          <w:lang w:val="en-US" w:eastAsia="zh-CN"/>
        </w:rPr>
        <w:t>2</w:t>
      </w:r>
      <w:r>
        <w:rPr>
          <w:color w:val="auto"/>
          <w:highlight w:val="none"/>
        </w:rPr>
        <w:t xml:space="preserve"> 首次招标投标截止时间结束后供应商不足三家的，可按本须知第 19 条规定办理。 </w:t>
      </w:r>
    </w:p>
    <w:p w14:paraId="12BBCF6C">
      <w:pPr>
        <w:numPr>
          <w:ilvl w:val="0"/>
          <w:numId w:val="0"/>
        </w:numPr>
        <w:bidi w:val="0"/>
        <w:ind w:leftChars="0" w:firstLine="420" w:firstLineChars="0"/>
        <w:rPr>
          <w:color w:val="auto"/>
          <w:highlight w:val="none"/>
        </w:rPr>
      </w:pPr>
      <w:r>
        <w:rPr>
          <w:color w:val="auto"/>
          <w:highlight w:val="none"/>
        </w:rPr>
        <w:t>15.</w:t>
      </w:r>
      <w:r>
        <w:rPr>
          <w:rFonts w:hint="eastAsia"/>
          <w:color w:val="auto"/>
          <w:highlight w:val="none"/>
          <w:lang w:val="en-US" w:eastAsia="zh-CN"/>
        </w:rPr>
        <w:t>3</w:t>
      </w:r>
      <w:r>
        <w:rPr>
          <w:color w:val="auto"/>
          <w:highlight w:val="none"/>
        </w:rPr>
        <w:t xml:space="preserve"> 招标采购单位在任何时候发现供应商提交的投标文件内容有下列情形之一时，将给予废标、解除合同 及赔偿损失，同时有权依法追究供应商的责任： </w:t>
      </w:r>
    </w:p>
    <w:p w14:paraId="157D066E">
      <w:pPr>
        <w:numPr>
          <w:ilvl w:val="0"/>
          <w:numId w:val="0"/>
        </w:numPr>
        <w:bidi w:val="0"/>
        <w:ind w:leftChars="0" w:firstLine="420" w:firstLineChars="0"/>
        <w:rPr>
          <w:color w:val="auto"/>
          <w:highlight w:val="none"/>
        </w:rPr>
      </w:pPr>
      <w:r>
        <w:rPr>
          <w:color w:val="auto"/>
          <w:highlight w:val="none"/>
        </w:rPr>
        <w:t xml:space="preserve">虚假的资料。 </w:t>
      </w:r>
    </w:p>
    <w:p w14:paraId="53D127AF">
      <w:pPr>
        <w:numPr>
          <w:ilvl w:val="0"/>
          <w:numId w:val="0"/>
        </w:numPr>
        <w:bidi w:val="0"/>
        <w:ind w:leftChars="0" w:firstLine="420" w:firstLineChars="0"/>
        <w:rPr>
          <w:color w:val="auto"/>
          <w:highlight w:val="none"/>
        </w:rPr>
      </w:pPr>
      <w:r>
        <w:rPr>
          <w:color w:val="auto"/>
          <w:highlight w:val="none"/>
        </w:rPr>
        <w:t>在实质性方面失实。</w:t>
      </w:r>
    </w:p>
    <w:p w14:paraId="39428769">
      <w:pPr>
        <w:numPr>
          <w:ilvl w:val="0"/>
          <w:numId w:val="4"/>
        </w:numPr>
        <w:bidi w:val="0"/>
        <w:rPr>
          <w:color w:val="auto"/>
          <w:highlight w:val="none"/>
        </w:rPr>
      </w:pPr>
      <w:r>
        <w:rPr>
          <w:color w:val="auto"/>
          <w:highlight w:val="none"/>
        </w:rPr>
        <w:t xml:space="preserve">开标：（此条本项目不适用，本项目采用远程不见面投标，相关规定详见前附表） </w:t>
      </w:r>
    </w:p>
    <w:p w14:paraId="399811F9">
      <w:pPr>
        <w:numPr>
          <w:ilvl w:val="0"/>
          <w:numId w:val="0"/>
        </w:numPr>
        <w:bidi w:val="0"/>
        <w:ind w:leftChars="0" w:firstLine="420" w:firstLineChars="0"/>
        <w:rPr>
          <w:rFonts w:hint="eastAsia" w:eastAsia="仿宋"/>
          <w:color w:val="auto"/>
          <w:highlight w:val="none"/>
          <w:lang w:eastAsia="zh-CN"/>
        </w:rPr>
      </w:pPr>
      <w:r>
        <w:rPr>
          <w:color w:val="auto"/>
          <w:highlight w:val="none"/>
        </w:rPr>
        <w:t>16.1 采购人将在《招标公告》规定的时间和地点公开开标。供应商法定代表人或其授权代理人应参加并签名报到以证明其出席，并携带有效身份证件以备审查。</w:t>
      </w:r>
    </w:p>
    <w:p w14:paraId="7B0CF30D">
      <w:pPr>
        <w:numPr>
          <w:ilvl w:val="0"/>
          <w:numId w:val="0"/>
        </w:numPr>
        <w:bidi w:val="0"/>
        <w:ind w:leftChars="0" w:firstLine="420" w:firstLineChars="0"/>
        <w:rPr>
          <w:rFonts w:hint="eastAsia" w:eastAsia="仿宋"/>
          <w:color w:val="auto"/>
          <w:highlight w:val="none"/>
          <w:lang w:eastAsia="zh-CN"/>
        </w:rPr>
      </w:pPr>
      <w:r>
        <w:rPr>
          <w:color w:val="auto"/>
          <w:highlight w:val="none"/>
        </w:rPr>
        <w:t>16.2开标会由采购人组织并主持。开标前，由监督人员和供应商代表检查投标文件的密封情况并当场宣布检查情况。</w:t>
      </w:r>
    </w:p>
    <w:p w14:paraId="01D08FA3">
      <w:pPr>
        <w:numPr>
          <w:ilvl w:val="0"/>
          <w:numId w:val="0"/>
        </w:numPr>
        <w:bidi w:val="0"/>
        <w:ind w:leftChars="0" w:firstLine="420" w:firstLineChars="0"/>
        <w:rPr>
          <w:rFonts w:hint="eastAsia" w:eastAsia="仿宋"/>
          <w:color w:val="auto"/>
          <w:highlight w:val="none"/>
          <w:lang w:eastAsia="zh-CN"/>
        </w:rPr>
      </w:pPr>
      <w:r>
        <w:rPr>
          <w:color w:val="auto"/>
          <w:highlight w:val="none"/>
        </w:rPr>
        <w:t>16.3开标时，采购人将按照供应商提交的“开标一览表”，当众宣读供应商名称、修改和撤回投标的通知、投标价格、交货时间、是否提交了投标保证金等内容。</w:t>
      </w:r>
    </w:p>
    <w:p w14:paraId="1427D430">
      <w:pPr>
        <w:numPr>
          <w:ilvl w:val="0"/>
          <w:numId w:val="0"/>
        </w:numPr>
        <w:bidi w:val="0"/>
        <w:ind w:leftChars="0" w:firstLine="420" w:firstLineChars="0"/>
        <w:rPr>
          <w:rFonts w:hint="eastAsia" w:eastAsia="仿宋"/>
          <w:color w:val="auto"/>
          <w:highlight w:val="none"/>
          <w:lang w:eastAsia="zh-CN"/>
        </w:rPr>
      </w:pPr>
      <w:r>
        <w:rPr>
          <w:color w:val="auto"/>
          <w:highlight w:val="none"/>
        </w:rPr>
        <w:t>16.4开标时未宣读的投标价格等实质性内容，评标时不予承认。</w:t>
      </w:r>
    </w:p>
    <w:p w14:paraId="417FBD8C">
      <w:pPr>
        <w:numPr>
          <w:ilvl w:val="0"/>
          <w:numId w:val="0"/>
        </w:numPr>
        <w:bidi w:val="0"/>
        <w:ind w:leftChars="0" w:firstLine="420" w:firstLineChars="0"/>
        <w:rPr>
          <w:rFonts w:hint="eastAsia" w:eastAsia="仿宋"/>
          <w:color w:val="auto"/>
          <w:highlight w:val="none"/>
          <w:lang w:eastAsia="zh-CN"/>
        </w:rPr>
      </w:pPr>
      <w:r>
        <w:rPr>
          <w:color w:val="auto"/>
          <w:highlight w:val="none"/>
        </w:rPr>
        <w:t>16.5按照供应商须知第14条的规定，提交了可接受的“撤回”通知的投标将不予开封。撤回的投标书将原封退回供应商。</w:t>
      </w:r>
    </w:p>
    <w:p w14:paraId="40AA8972">
      <w:pPr>
        <w:numPr>
          <w:ilvl w:val="0"/>
          <w:numId w:val="0"/>
        </w:numPr>
        <w:bidi w:val="0"/>
        <w:ind w:leftChars="0" w:firstLine="420" w:firstLineChars="0"/>
        <w:rPr>
          <w:rFonts w:hint="eastAsia" w:eastAsia="仿宋"/>
          <w:color w:val="auto"/>
          <w:highlight w:val="none"/>
          <w:lang w:eastAsia="zh-CN"/>
        </w:rPr>
      </w:pPr>
      <w:r>
        <w:rPr>
          <w:color w:val="auto"/>
          <w:highlight w:val="none"/>
        </w:rPr>
        <w:t>16.6采购人将做开标记录，开标记录包括按本须知第16.3款的规定在开标时宣读的全部内容。开标记录将在开标后由监督人员和供应商代表签字确认。</w:t>
      </w:r>
    </w:p>
    <w:p w14:paraId="325E239A">
      <w:pPr>
        <w:numPr>
          <w:ilvl w:val="0"/>
          <w:numId w:val="0"/>
        </w:numPr>
        <w:bidi w:val="0"/>
        <w:ind w:leftChars="0" w:firstLine="420" w:firstLineChars="0"/>
        <w:rPr>
          <w:rFonts w:hint="eastAsia" w:eastAsia="仿宋"/>
          <w:color w:val="auto"/>
          <w:highlight w:val="none"/>
          <w:lang w:eastAsia="zh-CN"/>
        </w:rPr>
      </w:pPr>
      <w:r>
        <w:rPr>
          <w:color w:val="auto"/>
          <w:highlight w:val="none"/>
        </w:rPr>
        <w:t>16.7开标时有下列情形之一的为无效投标：</w:t>
      </w:r>
    </w:p>
    <w:p w14:paraId="3D2EC9EC">
      <w:pPr>
        <w:numPr>
          <w:ilvl w:val="0"/>
          <w:numId w:val="0"/>
        </w:numPr>
        <w:bidi w:val="0"/>
        <w:ind w:leftChars="0" w:firstLine="420" w:firstLineChars="0"/>
        <w:rPr>
          <w:rFonts w:hint="eastAsia" w:eastAsia="仿宋"/>
          <w:color w:val="auto"/>
          <w:highlight w:val="none"/>
          <w:lang w:eastAsia="zh-CN"/>
        </w:rPr>
      </w:pPr>
      <w:r>
        <w:rPr>
          <w:color w:val="auto"/>
          <w:highlight w:val="none"/>
        </w:rPr>
        <w:t>（1）投标文件在规定的投标截止时间以后送达的；</w:t>
      </w:r>
    </w:p>
    <w:p w14:paraId="7767D842">
      <w:pPr>
        <w:numPr>
          <w:ilvl w:val="0"/>
          <w:numId w:val="0"/>
        </w:numPr>
        <w:bidi w:val="0"/>
        <w:ind w:leftChars="0" w:firstLine="420" w:firstLineChars="0"/>
        <w:rPr>
          <w:rFonts w:hint="eastAsia" w:eastAsia="仿宋"/>
          <w:color w:val="auto"/>
          <w:highlight w:val="none"/>
          <w:lang w:eastAsia="zh-CN"/>
        </w:rPr>
      </w:pPr>
      <w:r>
        <w:rPr>
          <w:color w:val="auto"/>
          <w:highlight w:val="none"/>
        </w:rPr>
        <w:t>（2）未按招标文件规定提交投标保证金的；</w:t>
      </w:r>
    </w:p>
    <w:p w14:paraId="20EDDB7C">
      <w:pPr>
        <w:numPr>
          <w:ilvl w:val="0"/>
          <w:numId w:val="0"/>
        </w:numPr>
        <w:bidi w:val="0"/>
        <w:ind w:leftChars="0" w:firstLine="420" w:firstLineChars="0"/>
        <w:rPr>
          <w:rFonts w:hint="eastAsia" w:eastAsia="仿宋"/>
          <w:color w:val="auto"/>
          <w:highlight w:val="none"/>
          <w:lang w:eastAsia="zh-CN"/>
        </w:rPr>
      </w:pPr>
      <w:r>
        <w:rPr>
          <w:color w:val="auto"/>
          <w:highlight w:val="none"/>
        </w:rPr>
        <w:t>（3）投标文件未按招标文件规定密封的；</w:t>
      </w:r>
    </w:p>
    <w:p w14:paraId="5B728F74">
      <w:pPr>
        <w:numPr>
          <w:ilvl w:val="0"/>
          <w:numId w:val="0"/>
        </w:numPr>
        <w:bidi w:val="0"/>
        <w:ind w:leftChars="0" w:firstLine="420" w:firstLineChars="0"/>
        <w:rPr>
          <w:rFonts w:hint="eastAsia" w:eastAsia="仿宋"/>
          <w:color w:val="auto"/>
          <w:highlight w:val="none"/>
          <w:lang w:eastAsia="zh-CN"/>
        </w:rPr>
      </w:pPr>
      <w:r>
        <w:rPr>
          <w:color w:val="auto"/>
          <w:highlight w:val="none"/>
        </w:rPr>
        <w:t>（4）未提交单独密封的开标一览表或者开标一览表未按规定加盖公章和有效签署的；</w:t>
      </w:r>
    </w:p>
    <w:p w14:paraId="1A90F2C5">
      <w:pPr>
        <w:numPr>
          <w:ilvl w:val="0"/>
          <w:numId w:val="0"/>
        </w:numPr>
        <w:bidi w:val="0"/>
        <w:ind w:leftChars="0" w:firstLine="420" w:firstLineChars="0"/>
        <w:rPr>
          <w:rFonts w:hint="eastAsia" w:eastAsia="仿宋"/>
          <w:color w:val="auto"/>
          <w:highlight w:val="none"/>
          <w:lang w:eastAsia="zh-CN"/>
        </w:rPr>
      </w:pPr>
      <w:r>
        <w:rPr>
          <w:color w:val="auto"/>
          <w:highlight w:val="none"/>
        </w:rPr>
        <w:t>（5）招标文件规定开标时属于无效投标的其他情形。</w:t>
      </w:r>
    </w:p>
    <w:p w14:paraId="223D06CD">
      <w:pPr>
        <w:numPr>
          <w:ilvl w:val="0"/>
          <w:numId w:val="0"/>
        </w:numPr>
        <w:bidi w:val="0"/>
        <w:ind w:leftChars="0" w:firstLine="420" w:firstLineChars="0"/>
        <w:rPr>
          <w:rFonts w:hint="eastAsia" w:eastAsia="仿宋"/>
          <w:color w:val="auto"/>
          <w:highlight w:val="none"/>
          <w:lang w:eastAsia="zh-CN"/>
        </w:rPr>
      </w:pPr>
      <w:r>
        <w:rPr>
          <w:color w:val="auto"/>
          <w:highlight w:val="none"/>
        </w:rPr>
        <w:t>16.8开标时有下列情形之一的，采购人有权宣布本项目废标：</w:t>
      </w:r>
    </w:p>
    <w:p w14:paraId="51FB29BC">
      <w:pPr>
        <w:numPr>
          <w:ilvl w:val="0"/>
          <w:numId w:val="0"/>
        </w:numPr>
        <w:bidi w:val="0"/>
        <w:ind w:leftChars="0" w:firstLine="420" w:firstLineChars="0"/>
        <w:rPr>
          <w:rFonts w:hint="eastAsia" w:eastAsia="仿宋"/>
          <w:color w:val="auto"/>
          <w:highlight w:val="none"/>
          <w:lang w:eastAsia="zh-CN"/>
        </w:rPr>
      </w:pPr>
      <w:r>
        <w:rPr>
          <w:color w:val="auto"/>
          <w:highlight w:val="none"/>
        </w:rPr>
        <w:t>（1）交货时间符合招标文件要求的供应商不足三家的；</w:t>
      </w:r>
    </w:p>
    <w:p w14:paraId="60C55D63">
      <w:pPr>
        <w:numPr>
          <w:ilvl w:val="0"/>
          <w:numId w:val="0"/>
        </w:numPr>
        <w:bidi w:val="0"/>
        <w:ind w:leftChars="0" w:firstLine="420" w:firstLineChars="0"/>
        <w:rPr>
          <w:rFonts w:hint="eastAsia" w:eastAsia="仿宋"/>
          <w:color w:val="auto"/>
          <w:highlight w:val="none"/>
          <w:lang w:eastAsia="zh-CN"/>
        </w:rPr>
      </w:pPr>
      <w:r>
        <w:rPr>
          <w:color w:val="auto"/>
          <w:highlight w:val="none"/>
        </w:rPr>
        <w:t>（2）所有供应商的报价均超过采购项目预算，采购人不能支付的。</w:t>
      </w:r>
    </w:p>
    <w:p w14:paraId="6CC7780A">
      <w:pPr>
        <w:numPr>
          <w:ilvl w:val="0"/>
          <w:numId w:val="4"/>
        </w:numPr>
        <w:bidi w:val="0"/>
        <w:rPr>
          <w:rFonts w:hint="eastAsia"/>
          <w:color w:val="auto"/>
          <w:highlight w:val="none"/>
          <w:lang w:eastAsia="zh-CN"/>
        </w:rPr>
      </w:pPr>
      <w:r>
        <w:rPr>
          <w:color w:val="auto"/>
          <w:highlight w:val="none"/>
        </w:rPr>
        <w:t>评标过程的保密性：公开开标后，直至向中标的供应商授予合同时止，除按招标文件规定予以公开的评标结果外，凡与审查、澄清、评价和比较投标有关的资料以及授标意见等，均不得向供应商及与评标无关的其他人透露</w:t>
      </w:r>
    </w:p>
    <w:p w14:paraId="709CEDA3">
      <w:pPr>
        <w:numPr>
          <w:ilvl w:val="0"/>
          <w:numId w:val="4"/>
        </w:numPr>
        <w:bidi w:val="0"/>
        <w:rPr>
          <w:rFonts w:hint="eastAsia"/>
          <w:color w:val="auto"/>
          <w:highlight w:val="none"/>
          <w:lang w:eastAsia="zh-CN"/>
        </w:rPr>
      </w:pPr>
      <w:r>
        <w:rPr>
          <w:color w:val="auto"/>
          <w:highlight w:val="none"/>
        </w:rPr>
        <w:t>评标：</w:t>
      </w:r>
    </w:p>
    <w:p w14:paraId="63C55766">
      <w:pPr>
        <w:numPr>
          <w:ilvl w:val="0"/>
          <w:numId w:val="0"/>
        </w:numPr>
        <w:bidi w:val="0"/>
        <w:ind w:leftChars="0" w:firstLine="420" w:firstLineChars="0"/>
        <w:rPr>
          <w:rFonts w:hint="eastAsia" w:eastAsia="仿宋"/>
          <w:color w:val="auto"/>
          <w:highlight w:val="none"/>
          <w:lang w:eastAsia="zh-CN"/>
        </w:rPr>
      </w:pPr>
      <w:r>
        <w:rPr>
          <w:color w:val="auto"/>
          <w:highlight w:val="none"/>
        </w:rPr>
        <w:t>18.1评标工作由采购人负责组织，具体评标工作由采购人依法组建的评标委员会负责。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人只负责评标组织工作，不参加评标。</w:t>
      </w:r>
    </w:p>
    <w:p w14:paraId="32CDB553">
      <w:pPr>
        <w:numPr>
          <w:ilvl w:val="0"/>
          <w:numId w:val="0"/>
        </w:numPr>
        <w:bidi w:val="0"/>
        <w:ind w:leftChars="0" w:firstLine="420" w:firstLineChars="0"/>
        <w:rPr>
          <w:rFonts w:hint="eastAsia" w:eastAsia="仿宋"/>
          <w:color w:val="auto"/>
          <w:highlight w:val="none"/>
          <w:lang w:eastAsia="zh-CN"/>
        </w:rPr>
      </w:pPr>
      <w:r>
        <w:rPr>
          <w:color w:val="auto"/>
          <w:highlight w:val="none"/>
        </w:rPr>
        <w:t>18.2审查是否所有供应商的报价均超过采购预算：根据《中华人民共和国政府采购法》的规定，所有供应商的报价均超过采购预算，采购人不能支付的，应予否决处理。</w:t>
      </w:r>
    </w:p>
    <w:p w14:paraId="00DD3B65">
      <w:pPr>
        <w:numPr>
          <w:ilvl w:val="0"/>
          <w:numId w:val="0"/>
        </w:numPr>
        <w:bidi w:val="0"/>
        <w:ind w:leftChars="0" w:firstLine="420" w:firstLineChars="0"/>
        <w:rPr>
          <w:rFonts w:hint="eastAsia" w:eastAsia="仿宋"/>
          <w:color w:val="auto"/>
          <w:highlight w:val="none"/>
          <w:lang w:eastAsia="zh-CN"/>
        </w:rPr>
      </w:pPr>
      <w:r>
        <w:rPr>
          <w:color w:val="auto"/>
          <w:highlight w:val="none"/>
        </w:rPr>
        <w:t>18.3审查供应商是否存在串通投标行为：评标委员会发现供应商有下列情形之一的，将认定属于串通投标行为，相关供应商的投标应作废标处理。评标结束后，招标机构将以书面形式报告吉林市政府采购监督管理部门：</w:t>
      </w:r>
    </w:p>
    <w:p w14:paraId="1EC85BBB">
      <w:pPr>
        <w:numPr>
          <w:ilvl w:val="0"/>
          <w:numId w:val="0"/>
        </w:numPr>
        <w:bidi w:val="0"/>
        <w:ind w:leftChars="0" w:firstLine="420" w:firstLineChars="0"/>
        <w:rPr>
          <w:color w:val="auto"/>
          <w:highlight w:val="none"/>
        </w:rPr>
      </w:pPr>
      <w:r>
        <w:rPr>
          <w:color w:val="auto"/>
          <w:highlight w:val="none"/>
        </w:rPr>
        <w:t>（1）不同供应商的投标文件中错、漏之处相同的；</w:t>
      </w:r>
    </w:p>
    <w:p w14:paraId="28F89736">
      <w:pPr>
        <w:numPr>
          <w:ilvl w:val="0"/>
          <w:numId w:val="0"/>
        </w:numPr>
        <w:bidi w:val="0"/>
        <w:ind w:leftChars="0" w:firstLine="420" w:firstLineChars="0"/>
        <w:rPr>
          <w:rFonts w:hint="eastAsia" w:eastAsia="仿宋"/>
          <w:color w:val="auto"/>
          <w:highlight w:val="none"/>
          <w:lang w:eastAsia="zh-CN"/>
        </w:rPr>
      </w:pPr>
      <w:r>
        <w:rPr>
          <w:color w:val="auto"/>
          <w:highlight w:val="none"/>
        </w:rPr>
        <w:t>（2）不同供应商的投标文件相互混装的，或者相互加盖了对方公章的，或者相互出现了对方法定代表人或者授权代理人签名的，或者相互书写了对方名称的；</w:t>
      </w:r>
    </w:p>
    <w:p w14:paraId="0C2DA204">
      <w:pPr>
        <w:numPr>
          <w:ilvl w:val="0"/>
          <w:numId w:val="0"/>
        </w:numPr>
        <w:bidi w:val="0"/>
        <w:ind w:leftChars="0" w:firstLine="420" w:firstLineChars="0"/>
        <w:rPr>
          <w:color w:val="auto"/>
          <w:highlight w:val="none"/>
        </w:rPr>
      </w:pPr>
      <w:r>
        <w:rPr>
          <w:color w:val="auto"/>
          <w:highlight w:val="none"/>
        </w:rPr>
        <w:t>（3）一家供应商的投标文件中加盖了另一家供应商公章的；</w:t>
      </w:r>
    </w:p>
    <w:p w14:paraId="15BAC561">
      <w:pPr>
        <w:numPr>
          <w:ilvl w:val="0"/>
          <w:numId w:val="0"/>
        </w:numPr>
        <w:bidi w:val="0"/>
        <w:ind w:leftChars="0" w:firstLine="420" w:firstLineChars="0"/>
        <w:rPr>
          <w:color w:val="auto"/>
          <w:highlight w:val="none"/>
        </w:rPr>
      </w:pPr>
      <w:r>
        <w:rPr>
          <w:color w:val="auto"/>
          <w:highlight w:val="none"/>
        </w:rPr>
        <w:t>（4）不同供应商的投标文件中，项目成员出现同一人的；</w:t>
      </w:r>
    </w:p>
    <w:p w14:paraId="615D50A9">
      <w:pPr>
        <w:numPr>
          <w:ilvl w:val="0"/>
          <w:numId w:val="0"/>
        </w:numPr>
        <w:bidi w:val="0"/>
        <w:ind w:leftChars="0" w:firstLine="420" w:firstLineChars="0"/>
        <w:rPr>
          <w:rFonts w:hint="eastAsia" w:eastAsia="仿宋"/>
          <w:color w:val="auto"/>
          <w:highlight w:val="none"/>
          <w:lang w:eastAsia="zh-CN"/>
        </w:rPr>
      </w:pPr>
      <w:r>
        <w:rPr>
          <w:color w:val="auto"/>
          <w:highlight w:val="none"/>
        </w:rPr>
        <w:t>（5）不同供应商的投标文件的制作非正常一致的；</w:t>
      </w:r>
    </w:p>
    <w:p w14:paraId="49716A09">
      <w:pPr>
        <w:numPr>
          <w:ilvl w:val="0"/>
          <w:numId w:val="0"/>
        </w:numPr>
        <w:bidi w:val="0"/>
        <w:ind w:leftChars="0" w:firstLine="420" w:firstLineChars="0"/>
        <w:rPr>
          <w:rFonts w:hint="eastAsia" w:eastAsia="仿宋"/>
          <w:color w:val="auto"/>
          <w:highlight w:val="none"/>
          <w:lang w:eastAsia="zh-CN"/>
        </w:rPr>
      </w:pPr>
      <w:r>
        <w:rPr>
          <w:color w:val="auto"/>
          <w:highlight w:val="none"/>
        </w:rPr>
        <w:t>（6）不同供应商的投标文件中相关内容的段落、字句、售后服务电话、联系人姓名等非正常一致的；</w:t>
      </w:r>
    </w:p>
    <w:p w14:paraId="1FEAFB3C">
      <w:pPr>
        <w:numPr>
          <w:ilvl w:val="0"/>
          <w:numId w:val="0"/>
        </w:numPr>
        <w:bidi w:val="0"/>
        <w:ind w:leftChars="0" w:firstLine="420" w:firstLineChars="0"/>
        <w:rPr>
          <w:color w:val="auto"/>
          <w:highlight w:val="none"/>
        </w:rPr>
      </w:pPr>
      <w:r>
        <w:rPr>
          <w:color w:val="auto"/>
          <w:highlight w:val="none"/>
        </w:rPr>
        <w:t>（7）一家供应商的投标文件中装订了标有另一家供应商名称的文件材料，或者出现了另一家法定代表人或者授予代理人签名的，其投标作废标处理；</w:t>
      </w:r>
    </w:p>
    <w:p w14:paraId="7FF2C7AD">
      <w:pPr>
        <w:numPr>
          <w:ilvl w:val="0"/>
          <w:numId w:val="0"/>
        </w:numPr>
        <w:bidi w:val="0"/>
        <w:ind w:leftChars="0" w:firstLine="420" w:firstLineChars="0"/>
        <w:rPr>
          <w:color w:val="auto"/>
          <w:highlight w:val="none"/>
        </w:rPr>
      </w:pPr>
      <w:r>
        <w:rPr>
          <w:color w:val="auto"/>
          <w:highlight w:val="none"/>
        </w:rPr>
        <w:t>（8）不同供应商的投标文件由同一供应商或者同一个人编制的；</w:t>
      </w:r>
    </w:p>
    <w:p w14:paraId="491D778C">
      <w:pPr>
        <w:numPr>
          <w:ilvl w:val="0"/>
          <w:numId w:val="0"/>
        </w:numPr>
        <w:bidi w:val="0"/>
        <w:ind w:leftChars="0" w:firstLine="420" w:firstLineChars="0"/>
        <w:rPr>
          <w:color w:val="auto"/>
          <w:highlight w:val="none"/>
        </w:rPr>
      </w:pPr>
      <w:r>
        <w:rPr>
          <w:color w:val="auto"/>
          <w:highlight w:val="none"/>
        </w:rPr>
        <w:t>（9）《关于禁止串通招标投标行为的暂行规定》（国家工商行政管理局令第82号）第三条规定的串通投标行为；</w:t>
      </w:r>
    </w:p>
    <w:p w14:paraId="7FB686A8">
      <w:pPr>
        <w:numPr>
          <w:ilvl w:val="0"/>
          <w:numId w:val="0"/>
        </w:numPr>
        <w:bidi w:val="0"/>
        <w:ind w:leftChars="0" w:firstLine="420" w:firstLineChars="0"/>
        <w:rPr>
          <w:color w:val="auto"/>
          <w:highlight w:val="none"/>
        </w:rPr>
      </w:pPr>
      <w:r>
        <w:rPr>
          <w:color w:val="auto"/>
          <w:highlight w:val="none"/>
        </w:rPr>
        <w:t>（10）供应商串通投标的其他情形。</w:t>
      </w:r>
    </w:p>
    <w:p w14:paraId="7B556913">
      <w:pPr>
        <w:numPr>
          <w:ilvl w:val="0"/>
          <w:numId w:val="0"/>
        </w:numPr>
        <w:bidi w:val="0"/>
        <w:ind w:leftChars="0" w:firstLine="420" w:firstLineChars="0"/>
        <w:rPr>
          <w:rFonts w:hint="eastAsia" w:eastAsia="仿宋"/>
          <w:color w:val="auto"/>
          <w:highlight w:val="none"/>
          <w:lang w:eastAsia="zh-CN"/>
        </w:rPr>
      </w:pPr>
      <w:r>
        <w:rPr>
          <w:color w:val="auto"/>
          <w:highlight w:val="none"/>
        </w:rPr>
        <w:t>18.4对投标文件商务部分（供应商资格）进行审查：评标委员会将审查每个供应商提交的商务文件是否齐全完整，是否合法有效，是否有重大偏离和保留，是否符合招标文件要求。商务（供应商资格）审查不符合招标文件要求的投标文件将被拒绝。</w:t>
      </w:r>
    </w:p>
    <w:p w14:paraId="5C8CBC76">
      <w:pPr>
        <w:numPr>
          <w:ilvl w:val="0"/>
          <w:numId w:val="0"/>
        </w:numPr>
        <w:bidi w:val="0"/>
        <w:ind w:leftChars="0" w:firstLine="420" w:firstLineChars="0"/>
        <w:rPr>
          <w:rFonts w:hint="eastAsia" w:eastAsia="仿宋"/>
          <w:color w:val="auto"/>
          <w:highlight w:val="none"/>
          <w:lang w:eastAsia="zh-CN"/>
        </w:rPr>
      </w:pPr>
      <w:r>
        <w:rPr>
          <w:color w:val="auto"/>
          <w:highlight w:val="none"/>
        </w:rPr>
        <w:t>18.5对投标文件技术部分（符合性）进行审查：</w:t>
      </w:r>
    </w:p>
    <w:p w14:paraId="12052FE2">
      <w:pPr>
        <w:numPr>
          <w:ilvl w:val="0"/>
          <w:numId w:val="0"/>
        </w:numPr>
        <w:bidi w:val="0"/>
        <w:ind w:leftChars="0" w:firstLine="420" w:firstLineChars="0"/>
        <w:rPr>
          <w:rFonts w:hint="eastAsia" w:eastAsia="仿宋"/>
          <w:color w:val="auto"/>
          <w:highlight w:val="none"/>
          <w:lang w:eastAsia="zh-CN"/>
        </w:rPr>
      </w:pPr>
      <w:r>
        <w:rPr>
          <w:color w:val="auto"/>
          <w:highlight w:val="none"/>
        </w:rPr>
        <w:t>18.5.1对于商务审查合格的供应商，评标委员会将审查其投标文件技术部分是否对招标文件规定的事项、格式、条款和技术规格等要求都做出了实质性响应。</w:t>
      </w:r>
    </w:p>
    <w:p w14:paraId="2D96E0E5">
      <w:pPr>
        <w:numPr>
          <w:ilvl w:val="0"/>
          <w:numId w:val="0"/>
        </w:numPr>
        <w:bidi w:val="0"/>
        <w:ind w:leftChars="0" w:firstLine="420" w:firstLineChars="0"/>
        <w:rPr>
          <w:rFonts w:hint="eastAsia" w:eastAsia="仿宋"/>
          <w:color w:val="auto"/>
          <w:highlight w:val="none"/>
          <w:lang w:eastAsia="zh-CN"/>
        </w:rPr>
      </w:pPr>
      <w:r>
        <w:rPr>
          <w:color w:val="auto"/>
          <w:highlight w:val="none"/>
        </w:rPr>
        <w:t>18.5.2实质性响应的投标是指与招标文件规定的事项、条款、条件和技术规格相符，没有重大偏离和保留。没有实质性响应招标文件要求的投标将被拒绝。</w:t>
      </w:r>
    </w:p>
    <w:p w14:paraId="1B296AA3">
      <w:pPr>
        <w:numPr>
          <w:ilvl w:val="0"/>
          <w:numId w:val="0"/>
        </w:numPr>
        <w:bidi w:val="0"/>
        <w:ind w:leftChars="0" w:firstLine="420" w:firstLineChars="0"/>
        <w:rPr>
          <w:rFonts w:hint="eastAsia" w:eastAsia="仿宋"/>
          <w:color w:val="auto"/>
          <w:highlight w:val="none"/>
          <w:lang w:eastAsia="zh-CN"/>
        </w:rPr>
      </w:pPr>
      <w:r>
        <w:rPr>
          <w:color w:val="auto"/>
          <w:highlight w:val="none"/>
        </w:rPr>
        <w:t>18.6重大偏离和保留是指实质上影响合同的供货范围、质量和性能，或者实质上限制了合同中采购人的权利或供应商的义务。投标文件有下列情形之一的属于重大偏离和保留，将作废标处理：</w:t>
      </w:r>
    </w:p>
    <w:p w14:paraId="0064E4D9">
      <w:pPr>
        <w:numPr>
          <w:ilvl w:val="0"/>
          <w:numId w:val="0"/>
        </w:numPr>
        <w:bidi w:val="0"/>
        <w:ind w:leftChars="0" w:firstLine="420" w:firstLineChars="0"/>
        <w:rPr>
          <w:rFonts w:hint="eastAsia" w:eastAsia="仿宋"/>
          <w:color w:val="auto"/>
          <w:highlight w:val="none"/>
          <w:lang w:eastAsia="zh-CN"/>
        </w:rPr>
      </w:pPr>
      <w:r>
        <w:rPr>
          <w:color w:val="auto"/>
          <w:highlight w:val="none"/>
        </w:rPr>
        <w:t>（1）供应商未按招标文件规定提交所要求提交的全部文件或者提交的文件无效或者不符合招标文件的规定；</w:t>
      </w:r>
    </w:p>
    <w:p w14:paraId="1161FB39">
      <w:pPr>
        <w:numPr>
          <w:ilvl w:val="0"/>
          <w:numId w:val="0"/>
        </w:numPr>
        <w:bidi w:val="0"/>
        <w:ind w:leftChars="0" w:firstLine="420" w:firstLineChars="0"/>
        <w:rPr>
          <w:rFonts w:hint="eastAsia" w:eastAsia="仿宋"/>
          <w:color w:val="auto"/>
          <w:highlight w:val="none"/>
          <w:lang w:eastAsia="zh-CN"/>
        </w:rPr>
      </w:pPr>
      <w:r>
        <w:rPr>
          <w:color w:val="auto"/>
          <w:highlight w:val="none"/>
        </w:rPr>
        <w:t>（2）投标文件未按招标文件的规定有效签署和加盖公章；</w:t>
      </w:r>
    </w:p>
    <w:p w14:paraId="5820D91C">
      <w:pPr>
        <w:numPr>
          <w:ilvl w:val="0"/>
          <w:numId w:val="0"/>
        </w:numPr>
        <w:bidi w:val="0"/>
        <w:ind w:leftChars="0" w:firstLine="420" w:firstLineChars="0"/>
        <w:rPr>
          <w:rFonts w:hint="eastAsia" w:eastAsia="仿宋"/>
          <w:color w:val="auto"/>
          <w:highlight w:val="none"/>
          <w:lang w:eastAsia="zh-CN"/>
        </w:rPr>
      </w:pPr>
      <w:r>
        <w:rPr>
          <w:color w:val="auto"/>
          <w:highlight w:val="none"/>
        </w:rPr>
        <w:t>（3）投标文件载明的项目完成期限超过招标文件规定的期限；</w:t>
      </w:r>
    </w:p>
    <w:p w14:paraId="5C27F749">
      <w:pPr>
        <w:numPr>
          <w:ilvl w:val="0"/>
          <w:numId w:val="0"/>
        </w:numPr>
        <w:bidi w:val="0"/>
        <w:ind w:leftChars="0" w:firstLine="420" w:firstLineChars="0"/>
        <w:rPr>
          <w:rFonts w:hint="eastAsia" w:eastAsia="仿宋"/>
          <w:color w:val="auto"/>
          <w:highlight w:val="none"/>
          <w:lang w:eastAsia="zh-CN"/>
        </w:rPr>
      </w:pPr>
      <w:r>
        <w:rPr>
          <w:color w:val="auto"/>
          <w:highlight w:val="none"/>
        </w:rPr>
        <w:t>（4）投标文件明显不符合招标文件规定的技术规格、技术标准要求；</w:t>
      </w:r>
    </w:p>
    <w:p w14:paraId="67B54CBE">
      <w:pPr>
        <w:numPr>
          <w:ilvl w:val="0"/>
          <w:numId w:val="0"/>
        </w:numPr>
        <w:bidi w:val="0"/>
        <w:ind w:leftChars="0" w:firstLine="420" w:firstLineChars="0"/>
        <w:rPr>
          <w:rFonts w:hint="eastAsia" w:eastAsia="仿宋"/>
          <w:color w:val="auto"/>
          <w:highlight w:val="none"/>
          <w:lang w:eastAsia="zh-CN"/>
        </w:rPr>
      </w:pPr>
      <w:r>
        <w:rPr>
          <w:color w:val="auto"/>
          <w:highlight w:val="none"/>
        </w:rPr>
        <w:t>（5）投标文件载明的货物包装方式、检验方法和标准等不符合招标文件要求；</w:t>
      </w:r>
    </w:p>
    <w:p w14:paraId="70A5ADF3">
      <w:pPr>
        <w:numPr>
          <w:ilvl w:val="0"/>
          <w:numId w:val="0"/>
        </w:numPr>
        <w:bidi w:val="0"/>
        <w:ind w:leftChars="0" w:firstLine="420" w:firstLineChars="0"/>
        <w:rPr>
          <w:rFonts w:hint="eastAsia" w:eastAsia="仿宋"/>
          <w:color w:val="auto"/>
          <w:highlight w:val="none"/>
          <w:lang w:eastAsia="zh-CN"/>
        </w:rPr>
      </w:pPr>
      <w:r>
        <w:rPr>
          <w:color w:val="auto"/>
          <w:highlight w:val="none"/>
        </w:rPr>
        <w:t>（6）投标文件附有采购人不能接受的条件；</w:t>
      </w:r>
    </w:p>
    <w:p w14:paraId="53DFC516">
      <w:pPr>
        <w:numPr>
          <w:ilvl w:val="0"/>
          <w:numId w:val="0"/>
        </w:numPr>
        <w:bidi w:val="0"/>
        <w:ind w:leftChars="0" w:firstLine="420" w:firstLineChars="0"/>
        <w:rPr>
          <w:rFonts w:hint="eastAsia" w:eastAsia="仿宋"/>
          <w:color w:val="auto"/>
          <w:highlight w:val="none"/>
          <w:lang w:eastAsia="zh-CN"/>
        </w:rPr>
      </w:pPr>
      <w:r>
        <w:rPr>
          <w:color w:val="auto"/>
          <w:highlight w:val="none"/>
        </w:rPr>
        <w:t>（7）不符合招标文件规定的其他实质性要求。</w:t>
      </w:r>
    </w:p>
    <w:p w14:paraId="0F2F1E45">
      <w:pPr>
        <w:numPr>
          <w:ilvl w:val="0"/>
          <w:numId w:val="0"/>
        </w:numPr>
        <w:bidi w:val="0"/>
        <w:ind w:leftChars="0" w:firstLine="420" w:firstLineChars="0"/>
        <w:rPr>
          <w:rFonts w:hint="eastAsia" w:eastAsia="仿宋"/>
          <w:color w:val="auto"/>
          <w:highlight w:val="none"/>
          <w:lang w:eastAsia="zh-CN"/>
        </w:rPr>
      </w:pPr>
      <w:r>
        <w:rPr>
          <w:color w:val="auto"/>
          <w:highlight w:val="none"/>
        </w:rPr>
        <w:t>18.7评标委员会将允许修正投标文件中不构成重大偏离的细微偏离，但这些修正应不会对实质上响应招标文件要求的供应商的竞争地位（相互排序）产生不公正的影响。</w:t>
      </w:r>
    </w:p>
    <w:p w14:paraId="0DF77436">
      <w:pPr>
        <w:numPr>
          <w:ilvl w:val="0"/>
          <w:numId w:val="0"/>
        </w:numPr>
        <w:bidi w:val="0"/>
        <w:ind w:leftChars="0" w:firstLine="420" w:firstLineChars="0"/>
        <w:rPr>
          <w:color w:val="auto"/>
          <w:highlight w:val="none"/>
        </w:rPr>
      </w:pPr>
      <w:r>
        <w:rPr>
          <w:color w:val="auto"/>
          <w:highlight w:val="none"/>
        </w:rPr>
        <w:t>18.8评标委员会对投标文件的判定，只依据投标文件内容本身，不依据任何外来证明。</w:t>
      </w:r>
    </w:p>
    <w:p w14:paraId="2CCA125F">
      <w:pPr>
        <w:numPr>
          <w:ilvl w:val="0"/>
          <w:numId w:val="0"/>
        </w:numPr>
        <w:bidi w:val="0"/>
        <w:ind w:leftChars="0" w:firstLine="420" w:firstLineChars="0"/>
        <w:rPr>
          <w:rFonts w:hint="eastAsia" w:eastAsia="仿宋"/>
          <w:color w:val="auto"/>
          <w:highlight w:val="none"/>
          <w:lang w:eastAsia="zh-CN"/>
        </w:rPr>
      </w:pPr>
      <w:r>
        <w:rPr>
          <w:color w:val="auto"/>
          <w:highlight w:val="none"/>
        </w:rPr>
        <w:t>18.9投标报价的审查：评标委员会将对商务审查、技术审查合格的投标文件的报价进行审核，看其是否有计算和累加上的错误。修正错误的原则如下：投标报价以《开标一览表》的报价为准，《投标报价明细表》的报价与《开标一览表》的报价不一致的，供应商应按《开标一览表》的报价相应修改《投标报价明细表》的报价，并相应修改分项报价。按上述原则调整后的价格为评标价，经供应商法定代表人或授权代理人签字确认后对供应商具有约束力。如果供应商不按照上述原则修正其投标报价及分项报价，则其投标将被拒绝。</w:t>
      </w:r>
    </w:p>
    <w:p w14:paraId="6F7700C5">
      <w:pPr>
        <w:numPr>
          <w:ilvl w:val="0"/>
          <w:numId w:val="0"/>
        </w:numPr>
        <w:bidi w:val="0"/>
        <w:ind w:leftChars="0" w:firstLine="420" w:firstLineChars="0"/>
        <w:rPr>
          <w:rFonts w:hint="eastAsia" w:eastAsia="仿宋"/>
          <w:color w:val="auto"/>
          <w:highlight w:val="none"/>
          <w:lang w:eastAsia="zh-CN"/>
        </w:rPr>
      </w:pPr>
      <w:r>
        <w:rPr>
          <w:color w:val="auto"/>
          <w:highlight w:val="none"/>
        </w:rPr>
        <w:t>18.10澄清：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供应商在规定的时限内（在评标结束前）作出必要的澄清、说明或者补正。供应商的澄清、说明或者补正应当采用书面形式，由供应商法定代表人或其授权代理人签字（须提交签字人身份证件并与投标文件签字人一致），并不得超出投标文件的范围或者改变投标文件的实质性内容。供应商拒不进行澄清、说明、补正的，或者不能在规定时间内作出书面澄清、说明、补正的，评标委员会将拒绝其投标。接受细微偏离有利于采购成功，不应因细微偏离而废标。</w:t>
      </w:r>
    </w:p>
    <w:p w14:paraId="1E8E744F">
      <w:pPr>
        <w:numPr>
          <w:ilvl w:val="0"/>
          <w:numId w:val="4"/>
        </w:numPr>
        <w:bidi w:val="0"/>
        <w:rPr>
          <w:color w:val="auto"/>
          <w:highlight w:val="none"/>
        </w:rPr>
      </w:pPr>
      <w:r>
        <w:rPr>
          <w:color w:val="auto"/>
          <w:highlight w:val="none"/>
        </w:rPr>
        <w:t>首次招标因评标过程中出现符合专业条件的投标人或者对招标文件作实质性响应的投标人不足三家情形而否决投标，重新招标仍然出现前述情形的，以及竞争性</w:t>
      </w:r>
      <w:r>
        <w:rPr>
          <w:rFonts w:hint="eastAsia"/>
          <w:color w:val="auto"/>
          <w:highlight w:val="none"/>
          <w:lang w:val="en-US" w:eastAsia="zh-CN"/>
        </w:rPr>
        <w:t>磋商</w:t>
      </w:r>
      <w:r>
        <w:rPr>
          <w:color w:val="auto"/>
          <w:highlight w:val="none"/>
        </w:rPr>
        <w:t>、询价项目出现前述情形的，如果采购人需求紧急需要直接变更方式采购，经采购人代表现场提出，评标委员会专家成员和评标监督人员同意，可以在评标专家、采购人代表、评标监督人员、投标供应商授权代表以及采购中心或者采购代理机构工作人员同时在场的情况下直接变更采购方式继续采购，并按下述规定办理：</w:t>
      </w:r>
    </w:p>
    <w:p w14:paraId="6518E67D">
      <w:pPr>
        <w:numPr>
          <w:ilvl w:val="0"/>
          <w:numId w:val="0"/>
        </w:numPr>
        <w:bidi w:val="0"/>
        <w:ind w:leftChars="0" w:firstLine="420" w:firstLineChars="0"/>
        <w:rPr>
          <w:color w:val="auto"/>
          <w:highlight w:val="none"/>
        </w:rPr>
      </w:pPr>
      <w:r>
        <w:rPr>
          <w:color w:val="auto"/>
          <w:highlight w:val="none"/>
        </w:rPr>
        <w:t>（1）采用招标方式采购项目，重新招标出现前述情形的，如果有两家供应商投标或者经评审有两家合格投标供应商，可以直接变更为两家供应商招标或者向两家供应商询价采购。</w:t>
      </w:r>
    </w:p>
    <w:p w14:paraId="18C9A328">
      <w:pPr>
        <w:numPr>
          <w:ilvl w:val="0"/>
          <w:numId w:val="0"/>
        </w:numPr>
        <w:bidi w:val="0"/>
        <w:ind w:leftChars="0" w:firstLine="420" w:firstLineChars="0"/>
        <w:rPr>
          <w:rFonts w:hint="eastAsia" w:eastAsia="仿宋"/>
          <w:color w:val="auto"/>
          <w:highlight w:val="none"/>
          <w:lang w:eastAsia="zh-CN"/>
        </w:rPr>
      </w:pPr>
      <w:r>
        <w:rPr>
          <w:color w:val="auto"/>
          <w:highlight w:val="none"/>
        </w:rPr>
        <w:t>（2）采用</w:t>
      </w:r>
      <w:r>
        <w:rPr>
          <w:rFonts w:hint="eastAsia"/>
          <w:color w:val="auto"/>
          <w:highlight w:val="none"/>
          <w:lang w:eastAsia="zh-CN"/>
        </w:rPr>
        <w:t>公开招标</w:t>
      </w:r>
      <w:r>
        <w:rPr>
          <w:color w:val="auto"/>
          <w:highlight w:val="none"/>
        </w:rPr>
        <w:t>、询价方式采购的项目，出现前述情形的，如果有两家供应商投标或者经评审由两家合格投标供应商，原采购方式为</w:t>
      </w:r>
      <w:r>
        <w:rPr>
          <w:rFonts w:hint="eastAsia"/>
          <w:color w:val="auto"/>
          <w:highlight w:val="none"/>
          <w:lang w:eastAsia="zh-CN"/>
        </w:rPr>
        <w:t>公开招标</w:t>
      </w:r>
      <w:r>
        <w:rPr>
          <w:color w:val="auto"/>
          <w:highlight w:val="none"/>
        </w:rPr>
        <w:t>的，应当直接变更为两家供应商</w:t>
      </w:r>
      <w:r>
        <w:rPr>
          <w:rFonts w:hint="eastAsia"/>
          <w:color w:val="auto"/>
          <w:highlight w:val="none"/>
          <w:lang w:eastAsia="zh-CN"/>
        </w:rPr>
        <w:t>公开招标</w:t>
      </w:r>
      <w:r>
        <w:rPr>
          <w:color w:val="auto"/>
          <w:highlight w:val="none"/>
        </w:rPr>
        <w:t>；原采购方式为询价的，应当直接变更为两家供应商询价采购。</w:t>
      </w:r>
    </w:p>
    <w:p w14:paraId="1994D6D4">
      <w:pPr>
        <w:numPr>
          <w:ilvl w:val="0"/>
          <w:numId w:val="0"/>
        </w:numPr>
        <w:bidi w:val="0"/>
        <w:ind w:leftChars="0" w:firstLine="420" w:firstLineChars="0"/>
        <w:rPr>
          <w:color w:val="auto"/>
          <w:highlight w:val="none"/>
        </w:rPr>
      </w:pPr>
      <w:r>
        <w:rPr>
          <w:color w:val="auto"/>
          <w:highlight w:val="none"/>
        </w:rPr>
        <w:t>（3）只有1家供应商投标，或者经评审只有1家合格供应商的，不得直接变更为单一来源方式采购。采购人需要变更为单一来源方式采购的，应当在否决投标后向采购办申请批准。</w:t>
      </w:r>
    </w:p>
    <w:p w14:paraId="5DE7EDE5">
      <w:pPr>
        <w:numPr>
          <w:ilvl w:val="0"/>
          <w:numId w:val="0"/>
        </w:numPr>
        <w:bidi w:val="0"/>
        <w:ind w:leftChars="0" w:firstLine="420" w:firstLineChars="0"/>
        <w:rPr>
          <w:rFonts w:hint="eastAsia" w:eastAsia="仿宋"/>
          <w:color w:val="auto"/>
          <w:highlight w:val="none"/>
          <w:lang w:eastAsia="zh-CN"/>
        </w:rPr>
      </w:pPr>
      <w:r>
        <w:rPr>
          <w:color w:val="auto"/>
          <w:highlight w:val="none"/>
        </w:rPr>
        <w:t>（4）招标失败后直接变更采购方式的项目，应当当场由评标专家、采购人代表、评标监督人员和相关投标供应商授权代表共同签署《招标失败后直接变更采购方式备忘录》。评标结束后，由采购中心或者采购代理机构将《招标失败后直接变更采购方式备忘录》和评标纪要（评标报告）包采购办备案。</w:t>
      </w:r>
    </w:p>
    <w:p w14:paraId="0617B378">
      <w:pPr>
        <w:numPr>
          <w:ilvl w:val="0"/>
          <w:numId w:val="0"/>
        </w:numPr>
        <w:bidi w:val="0"/>
        <w:ind w:leftChars="0" w:firstLine="420" w:firstLineChars="0"/>
        <w:rPr>
          <w:color w:val="auto"/>
          <w:highlight w:val="none"/>
        </w:rPr>
      </w:pPr>
      <w:r>
        <w:rPr>
          <w:color w:val="auto"/>
          <w:highlight w:val="none"/>
        </w:rPr>
        <w:t>（5）招标失败后直接变更采购方式的条件应在采购文件中事先申明。</w:t>
      </w:r>
    </w:p>
    <w:p w14:paraId="6895F643">
      <w:pPr>
        <w:numPr>
          <w:ilvl w:val="0"/>
          <w:numId w:val="4"/>
        </w:numPr>
        <w:bidi w:val="0"/>
        <w:rPr>
          <w:rFonts w:hint="eastAsia"/>
          <w:color w:val="auto"/>
          <w:highlight w:val="none"/>
          <w:lang w:eastAsia="zh-CN"/>
        </w:rPr>
      </w:pPr>
      <w:r>
        <w:rPr>
          <w:color w:val="auto"/>
          <w:highlight w:val="none"/>
        </w:rPr>
        <w:t>评标方法和标准：</w:t>
      </w:r>
    </w:p>
    <w:p w14:paraId="2E3BB80C">
      <w:pPr>
        <w:numPr>
          <w:ilvl w:val="0"/>
          <w:numId w:val="0"/>
        </w:numPr>
        <w:bidi w:val="0"/>
        <w:ind w:leftChars="0" w:firstLine="420" w:firstLineChars="0"/>
        <w:rPr>
          <w:rFonts w:hint="eastAsia" w:eastAsia="仿宋"/>
          <w:color w:val="auto"/>
          <w:highlight w:val="none"/>
          <w:lang w:eastAsia="zh-CN"/>
        </w:rPr>
      </w:pPr>
      <w:r>
        <w:rPr>
          <w:color w:val="auto"/>
          <w:highlight w:val="none"/>
        </w:rPr>
        <w:t>20.1评标委员会将只对商务（供应商资格）审查和技术（符合性）审查均符合招标文件要求的投标进行详细评审。</w:t>
      </w:r>
    </w:p>
    <w:p w14:paraId="0C04530A">
      <w:pPr>
        <w:numPr>
          <w:ilvl w:val="0"/>
          <w:numId w:val="0"/>
        </w:numPr>
        <w:bidi w:val="0"/>
        <w:ind w:leftChars="0" w:firstLine="420" w:firstLineChars="0"/>
        <w:rPr>
          <w:rFonts w:hint="eastAsia" w:eastAsia="仿宋"/>
          <w:color w:val="auto"/>
          <w:highlight w:val="none"/>
          <w:lang w:eastAsia="zh-CN"/>
        </w:rPr>
      </w:pPr>
      <w:r>
        <w:rPr>
          <w:color w:val="auto"/>
          <w:highlight w:val="none"/>
        </w:rPr>
        <w:t>20.2本项目采用综合评分法评标，评标委员会将按下述标准评定预中标人：按评审后供应商得分由高到低的顺序排列；得分相同的，按投标报价由低到高顺序排列；得分且投标报价相同的，按技术指标优劣顺序排列。</w:t>
      </w:r>
    </w:p>
    <w:p w14:paraId="1149A268">
      <w:pPr>
        <w:rPr>
          <w:color w:val="auto"/>
          <w:highlight w:val="none"/>
        </w:rPr>
      </w:pPr>
      <w:r>
        <w:rPr>
          <w:color w:val="auto"/>
          <w:highlight w:val="none"/>
        </w:rPr>
        <w:br w:type="page"/>
      </w:r>
    </w:p>
    <w:p w14:paraId="52B27659">
      <w:pPr>
        <w:keepNext/>
        <w:keepLines/>
        <w:autoSpaceDE w:val="0"/>
        <w:autoSpaceDN w:val="0"/>
        <w:spacing w:before="120" w:after="120" w:line="300" w:lineRule="auto"/>
        <w:ind w:firstLine="0" w:firstLineChars="0"/>
        <w:jc w:val="center"/>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中小企业声明函（</w:t>
      </w:r>
      <w:r>
        <w:rPr>
          <w:rFonts w:hint="eastAsia" w:ascii="仿宋" w:hAnsi="仿宋" w:eastAsia="仿宋" w:cs="仿宋"/>
          <w:color w:val="auto"/>
          <w:sz w:val="24"/>
          <w:szCs w:val="24"/>
          <w:highlight w:val="none"/>
        </w:rPr>
        <w:t>货物</w:t>
      </w:r>
      <w:r>
        <w:rPr>
          <w:rFonts w:hint="eastAsia" w:ascii="仿宋" w:hAnsi="仿宋" w:eastAsia="仿宋" w:cs="仿宋"/>
          <w:color w:val="auto"/>
          <w:sz w:val="24"/>
          <w:szCs w:val="24"/>
          <w:highlight w:val="none"/>
          <w:lang w:val="zh-CN"/>
        </w:rPr>
        <w:t>）</w:t>
      </w:r>
    </w:p>
    <w:p w14:paraId="5DEDBAC0">
      <w:pPr>
        <w:spacing w:before="120" w:after="120"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本公司(联合体)郑重声明，根据《政府采购促进中小企业发展管理办法》(财库(2020)46号)的规定，本公司(联合体</w:t>
      </w:r>
      <w:r>
        <w:rPr>
          <w:rFonts w:hint="eastAsia" w:ascii="仿宋" w:hAnsi="仿宋" w:eastAsia="仿宋" w:cs="仿宋"/>
          <w:color w:val="auto"/>
          <w:sz w:val="24"/>
          <w:szCs w:val="24"/>
          <w:highlight w:val="none"/>
          <w:u w:val="single"/>
        </w:rPr>
        <w:t>)参加   (单位名称)</w:t>
      </w:r>
      <w:r>
        <w:rPr>
          <w:rFonts w:hint="eastAsia" w:ascii="仿宋" w:hAnsi="仿宋" w:eastAsia="仿宋" w:cs="仿宋"/>
          <w:color w:val="auto"/>
          <w:sz w:val="24"/>
          <w:szCs w:val="24"/>
          <w:highlight w:val="none"/>
        </w:rPr>
        <w:t xml:space="preserve">的 </w:t>
      </w:r>
      <w:r>
        <w:rPr>
          <w:rFonts w:hint="eastAsia" w:ascii="仿宋" w:hAnsi="仿宋" w:eastAsia="仿宋" w:cs="仿宋"/>
          <w:color w:val="auto"/>
          <w:sz w:val="24"/>
          <w:szCs w:val="24"/>
          <w:highlight w:val="none"/>
          <w:u w:val="single"/>
        </w:rPr>
        <w:t xml:space="preserve">  (项目名称)</w:t>
      </w:r>
      <w:r>
        <w:rPr>
          <w:rFonts w:hint="eastAsia" w:ascii="仿宋" w:hAnsi="仿宋" w:eastAsia="仿宋" w:cs="仿宋"/>
          <w:color w:val="auto"/>
          <w:sz w:val="24"/>
          <w:szCs w:val="24"/>
          <w:highlight w:val="none"/>
        </w:rPr>
        <w:t>采购活动，提供的</w:t>
      </w:r>
      <w:r>
        <w:rPr>
          <w:rFonts w:hint="eastAsia" w:ascii="仿宋" w:hAnsi="仿宋" w:eastAsia="仿宋" w:cs="仿宋"/>
          <w:color w:val="auto"/>
          <w:sz w:val="24"/>
          <w:szCs w:val="24"/>
          <w:highlight w:val="none"/>
          <w:lang w:val="en-US" w:eastAsia="zh-CN"/>
        </w:rPr>
        <w:t>中小企业预留部分的</w:t>
      </w:r>
      <w:r>
        <w:rPr>
          <w:rFonts w:hint="eastAsia" w:ascii="仿宋" w:hAnsi="仿宋" w:eastAsia="仿宋" w:cs="仿宋"/>
          <w:color w:val="auto"/>
          <w:sz w:val="24"/>
          <w:szCs w:val="24"/>
          <w:highlight w:val="none"/>
        </w:rPr>
        <w:t>货物全部由符合政策要求的中小企业制造。相关企业（含联合体中的中小企业、签订分包意向协议的中小企业）的具体情况如下:</w:t>
      </w:r>
    </w:p>
    <w:p w14:paraId="2F5DB727">
      <w:pPr>
        <w:numPr>
          <w:ilvl w:val="0"/>
          <w:numId w:val="5"/>
        </w:numPr>
        <w:spacing w:before="120" w:after="12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74D131BF">
      <w:pPr>
        <w:numPr>
          <w:ilvl w:val="0"/>
          <w:numId w:val="5"/>
        </w:numPr>
        <w:spacing w:before="120" w:after="12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 企业、微型企业）</w:t>
      </w:r>
      <w:r>
        <w:rPr>
          <w:rFonts w:hint="eastAsia" w:ascii="仿宋" w:hAnsi="仿宋" w:eastAsia="仿宋" w:cs="仿宋"/>
          <w:color w:val="auto"/>
          <w:sz w:val="24"/>
          <w:szCs w:val="24"/>
          <w:highlight w:val="none"/>
        </w:rPr>
        <w:t xml:space="preserve">； </w:t>
      </w:r>
    </w:p>
    <w:p w14:paraId="1DB19121">
      <w:pPr>
        <w:numPr>
          <w:ilvl w:val="0"/>
          <w:numId w:val="5"/>
        </w:numPr>
        <w:spacing w:before="120" w:after="12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331E7E3">
      <w:pPr>
        <w:spacing w:before="120" w:after="12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75BAF0E6">
      <w:pPr>
        <w:spacing w:before="120" w:after="120"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本企业对上述声明内容的真实性负责。如有虚假，将依法承担相应责任。</w:t>
      </w:r>
    </w:p>
    <w:p w14:paraId="3F562B6F">
      <w:pPr>
        <w:spacing w:before="120" w:after="120"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企业名称（盖单）：</w:t>
      </w:r>
      <w:r>
        <w:rPr>
          <w:rFonts w:hint="eastAsia" w:ascii="仿宋" w:hAnsi="仿宋" w:eastAsia="仿宋" w:cs="仿宋"/>
          <w:color w:val="auto"/>
          <w:sz w:val="24"/>
          <w:szCs w:val="24"/>
          <w:highlight w:val="none"/>
          <w:u w:val="single"/>
        </w:rPr>
        <w:t xml:space="preserve">                      </w:t>
      </w:r>
    </w:p>
    <w:p w14:paraId="59DFC03E">
      <w:pPr>
        <w:spacing w:before="120" w:after="120"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p>
    <w:p w14:paraId="5F5348B0">
      <w:pPr>
        <w:spacing w:before="120" w:after="120" w:line="360" w:lineRule="auto"/>
        <w:ind w:firstLine="0" w:firstLineChars="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eastAsia="zh-CN"/>
        </w:rPr>
        <w:t>：</w:t>
      </w:r>
    </w:p>
    <w:p w14:paraId="68A90C04">
      <w:pPr>
        <w:spacing w:before="120" w:after="12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1、供应商需提供设备制造厂商中小企业声明函（设备清单表中为大型企业的不需要提供）</w:t>
      </w:r>
    </w:p>
    <w:p w14:paraId="4F054704">
      <w:pPr>
        <w:spacing w:before="120" w:after="12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从业人员、营业收入、资产总额填报上一年度数据，无上一年度数据的新成立企业可不填报。投标人提供采购文件规定预留货物部分必须由中小企业生产且使用该中小企业商号或注册商标。非预留部分的货物如非中小企业生产则非预留部分不需填写，只需填写预留部分的情况即可。</w:t>
      </w:r>
    </w:p>
    <w:p w14:paraId="04F06152">
      <w:pPr>
        <w:rPr>
          <w:rFonts w:hint="eastAsia" w:ascii="仿宋" w:hAnsi="仿宋" w:eastAsia="仿宋" w:cs="仿宋"/>
          <w:b/>
          <w:color w:val="auto"/>
          <w:sz w:val="32"/>
          <w:szCs w:val="30"/>
          <w:highlight w:val="none"/>
          <w:lang w:val="zh-CN" w:eastAsia="zh-CN"/>
        </w:rPr>
      </w:pPr>
      <w:r>
        <w:rPr>
          <w:rFonts w:hint="eastAsia" w:ascii="仿宋" w:hAnsi="仿宋" w:eastAsia="仿宋" w:cs="仿宋"/>
          <w:color w:val="auto"/>
          <w:sz w:val="24"/>
          <w:szCs w:val="24"/>
          <w:highlight w:val="none"/>
        </w:rPr>
        <w:t>3、投标单位必须严格填写此表，此表作为评审依据。（此格式不允许更改）</w:t>
      </w:r>
    </w:p>
    <w:p w14:paraId="6F98B280">
      <w:pPr>
        <w:rPr>
          <w:color w:val="auto"/>
          <w:highlight w:val="none"/>
        </w:rPr>
      </w:pPr>
      <w:r>
        <w:rPr>
          <w:color w:val="auto"/>
          <w:highlight w:val="none"/>
        </w:rPr>
        <w:br w:type="page"/>
      </w:r>
    </w:p>
    <w:p w14:paraId="1085D7B4">
      <w:pPr>
        <w:numPr>
          <w:ilvl w:val="0"/>
          <w:numId w:val="0"/>
        </w:numPr>
        <w:bidi w:val="0"/>
        <w:ind w:firstLine="420" w:firstLineChars="0"/>
        <w:rPr>
          <w:rFonts w:hint="eastAsia"/>
          <w:color w:val="auto"/>
          <w:highlight w:val="none"/>
          <w:lang w:eastAsia="zh-CN"/>
        </w:rPr>
      </w:pPr>
      <w:r>
        <w:rPr>
          <w:color w:val="auto"/>
          <w:highlight w:val="none"/>
        </w:rPr>
        <w:t>20.3预中标结果将在中国政府采购网及相关媒体上公示一个工作日，如果没有异议，预中标人确定为中标人。如果供应商对预中标结果有异议，应当在公示期内以书面形式向招标机构提出质疑。供应商的质疑事项应当具体、明确并提供事实依据。</w:t>
      </w:r>
    </w:p>
    <w:p w14:paraId="3B12C45F">
      <w:pPr>
        <w:numPr>
          <w:ilvl w:val="0"/>
          <w:numId w:val="4"/>
        </w:numPr>
        <w:bidi w:val="0"/>
        <w:rPr>
          <w:color w:val="auto"/>
          <w:highlight w:val="none"/>
        </w:rPr>
      </w:pPr>
      <w:r>
        <w:rPr>
          <w:color w:val="auto"/>
          <w:highlight w:val="none"/>
        </w:rPr>
        <w:t>签订合同：</w:t>
      </w:r>
    </w:p>
    <w:p w14:paraId="249151FF">
      <w:pPr>
        <w:numPr>
          <w:ilvl w:val="0"/>
          <w:numId w:val="0"/>
        </w:numPr>
        <w:bidi w:val="0"/>
        <w:ind w:firstLine="420" w:firstLineChars="0"/>
        <w:rPr>
          <w:rFonts w:hint="eastAsia"/>
          <w:color w:val="auto"/>
          <w:highlight w:val="none"/>
          <w:lang w:eastAsia="zh-CN"/>
        </w:rPr>
      </w:pPr>
      <w:r>
        <w:rPr>
          <w:color w:val="auto"/>
          <w:highlight w:val="none"/>
        </w:rPr>
        <w:t>21.1采购人将在投标有效期期满之前向中标人发出《中标通知书》。中标通知书是合同的组成部分，对采购人和中标人均具有法律约束力。</w:t>
      </w:r>
    </w:p>
    <w:p w14:paraId="6A8E57E5">
      <w:pPr>
        <w:numPr>
          <w:ilvl w:val="0"/>
          <w:numId w:val="0"/>
        </w:numPr>
        <w:bidi w:val="0"/>
        <w:ind w:firstLine="420" w:firstLineChars="0"/>
        <w:rPr>
          <w:rFonts w:hint="eastAsia"/>
          <w:color w:val="auto"/>
          <w:highlight w:val="none"/>
          <w:lang w:eastAsia="zh-CN"/>
        </w:rPr>
      </w:pPr>
      <w:r>
        <w:rPr>
          <w:color w:val="auto"/>
          <w:highlight w:val="none"/>
        </w:rPr>
        <w:t>21.2中标通知书发出后，采购人改变中标结果的，或者中标人放弃中标项目的，应当依法承担法律责任。</w:t>
      </w:r>
    </w:p>
    <w:p w14:paraId="53E4DF76">
      <w:pPr>
        <w:numPr>
          <w:ilvl w:val="0"/>
          <w:numId w:val="0"/>
        </w:numPr>
        <w:bidi w:val="0"/>
        <w:ind w:firstLine="420" w:firstLineChars="0"/>
        <w:rPr>
          <w:rFonts w:hint="eastAsia"/>
          <w:color w:val="auto"/>
          <w:highlight w:val="none"/>
          <w:lang w:eastAsia="zh-CN"/>
        </w:rPr>
      </w:pPr>
      <w:r>
        <w:rPr>
          <w:color w:val="auto"/>
          <w:highlight w:val="none"/>
        </w:rPr>
        <w:t>21.3中标人应按中标通知书规定的时间与采购人和采购人签订合同。如果中标人不在规定的时间内签署合同，视为自动放弃中标资格，其提交的投标保证金不予退还，列入不良行为记录名单，在一至三年内禁止参加政府采购活动并予以公告。供应商在被评标委员会评定为预中标人（中标人）之后、中标通知书发出之前放弃中标的，按本条规定处理。</w:t>
      </w:r>
    </w:p>
    <w:p w14:paraId="20DA6209">
      <w:pPr>
        <w:numPr>
          <w:ilvl w:val="0"/>
          <w:numId w:val="0"/>
        </w:numPr>
        <w:bidi w:val="0"/>
        <w:ind w:firstLine="420" w:firstLineChars="0"/>
        <w:rPr>
          <w:color w:val="auto"/>
          <w:highlight w:val="none"/>
        </w:rPr>
      </w:pPr>
      <w:r>
        <w:rPr>
          <w:color w:val="auto"/>
          <w:highlight w:val="none"/>
        </w:rPr>
        <w:t>21.4中标结果将在发布招标公告的媒体上公告，不再以书面方式通知落标人。</w:t>
      </w:r>
    </w:p>
    <w:p w14:paraId="51F130BA">
      <w:pPr>
        <w:numPr>
          <w:ilvl w:val="0"/>
          <w:numId w:val="4"/>
        </w:numPr>
        <w:bidi w:val="0"/>
        <w:rPr>
          <w:color w:val="auto"/>
          <w:highlight w:val="none"/>
        </w:rPr>
      </w:pPr>
      <w:r>
        <w:rPr>
          <w:color w:val="auto"/>
          <w:highlight w:val="none"/>
        </w:rPr>
        <w:t>保密和披露：</w:t>
      </w:r>
    </w:p>
    <w:p w14:paraId="51031054">
      <w:pPr>
        <w:numPr>
          <w:ilvl w:val="0"/>
          <w:numId w:val="0"/>
        </w:numPr>
        <w:bidi w:val="0"/>
        <w:ind w:firstLine="420" w:firstLineChars="0"/>
        <w:rPr>
          <w:rFonts w:hint="eastAsia"/>
          <w:color w:val="auto"/>
          <w:highlight w:val="none"/>
        </w:rPr>
      </w:pPr>
      <w:r>
        <w:rPr>
          <w:color w:val="auto"/>
          <w:highlight w:val="none"/>
        </w:rPr>
        <w:t>22.1</w:t>
      </w:r>
      <w:r>
        <w:rPr>
          <w:rFonts w:hint="eastAsia"/>
          <w:color w:val="auto"/>
          <w:highlight w:val="none"/>
          <w:lang w:val="zh-CN"/>
        </w:rPr>
        <w:t>参与招标投标活动的各方应对磋商文件和响应文件中的商业和技术等秘密保密，</w:t>
      </w:r>
      <w:r>
        <w:rPr>
          <w:rFonts w:hint="eastAsia"/>
          <w:color w:val="auto"/>
          <w:highlight w:val="none"/>
          <w:lang w:val="zh-CN" w:eastAsia="zh-CN"/>
        </w:rPr>
        <w:t>投标人须提供法人签字并加盖公章的承诺书</w:t>
      </w:r>
      <w:r>
        <w:rPr>
          <w:rFonts w:hint="eastAsia"/>
          <w:color w:val="auto"/>
          <w:highlight w:val="none"/>
        </w:rPr>
        <w:t>。</w:t>
      </w:r>
    </w:p>
    <w:p w14:paraId="637538EB">
      <w:pPr>
        <w:numPr>
          <w:ilvl w:val="0"/>
          <w:numId w:val="0"/>
        </w:numPr>
        <w:bidi w:val="0"/>
        <w:ind w:firstLine="420" w:firstLineChars="0"/>
        <w:rPr>
          <w:rFonts w:hint="eastAsia"/>
          <w:color w:val="auto"/>
          <w:highlight w:val="none"/>
          <w:lang w:eastAsia="zh-CN"/>
        </w:rPr>
      </w:pPr>
      <w:r>
        <w:rPr>
          <w:rFonts w:hint="eastAsia"/>
          <w:color w:val="auto"/>
          <w:highlight w:val="none"/>
          <w:lang w:val="en-US" w:eastAsia="zh-CN"/>
        </w:rPr>
        <w:t>22.2</w:t>
      </w:r>
      <w:r>
        <w:rPr>
          <w:color w:val="auto"/>
          <w:highlight w:val="none"/>
        </w:rPr>
        <w:t>采购人有权将供应商提供的所有资料向其他政府部门或有关的非政府机构负责评审标书的人员或与评标有关的人员披露。</w:t>
      </w:r>
    </w:p>
    <w:p w14:paraId="3415B8F3">
      <w:pPr>
        <w:numPr>
          <w:ilvl w:val="0"/>
          <w:numId w:val="0"/>
        </w:numPr>
        <w:bidi w:val="0"/>
        <w:ind w:firstLine="420" w:firstLineChars="0"/>
        <w:rPr>
          <w:color w:val="auto"/>
          <w:highlight w:val="none"/>
        </w:rPr>
      </w:pPr>
      <w:r>
        <w:rPr>
          <w:color w:val="auto"/>
          <w:highlight w:val="none"/>
        </w:rPr>
        <w:t>22.</w:t>
      </w:r>
      <w:r>
        <w:rPr>
          <w:rFonts w:hint="eastAsia"/>
          <w:color w:val="auto"/>
          <w:highlight w:val="none"/>
          <w:lang w:val="en-US" w:eastAsia="zh-CN"/>
        </w:rPr>
        <w:t>3</w:t>
      </w:r>
      <w:r>
        <w:rPr>
          <w:color w:val="auto"/>
          <w:highlight w:val="none"/>
        </w:rPr>
        <w:t>在下列情形下：当发布中标公告和其它公告时，当国家机关调查、审查、审计时，以及在其他符合法律规定的情形下，采购人无须事先征求供应商/中标人同意而可以披露关于采购过程、投标文件、合同文本、合同签署情况的资料、供应商/中标人的名称及地址、采购内容的有关信息以及补充条款等，并且对任何已经公布过的内容或与之内容相同的资料无须再承担保密责任。</w:t>
      </w:r>
    </w:p>
    <w:p w14:paraId="5CADC18A">
      <w:pPr>
        <w:numPr>
          <w:ilvl w:val="0"/>
          <w:numId w:val="4"/>
        </w:numPr>
        <w:bidi w:val="0"/>
        <w:rPr>
          <w:rFonts w:hint="default"/>
          <w:color w:val="auto"/>
          <w:highlight w:val="none"/>
          <w:lang w:val="en-US"/>
        </w:rPr>
      </w:pPr>
      <w:r>
        <w:rPr>
          <w:color w:val="auto"/>
          <w:highlight w:val="none"/>
        </w:rPr>
        <w:t>履约保证金：</w:t>
      </w:r>
      <w:r>
        <w:rPr>
          <w:rFonts w:hint="eastAsia"/>
          <w:color w:val="auto"/>
          <w:highlight w:val="none"/>
          <w:lang w:val="en-US" w:eastAsia="zh-CN"/>
        </w:rPr>
        <w:t>供货方在服务履行期限内须向需方提供履约保证金，金额为合同金额10%；投标人须提供法人签字并加盖公章的缴纳履约保证金承诺书。</w:t>
      </w:r>
    </w:p>
    <w:p w14:paraId="79E62873">
      <w:pPr>
        <w:numPr>
          <w:ilvl w:val="0"/>
          <w:numId w:val="4"/>
        </w:numPr>
        <w:bidi w:val="0"/>
        <w:rPr>
          <w:rFonts w:hint="eastAsia"/>
          <w:color w:val="auto"/>
          <w:highlight w:val="none"/>
          <w:lang w:eastAsia="zh-CN"/>
        </w:rPr>
      </w:pPr>
      <w:r>
        <w:rPr>
          <w:color w:val="auto"/>
          <w:highlight w:val="none"/>
        </w:rPr>
        <w:t>招标代理服务费：</w:t>
      </w:r>
    </w:p>
    <w:p w14:paraId="083E37D8">
      <w:pPr>
        <w:numPr>
          <w:ilvl w:val="0"/>
          <w:numId w:val="0"/>
        </w:numPr>
        <w:bidi w:val="0"/>
        <w:ind w:firstLine="420" w:firstLineChars="0"/>
        <w:rPr>
          <w:color w:val="auto"/>
          <w:highlight w:val="none"/>
        </w:rPr>
      </w:pPr>
      <w:r>
        <w:rPr>
          <w:color w:val="auto"/>
          <w:highlight w:val="none"/>
        </w:rPr>
        <w:t xml:space="preserve">24.1招标代理服务费的收取标准按国家发展计划委员会计价格[2002]1980号文件《招标代理服务费管理暂行办法》、发改办价格[2003]857号文件和发改价格[2015]299号文件的规定执行。 </w:t>
      </w:r>
    </w:p>
    <w:p w14:paraId="3A3B139B">
      <w:pPr>
        <w:numPr>
          <w:ilvl w:val="0"/>
          <w:numId w:val="0"/>
        </w:numPr>
        <w:bidi w:val="0"/>
        <w:ind w:firstLine="420" w:firstLineChars="0"/>
        <w:rPr>
          <w:rFonts w:hint="eastAsia"/>
          <w:color w:val="auto"/>
          <w:highlight w:val="none"/>
          <w:lang w:val="zh-CN"/>
        </w:rPr>
      </w:pPr>
      <w:r>
        <w:rPr>
          <w:color w:val="auto"/>
          <w:highlight w:val="none"/>
        </w:rPr>
        <w:t>24.</w:t>
      </w:r>
      <w:r>
        <w:rPr>
          <w:rFonts w:hint="eastAsia"/>
          <w:color w:val="auto"/>
          <w:highlight w:val="none"/>
          <w:lang w:val="en-US" w:eastAsia="zh-CN"/>
        </w:rPr>
        <w:t>2</w:t>
      </w:r>
      <w:r>
        <w:rPr>
          <w:color w:val="auto"/>
          <w:highlight w:val="none"/>
        </w:rPr>
        <w:t xml:space="preserve"> 详见供应商须知前附表</w:t>
      </w:r>
    </w:p>
    <w:p w14:paraId="65A2DFC2">
      <w:pPr>
        <w:pStyle w:val="39"/>
        <w:numPr>
          <w:ilvl w:val="0"/>
          <w:numId w:val="0"/>
        </w:numPr>
        <w:spacing w:line="360" w:lineRule="auto"/>
        <w:ind w:left="425" w:leftChars="0"/>
        <w:rPr>
          <w:rFonts w:hint="eastAsia" w:ascii="仿宋" w:hAnsi="仿宋" w:eastAsia="仿宋" w:cs="仿宋"/>
          <w:color w:val="auto"/>
          <w:sz w:val="24"/>
          <w:szCs w:val="24"/>
          <w:highlight w:val="none"/>
        </w:rPr>
      </w:pPr>
    </w:p>
    <w:p w14:paraId="66E08FEF">
      <w:pPr>
        <w:widowControl/>
        <w:jc w:val="left"/>
        <w:rPr>
          <w:rFonts w:hint="eastAsia" w:ascii="仿宋" w:hAnsi="仿宋" w:eastAsia="仿宋" w:cs="仿宋"/>
          <w:b/>
          <w:color w:val="auto"/>
          <w:sz w:val="24"/>
          <w:szCs w:val="24"/>
          <w:highlight w:val="none"/>
        </w:rPr>
        <w:sectPr>
          <w:footerReference r:id="rId6" w:type="default"/>
          <w:pgSz w:w="11907" w:h="16840"/>
          <w:pgMar w:top="1440" w:right="1800" w:bottom="1440" w:left="1800" w:header="680" w:footer="907" w:gutter="0"/>
          <w:pgNumType w:fmt="decimal" w:start="1"/>
          <w:cols w:space="0" w:num="1"/>
          <w:rtlGutter w:val="0"/>
          <w:docGrid w:linePitch="271" w:charSpace="0"/>
        </w:sectPr>
      </w:pPr>
    </w:p>
    <w:p w14:paraId="1D77A703">
      <w:pPr>
        <w:pStyle w:val="2"/>
        <w:bidi w:val="0"/>
        <w:rPr>
          <w:rFonts w:hint="eastAsia"/>
          <w:color w:val="auto"/>
          <w:highlight w:val="none"/>
        </w:rPr>
      </w:pPr>
      <w:bookmarkStart w:id="47" w:name="_Toc22778"/>
      <w:bookmarkStart w:id="48" w:name="_Toc2144"/>
      <w:r>
        <w:rPr>
          <w:rFonts w:hint="eastAsia"/>
          <w:color w:val="auto"/>
          <w:highlight w:val="none"/>
          <w:lang w:val="en-US" w:eastAsia="zh-CN"/>
        </w:rPr>
        <w:t xml:space="preserve">第三章 </w:t>
      </w:r>
      <w:r>
        <w:rPr>
          <w:rFonts w:hint="eastAsia"/>
          <w:color w:val="auto"/>
          <w:highlight w:val="none"/>
        </w:rPr>
        <w:t>合同条款</w:t>
      </w:r>
      <w:bookmarkEnd w:id="38"/>
      <w:bookmarkEnd w:id="39"/>
      <w:bookmarkEnd w:id="40"/>
      <w:bookmarkEnd w:id="41"/>
      <w:bookmarkEnd w:id="42"/>
      <w:bookmarkEnd w:id="43"/>
      <w:bookmarkEnd w:id="44"/>
      <w:bookmarkEnd w:id="45"/>
      <w:bookmarkEnd w:id="46"/>
      <w:bookmarkEnd w:id="47"/>
      <w:bookmarkEnd w:id="48"/>
    </w:p>
    <w:p w14:paraId="7D1ED265">
      <w:pPr>
        <w:numPr>
          <w:ilvl w:val="0"/>
          <w:numId w:val="0"/>
        </w:numPr>
        <w:bidi w:val="0"/>
        <w:ind w:firstLine="42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注：（此合同文本仅为通用参考合同文本，在确定中标人后，双方将对商务、技术、承诺等内容签订更加详细的内容，采购人保留对合同条款修改的权利。） </w:t>
      </w:r>
    </w:p>
    <w:p w14:paraId="35A562F8">
      <w:pPr>
        <w:bidi w:val="0"/>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1．定义：除非另有约定，在本合同下列术语按如下定义进行解释： </w:t>
      </w:r>
    </w:p>
    <w:p w14:paraId="29E6D402">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（1）“合同”指供需双方签署的、在合同中载明的合同各方所达成的协议，包括构 成合同的所有附件、附录和其他文件。 </w:t>
      </w:r>
    </w:p>
    <w:p w14:paraId="4CA217AD">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（2）“附件、附录”指与本合同的订立、履行有关的，经供需双方认可的，对本合同约定内容进行细化、补充、修改、变更等的文件资料。 </w:t>
      </w:r>
    </w:p>
    <w:p w14:paraId="611B61ED">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（3）“合同价格”指根据合同规定供方正确地完全履行合同义务后需方应支付给供方的价格。 </w:t>
      </w:r>
    </w:p>
    <w:p w14:paraId="5294C1E9">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（4）“货物”指根据合同规定供方须向需方提供的一切材料、设备、机械、仪表、备件、工具和/或其它材料。 </w:t>
      </w:r>
    </w:p>
    <w:p w14:paraId="1867A003">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（5）“服务”指根据合同规定供方承担的与供货和履行合同有关的辅助服务。 </w:t>
      </w:r>
    </w:p>
    <w:p w14:paraId="07DEF772">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（6）“需方”指政府招标货物和服务的使用单位。 </w:t>
      </w:r>
    </w:p>
    <w:p w14:paraId="534FCF5D">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（7）“供方”指按照合同规定向需方提供货物和服务的公司或实体。 </w:t>
      </w:r>
    </w:p>
    <w:p w14:paraId="0218FDEC">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（8）“第三方”指本合同以外的任何中国境内、境外的法人、自然人或其他组织。 </w:t>
      </w:r>
    </w:p>
    <w:p w14:paraId="39A773F7">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（9）“日、天”均指日历天数。 </w:t>
      </w:r>
    </w:p>
    <w:p w14:paraId="486843B6">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（10）“工作日”指扣除公休日和国家法定节假日以外的日历日。 </w:t>
      </w:r>
    </w:p>
    <w:p w14:paraId="08E005D1">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2．合同标的：详见</w:t>
      </w:r>
      <w:r>
        <w:rPr>
          <w:rFonts w:hint="eastAsia" w:cs="仿宋"/>
          <w:color w:val="auto"/>
          <w:sz w:val="21"/>
          <w:szCs w:val="21"/>
          <w:highlight w:val="none"/>
          <w:lang w:val="en-US" w:eastAsia="zh-CN"/>
        </w:rPr>
        <w:t>招标文件</w:t>
      </w:r>
      <w:r>
        <w:rPr>
          <w:rFonts w:hint="eastAsia" w:ascii="仿宋" w:hAnsi="仿宋" w:eastAsia="仿宋" w:cs="仿宋"/>
          <w:color w:val="auto"/>
          <w:sz w:val="21"/>
          <w:szCs w:val="21"/>
          <w:highlight w:val="none"/>
          <w:lang w:val="en-US" w:eastAsia="zh-CN"/>
        </w:rPr>
        <w:t>“</w:t>
      </w:r>
      <w:r>
        <w:rPr>
          <w:rFonts w:hint="eastAsia" w:cs="仿宋"/>
          <w:color w:val="auto"/>
          <w:sz w:val="21"/>
          <w:szCs w:val="21"/>
          <w:highlight w:val="none"/>
          <w:lang w:val="en-US" w:eastAsia="zh-CN"/>
        </w:rPr>
        <w:t>服务需求及要求</w:t>
      </w:r>
      <w:r>
        <w:rPr>
          <w:rFonts w:hint="eastAsia" w:ascii="仿宋" w:hAnsi="仿宋" w:eastAsia="仿宋" w:cs="仿宋"/>
          <w:color w:val="auto"/>
          <w:sz w:val="21"/>
          <w:szCs w:val="21"/>
          <w:highlight w:val="none"/>
          <w:lang w:val="en-US" w:eastAsia="zh-CN"/>
        </w:rPr>
        <w:t xml:space="preserve">”及供方的投标文件。未尽事宜在“集中采购合同书中”约定。 </w:t>
      </w:r>
    </w:p>
    <w:p w14:paraId="793FB3A4">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3．合同价格、交货时间及地点、交货方式、付款方式及条件：在“集中采购合同书”中约定。 </w:t>
      </w:r>
    </w:p>
    <w:p w14:paraId="688BFAA4">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4．知识产权及有关规定：供方应保证需方在使用本合同项下的货物或其任何一部分时免受第三方提出侵犯其知识产权、商标权或工业设计权的起诉。如果发生此类问题，供方应负责交涉并承担一切费用和责任。 </w:t>
      </w:r>
    </w:p>
    <w:p w14:paraId="2D394443">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5．包装要求：除合同另有规定外，供方提供的全部货物均应按国家或行业标准进行包装。因包装出现问题导致货物毁损的,由供方向需方直接承担责任。每一个包装箱内应附一份详细的装箱单和质量合格证书。 </w:t>
      </w:r>
    </w:p>
    <w:p w14:paraId="5B8D72C4">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6．包装标志：每一包装箱应用不褪色的油漆以醒目的中文字样做出相关标记。 </w:t>
      </w:r>
    </w:p>
    <w:p w14:paraId="4D3FFB08">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7．伴随服务 </w:t>
      </w:r>
    </w:p>
    <w:p w14:paraId="70A18090">
      <w:pPr>
        <w:bidi w:val="0"/>
        <w:ind w:left="0" w:leftChars="0" w:firstLine="42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7.1供方应提供所交付货物的全套技术文件资料，包括产品目录、图纸、操作手册、使用说明、维护手册和服务指南等。 </w:t>
      </w:r>
    </w:p>
    <w:p w14:paraId="0B97B3AD">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7.2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 </w:t>
      </w:r>
    </w:p>
    <w:p w14:paraId="0360EEFB">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7.3上述伴随服务的费用应包含在合同总价中，不单独进行支付。 </w:t>
      </w:r>
    </w:p>
    <w:p w14:paraId="2D7966E7">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8．质量保证期及售后服务 </w:t>
      </w:r>
    </w:p>
    <w:p w14:paraId="0F219F41">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8.1质量保证期及售后服务：详见</w:t>
      </w:r>
      <w:r>
        <w:rPr>
          <w:rFonts w:hint="eastAsia" w:cs="仿宋"/>
          <w:color w:val="auto"/>
          <w:sz w:val="21"/>
          <w:szCs w:val="21"/>
          <w:highlight w:val="none"/>
          <w:lang w:val="en-US" w:eastAsia="zh-CN"/>
        </w:rPr>
        <w:t>招标文件</w:t>
      </w:r>
      <w:r>
        <w:rPr>
          <w:rFonts w:hint="eastAsia" w:ascii="仿宋" w:hAnsi="仿宋" w:eastAsia="仿宋" w:cs="仿宋"/>
          <w:color w:val="auto"/>
          <w:sz w:val="21"/>
          <w:szCs w:val="21"/>
          <w:highlight w:val="none"/>
          <w:lang w:val="en-US" w:eastAsia="zh-CN"/>
        </w:rPr>
        <w:t xml:space="preserve">的要求，供方提交的售后服务承诺书和制造厂商的有关文件，如果上述文件有不一致之处，以对需方有利的为准。 </w:t>
      </w:r>
    </w:p>
    <w:p w14:paraId="5846CF18">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8.2如果上述第8.1款无特别约定，本合同项下货物的质量保证期为从需方验收合格之日起。 </w:t>
      </w:r>
    </w:p>
    <w:p w14:paraId="11BEC0D9">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9．质量保证 </w:t>
      </w:r>
    </w:p>
    <w:p w14:paraId="45B26DCA">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9.1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8条规定的质量保证期内，供方应对其交付的货物由于设计、工艺或材料的缺陷而产生的故障负责。 </w:t>
      </w:r>
    </w:p>
    <w:p w14:paraId="17FD31A2">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9.2 在质量保证期内，如果货物的规格型号、配置、技术性能、原产地及制造厂商以及其他技术质量指标与合同约定不符，或证实货物是有缺陷的，包括潜在的缺陷或使用不符合要求的材料等，需方应尽快以书面形式向供方提出索赔。 </w:t>
      </w:r>
    </w:p>
    <w:p w14:paraId="599AF941">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9.3在质量保证期内，供方在接到需方的通知后，应在本合同条款第8条约定的响应时间内,免费维修和/或更换有缺陷的货物或部件。 </w:t>
      </w:r>
    </w:p>
    <w:p w14:paraId="14452A1A">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9.4 如果供方在接到需方通知后，在本合同条款第8条约定的响应时间内没有弥补缺陷，需方可采取必要的补救措施，但其风险和费用将由供方负担，并且需方根据合同规定对供方行使的其他权利不受影响。 </w:t>
      </w:r>
    </w:p>
    <w:p w14:paraId="08C2C73C">
      <w:pPr>
        <w:bidi w:val="0"/>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10．验收：供方提交的货物由需方负责检验验收，或由需方聘请当地质检（商检）部门或有关部门对货物的品种、规格、性能、质量、数量、外观以及配件等进行检验，并出具检验证书。检验费用由供需双方协商确定。 </w:t>
      </w:r>
    </w:p>
    <w:p w14:paraId="05869873">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11．索赔 </w:t>
      </w:r>
    </w:p>
    <w:p w14:paraId="7D0D56BD">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11.1需方有权根据国家技术监督局、进出口商品检验局或其他具有法定资格的质检机构出具的检验证书向供方提出索赔。 </w:t>
      </w:r>
    </w:p>
    <w:p w14:paraId="5FC14DBA">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11.2如果供方对缺陷负有责任而需方提出索赔，供方应按照需方同意的下列一种或多种方式解决索赔事宜： </w:t>
      </w:r>
    </w:p>
    <w:p w14:paraId="57A2E624">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（1）供方同意退货并用合同规定的货币将货款退还给需方，并承担由此发生的一切损失和费用，包括利息、银行手续费、运费、保险费、检验费、仓储费、装卸费以及为保护退回货物所需的其他必要费用。 </w:t>
      </w:r>
    </w:p>
    <w:p w14:paraId="624B49CF">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（2）根据货物低劣、损坏程度以及需方所遭受损失的金额，经双方商定降低货物的价格。 </w:t>
      </w:r>
    </w:p>
    <w:p w14:paraId="21026BCC">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3）用符合合同规定的规格、质量和性能要求的新零件、部件和／或设备来更换有缺陷的部分和／或修补缺陷部分，供方应承担一切费用和风险，并负担需方蒙受的全部直接损失。供方应相应延长修补和／或更换件的质量保证期。 </w:t>
      </w:r>
    </w:p>
    <w:p w14:paraId="1F161093">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11.3如果在需方发出索赔通知后十天内供方未作答复，上述索赔应视为已被供方接受。如供方未能在接到需方索赔通知后十天内或需方同意的延长期限内，按照上述第11.2款规定的任何一种或多种方式解决索赔事宜并征得需方同意，需方有权从应付货款或从供方提交的履约保证金中扣回索赔金额，并拥有对赔偿不足部分进一步索赔的权利。 </w:t>
      </w:r>
    </w:p>
    <w:p w14:paraId="30E5E636">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12．履约延误 </w:t>
      </w:r>
    </w:p>
    <w:p w14:paraId="3E8B7D73">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12.1 供方应按照合同规定的时间、地点交货和提供服务；需方应按照合同规定的时间、地点接收货物和接受服务。 </w:t>
      </w:r>
    </w:p>
    <w:p w14:paraId="36F6980F">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12.2 如果供方无正当理由拖延交货，将受到以下制裁：没收履约保证金、加收误期赔偿和／或违约终止合同；如果需方无正当理由拖延接收货物和接受服务，应承担相应责任。 </w:t>
      </w:r>
    </w:p>
    <w:p w14:paraId="359A4C74">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12.3 在履行合同过程中，如果供方遇到可能妨碍其按时交货和提供服务的情况，或者需方遇到可能妨碍其按时接收货物和接受服务的情况，应及时以书面形式将拖延的事实，可能拖延的期限和理由通知对方。需方（或供方）在收到供方（或需方）通知后，应尽快对情况进行评估，并确定是否通过修改合同，酌情延长交货时间和/或延期提供服务，或者终止合同。 </w:t>
      </w:r>
    </w:p>
    <w:p w14:paraId="468AA8B9">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13．误期赔偿 </w:t>
      </w:r>
    </w:p>
    <w:p w14:paraId="52B534B6">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13.1除本合同条款第15条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 </w:t>
      </w:r>
    </w:p>
    <w:p w14:paraId="41A03CDA">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13.2误期赔偿费可从应付货款和/或履约保证金中扣除。 </w:t>
      </w:r>
    </w:p>
    <w:p w14:paraId="67A13250">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13.3收取误期赔偿费不影响需方采取合同规定的其他补救措施的权利。 </w:t>
      </w:r>
    </w:p>
    <w:p w14:paraId="00221E9D">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13.4在收取误期赔偿费期间，需方有权决定是否终止合同。 </w:t>
      </w:r>
    </w:p>
    <w:p w14:paraId="39E725AF">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13.5如果需方违约，应承担相应的违约责任。 </w:t>
      </w:r>
    </w:p>
    <w:p w14:paraId="008CEF1D">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14．履约保证金和质量保证金：在集中采购合同书中约定 </w:t>
      </w:r>
    </w:p>
    <w:p w14:paraId="55AF68E0">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15．不可抗力 </w:t>
      </w:r>
    </w:p>
    <w:p w14:paraId="27418747">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15.1 如果供方和需方因不可抗力而导致合同实施延误或不能履行合同义务，不应该承担误期赔偿或不能履行合同义务的责任。因供方或需方先延误或不能履行合同而后遇不可抗力的情形除外。 </w:t>
      </w:r>
    </w:p>
    <w:p w14:paraId="5E8C7908">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15.2 本条所述的“不可抗力”系指那些双方无法控制，不可预见的事件，但不包括双方的违约或疏忽。这些事件包括但不限于：战争、严重火灾、洪水、台风、地震以及其它双方商定的事件。 </w:t>
      </w:r>
    </w:p>
    <w:p w14:paraId="51378F91">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15.3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 </w:t>
      </w:r>
    </w:p>
    <w:p w14:paraId="2360D61A">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16．税费 </w:t>
      </w:r>
    </w:p>
    <w:p w14:paraId="6B43F529">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16.1 根据现行法律规定对需方征收的与本合同有关的一切税费均由需方负担。 </w:t>
      </w:r>
    </w:p>
    <w:p w14:paraId="763FED7B">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16.2 根据现行法律规定对供方征收的与本合同有关的一切税费均由供方负担。 </w:t>
      </w:r>
    </w:p>
    <w:p w14:paraId="4C2E98AA">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16.3 在中国境外发生的与执行本合同有关的一切税费均由供方负担。 </w:t>
      </w:r>
    </w:p>
    <w:p w14:paraId="2F6917EA">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17．争议解决方式 </w:t>
      </w:r>
    </w:p>
    <w:p w14:paraId="192B6A3E">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17.1 需方和供方应通过友好协商，解决在执行本合同过程中所发生的或与本合同有 </w:t>
      </w:r>
    </w:p>
    <w:p w14:paraId="70B80C24">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关的一切争议。如从协商开始十天内仍不能解决，可向国家工商行政管理机关的合同管理 </w:t>
      </w:r>
    </w:p>
    <w:p w14:paraId="3722129D">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部门提请调解。 </w:t>
      </w:r>
    </w:p>
    <w:p w14:paraId="25B1340C">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17.2 如果调解不成，供需双方中的任何一方可向人民法院提起诉讼。诉讼由合同签 </w:t>
      </w:r>
    </w:p>
    <w:p w14:paraId="218FA6B3">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订地人民法院管辖。 </w:t>
      </w:r>
    </w:p>
    <w:p w14:paraId="4154ACF9">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17.3诉讼费由败诉方负担。 </w:t>
      </w:r>
    </w:p>
    <w:p w14:paraId="147F0CC5">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17.4因合同部分履行引发诉讼的，在诉讼期间，除正在进行诉讼的部分外，本合同的 </w:t>
      </w:r>
    </w:p>
    <w:p w14:paraId="5C8593BB">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其它部分应继续执行。 </w:t>
      </w:r>
    </w:p>
    <w:p w14:paraId="5662D26D">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18．违约终止合同 </w:t>
      </w:r>
    </w:p>
    <w:p w14:paraId="28A105F4">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18.1 在需方因供方违约而按合同约定采取的任何补救措施不受影响的情况下，需方可在下列情况下向供方发出书面通知，提出终止部分或全部合同。 </w:t>
      </w:r>
    </w:p>
    <w:p w14:paraId="194C3E57">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（1）如果供方未能在合同规定的限期或需方同意延长的限期内提供部分或全部货物和服务。 </w:t>
      </w:r>
    </w:p>
    <w:p w14:paraId="1962422B">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（2）如果供方未能履行合同规定的其它任何义务。 </w:t>
      </w:r>
    </w:p>
    <w:p w14:paraId="5EAD08A5">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（3）如果供方在本合同订立和履行过程中采取了任何“不正当竞争行为”，危害到国家利益、社会公共利益和需方的合法权益。 </w:t>
      </w:r>
    </w:p>
    <w:p w14:paraId="55B1BA19">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 </w:t>
      </w:r>
    </w:p>
    <w:p w14:paraId="63955484">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18.3如果需方违约，应承担相应的违约责任。 </w:t>
      </w:r>
    </w:p>
    <w:p w14:paraId="29FD0BD7">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19．破产终止合同：如果供方破产或丧失清偿能力，需方可在任何时候以书面形式通知供方终止合同而不给供方补偿。该终止合同将不损害或影响需方已经采取或将要采取任何补救措施的权力。 </w:t>
      </w:r>
    </w:p>
    <w:p w14:paraId="482FE3A7">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20．合同转让和分包：本合同不得转让与分包。 </w:t>
      </w:r>
    </w:p>
    <w:p w14:paraId="4096B77B">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21．需要补充的合同条款：在集中采购合同书中约定。 </w:t>
      </w:r>
    </w:p>
    <w:p w14:paraId="602867B5">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22．适用法律：本合同按照中华人民共和国的现行法律进行解释。 </w:t>
      </w:r>
    </w:p>
    <w:p w14:paraId="57774EE6">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23．合同备案：自集中采购合同书订立之日起七个工作日内，向本级采购监督管理部门备案。 </w:t>
      </w:r>
    </w:p>
    <w:p w14:paraId="05C0F4B0">
      <w:pPr>
        <w:bidi w:val="0"/>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1"/>
          <w:szCs w:val="21"/>
          <w:highlight w:val="none"/>
          <w:lang w:val="en-US" w:eastAsia="zh-CN"/>
        </w:rPr>
        <w:t>24．政府采购法对集中采购合同变更终止的规定：“集中采购合同的双方当事人（指供需双方）不得擅自变更、中止或者终止合同。集中采购合同继续履行将损害国家利益和社会公共利益的，双方当事人应当变更、中止或者终止合同。有过错的一方应当承担赔偿责任，双方都有过错的，各自承担相应的责任。”</w:t>
      </w:r>
    </w:p>
    <w:p w14:paraId="217450E0">
      <w:pPr>
        <w:rPr>
          <w:rFonts w:hint="eastAsia" w:ascii="仿宋" w:hAnsi="仿宋" w:eastAsia="仿宋" w:cs="仿宋"/>
          <w:color w:val="auto"/>
          <w:highlight w:val="none"/>
          <w:lang w:val="en-US" w:eastAsia="zh-CN"/>
        </w:rPr>
      </w:pPr>
      <w:bookmarkStart w:id="49" w:name="_Toc152042574"/>
      <w:bookmarkStart w:id="50" w:name="_Toc55285627"/>
      <w:bookmarkStart w:id="51" w:name="_Toc144974854"/>
      <w:bookmarkStart w:id="52" w:name="_Toc246996353"/>
      <w:bookmarkStart w:id="53" w:name="_Toc247085870"/>
      <w:bookmarkStart w:id="54" w:name="_Toc20801"/>
      <w:bookmarkStart w:id="55" w:name="_Toc152045785"/>
      <w:bookmarkStart w:id="56" w:name="_Toc179632804"/>
      <w:bookmarkStart w:id="57" w:name="_Toc52181488"/>
      <w:bookmarkStart w:id="58" w:name="_Toc246997096"/>
      <w:r>
        <w:rPr>
          <w:rFonts w:hint="eastAsia" w:ascii="仿宋" w:hAnsi="仿宋" w:eastAsia="仿宋" w:cs="仿宋"/>
          <w:color w:val="auto"/>
          <w:highlight w:val="none"/>
          <w:lang w:val="en-US" w:eastAsia="zh-CN"/>
        </w:rPr>
        <w:br w:type="page"/>
      </w:r>
    </w:p>
    <w:p w14:paraId="6B16164B">
      <w:pPr>
        <w:pStyle w:val="2"/>
        <w:bidi w:val="0"/>
        <w:rPr>
          <w:rFonts w:hint="default"/>
          <w:color w:val="auto"/>
          <w:highlight w:val="none"/>
          <w:lang w:val="en-US" w:eastAsia="zh-CN"/>
        </w:rPr>
      </w:pPr>
      <w:bookmarkStart w:id="59" w:name="_Toc295"/>
      <w:r>
        <w:rPr>
          <w:rFonts w:hint="eastAsia"/>
          <w:color w:val="auto"/>
          <w:highlight w:val="none"/>
          <w:lang w:val="en-US" w:eastAsia="zh-CN"/>
        </w:rPr>
        <w:t xml:space="preserve">第四章 </w:t>
      </w:r>
      <w:bookmarkEnd w:id="49"/>
      <w:bookmarkEnd w:id="50"/>
      <w:bookmarkEnd w:id="51"/>
      <w:bookmarkEnd w:id="52"/>
      <w:bookmarkEnd w:id="53"/>
      <w:bookmarkEnd w:id="54"/>
      <w:bookmarkEnd w:id="55"/>
      <w:bookmarkEnd w:id="56"/>
      <w:bookmarkEnd w:id="57"/>
      <w:bookmarkEnd w:id="58"/>
      <w:r>
        <w:rPr>
          <w:rFonts w:hint="eastAsia"/>
          <w:color w:val="auto"/>
          <w:highlight w:val="none"/>
          <w:lang w:val="en-US" w:eastAsia="zh-CN"/>
        </w:rPr>
        <w:t>合同格式</w:t>
      </w:r>
      <w:bookmarkEnd w:id="59"/>
    </w:p>
    <w:p w14:paraId="3185218F">
      <w:pPr>
        <w:keepNext w:val="0"/>
        <w:keepLines w:val="0"/>
        <w:widowControl/>
        <w:suppressLineNumbers w:val="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合同书格式</w:t>
      </w:r>
    </w:p>
    <w:p w14:paraId="5D910D49">
      <w:pPr>
        <w:numPr>
          <w:ilvl w:val="0"/>
          <w:numId w:val="0"/>
        </w:numPr>
        <w:bidi w:val="0"/>
        <w:ind w:firstLine="42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（此合同文本仅为通用参考合同文本，在确定中标人后，双方将对商务、技术、保修承诺等内容签订更加详细的内容，招标人保留对合同条款修订的权利。） </w:t>
      </w:r>
    </w:p>
    <w:p w14:paraId="799564BC">
      <w:pPr>
        <w:numPr>
          <w:ilvl w:val="0"/>
          <w:numId w:val="0"/>
        </w:numPr>
        <w:bidi w:val="0"/>
        <w:ind w:firstLine="42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注：以实际合同为准 </w:t>
      </w:r>
    </w:p>
    <w:p w14:paraId="3747781D">
      <w:pPr>
        <w:bidi w:val="0"/>
        <w:ind w:left="0" w:leftChars="0" w:firstLine="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合同编号：</w:t>
      </w:r>
      <w:r>
        <w:rPr>
          <w:rFonts w:hint="eastAsia" w:ascii="仿宋" w:hAnsi="仿宋" w:eastAsia="仿宋" w:cs="仿宋"/>
          <w:color w:val="auto"/>
          <w:sz w:val="24"/>
          <w:szCs w:val="24"/>
          <w:highlight w:val="none"/>
          <w:u w:val="single"/>
          <w:lang w:val="en-US" w:eastAsia="zh-CN"/>
        </w:rPr>
        <w:t xml:space="preserve">                     .</w:t>
      </w:r>
    </w:p>
    <w:p w14:paraId="4BC1595D">
      <w:pPr>
        <w:bidi w:val="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签订地点：</w:t>
      </w:r>
      <w:r>
        <w:rPr>
          <w:rFonts w:hint="eastAsia" w:ascii="仿宋" w:hAnsi="仿宋" w:eastAsia="仿宋" w:cs="仿宋"/>
          <w:color w:val="auto"/>
          <w:sz w:val="24"/>
          <w:szCs w:val="24"/>
          <w:highlight w:val="none"/>
          <w:u w:val="single"/>
          <w:lang w:val="en-US" w:eastAsia="zh-CN"/>
        </w:rPr>
        <w:t xml:space="preserve">                     .</w:t>
      </w:r>
    </w:p>
    <w:p w14:paraId="4ACA3AD3">
      <w:pPr>
        <w:bidi w:val="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签订日期：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日 </w:t>
      </w:r>
    </w:p>
    <w:p w14:paraId="5FA88701">
      <w:pPr>
        <w:bidi w:val="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招标任务通知书编号： </w:t>
      </w:r>
    </w:p>
    <w:p w14:paraId="0BB078B3">
      <w:pPr>
        <w:bidi w:val="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（需方）需求的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（货物名称）经招标 公司以编号为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的</w:t>
      </w:r>
      <w:r>
        <w:rPr>
          <w:rFonts w:hint="eastAsia" w:cs="仿宋"/>
          <w:color w:val="auto"/>
          <w:sz w:val="24"/>
          <w:szCs w:val="24"/>
          <w:highlight w:val="none"/>
          <w:lang w:val="en-US" w:eastAsia="zh-CN"/>
        </w:rPr>
        <w:t>招标文件</w:t>
      </w:r>
      <w:r>
        <w:rPr>
          <w:rFonts w:hint="eastAsia" w:ascii="仿宋" w:hAnsi="仿宋" w:eastAsia="仿宋" w:cs="仿宋"/>
          <w:color w:val="auto"/>
          <w:sz w:val="24"/>
          <w:szCs w:val="24"/>
          <w:highlight w:val="none"/>
          <w:lang w:val="en-US" w:eastAsia="zh-CN"/>
        </w:rPr>
        <w:t>在国内公开招标，评标委员会评定（供方）为中标供应商。 供需双方和</w:t>
      </w:r>
      <w:r>
        <w:rPr>
          <w:rFonts w:hint="eastAsia" w:cs="仿宋"/>
          <w:color w:val="auto"/>
          <w:sz w:val="24"/>
          <w:szCs w:val="24"/>
          <w:highlight w:val="none"/>
          <w:lang w:val="en-US" w:eastAsia="zh-CN"/>
        </w:rPr>
        <w:t>吉林东亿来项目管理有限公司</w:t>
      </w:r>
      <w:r>
        <w:rPr>
          <w:rFonts w:hint="eastAsia" w:ascii="仿宋" w:hAnsi="仿宋" w:eastAsia="仿宋" w:cs="仿宋"/>
          <w:color w:val="auto"/>
          <w:sz w:val="24"/>
          <w:szCs w:val="24"/>
          <w:highlight w:val="none"/>
          <w:lang w:val="en-US" w:eastAsia="zh-CN"/>
        </w:rPr>
        <w:t xml:space="preserve">按照《中华人民共和国合同法》和有关法律法规，遵循平等、自愿、公平和诚实信用原则，同意按照下面的条款和条件订立本合同，共同信守。 </w:t>
      </w:r>
    </w:p>
    <w:p w14:paraId="5EA58E9B">
      <w:pPr>
        <w:numPr>
          <w:ilvl w:val="0"/>
          <w:numId w:val="6"/>
        </w:numPr>
        <w:bidi w:val="0"/>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合同标的：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2536"/>
        <w:gridCol w:w="1056"/>
        <w:gridCol w:w="1705"/>
        <w:gridCol w:w="1705"/>
      </w:tblGrid>
      <w:tr w14:paraId="1C6B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noWrap w:val="0"/>
            <w:vAlign w:val="top"/>
          </w:tcPr>
          <w:p w14:paraId="7C6B8C80">
            <w:pPr>
              <w:pStyle w:val="8"/>
              <w:widowControl w:val="0"/>
              <w:ind w:left="0" w:leftChars="0" w:firstLine="0" w:firstLine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bidi="ar"/>
              </w:rPr>
              <w:t xml:space="preserve">招标项目名称 </w:t>
            </w:r>
          </w:p>
        </w:tc>
        <w:tc>
          <w:tcPr>
            <w:tcW w:w="2536" w:type="dxa"/>
            <w:noWrap w:val="0"/>
            <w:vAlign w:val="top"/>
          </w:tcPr>
          <w:p w14:paraId="673FC581">
            <w:pPr>
              <w:pStyle w:val="8"/>
              <w:widowControl w:val="0"/>
              <w:ind w:left="0" w:leftChars="0" w:firstLine="0" w:firstLine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bidi="ar"/>
              </w:rPr>
              <w:t>详细配置及主要技术参数</w:t>
            </w:r>
          </w:p>
        </w:tc>
        <w:tc>
          <w:tcPr>
            <w:tcW w:w="1056" w:type="dxa"/>
            <w:noWrap w:val="0"/>
            <w:vAlign w:val="top"/>
          </w:tcPr>
          <w:p w14:paraId="5DCD93D4">
            <w:pPr>
              <w:keepNext w:val="0"/>
              <w:keepLines w:val="0"/>
              <w:widowControl/>
              <w:suppressLineNumbers w:val="0"/>
              <w:ind w:left="0" w:leftChars="0" w:firstLine="0" w:firstLineChars="0"/>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bidi="ar"/>
              </w:rPr>
              <w:t xml:space="preserve">数量 </w:t>
            </w:r>
          </w:p>
        </w:tc>
        <w:tc>
          <w:tcPr>
            <w:tcW w:w="1705" w:type="dxa"/>
            <w:noWrap w:val="0"/>
            <w:vAlign w:val="top"/>
          </w:tcPr>
          <w:p w14:paraId="0CAA2008">
            <w:pPr>
              <w:pStyle w:val="8"/>
              <w:widowControl w:val="0"/>
              <w:ind w:left="0" w:leftChars="0" w:firstLine="0" w:firstLine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单价（元）</w:t>
            </w:r>
          </w:p>
        </w:tc>
        <w:tc>
          <w:tcPr>
            <w:tcW w:w="1705" w:type="dxa"/>
            <w:noWrap w:val="0"/>
            <w:vAlign w:val="top"/>
          </w:tcPr>
          <w:p w14:paraId="1F7EE308">
            <w:pPr>
              <w:pStyle w:val="8"/>
              <w:widowControl w:val="0"/>
              <w:ind w:left="0" w:leftChars="0" w:firstLine="0" w:firstLine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小计金额（元）</w:t>
            </w:r>
          </w:p>
        </w:tc>
      </w:tr>
      <w:tr w14:paraId="3336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noWrap w:val="0"/>
            <w:vAlign w:val="top"/>
          </w:tcPr>
          <w:p w14:paraId="29F7C957">
            <w:pPr>
              <w:pStyle w:val="8"/>
              <w:widowControl w:val="0"/>
              <w:jc w:val="both"/>
              <w:rPr>
                <w:rFonts w:hint="eastAsia" w:ascii="仿宋" w:hAnsi="仿宋" w:eastAsia="仿宋" w:cs="仿宋"/>
                <w:color w:val="auto"/>
                <w:sz w:val="24"/>
                <w:szCs w:val="24"/>
                <w:highlight w:val="none"/>
                <w:vertAlign w:val="baseline"/>
                <w:lang w:val="en-US" w:eastAsia="zh-CN"/>
              </w:rPr>
            </w:pPr>
          </w:p>
        </w:tc>
        <w:tc>
          <w:tcPr>
            <w:tcW w:w="2536" w:type="dxa"/>
            <w:noWrap w:val="0"/>
            <w:vAlign w:val="top"/>
          </w:tcPr>
          <w:p w14:paraId="45D2B4D8">
            <w:pPr>
              <w:pStyle w:val="8"/>
              <w:widowControl w:val="0"/>
              <w:jc w:val="both"/>
              <w:rPr>
                <w:rFonts w:hint="eastAsia" w:ascii="仿宋" w:hAnsi="仿宋" w:eastAsia="仿宋" w:cs="仿宋"/>
                <w:color w:val="auto"/>
                <w:sz w:val="24"/>
                <w:szCs w:val="24"/>
                <w:highlight w:val="none"/>
                <w:vertAlign w:val="baseline"/>
                <w:lang w:val="en-US" w:eastAsia="zh-CN"/>
              </w:rPr>
            </w:pPr>
          </w:p>
        </w:tc>
        <w:tc>
          <w:tcPr>
            <w:tcW w:w="1056" w:type="dxa"/>
            <w:noWrap w:val="0"/>
            <w:vAlign w:val="top"/>
          </w:tcPr>
          <w:p w14:paraId="577FD5DA">
            <w:pPr>
              <w:pStyle w:val="8"/>
              <w:widowControl w:val="0"/>
              <w:jc w:val="both"/>
              <w:rPr>
                <w:rFonts w:hint="eastAsia" w:ascii="仿宋" w:hAnsi="仿宋" w:eastAsia="仿宋" w:cs="仿宋"/>
                <w:color w:val="auto"/>
                <w:sz w:val="24"/>
                <w:szCs w:val="24"/>
                <w:highlight w:val="none"/>
                <w:vertAlign w:val="baseline"/>
                <w:lang w:val="en-US" w:eastAsia="zh-CN"/>
              </w:rPr>
            </w:pPr>
          </w:p>
        </w:tc>
        <w:tc>
          <w:tcPr>
            <w:tcW w:w="1705" w:type="dxa"/>
            <w:noWrap w:val="0"/>
            <w:vAlign w:val="top"/>
          </w:tcPr>
          <w:p w14:paraId="17449222">
            <w:pPr>
              <w:pStyle w:val="8"/>
              <w:widowControl w:val="0"/>
              <w:jc w:val="both"/>
              <w:rPr>
                <w:rFonts w:hint="eastAsia" w:ascii="仿宋" w:hAnsi="仿宋" w:eastAsia="仿宋" w:cs="仿宋"/>
                <w:color w:val="auto"/>
                <w:sz w:val="24"/>
                <w:szCs w:val="24"/>
                <w:highlight w:val="none"/>
                <w:vertAlign w:val="baseline"/>
                <w:lang w:val="en-US" w:eastAsia="zh-CN"/>
              </w:rPr>
            </w:pPr>
          </w:p>
        </w:tc>
        <w:tc>
          <w:tcPr>
            <w:tcW w:w="1705" w:type="dxa"/>
            <w:noWrap w:val="0"/>
            <w:vAlign w:val="top"/>
          </w:tcPr>
          <w:p w14:paraId="1F1B71B3">
            <w:pPr>
              <w:pStyle w:val="8"/>
              <w:widowControl w:val="0"/>
              <w:jc w:val="both"/>
              <w:rPr>
                <w:rFonts w:hint="eastAsia" w:ascii="仿宋" w:hAnsi="仿宋" w:eastAsia="仿宋" w:cs="仿宋"/>
                <w:color w:val="auto"/>
                <w:sz w:val="24"/>
                <w:szCs w:val="24"/>
                <w:highlight w:val="none"/>
                <w:vertAlign w:val="baseline"/>
                <w:lang w:val="en-US" w:eastAsia="zh-CN"/>
              </w:rPr>
            </w:pPr>
          </w:p>
        </w:tc>
      </w:tr>
    </w:tbl>
    <w:p w14:paraId="768B762D">
      <w:pPr>
        <w:numPr>
          <w:ilvl w:val="0"/>
          <w:numId w:val="6"/>
        </w:numPr>
        <w:bidi w:val="0"/>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合同价格：人民币（大写）</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lang w:val="en-US" w:eastAsia="zh-CN"/>
        </w:rPr>
        <w:t>元，（小写）</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lang w:val="en-US" w:eastAsia="zh-CN"/>
        </w:rPr>
        <w:t xml:space="preserve">元。 </w:t>
      </w:r>
    </w:p>
    <w:p w14:paraId="6435EE9A">
      <w:pPr>
        <w:numPr>
          <w:ilvl w:val="0"/>
          <w:numId w:val="6"/>
        </w:numPr>
        <w:bidi w:val="0"/>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服务时间、地点、方式 </w:t>
      </w:r>
    </w:p>
    <w:p w14:paraId="74E1E5EF">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3.1服务期： </w:t>
      </w:r>
    </w:p>
    <w:p w14:paraId="11505D04">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3.2交货地点：</w:t>
      </w:r>
      <w:r>
        <w:rPr>
          <w:rFonts w:hint="eastAsia" w:ascii="仿宋" w:hAnsi="仿宋" w:eastAsia="仿宋" w:cs="仿宋"/>
          <w:b/>
          <w:color w:val="auto"/>
          <w:kern w:val="0"/>
          <w:sz w:val="24"/>
          <w:szCs w:val="24"/>
          <w:highlight w:val="none"/>
          <w:lang w:val="en-US" w:eastAsia="zh-CN" w:bidi="ar"/>
        </w:rPr>
        <w:t xml:space="preserve"> </w:t>
      </w:r>
    </w:p>
    <w:p w14:paraId="48DA4433">
      <w:pPr>
        <w:numPr>
          <w:ilvl w:val="0"/>
          <w:numId w:val="6"/>
        </w:numPr>
        <w:bidi w:val="0"/>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4. 付款方式 </w:t>
      </w:r>
    </w:p>
    <w:p w14:paraId="744BBF5B">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4.1供方交货时应提交下列文件：销售发票，国家有关质检机构出具的检验报告或证书（如果合同约定有的话），进口产品的报关文件（如果合同约定有的话），制造厂商出具的质量检验证书、产品合格证等。 </w:t>
      </w:r>
    </w:p>
    <w:p w14:paraId="45141319">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4.2付款：以实际合同为准 </w:t>
      </w:r>
    </w:p>
    <w:p w14:paraId="3FC6FC61">
      <w:pPr>
        <w:numPr>
          <w:ilvl w:val="0"/>
          <w:numId w:val="6"/>
        </w:numPr>
        <w:bidi w:val="0"/>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履约保证金</w:t>
      </w:r>
    </w:p>
    <w:p w14:paraId="21F49CFD">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5.1 在签署本合同之前，供方应向需方提交</w:t>
      </w:r>
      <w:r>
        <w:rPr>
          <w:rFonts w:hint="eastAsia" w:cs="仿宋"/>
          <w:color w:val="auto"/>
          <w:kern w:val="0"/>
          <w:sz w:val="24"/>
          <w:szCs w:val="24"/>
          <w:highlight w:val="none"/>
          <w:lang w:val="en-US" w:eastAsia="zh-CN" w:bidi="ar"/>
        </w:rPr>
        <w:t>合同金额10%</w:t>
      </w:r>
      <w:r>
        <w:rPr>
          <w:rFonts w:hint="eastAsia" w:ascii="仿宋" w:hAnsi="仿宋" w:eastAsia="仿宋" w:cs="仿宋"/>
          <w:color w:val="auto"/>
          <w:kern w:val="0"/>
          <w:sz w:val="24"/>
          <w:szCs w:val="24"/>
          <w:highlight w:val="none"/>
          <w:lang w:val="en-US" w:eastAsia="zh-CN" w:bidi="ar"/>
        </w:rPr>
        <w:t xml:space="preserve">的履约保证金。履约保证金可以采用银行转帐方式提交。 </w:t>
      </w:r>
    </w:p>
    <w:p w14:paraId="1C2DD50D">
      <w:pPr>
        <w:numPr>
          <w:ilvl w:val="0"/>
          <w:numId w:val="6"/>
        </w:numPr>
        <w:bidi w:val="0"/>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 xml:space="preserve">质量保证金 </w:t>
      </w:r>
    </w:p>
    <w:p w14:paraId="0EC613CB">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6.1质量保证金为合同总价款的       % </w:t>
      </w:r>
    </w:p>
    <w:p w14:paraId="25AE77B7">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6.2质量保证金由供方的履约保证金（如计取）转为质量保证金。 </w:t>
      </w:r>
    </w:p>
    <w:p w14:paraId="52022B1A">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6.3质量保证金的有效期到合同规定的质保期期满之日止，扣除供方承担质量保证责任的费用后，剩余部分在质量保证期期满后20个工作日内返还，不计利息。 </w:t>
      </w:r>
    </w:p>
    <w:p w14:paraId="0FE06E9A">
      <w:pPr>
        <w:numPr>
          <w:ilvl w:val="0"/>
          <w:numId w:val="6"/>
        </w:numPr>
        <w:bidi w:val="0"/>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 xml:space="preserve">成果验收：项目提交成果通过甲方组织的专家验收。 </w:t>
      </w:r>
    </w:p>
    <w:p w14:paraId="34A32C97">
      <w:pPr>
        <w:numPr>
          <w:ilvl w:val="0"/>
          <w:numId w:val="6"/>
        </w:numPr>
        <w:bidi w:val="0"/>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合同构成：</w:t>
      </w:r>
    </w:p>
    <w:p w14:paraId="0AC3D3BA">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下列文件构成本合同不可分割的组成部分，与本合同具有同等法律效力： </w:t>
      </w:r>
    </w:p>
    <w:p w14:paraId="0B100B29">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8.1本合同书； </w:t>
      </w:r>
    </w:p>
    <w:p w14:paraId="32668B98">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8.2中标通知书； </w:t>
      </w:r>
    </w:p>
    <w:p w14:paraId="7EC31ACF">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8.3</w:t>
      </w:r>
      <w:r>
        <w:rPr>
          <w:rFonts w:hint="eastAsia" w:cs="仿宋"/>
          <w:color w:val="auto"/>
          <w:kern w:val="0"/>
          <w:sz w:val="24"/>
          <w:szCs w:val="24"/>
          <w:highlight w:val="none"/>
          <w:lang w:val="en-US" w:eastAsia="zh-CN" w:bidi="ar"/>
        </w:rPr>
        <w:t>招标文件</w:t>
      </w:r>
      <w:r>
        <w:rPr>
          <w:rFonts w:hint="eastAsia" w:ascii="仿宋" w:hAnsi="仿宋" w:eastAsia="仿宋" w:cs="仿宋"/>
          <w:color w:val="auto"/>
          <w:kern w:val="0"/>
          <w:sz w:val="24"/>
          <w:szCs w:val="24"/>
          <w:highlight w:val="none"/>
          <w:lang w:val="en-US" w:eastAsia="zh-CN" w:bidi="ar"/>
        </w:rPr>
        <w:t xml:space="preserve">及澄清、修改、补遗文件； </w:t>
      </w:r>
    </w:p>
    <w:p w14:paraId="65198CBB">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8.4供方的投标文件及书面澄清、说明、补正文件； </w:t>
      </w:r>
    </w:p>
    <w:p w14:paraId="5FF0CAAC">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8.5产品样本、样品（样机）、说明书、图纸等有关资料； </w:t>
      </w:r>
    </w:p>
    <w:p w14:paraId="166833F6">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8.6政府招标验收报告单；</w:t>
      </w:r>
    </w:p>
    <w:p w14:paraId="55EC5A38">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8.7合同的其它附件。</w:t>
      </w:r>
    </w:p>
    <w:p w14:paraId="62DEFE4D">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上述组成合同的文件如有不一致之处，以日期在后的为准。 </w:t>
      </w:r>
    </w:p>
    <w:p w14:paraId="5EA997EC">
      <w:pPr>
        <w:numPr>
          <w:ilvl w:val="0"/>
          <w:numId w:val="6"/>
        </w:numPr>
        <w:bidi w:val="0"/>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合同份数：</w:t>
      </w:r>
    </w:p>
    <w:p w14:paraId="14B8BB43">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本合同一式三份，供需双方各执一份，另一份需提交至监管部门做备存。 </w:t>
      </w:r>
    </w:p>
    <w:p w14:paraId="7F4EF0D1">
      <w:pPr>
        <w:numPr>
          <w:ilvl w:val="0"/>
          <w:numId w:val="6"/>
        </w:numPr>
        <w:bidi w:val="0"/>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合同生效：</w:t>
      </w:r>
    </w:p>
    <w:p w14:paraId="6429283C">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本合同在供需双方法定代表人或其授权代理人签字、加盖双方公章或者合同专用章，并且需方收到供方提交的履约保证金（如计取）后生效。 </w:t>
      </w:r>
    </w:p>
    <w:p w14:paraId="7811AAC6">
      <w:pPr>
        <w:numPr>
          <w:ilvl w:val="0"/>
          <w:numId w:val="6"/>
        </w:numPr>
        <w:bidi w:val="0"/>
        <w:ind w:left="0" w:leftChars="0" w:firstLine="0" w:firstLineChars="0"/>
        <w:rPr>
          <w:rFonts w:hint="eastAsia" w:ascii="仿宋" w:hAnsi="仿宋" w:eastAsia="仿宋" w:cs="仿宋"/>
          <w:b/>
          <w:color w:val="auto"/>
          <w:kern w:val="0"/>
          <w:sz w:val="24"/>
          <w:szCs w:val="24"/>
          <w:highlight w:val="none"/>
          <w:lang w:val="en-US" w:eastAsia="zh-CN" w:bidi="ar"/>
        </w:rPr>
      </w:pPr>
      <w:r>
        <w:rPr>
          <w:rFonts w:hint="eastAsia" w:ascii="仿宋" w:hAnsi="仿宋" w:eastAsia="仿宋" w:cs="仿宋"/>
          <w:b/>
          <w:color w:val="auto"/>
          <w:kern w:val="0"/>
          <w:sz w:val="24"/>
          <w:szCs w:val="24"/>
          <w:highlight w:val="none"/>
          <w:lang w:val="en-US" w:eastAsia="zh-CN" w:bidi="ar"/>
        </w:rPr>
        <w:t>合同修改：</w:t>
      </w:r>
    </w:p>
    <w:p w14:paraId="4F86AF49">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除供需双方签署书面修改、补充协议外，本合同条件不得有任何变化或修改。 </w:t>
      </w:r>
    </w:p>
    <w:p w14:paraId="4A08145F">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需方： </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供方： </w:t>
      </w:r>
    </w:p>
    <w:p w14:paraId="06DBD74F">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（加盖公章或合同专用章） </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（加盖公章或合同专用章） </w:t>
      </w:r>
    </w:p>
    <w:p w14:paraId="73D86E1A">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地址： </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地址： </w:t>
      </w:r>
    </w:p>
    <w:p w14:paraId="20DF9A75">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法定代表人</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法定代表人 </w:t>
      </w:r>
    </w:p>
    <w:p w14:paraId="00F87C95">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或授权代理人签字： </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或授权代理人签字： </w:t>
      </w:r>
    </w:p>
    <w:p w14:paraId="2FF12D7C">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签字日期： </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签字日期： </w:t>
      </w:r>
    </w:p>
    <w:p w14:paraId="1CF0B723">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邮政编码： </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邮政编码： </w:t>
      </w:r>
    </w:p>
    <w:p w14:paraId="44D83646">
      <w:pPr>
        <w:keepNext w:val="0"/>
        <w:keepLines w:val="0"/>
        <w:widowControl/>
        <w:suppressLineNumbers w:val="0"/>
        <w:ind w:left="0" w:leftChars="0" w:firstLine="0" w:firstLineChars="0"/>
        <w:jc w:val="left"/>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电话： </w:t>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电话：</w:t>
      </w:r>
    </w:p>
    <w:p w14:paraId="69EC9B2C">
      <w:pPr>
        <w:keepNext w:val="0"/>
        <w:keepLines w:val="0"/>
        <w:widowControl/>
        <w:suppressLineNumbers w:val="0"/>
        <w:ind w:left="0" w:leftChars="0" w:firstLine="0" w:firstLineChars="0"/>
        <w:jc w:val="left"/>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传真： </w:t>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传真： </w:t>
      </w:r>
    </w:p>
    <w:p w14:paraId="61D6DD1E">
      <w:pPr>
        <w:keepNext w:val="0"/>
        <w:keepLines w:val="0"/>
        <w:widowControl/>
        <w:suppressLineNumbers w:val="0"/>
        <w:ind w:left="0" w:leftChars="0" w:firstLine="0" w:firstLineChars="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联系人：</w:t>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联系人： </w:t>
      </w:r>
    </w:p>
    <w:p w14:paraId="20591054">
      <w:pPr>
        <w:keepNext w:val="0"/>
        <w:keepLines w:val="0"/>
        <w:widowControl/>
        <w:suppressLineNumbers w:val="0"/>
        <w:ind w:left="0" w:leftChars="0" w:firstLine="0" w:firstLineChars="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开户银行：</w:t>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开户银行： </w:t>
      </w:r>
    </w:p>
    <w:p w14:paraId="12395C04">
      <w:pPr>
        <w:keepNext w:val="0"/>
        <w:keepLines w:val="0"/>
        <w:widowControl/>
        <w:suppressLineNumbers w:val="0"/>
        <w:ind w:left="0" w:leftChars="0" w:firstLine="0" w:firstLineChars="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帐户名称：</w:t>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帐户名称： </w:t>
      </w:r>
    </w:p>
    <w:p w14:paraId="7AFB2FEA">
      <w:pPr>
        <w:pStyle w:val="39"/>
        <w:ind w:left="0" w:leftChars="0" w:firstLine="0" w:firstLineChars="0"/>
        <w:rPr>
          <w:rFonts w:hint="default" w:ascii="仿宋" w:hAnsi="仿宋" w:eastAsia="仿宋" w:cs="仿宋"/>
          <w:color w:val="auto"/>
          <w:sz w:val="28"/>
          <w:szCs w:val="28"/>
          <w:highlight w:val="none"/>
          <w:lang w:val="en-US" w:eastAsia="zh-CN"/>
        </w:rPr>
      </w:pPr>
      <w:r>
        <w:rPr>
          <w:rFonts w:hint="eastAsia" w:ascii="仿宋" w:hAnsi="仿宋" w:eastAsia="仿宋" w:cs="仿宋"/>
          <w:color w:val="auto"/>
          <w:kern w:val="0"/>
          <w:sz w:val="24"/>
          <w:szCs w:val="24"/>
          <w:highlight w:val="none"/>
          <w:lang w:val="en-US" w:eastAsia="zh-CN" w:bidi="ar"/>
        </w:rPr>
        <w:t>帐号：</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帐号：</w:t>
      </w:r>
    </w:p>
    <w:p w14:paraId="7C168615">
      <w:pPr>
        <w:rPr>
          <w:rFonts w:hint="eastAsia"/>
          <w:color w:val="auto"/>
          <w:highlight w:val="none"/>
          <w:lang w:val="en-US" w:eastAsia="zh-CN"/>
        </w:rPr>
      </w:pPr>
      <w:r>
        <w:rPr>
          <w:rFonts w:hint="eastAsia"/>
          <w:color w:val="auto"/>
          <w:highlight w:val="none"/>
          <w:lang w:val="en-US" w:eastAsia="zh-CN"/>
        </w:rPr>
        <w:br w:type="page"/>
      </w:r>
    </w:p>
    <w:p w14:paraId="2864794F">
      <w:pPr>
        <w:pStyle w:val="2"/>
        <w:bidi w:val="0"/>
        <w:rPr>
          <w:rFonts w:hint="eastAsia"/>
          <w:color w:val="auto"/>
          <w:highlight w:val="none"/>
          <w:lang w:val="en-US" w:eastAsia="zh-CN"/>
        </w:rPr>
      </w:pPr>
      <w:bookmarkStart w:id="60" w:name="_Toc25725"/>
      <w:r>
        <w:rPr>
          <w:rFonts w:hint="eastAsia" w:ascii="仿宋" w:hAnsi="仿宋" w:eastAsia="仿宋" w:cs="仿宋"/>
          <w:color w:val="auto"/>
          <w:szCs w:val="21"/>
          <w:highlight w:val="none"/>
          <w:lang w:val="en-US" w:eastAsia="zh-CN"/>
        </w:rPr>
        <w:t>第</w:t>
      </w:r>
      <w:r>
        <w:rPr>
          <w:rFonts w:hint="eastAsia" w:cs="仿宋"/>
          <w:color w:val="auto"/>
          <w:szCs w:val="21"/>
          <w:highlight w:val="none"/>
          <w:lang w:val="en-US" w:eastAsia="zh-CN"/>
        </w:rPr>
        <w:t>五</w:t>
      </w:r>
      <w:r>
        <w:rPr>
          <w:rFonts w:hint="eastAsia" w:ascii="仿宋" w:hAnsi="仿宋" w:eastAsia="仿宋" w:cs="仿宋"/>
          <w:color w:val="auto"/>
          <w:szCs w:val="21"/>
          <w:highlight w:val="none"/>
          <w:lang w:val="en-US" w:eastAsia="zh-CN"/>
        </w:rPr>
        <w:t>章</w:t>
      </w:r>
      <w:r>
        <w:rPr>
          <w:rFonts w:hint="eastAsia" w:cs="仿宋"/>
          <w:color w:val="auto"/>
          <w:szCs w:val="21"/>
          <w:highlight w:val="none"/>
          <w:lang w:val="en-US" w:eastAsia="zh-CN"/>
        </w:rPr>
        <w:t xml:space="preserve"> 服务</w:t>
      </w:r>
      <w:r>
        <w:rPr>
          <w:rFonts w:hint="eastAsia"/>
          <w:color w:val="auto"/>
          <w:highlight w:val="none"/>
          <w:lang w:val="en-US" w:eastAsia="zh-CN"/>
        </w:rPr>
        <w:t>需求及要求</w:t>
      </w:r>
      <w:bookmarkEnd w:id="60"/>
    </w:p>
    <w:p w14:paraId="36C9064E">
      <w:pPr>
        <w:pStyle w:val="8"/>
        <w:jc w:val="both"/>
        <w:rPr>
          <w:rFonts w:hint="default" w:eastAsia="仿宋_GB2312"/>
          <w:highlight w:val="none"/>
          <w:lang w:val="en-US" w:eastAsia="zh-CN"/>
        </w:rPr>
      </w:pPr>
      <w:r>
        <w:rPr>
          <w:rFonts w:hint="eastAsia" w:eastAsia="仿宋_GB2312"/>
          <w:b/>
          <w:bCs/>
          <w:highlight w:val="none"/>
          <w:lang w:val="en-US" w:eastAsia="zh-CN"/>
        </w:rPr>
        <w:t>项目概况</w:t>
      </w:r>
    </w:p>
    <w:p w14:paraId="4550628B">
      <w:pPr>
        <w:pStyle w:val="8"/>
        <w:ind w:firstLine="420" w:firstLineChars="0"/>
        <w:rPr>
          <w:rFonts w:hint="default" w:eastAsia="仿宋_GB2312"/>
          <w:highlight w:val="none"/>
          <w:lang w:val="en-US" w:eastAsia="zh-CN"/>
        </w:rPr>
      </w:pPr>
      <w:r>
        <w:rPr>
          <w:rFonts w:hint="default" w:eastAsia="仿宋_GB2312"/>
          <w:highlight w:val="none"/>
          <w:lang w:val="en-US" w:eastAsia="zh-CN"/>
        </w:rPr>
        <w:t>根据《吉林市特困人员救助供养实施办法》规定，集中供养特困人员必须入住有合法手续的养老机构，否则不予拨付供养经费。为解决我区集中供养特困人员集中供养问题，采取政府购买服务方式对我区集中供养人员进行保障。鉴于</w:t>
      </w:r>
      <w:r>
        <w:rPr>
          <w:rFonts w:hint="eastAsia" w:eastAsia="仿宋_GB2312"/>
          <w:highlight w:val="none"/>
          <w:lang w:val="en-US" w:eastAsia="zh-CN"/>
        </w:rPr>
        <w:t>原</w:t>
      </w:r>
      <w:r>
        <w:rPr>
          <w:rFonts w:hint="default" w:eastAsia="仿宋_GB2312"/>
          <w:highlight w:val="none"/>
          <w:lang w:val="en-US" w:eastAsia="zh-CN"/>
        </w:rPr>
        <w:t>协议即将到期且丰满区（养老）社会福利服务中心新建项目未完工，短期内无法投入运营，为保障我区集中供养人员基本生活，拟继续采取购买社会服务的方式，通过公开招标选定一家手续合法且有供养意愿的民营养老机构，对现有集中供养特困人员进行保障</w:t>
      </w:r>
    </w:p>
    <w:p w14:paraId="51269371">
      <w:pPr>
        <w:pStyle w:val="8"/>
        <w:ind w:firstLine="420" w:firstLineChars="0"/>
        <w:rPr>
          <w:rFonts w:hint="default" w:eastAsia="仿宋_GB2312"/>
          <w:highlight w:val="none"/>
          <w:lang w:val="en-US" w:eastAsia="zh-CN"/>
        </w:rPr>
      </w:pPr>
      <w:r>
        <w:rPr>
          <w:rFonts w:hint="default" w:eastAsia="仿宋_GB2312"/>
          <w:highlight w:val="none"/>
          <w:lang w:val="en-US" w:eastAsia="zh-CN"/>
        </w:rPr>
        <w:t>目前，集中供养人员共97人，采购期限</w:t>
      </w:r>
      <w:r>
        <w:rPr>
          <w:rFonts w:hint="eastAsia" w:eastAsia="仿宋_GB2312"/>
          <w:highlight w:val="none"/>
          <w:lang w:val="en-US" w:eastAsia="zh-CN"/>
        </w:rPr>
        <w:t>2025年7月7日至2026年7月6日</w:t>
      </w:r>
      <w:r>
        <w:rPr>
          <w:rFonts w:hint="default" w:eastAsia="仿宋_GB2312"/>
          <w:highlight w:val="none"/>
          <w:lang w:val="en-US" w:eastAsia="zh-CN"/>
        </w:rPr>
        <w:t>，需支付集中供养费用预计203.7万元，以实际中标价格为准。为保证资金合理有效使用，拟按月支付购买服务资金，待丰满区（养老）社会福利服务中心新建项目正式投入运营后与中标方解除协议，服务时间截止至解除协议当月</w:t>
      </w:r>
    </w:p>
    <w:p w14:paraId="7500C9FE">
      <w:pPr>
        <w:pStyle w:val="8"/>
        <w:jc w:val="both"/>
        <w:rPr>
          <w:rFonts w:hint="default" w:eastAsia="仿宋_GB2312"/>
          <w:b w:val="0"/>
          <w:bCs w:val="0"/>
          <w:highlight w:val="none"/>
          <w:lang w:val="en-US" w:eastAsia="zh-CN"/>
        </w:rPr>
      </w:pPr>
      <w:r>
        <w:rPr>
          <w:rFonts w:hint="eastAsia" w:eastAsia="仿宋_GB2312"/>
          <w:b/>
          <w:bCs/>
          <w:highlight w:val="none"/>
          <w:lang w:val="en-US" w:eastAsia="zh-CN"/>
        </w:rPr>
        <w:t>预算金额：</w:t>
      </w:r>
      <w:r>
        <w:rPr>
          <w:rFonts w:hint="default" w:eastAsia="仿宋_GB2312"/>
          <w:b w:val="0"/>
          <w:bCs w:val="0"/>
          <w:highlight w:val="none"/>
          <w:lang w:val="en-US" w:eastAsia="zh-CN"/>
        </w:rPr>
        <w:t>203.7万元</w:t>
      </w:r>
    </w:p>
    <w:p w14:paraId="3A2DC360">
      <w:pPr>
        <w:pStyle w:val="8"/>
        <w:jc w:val="both"/>
        <w:rPr>
          <w:rFonts w:hint="default" w:eastAsia="仿宋_GB2312"/>
          <w:highlight w:val="none"/>
          <w:lang w:val="en-US" w:eastAsia="zh-CN"/>
        </w:rPr>
      </w:pPr>
      <w:r>
        <w:rPr>
          <w:rFonts w:hint="eastAsia" w:eastAsia="仿宋_GB2312"/>
          <w:b/>
          <w:bCs/>
          <w:highlight w:val="none"/>
          <w:lang w:val="en-US" w:eastAsia="zh-CN"/>
        </w:rPr>
        <w:t>服务期限：</w:t>
      </w:r>
      <w:r>
        <w:rPr>
          <w:rFonts w:hint="eastAsia" w:eastAsia="仿宋_GB2312"/>
          <w:highlight w:val="none"/>
          <w:lang w:val="en-US" w:eastAsia="zh-CN"/>
        </w:rPr>
        <w:t>合同签订后至2026年7月6日，具体以实际合同签订为准</w:t>
      </w:r>
    </w:p>
    <w:p w14:paraId="56EE86CA">
      <w:pPr>
        <w:pStyle w:val="8"/>
        <w:jc w:val="both"/>
        <w:rPr>
          <w:rFonts w:hint="default" w:eastAsia="仿宋_GB2312"/>
          <w:highlight w:val="none"/>
          <w:lang w:val="en-US" w:eastAsia="zh-CN"/>
        </w:rPr>
      </w:pPr>
      <w:r>
        <w:rPr>
          <w:rFonts w:hint="eastAsia" w:eastAsia="仿宋_GB2312"/>
          <w:b/>
          <w:bCs/>
          <w:highlight w:val="none"/>
          <w:lang w:val="en-US" w:eastAsia="zh-CN"/>
        </w:rPr>
        <w:t>其他说明：</w:t>
      </w:r>
      <w:r>
        <w:rPr>
          <w:rFonts w:hint="eastAsia" w:eastAsia="仿宋_GB2312"/>
          <w:b w:val="0"/>
          <w:bCs w:val="0"/>
          <w:highlight w:val="none"/>
          <w:lang w:val="en-US" w:eastAsia="zh-CN"/>
        </w:rPr>
        <w:t>投标人必须以承诺形式对养老机构承载人数符合情况进行承诺,最大承接老人人数必须大于或等于97人</w:t>
      </w:r>
    </w:p>
    <w:p w14:paraId="1E9C36E0">
      <w:pPr>
        <w:pStyle w:val="8"/>
        <w:jc w:val="both"/>
        <w:rPr>
          <w:rFonts w:hint="default" w:eastAsia="仿宋_GB2312"/>
          <w:highlight w:val="none"/>
          <w:lang w:val="en-US" w:eastAsia="zh-CN"/>
        </w:rPr>
      </w:pPr>
    </w:p>
    <w:p w14:paraId="1F9F4F59">
      <w:pPr>
        <w:pStyle w:val="8"/>
        <w:rPr>
          <w:rFonts w:hint="default"/>
          <w:color w:val="auto"/>
          <w:highlight w:val="none"/>
          <w:lang w:val="en-US" w:eastAsia="zh-CN"/>
        </w:rPr>
      </w:pPr>
    </w:p>
    <w:p w14:paraId="701E8A8A">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br w:type="page"/>
      </w:r>
    </w:p>
    <w:p w14:paraId="0584E307">
      <w:pPr>
        <w:pStyle w:val="2"/>
        <w:numPr>
          <w:ilvl w:val="0"/>
          <w:numId w:val="0"/>
        </w:numPr>
        <w:ind w:leftChars="0"/>
        <w:jc w:val="center"/>
        <w:rPr>
          <w:rFonts w:hint="eastAsia" w:ascii="仿宋" w:hAnsi="仿宋" w:eastAsia="仿宋" w:cs="仿宋"/>
          <w:color w:val="auto"/>
          <w:highlight w:val="none"/>
        </w:rPr>
      </w:pPr>
      <w:bookmarkStart w:id="61" w:name="_Toc23728"/>
      <w:r>
        <w:rPr>
          <w:rFonts w:hint="eastAsia" w:ascii="仿宋" w:hAnsi="仿宋" w:eastAsia="仿宋" w:cs="仿宋"/>
          <w:color w:val="auto"/>
          <w:szCs w:val="21"/>
          <w:highlight w:val="none"/>
          <w:lang w:val="en-US" w:eastAsia="zh-CN"/>
        </w:rPr>
        <w:t>第</w:t>
      </w:r>
      <w:r>
        <w:rPr>
          <w:rFonts w:hint="eastAsia" w:cs="仿宋"/>
          <w:color w:val="auto"/>
          <w:szCs w:val="21"/>
          <w:highlight w:val="none"/>
          <w:lang w:val="en-US" w:eastAsia="zh-CN"/>
        </w:rPr>
        <w:t>六</w:t>
      </w:r>
      <w:r>
        <w:rPr>
          <w:rFonts w:hint="eastAsia" w:ascii="仿宋" w:hAnsi="仿宋" w:eastAsia="仿宋" w:cs="仿宋"/>
          <w:color w:val="auto"/>
          <w:szCs w:val="21"/>
          <w:highlight w:val="none"/>
          <w:lang w:val="en-US" w:eastAsia="zh-CN"/>
        </w:rPr>
        <w:t xml:space="preserve">章 </w:t>
      </w:r>
      <w:r>
        <w:rPr>
          <w:rFonts w:hint="eastAsia" w:cs="仿宋"/>
          <w:color w:val="auto"/>
          <w:szCs w:val="44"/>
          <w:highlight w:val="none"/>
          <w:lang w:eastAsia="zh-CN"/>
        </w:rPr>
        <w:t>投标文件格式</w:t>
      </w:r>
      <w:bookmarkEnd w:id="61"/>
    </w:p>
    <w:p w14:paraId="10505390">
      <w:pPr>
        <w:wordWrap w:val="0"/>
        <w:jc w:val="center"/>
        <w:rPr>
          <w:rFonts w:hint="eastAsia" w:ascii="仿宋" w:hAnsi="仿宋" w:eastAsia="仿宋" w:cs="仿宋"/>
          <w:color w:val="auto"/>
          <w:highlight w:val="none"/>
        </w:rPr>
      </w:pPr>
    </w:p>
    <w:p w14:paraId="6C2CAA4D">
      <w:pPr>
        <w:keepNext w:val="0"/>
        <w:keepLines w:val="0"/>
        <w:widowControl w:val="0"/>
        <w:suppressLineNumbers w:val="0"/>
        <w:autoSpaceDE w:val="0"/>
        <w:autoSpaceDN w:val="0"/>
        <w:adjustRightInd w:val="0"/>
        <w:spacing w:before="0" w:beforeAutospacing="0" w:after="0" w:afterAutospacing="0"/>
        <w:ind w:left="0" w:right="0"/>
        <w:jc w:val="right"/>
        <w:rPr>
          <w:rFonts w:hint="eastAsia" w:ascii="仿宋" w:hAnsi="仿宋" w:eastAsia="仿宋" w:cs="仿宋"/>
          <w:b/>
          <w:bCs w:val="0"/>
          <w:color w:val="auto"/>
          <w:kern w:val="0"/>
          <w:sz w:val="32"/>
          <w:szCs w:val="32"/>
          <w:highlight w:val="none"/>
          <w:lang w:val="en-US"/>
        </w:rPr>
      </w:pPr>
      <w:r>
        <w:rPr>
          <w:rFonts w:hint="eastAsia" w:ascii="仿宋" w:hAnsi="仿宋" w:eastAsia="仿宋" w:cs="仿宋"/>
          <w:b/>
          <w:bCs w:val="0"/>
          <w:color w:val="auto"/>
          <w:kern w:val="0"/>
          <w:sz w:val="32"/>
          <w:szCs w:val="32"/>
          <w:highlight w:val="none"/>
          <w:bdr w:val="single" w:color="auto" w:sz="4" w:space="0"/>
          <w:lang w:val="en-US" w:eastAsia="zh-CN" w:bidi="ar"/>
        </w:rPr>
        <w:t>正本或副本</w:t>
      </w:r>
    </w:p>
    <w:p w14:paraId="48132322">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color w:val="auto"/>
          <w:kern w:val="0"/>
          <w:sz w:val="48"/>
          <w:szCs w:val="48"/>
          <w:highlight w:val="none"/>
          <w:lang w:val="en-US"/>
        </w:rPr>
      </w:pPr>
    </w:p>
    <w:p w14:paraId="6A960975">
      <w:pPr>
        <w:keepNext w:val="0"/>
        <w:keepLines w:val="0"/>
        <w:widowControl w:val="0"/>
        <w:suppressLineNumbers w:val="0"/>
        <w:spacing w:before="0" w:beforeAutospacing="0" w:after="0" w:afterAutospacing="0"/>
        <w:ind w:left="0" w:leftChars="0" w:right="0" w:firstLine="5400" w:firstLineChars="1500"/>
        <w:jc w:val="both"/>
        <w:rPr>
          <w:rFonts w:hint="eastAsia" w:ascii="仿宋" w:hAnsi="仿宋" w:eastAsia="仿宋" w:cs="仿宋"/>
          <w:color w:val="auto"/>
          <w:sz w:val="36"/>
          <w:szCs w:val="36"/>
          <w:highlight w:val="none"/>
          <w:lang w:val="en-US"/>
        </w:rPr>
      </w:pPr>
      <w:r>
        <w:rPr>
          <w:rFonts w:hint="eastAsia" w:ascii="仿宋" w:hAnsi="仿宋" w:eastAsia="仿宋" w:cs="仿宋"/>
          <w:color w:val="auto"/>
          <w:kern w:val="2"/>
          <w:sz w:val="36"/>
          <w:szCs w:val="36"/>
          <w:highlight w:val="none"/>
          <w:lang w:val="en-US" w:eastAsia="zh-CN" w:bidi="ar"/>
        </w:rPr>
        <w:t>（项目名称）</w:t>
      </w:r>
    </w:p>
    <w:p w14:paraId="6AEB7295">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color w:val="auto"/>
          <w:sz w:val="32"/>
          <w:szCs w:val="32"/>
          <w:highlight w:val="none"/>
          <w:lang w:val="en-US"/>
        </w:rPr>
      </w:pPr>
    </w:p>
    <w:p w14:paraId="53046D44">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color w:val="auto"/>
          <w:sz w:val="18"/>
          <w:szCs w:val="18"/>
          <w:highlight w:val="none"/>
          <w:lang w:val="en-US"/>
        </w:rPr>
      </w:pPr>
    </w:p>
    <w:p w14:paraId="2172B1F0">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color w:val="auto"/>
          <w:sz w:val="18"/>
          <w:szCs w:val="18"/>
          <w:highlight w:val="none"/>
          <w:lang w:val="en-US"/>
        </w:rPr>
      </w:pPr>
    </w:p>
    <w:p w14:paraId="6567A66A">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仿宋" w:hAnsi="仿宋" w:eastAsia="仿宋" w:cs="仿宋"/>
          <w:b/>
          <w:color w:val="auto"/>
          <w:sz w:val="84"/>
          <w:szCs w:val="84"/>
          <w:highlight w:val="none"/>
          <w:lang w:val="en-US"/>
        </w:rPr>
      </w:pPr>
      <w:r>
        <w:rPr>
          <w:rFonts w:hint="eastAsia" w:ascii="仿宋" w:hAnsi="仿宋" w:eastAsia="仿宋" w:cs="仿宋"/>
          <w:b/>
          <w:color w:val="auto"/>
          <w:w w:val="80"/>
          <w:sz w:val="84"/>
          <w:szCs w:val="84"/>
          <w:highlight w:val="none"/>
        </w:rPr>
        <w:t>响 应 文 件</w:t>
      </w:r>
    </w:p>
    <w:p w14:paraId="4ED127E3">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center"/>
        <w:rPr>
          <w:rFonts w:hint="eastAsia" w:ascii="仿宋" w:hAnsi="仿宋" w:eastAsia="仿宋" w:cs="仿宋"/>
          <w:color w:val="auto"/>
          <w:kern w:val="0"/>
          <w:sz w:val="28"/>
          <w:szCs w:val="28"/>
          <w:highlight w:val="none"/>
          <w:u w:val="single"/>
          <w:lang w:val="en-US"/>
        </w:rPr>
      </w:pPr>
      <w:r>
        <w:rPr>
          <w:rFonts w:hint="eastAsia" w:ascii="仿宋" w:hAnsi="仿宋" w:eastAsia="仿宋" w:cs="仿宋"/>
          <w:b/>
          <w:color w:val="auto"/>
          <w:kern w:val="2"/>
          <w:sz w:val="30"/>
          <w:szCs w:val="30"/>
          <w:highlight w:val="none"/>
          <w:lang w:val="en-US" w:eastAsia="zh-CN" w:bidi="ar"/>
        </w:rPr>
        <w:t>项目编号：</w:t>
      </w:r>
    </w:p>
    <w:p w14:paraId="506F1CE3">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3954CC58">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7C580FC5">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0DBCFA3A">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429A4ACA">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356023B8">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4F0484E3">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46AF5BBF">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仿宋" w:hAnsi="仿宋" w:eastAsia="仿宋" w:cs="仿宋"/>
          <w:color w:val="auto"/>
          <w:kern w:val="0"/>
          <w:sz w:val="28"/>
          <w:szCs w:val="28"/>
          <w:highlight w:val="none"/>
          <w:u w:val="single"/>
          <w:lang w:val="en-US"/>
        </w:rPr>
      </w:pPr>
      <w:r>
        <w:rPr>
          <w:rFonts w:hint="eastAsia" w:ascii="仿宋" w:hAnsi="仿宋" w:eastAsia="仿宋" w:cs="仿宋"/>
          <w:color w:val="auto"/>
          <w:kern w:val="0"/>
          <w:sz w:val="28"/>
          <w:szCs w:val="28"/>
          <w:highlight w:val="none"/>
          <w:lang w:val="en-US" w:eastAsia="zh-CN" w:bidi="ar"/>
        </w:rPr>
        <w:t>投标人：</w:t>
      </w:r>
      <w:r>
        <w:rPr>
          <w:rFonts w:hint="eastAsia" w:ascii="仿宋" w:hAnsi="仿宋" w:eastAsia="仿宋" w:cs="仿宋"/>
          <w:color w:val="auto"/>
          <w:kern w:val="0"/>
          <w:sz w:val="28"/>
          <w:szCs w:val="28"/>
          <w:highlight w:val="none"/>
          <w:u w:val="single"/>
          <w:lang w:val="en-US" w:eastAsia="zh-CN" w:bidi="ar"/>
        </w:rPr>
        <w:t xml:space="preserve">                            (盖章)</w:t>
      </w:r>
    </w:p>
    <w:p w14:paraId="23416203">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仿宋" w:hAnsi="仿宋" w:eastAsia="仿宋" w:cs="仿宋"/>
          <w:color w:val="auto"/>
          <w:kern w:val="0"/>
          <w:sz w:val="28"/>
          <w:szCs w:val="28"/>
          <w:highlight w:val="none"/>
          <w:lang w:val="en-US"/>
        </w:rPr>
      </w:pPr>
      <w:r>
        <w:rPr>
          <w:rFonts w:hint="eastAsia" w:ascii="仿宋" w:hAnsi="仿宋" w:eastAsia="仿宋" w:cs="仿宋"/>
          <w:color w:val="auto"/>
          <w:kern w:val="0"/>
          <w:sz w:val="28"/>
          <w:szCs w:val="28"/>
          <w:highlight w:val="none"/>
          <w:lang w:val="en-US" w:eastAsia="zh-CN" w:bidi="ar"/>
        </w:rPr>
        <w:t>法定代表人或</w:t>
      </w:r>
    </w:p>
    <w:p w14:paraId="54CC0B92">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仿宋" w:hAnsi="仿宋" w:eastAsia="仿宋" w:cs="仿宋"/>
          <w:color w:val="auto"/>
          <w:kern w:val="0"/>
          <w:sz w:val="28"/>
          <w:szCs w:val="28"/>
          <w:highlight w:val="none"/>
          <w:u w:val="single"/>
          <w:lang w:val="en-US"/>
        </w:rPr>
      </w:pPr>
      <w:r>
        <w:rPr>
          <w:rFonts w:hint="eastAsia" w:ascii="仿宋" w:hAnsi="仿宋" w:eastAsia="仿宋" w:cs="仿宋"/>
          <w:color w:val="auto"/>
          <w:kern w:val="0"/>
          <w:sz w:val="28"/>
          <w:szCs w:val="28"/>
          <w:highlight w:val="none"/>
          <w:lang w:val="en-US" w:eastAsia="zh-CN" w:bidi="ar"/>
        </w:rPr>
        <w:t>其委托代理人：</w:t>
      </w:r>
      <w:r>
        <w:rPr>
          <w:rFonts w:hint="eastAsia" w:ascii="仿宋" w:hAnsi="仿宋" w:eastAsia="仿宋" w:cs="仿宋"/>
          <w:color w:val="auto"/>
          <w:kern w:val="0"/>
          <w:sz w:val="28"/>
          <w:szCs w:val="28"/>
          <w:highlight w:val="none"/>
          <w:u w:val="single"/>
          <w:lang w:val="en-US" w:eastAsia="zh-CN" w:bidi="ar"/>
        </w:rPr>
        <w:t xml:space="preserve">                (签字或盖章)</w:t>
      </w:r>
    </w:p>
    <w:p w14:paraId="7C5F9971">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仿宋" w:hAnsi="仿宋" w:eastAsia="仿宋" w:cs="仿宋"/>
          <w:color w:val="auto"/>
          <w:kern w:val="0"/>
          <w:sz w:val="36"/>
          <w:szCs w:val="36"/>
          <w:highlight w:val="none"/>
          <w:lang w:val="en-US"/>
        </w:rPr>
      </w:pPr>
      <w:r>
        <w:rPr>
          <w:rFonts w:hint="eastAsia" w:ascii="仿宋" w:hAnsi="仿宋" w:eastAsia="仿宋" w:cs="仿宋"/>
          <w:color w:val="auto"/>
          <w:kern w:val="0"/>
          <w:sz w:val="28"/>
          <w:szCs w:val="28"/>
          <w:highlight w:val="none"/>
          <w:lang w:val="en-US" w:eastAsia="zh-CN" w:bidi="ar"/>
        </w:rPr>
        <w:t>日期：</w:t>
      </w:r>
      <w:r>
        <w:rPr>
          <w:rFonts w:hint="eastAsia" w:ascii="仿宋" w:hAnsi="仿宋" w:eastAsia="仿宋" w:cs="仿宋"/>
          <w:color w:val="auto"/>
          <w:kern w:val="0"/>
          <w:sz w:val="28"/>
          <w:szCs w:val="28"/>
          <w:highlight w:val="none"/>
          <w:u w:val="single"/>
          <w:lang w:val="en-US" w:eastAsia="zh-CN" w:bidi="ar"/>
        </w:rPr>
        <w:t xml:space="preserve">      年    月    日</w:t>
      </w:r>
    </w:p>
    <w:p w14:paraId="058AF059">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7EE0B3F5">
      <w:pPr>
        <w:tabs>
          <w:tab w:val="left" w:pos="1365"/>
        </w:tabs>
        <w:wordWrap w:val="0"/>
        <w:spacing w:line="360" w:lineRule="auto"/>
        <w:jc w:val="center"/>
        <w:rPr>
          <w:rFonts w:hint="eastAsia" w:ascii="仿宋" w:hAnsi="仿宋" w:eastAsia="仿宋" w:cs="仿宋"/>
          <w:b/>
          <w:color w:val="auto"/>
          <w:sz w:val="36"/>
          <w:szCs w:val="36"/>
          <w:highlight w:val="none"/>
        </w:rPr>
      </w:pPr>
    </w:p>
    <w:p w14:paraId="6E68B801">
      <w:pPr>
        <w:bidi w:val="0"/>
        <w:jc w:val="center"/>
        <w:rPr>
          <w:rFonts w:hint="eastAsia" w:ascii="仿宋" w:hAnsi="仿宋" w:eastAsia="仿宋" w:cs="仿宋"/>
          <w:color w:val="auto"/>
          <w:highlight w:val="none"/>
          <w:lang w:eastAsia="zh-CN"/>
        </w:rPr>
      </w:pPr>
      <w:r>
        <w:rPr>
          <w:rFonts w:hint="eastAsia" w:ascii="仿宋" w:hAnsi="仿宋" w:eastAsia="仿宋" w:cs="仿宋"/>
          <w:b/>
          <w:color w:val="auto"/>
          <w:szCs w:val="36"/>
          <w:highlight w:val="none"/>
        </w:rPr>
        <w:br w:type="page"/>
      </w:r>
      <w:r>
        <w:rPr>
          <w:rFonts w:hint="eastAsia" w:ascii="仿宋" w:hAnsi="仿宋" w:eastAsia="仿宋" w:cs="仿宋"/>
          <w:color w:val="auto"/>
          <w:highlight w:val="none"/>
          <w:lang w:eastAsia="zh-CN"/>
        </w:rPr>
        <w:t>目   录</w:t>
      </w:r>
    </w:p>
    <w:p w14:paraId="1CB7ABA4">
      <w:pPr>
        <w:pStyle w:val="8"/>
        <w:rPr>
          <w:rFonts w:hint="eastAsia" w:ascii="仿宋" w:hAnsi="仿宋" w:eastAsia="仿宋" w:cs="仿宋"/>
          <w:color w:val="auto"/>
          <w:highlight w:val="none"/>
          <w:lang w:eastAsia="zh-CN"/>
        </w:rPr>
      </w:pPr>
    </w:p>
    <w:p w14:paraId="72EAB2D9">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投标函及投标函附录</w:t>
      </w:r>
    </w:p>
    <w:p w14:paraId="46E6A68F">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开标一览表</w:t>
      </w:r>
    </w:p>
    <w:p w14:paraId="7A2CED8A">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法定代表人身份证明</w:t>
      </w:r>
    </w:p>
    <w:p w14:paraId="7E140F42">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授权委托书</w:t>
      </w:r>
    </w:p>
    <w:p w14:paraId="4A2C69E5">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投标保证金</w:t>
      </w:r>
    </w:p>
    <w:p w14:paraId="59337293">
      <w:pPr>
        <w:bidi w:val="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供应商基本情况</w:t>
      </w:r>
    </w:p>
    <w:p w14:paraId="2C647037">
      <w:pPr>
        <w:bidi w:val="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投标人资格声明</w:t>
      </w:r>
    </w:p>
    <w:p w14:paraId="2EE089AE">
      <w:pPr>
        <w:bidi w:val="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售后服务承诺书</w:t>
      </w:r>
    </w:p>
    <w:p w14:paraId="205DA0C0">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技术因素评审内容</w:t>
      </w:r>
    </w:p>
    <w:p w14:paraId="7CF20B4F">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优惠条件</w:t>
      </w:r>
      <w:r>
        <w:rPr>
          <w:rFonts w:hint="eastAsia" w:ascii="仿宋" w:hAnsi="仿宋" w:eastAsia="仿宋" w:cs="仿宋"/>
          <w:color w:val="auto"/>
          <w:highlight w:val="none"/>
          <w:lang w:val="en-US" w:eastAsia="zh-CN"/>
        </w:rPr>
        <w:tab/>
      </w:r>
    </w:p>
    <w:p w14:paraId="136ECCB3">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投标人认为需要提供的其他材料</w:t>
      </w:r>
    </w:p>
    <w:p w14:paraId="20BA0CF3">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ab/>
      </w:r>
    </w:p>
    <w:p w14:paraId="68F9D079">
      <w:pPr>
        <w:bidi w:val="0"/>
        <w:rPr>
          <w:rFonts w:hint="eastAsia" w:ascii="仿宋" w:hAnsi="仿宋" w:eastAsia="仿宋" w:cs="仿宋"/>
          <w:color w:val="auto"/>
          <w:highlight w:val="none"/>
          <w:lang w:eastAsia="zh-CN"/>
        </w:rPr>
      </w:pPr>
    </w:p>
    <w:p w14:paraId="33910273">
      <w:pPr>
        <w:pStyle w:val="3"/>
        <w:spacing w:before="0" w:line="360" w:lineRule="auto"/>
        <w:ind w:firstLine="723" w:firstLineChars="200"/>
        <w:jc w:val="center"/>
        <w:rPr>
          <w:rFonts w:hint="eastAsia" w:ascii="仿宋" w:hAnsi="仿宋" w:eastAsia="仿宋" w:cs="仿宋"/>
          <w:b/>
          <w:color w:val="auto"/>
          <w:sz w:val="32"/>
          <w:szCs w:val="30"/>
          <w:highlight w:val="none"/>
        </w:rPr>
      </w:pPr>
      <w:r>
        <w:rPr>
          <w:rFonts w:hint="eastAsia" w:ascii="仿宋" w:hAnsi="仿宋" w:eastAsia="仿宋" w:cs="仿宋"/>
          <w:b/>
          <w:color w:val="auto"/>
          <w:sz w:val="36"/>
          <w:szCs w:val="36"/>
          <w:highlight w:val="none"/>
        </w:rPr>
        <w:br w:type="page"/>
      </w:r>
      <w:bookmarkStart w:id="62" w:name="_Toc300835210"/>
      <w:bookmarkStart w:id="63" w:name="_Toc508372382"/>
      <w:bookmarkStart w:id="64" w:name="_Toc499397513"/>
      <w:bookmarkStart w:id="65" w:name="_Toc425260054"/>
      <w:bookmarkStart w:id="66" w:name="_Toc500439923"/>
      <w:bookmarkStart w:id="67" w:name="_Toc17046640"/>
      <w:bookmarkStart w:id="68" w:name="_Toc152042577"/>
      <w:bookmarkStart w:id="69" w:name="_Toc247514247"/>
      <w:bookmarkStart w:id="70" w:name="_Toc508201975"/>
      <w:bookmarkStart w:id="71" w:name="_Toc509413340"/>
      <w:bookmarkStart w:id="72" w:name="_Toc152045788"/>
      <w:bookmarkStart w:id="73" w:name="_Toc247527828"/>
      <w:bookmarkStart w:id="74" w:name="_Toc144974857"/>
      <w:r>
        <w:rPr>
          <w:rFonts w:hint="eastAsia" w:ascii="仿宋" w:hAnsi="仿宋" w:eastAsia="仿宋" w:cs="仿宋"/>
          <w:b/>
          <w:color w:val="auto"/>
          <w:sz w:val="32"/>
          <w:szCs w:val="30"/>
          <w:highlight w:val="none"/>
        </w:rPr>
        <w:t>投标函及投标函附录</w:t>
      </w:r>
      <w:bookmarkEnd w:id="62"/>
      <w:bookmarkEnd w:id="63"/>
      <w:bookmarkEnd w:id="64"/>
      <w:bookmarkEnd w:id="65"/>
      <w:bookmarkEnd w:id="66"/>
      <w:bookmarkEnd w:id="67"/>
      <w:bookmarkEnd w:id="68"/>
      <w:bookmarkEnd w:id="69"/>
      <w:bookmarkEnd w:id="70"/>
      <w:bookmarkEnd w:id="71"/>
      <w:bookmarkEnd w:id="72"/>
      <w:bookmarkEnd w:id="73"/>
      <w:bookmarkEnd w:id="74"/>
    </w:p>
    <w:p w14:paraId="0726CD4C">
      <w:pPr>
        <w:pStyle w:val="4"/>
        <w:spacing w:before="0" w:after="0" w:line="360" w:lineRule="auto"/>
        <w:jc w:val="center"/>
        <w:rPr>
          <w:rFonts w:hint="eastAsia" w:ascii="仿宋" w:hAnsi="仿宋" w:eastAsia="仿宋" w:cs="仿宋"/>
          <w:color w:val="auto"/>
          <w:sz w:val="28"/>
          <w:szCs w:val="28"/>
          <w:highlight w:val="none"/>
        </w:rPr>
      </w:pPr>
      <w:bookmarkStart w:id="75" w:name="_Toc247527829"/>
      <w:bookmarkStart w:id="76" w:name="_Toc152042578"/>
      <w:bookmarkStart w:id="77" w:name="_Toc247514248"/>
      <w:bookmarkStart w:id="78" w:name="_Toc508201976"/>
      <w:bookmarkStart w:id="79" w:name="_Toc500439924"/>
      <w:bookmarkStart w:id="80" w:name="_Toc509413341"/>
      <w:bookmarkStart w:id="81" w:name="_Toc300835211"/>
      <w:bookmarkStart w:id="82" w:name="_Toc499397514"/>
      <w:bookmarkStart w:id="83" w:name="_Toc144974858"/>
      <w:bookmarkStart w:id="84" w:name="_Toc508372383"/>
      <w:bookmarkStart w:id="85" w:name="_Toc425260055"/>
      <w:bookmarkStart w:id="86" w:name="_Toc17046641"/>
      <w:bookmarkStart w:id="87" w:name="_Toc152045789"/>
      <w:r>
        <w:rPr>
          <w:rFonts w:hint="eastAsia" w:ascii="仿宋" w:hAnsi="仿宋" w:eastAsia="仿宋" w:cs="仿宋"/>
          <w:color w:val="auto"/>
          <w:sz w:val="28"/>
          <w:szCs w:val="28"/>
          <w:highlight w:val="none"/>
        </w:rPr>
        <w:t>（一）投标函</w:t>
      </w:r>
      <w:bookmarkEnd w:id="75"/>
      <w:bookmarkEnd w:id="76"/>
      <w:bookmarkEnd w:id="77"/>
      <w:bookmarkEnd w:id="78"/>
      <w:bookmarkEnd w:id="79"/>
      <w:bookmarkEnd w:id="80"/>
      <w:bookmarkEnd w:id="81"/>
      <w:bookmarkEnd w:id="82"/>
      <w:bookmarkEnd w:id="83"/>
      <w:bookmarkEnd w:id="84"/>
      <w:bookmarkEnd w:id="85"/>
      <w:bookmarkEnd w:id="86"/>
      <w:bookmarkEnd w:id="87"/>
    </w:p>
    <w:p w14:paraId="0BB9DF1D">
      <w:pPr>
        <w:autoSpaceDE w:val="0"/>
        <w:autoSpaceDN w:val="0"/>
        <w:adjustRightInd w:val="0"/>
        <w:spacing w:line="500" w:lineRule="exact"/>
        <w:jc w:val="left"/>
        <w:rPr>
          <w:rFonts w:hint="eastAsia" w:ascii="宋体" w:hAnsi="宋体" w:cs="宋体-18030"/>
          <w:color w:val="auto"/>
          <w:kern w:val="0"/>
          <w:sz w:val="24"/>
          <w:highlight w:val="none"/>
        </w:rPr>
      </w:pPr>
      <w:r>
        <w:rPr>
          <w:rFonts w:hint="eastAsia" w:ascii="宋体" w:hAnsi="宋体" w:cs="宋体-18030"/>
          <w:color w:val="auto"/>
          <w:kern w:val="0"/>
          <w:sz w:val="24"/>
          <w:highlight w:val="none"/>
          <w:u w:val="single"/>
        </w:rPr>
        <w:t xml:space="preserve">                    </w:t>
      </w:r>
      <w:r>
        <w:rPr>
          <w:rFonts w:hint="eastAsia" w:ascii="宋体" w:hAnsi="宋体" w:cs="宋体-18030"/>
          <w:color w:val="auto"/>
          <w:kern w:val="0"/>
          <w:sz w:val="24"/>
          <w:highlight w:val="none"/>
        </w:rPr>
        <w:t>(</w:t>
      </w:r>
      <w:r>
        <w:rPr>
          <w:rFonts w:hint="eastAsia" w:ascii="宋体" w:hAnsi="宋体" w:cs="宋体-18030"/>
          <w:color w:val="auto"/>
          <w:kern w:val="0"/>
          <w:sz w:val="24"/>
          <w:highlight w:val="none"/>
          <w:lang w:eastAsia="zh-CN"/>
        </w:rPr>
        <w:t>采购人</w:t>
      </w:r>
      <w:r>
        <w:rPr>
          <w:rFonts w:hint="eastAsia" w:ascii="宋体" w:hAnsi="宋体" w:cs="宋体-18030"/>
          <w:color w:val="auto"/>
          <w:kern w:val="0"/>
          <w:sz w:val="24"/>
          <w:highlight w:val="none"/>
        </w:rPr>
        <w:t>名称)：</w:t>
      </w:r>
    </w:p>
    <w:p w14:paraId="55768E57">
      <w:pPr>
        <w:spacing w:line="360" w:lineRule="auto"/>
        <w:ind w:firstLine="480" w:firstLineChars="200"/>
        <w:rPr>
          <w:rFonts w:hint="eastAsia" w:ascii="宋体" w:hAnsi="宋体" w:cs="宋体-18030"/>
          <w:color w:val="auto"/>
          <w:kern w:val="0"/>
          <w:sz w:val="24"/>
          <w:highlight w:val="none"/>
        </w:rPr>
      </w:pPr>
    </w:p>
    <w:p w14:paraId="6B81CFC9">
      <w:pPr>
        <w:spacing w:line="360" w:lineRule="auto"/>
        <w:ind w:firstLine="480" w:firstLineChars="200"/>
        <w:rPr>
          <w:rFonts w:hint="eastAsia" w:ascii="宋体" w:hAnsi="宋体" w:cs="宋体"/>
          <w:bCs/>
          <w:color w:val="auto"/>
          <w:sz w:val="24"/>
          <w:highlight w:val="none"/>
          <w:lang w:val="zh-CN"/>
        </w:rPr>
      </w:pPr>
      <w:r>
        <w:rPr>
          <w:rFonts w:hint="eastAsia" w:ascii="宋体" w:hAnsi="宋体" w:cs="宋体-18030"/>
          <w:color w:val="auto"/>
          <w:kern w:val="0"/>
          <w:sz w:val="24"/>
          <w:highlight w:val="none"/>
        </w:rPr>
        <w:t>1.我方已仔细研究了</w:t>
      </w:r>
      <w:r>
        <w:rPr>
          <w:rFonts w:hint="eastAsia" w:ascii="宋体" w:hAnsi="宋体" w:cs="宋体-18030"/>
          <w:color w:val="auto"/>
          <w:kern w:val="0"/>
          <w:sz w:val="24"/>
          <w:highlight w:val="none"/>
          <w:u w:val="single"/>
        </w:rPr>
        <w:t xml:space="preserve">   </w:t>
      </w:r>
      <w:r>
        <w:rPr>
          <w:rFonts w:hint="eastAsia" w:ascii="宋体" w:hAnsi="宋体" w:cs="宋体-18030"/>
          <w:color w:val="auto"/>
          <w:kern w:val="0"/>
          <w:sz w:val="24"/>
          <w:highlight w:val="none"/>
          <w:u w:val="single"/>
          <w:lang w:val="en-US" w:eastAsia="zh-CN"/>
        </w:rPr>
        <w:t xml:space="preserve">    </w:t>
      </w:r>
      <w:r>
        <w:rPr>
          <w:rFonts w:hint="eastAsia" w:ascii="宋体" w:hAnsi="宋体" w:cs="宋体-18030"/>
          <w:color w:val="auto"/>
          <w:kern w:val="0"/>
          <w:sz w:val="24"/>
          <w:highlight w:val="none"/>
          <w:u w:val="single"/>
        </w:rPr>
        <w:t xml:space="preserve"> (项目名称)   </w:t>
      </w:r>
      <w:r>
        <w:rPr>
          <w:rFonts w:hint="eastAsia" w:ascii="宋体" w:hAnsi="宋体" w:cs="宋体-18030"/>
          <w:color w:val="auto"/>
          <w:kern w:val="0"/>
          <w:sz w:val="24"/>
          <w:highlight w:val="none"/>
        </w:rPr>
        <w:t>招标文件的全部内容，以人民币(大写)</w:t>
      </w:r>
      <w:r>
        <w:rPr>
          <w:rFonts w:hint="eastAsia" w:ascii="宋体" w:hAnsi="宋体" w:cs="宋体-18030"/>
          <w:color w:val="auto"/>
          <w:kern w:val="0"/>
          <w:sz w:val="24"/>
          <w:highlight w:val="none"/>
          <w:u w:val="single"/>
        </w:rPr>
        <w:t xml:space="preserve">       </w:t>
      </w:r>
      <w:r>
        <w:rPr>
          <w:rFonts w:hint="eastAsia" w:ascii="宋体" w:hAnsi="宋体" w:cs="宋体-18030"/>
          <w:color w:val="auto"/>
          <w:kern w:val="0"/>
          <w:sz w:val="24"/>
          <w:highlight w:val="none"/>
          <w:u w:val="single"/>
          <w:lang w:val="en-US" w:eastAsia="zh-CN"/>
        </w:rPr>
        <w:t xml:space="preserve">  </w:t>
      </w:r>
      <w:r>
        <w:rPr>
          <w:rFonts w:hint="eastAsia" w:ascii="宋体" w:hAnsi="宋体" w:cs="宋体-18030"/>
          <w:color w:val="auto"/>
          <w:kern w:val="0"/>
          <w:sz w:val="24"/>
          <w:highlight w:val="none"/>
        </w:rPr>
        <w:t>元(</w:t>
      </w:r>
      <w:r>
        <w:rPr>
          <w:rFonts w:hint="eastAsia" w:ascii="宋体" w:hAnsi="宋体" w:cs="宋体-18030"/>
          <w:color w:val="auto"/>
          <w:kern w:val="0"/>
          <w:sz w:val="24"/>
          <w:highlight w:val="none"/>
          <w:lang w:val="en-US" w:eastAsia="zh-CN"/>
        </w:rPr>
        <w:t>小写￥</w:t>
      </w:r>
      <w:r>
        <w:rPr>
          <w:rFonts w:hint="eastAsia" w:ascii="宋体" w:hAnsi="宋体" w:cs="宋体-18030"/>
          <w:color w:val="auto"/>
          <w:kern w:val="0"/>
          <w:sz w:val="24"/>
          <w:highlight w:val="none"/>
          <w:u w:val="single"/>
        </w:rPr>
        <w:t xml:space="preserve">    </w:t>
      </w:r>
      <w:r>
        <w:rPr>
          <w:rFonts w:hint="eastAsia" w:ascii="宋体" w:hAnsi="宋体" w:cs="宋体-18030"/>
          <w:color w:val="auto"/>
          <w:kern w:val="0"/>
          <w:sz w:val="24"/>
          <w:highlight w:val="none"/>
        </w:rPr>
        <w:t>)的投标报价，</w:t>
      </w:r>
      <w:r>
        <w:rPr>
          <w:rFonts w:hint="eastAsia" w:ascii="宋体" w:hAnsi="宋体" w:cs="宋体-18030"/>
          <w:color w:val="auto"/>
          <w:kern w:val="0"/>
          <w:sz w:val="24"/>
          <w:highlight w:val="none"/>
          <w:lang w:val="en-US" w:eastAsia="zh-CN"/>
        </w:rPr>
        <w:t>合同履行期限</w:t>
      </w:r>
      <w:r>
        <w:rPr>
          <w:rFonts w:hint="eastAsia" w:ascii="宋体" w:hAnsi="宋体" w:cs="宋体-18030"/>
          <w:color w:val="auto"/>
          <w:kern w:val="0"/>
          <w:sz w:val="24"/>
          <w:highlight w:val="none"/>
        </w:rPr>
        <w:t>为</w:t>
      </w:r>
      <w:r>
        <w:rPr>
          <w:rFonts w:hint="eastAsia" w:ascii="宋体" w:hAnsi="宋体" w:cs="宋体"/>
          <w:bCs/>
          <w:color w:val="auto"/>
          <w:sz w:val="24"/>
          <w:highlight w:val="none"/>
          <w:u w:val="single"/>
          <w:lang w:val="zh-CN"/>
        </w:rPr>
        <w:t xml:space="preserve">            </w:t>
      </w:r>
      <w:r>
        <w:rPr>
          <w:rFonts w:hint="eastAsia" w:ascii="宋体" w:hAnsi="宋体" w:cs="宋体-18030"/>
          <w:color w:val="auto"/>
          <w:kern w:val="0"/>
          <w:sz w:val="24"/>
          <w:highlight w:val="none"/>
        </w:rPr>
        <w:t>，按合同约定实施和完成承包上述招标项目</w:t>
      </w:r>
      <w:r>
        <w:rPr>
          <w:rFonts w:hint="eastAsia" w:ascii="宋体" w:hAnsi="宋体" w:cs="宋体-18030"/>
          <w:color w:val="auto"/>
          <w:kern w:val="0"/>
          <w:sz w:val="24"/>
          <w:highlight w:val="none"/>
          <w:lang w:eastAsia="zh-CN"/>
        </w:rPr>
        <w:t>。</w:t>
      </w:r>
    </w:p>
    <w:p w14:paraId="7DBAF57E">
      <w:pPr>
        <w:autoSpaceDE w:val="0"/>
        <w:autoSpaceDN w:val="0"/>
        <w:adjustRightInd w:val="0"/>
        <w:spacing w:line="500" w:lineRule="exact"/>
        <w:ind w:firstLine="480" w:firstLineChars="200"/>
        <w:jc w:val="left"/>
        <w:rPr>
          <w:rFonts w:hint="eastAsia" w:ascii="宋体" w:hAnsi="宋体" w:cs="宋体-18030"/>
          <w:color w:val="auto"/>
          <w:kern w:val="0"/>
          <w:sz w:val="24"/>
          <w:highlight w:val="none"/>
        </w:rPr>
      </w:pPr>
      <w:r>
        <w:rPr>
          <w:rFonts w:hint="eastAsia" w:ascii="宋体" w:hAnsi="宋体" w:cs="宋体-18030"/>
          <w:color w:val="auto"/>
          <w:kern w:val="0"/>
          <w:sz w:val="24"/>
          <w:highlight w:val="none"/>
        </w:rPr>
        <w:t>2.我方承诺在投标有效期</w:t>
      </w:r>
      <w:r>
        <w:rPr>
          <w:rFonts w:hint="eastAsia" w:ascii="宋体" w:hAnsi="宋体" w:cs="宋体-18030"/>
          <w:color w:val="auto"/>
          <w:kern w:val="0"/>
          <w:sz w:val="24"/>
          <w:highlight w:val="none"/>
          <w:lang w:val="en-US" w:eastAsia="zh-CN"/>
        </w:rPr>
        <w:t>90</w:t>
      </w:r>
      <w:r>
        <w:rPr>
          <w:rFonts w:hint="eastAsia" w:ascii="宋体" w:hAnsi="宋体" w:cs="宋体-18030"/>
          <w:color w:val="auto"/>
          <w:kern w:val="0"/>
          <w:sz w:val="24"/>
          <w:highlight w:val="none"/>
        </w:rPr>
        <w:t>天内不修改、撤销投标文件。</w:t>
      </w:r>
    </w:p>
    <w:p w14:paraId="3D0375F7">
      <w:pPr>
        <w:autoSpaceDE w:val="0"/>
        <w:autoSpaceDN w:val="0"/>
        <w:adjustRightInd w:val="0"/>
        <w:spacing w:line="500" w:lineRule="exact"/>
        <w:ind w:firstLine="480" w:firstLineChars="200"/>
        <w:jc w:val="left"/>
        <w:rPr>
          <w:rFonts w:hint="eastAsia" w:ascii="宋体" w:hAnsi="宋体" w:cs="宋体-18030"/>
          <w:color w:val="auto"/>
          <w:kern w:val="0"/>
          <w:sz w:val="24"/>
          <w:highlight w:val="none"/>
        </w:rPr>
      </w:pPr>
      <w:r>
        <w:rPr>
          <w:rFonts w:hint="eastAsia" w:ascii="宋体" w:hAnsi="宋体" w:cs="宋体-18030"/>
          <w:color w:val="auto"/>
          <w:kern w:val="0"/>
          <w:sz w:val="24"/>
          <w:highlight w:val="none"/>
        </w:rPr>
        <w:t>3.随同本投标函提交投标保证金一份，金额为人民币(大写)</w:t>
      </w:r>
      <w:r>
        <w:rPr>
          <w:rFonts w:hint="eastAsia" w:ascii="宋体" w:hAnsi="宋体" w:cs="宋体-18030"/>
          <w:color w:val="auto"/>
          <w:kern w:val="0"/>
          <w:sz w:val="24"/>
          <w:highlight w:val="none"/>
          <w:u w:val="single"/>
        </w:rPr>
        <w:t xml:space="preserve">        </w:t>
      </w:r>
      <w:r>
        <w:rPr>
          <w:rFonts w:hint="eastAsia" w:ascii="宋体" w:hAnsi="宋体" w:cs="宋体-18030"/>
          <w:color w:val="auto"/>
          <w:kern w:val="0"/>
          <w:sz w:val="24"/>
          <w:highlight w:val="none"/>
        </w:rPr>
        <w:t>元(¥</w:t>
      </w:r>
      <w:r>
        <w:rPr>
          <w:rFonts w:hint="eastAsia" w:ascii="宋体" w:hAnsi="宋体" w:cs="宋体-18030"/>
          <w:color w:val="auto"/>
          <w:kern w:val="0"/>
          <w:sz w:val="24"/>
          <w:highlight w:val="none"/>
          <w:u w:val="single"/>
        </w:rPr>
        <w:t xml:space="preserve">       </w:t>
      </w:r>
      <w:r>
        <w:rPr>
          <w:rFonts w:hint="eastAsia" w:ascii="宋体" w:hAnsi="宋体" w:cs="宋体-18030"/>
          <w:color w:val="auto"/>
          <w:kern w:val="0"/>
          <w:sz w:val="24"/>
          <w:highlight w:val="none"/>
        </w:rPr>
        <w:t>)。</w:t>
      </w:r>
    </w:p>
    <w:p w14:paraId="3B8690EA">
      <w:pPr>
        <w:autoSpaceDE w:val="0"/>
        <w:autoSpaceDN w:val="0"/>
        <w:adjustRightInd w:val="0"/>
        <w:spacing w:line="500" w:lineRule="exact"/>
        <w:ind w:firstLine="480" w:firstLineChars="200"/>
        <w:jc w:val="left"/>
        <w:rPr>
          <w:rFonts w:hint="eastAsia" w:ascii="宋体" w:hAnsi="宋体" w:cs="宋体-18030"/>
          <w:color w:val="auto"/>
          <w:kern w:val="0"/>
          <w:sz w:val="24"/>
          <w:highlight w:val="none"/>
        </w:rPr>
      </w:pPr>
      <w:r>
        <w:rPr>
          <w:rFonts w:hint="eastAsia" w:ascii="宋体" w:hAnsi="宋体" w:cs="宋体-18030"/>
          <w:color w:val="auto"/>
          <w:kern w:val="0"/>
          <w:sz w:val="24"/>
          <w:highlight w:val="none"/>
        </w:rPr>
        <w:t>4.如我方中标：</w:t>
      </w:r>
    </w:p>
    <w:p w14:paraId="2A8F127C">
      <w:pPr>
        <w:autoSpaceDE w:val="0"/>
        <w:autoSpaceDN w:val="0"/>
        <w:adjustRightInd w:val="0"/>
        <w:spacing w:line="500" w:lineRule="exact"/>
        <w:ind w:firstLine="480" w:firstLineChars="200"/>
        <w:jc w:val="left"/>
        <w:rPr>
          <w:rFonts w:hint="eastAsia" w:ascii="宋体" w:hAnsi="宋体" w:cs="宋体-18030"/>
          <w:color w:val="auto"/>
          <w:kern w:val="0"/>
          <w:sz w:val="24"/>
          <w:highlight w:val="none"/>
        </w:rPr>
      </w:pPr>
      <w:r>
        <w:rPr>
          <w:rFonts w:hint="eastAsia" w:ascii="宋体" w:hAnsi="宋体" w:cs="宋体-18030"/>
          <w:color w:val="auto"/>
          <w:kern w:val="0"/>
          <w:sz w:val="24"/>
          <w:highlight w:val="none"/>
        </w:rPr>
        <w:t>(1)我方承诺在收到中标通知书后，在中标通知书规定的期限内与你方签订合同，并遵守合同中关于权利和义务的约定；</w:t>
      </w:r>
    </w:p>
    <w:p w14:paraId="591A22B6">
      <w:pPr>
        <w:autoSpaceDE w:val="0"/>
        <w:autoSpaceDN w:val="0"/>
        <w:adjustRightInd w:val="0"/>
        <w:spacing w:line="500" w:lineRule="exact"/>
        <w:ind w:firstLine="440" w:firstLineChars="200"/>
        <w:jc w:val="left"/>
        <w:rPr>
          <w:rFonts w:hint="eastAsia" w:ascii="宋体" w:hAnsi="宋体" w:cs="宋体-18030"/>
          <w:color w:val="auto"/>
          <w:kern w:val="0"/>
          <w:sz w:val="24"/>
          <w:highlight w:val="none"/>
        </w:rPr>
      </w:pPr>
      <w:r>
        <w:rPr>
          <w:rFonts w:hint="eastAsia" w:ascii="宋体" w:hAnsi="宋体" w:cs="宋体-18030"/>
          <w:color w:val="auto"/>
          <w:spacing w:val="-10"/>
          <w:kern w:val="0"/>
          <w:sz w:val="24"/>
          <w:highlight w:val="none"/>
        </w:rPr>
        <w:t xml:space="preserve"> (2)</w:t>
      </w:r>
      <w:r>
        <w:rPr>
          <w:rFonts w:hint="eastAsia" w:ascii="宋体" w:hAnsi="宋体" w:cs="宋体-18030"/>
          <w:color w:val="auto"/>
          <w:kern w:val="0"/>
          <w:sz w:val="24"/>
          <w:highlight w:val="none"/>
        </w:rPr>
        <w:t>我方承诺按照招标文件中规定的服务内容及要求在合同约定的期限内，完成并移交全部合同内容。</w:t>
      </w:r>
    </w:p>
    <w:p w14:paraId="4E6F3B53">
      <w:pPr>
        <w:autoSpaceDE w:val="0"/>
        <w:autoSpaceDN w:val="0"/>
        <w:adjustRightInd w:val="0"/>
        <w:spacing w:line="500" w:lineRule="exact"/>
        <w:ind w:firstLine="480" w:firstLineChars="200"/>
        <w:jc w:val="left"/>
        <w:rPr>
          <w:rFonts w:hint="eastAsia" w:ascii="宋体" w:hAnsi="宋体" w:cs="宋体-18030"/>
          <w:color w:val="auto"/>
          <w:kern w:val="0"/>
          <w:sz w:val="24"/>
          <w:highlight w:val="none"/>
        </w:rPr>
      </w:pPr>
      <w:r>
        <w:rPr>
          <w:rFonts w:hint="eastAsia" w:ascii="宋体" w:hAnsi="宋体" w:cs="宋体-18030"/>
          <w:color w:val="auto"/>
          <w:kern w:val="0"/>
          <w:sz w:val="24"/>
          <w:highlight w:val="none"/>
        </w:rPr>
        <w:t>5.我方在此声明，所递交的投标文件及有关资料内容完整、真实和准确。</w:t>
      </w:r>
    </w:p>
    <w:p w14:paraId="53B0A1F4">
      <w:pPr>
        <w:autoSpaceDE w:val="0"/>
        <w:autoSpaceDN w:val="0"/>
        <w:adjustRightInd w:val="0"/>
        <w:spacing w:line="500" w:lineRule="exact"/>
        <w:ind w:firstLine="480" w:firstLineChars="200"/>
        <w:jc w:val="left"/>
        <w:rPr>
          <w:rFonts w:hint="eastAsia" w:ascii="宋体" w:hAnsi="宋体" w:cs="宋体-18030"/>
          <w:color w:val="auto"/>
          <w:kern w:val="0"/>
          <w:sz w:val="24"/>
          <w:highlight w:val="none"/>
        </w:rPr>
      </w:pPr>
      <w:r>
        <w:rPr>
          <w:rFonts w:hint="eastAsia" w:ascii="宋体" w:hAnsi="宋体" w:cs="宋体-18030"/>
          <w:color w:val="auto"/>
          <w:kern w:val="0"/>
          <w:sz w:val="24"/>
          <w:highlight w:val="none"/>
        </w:rPr>
        <w:t>6．</w:t>
      </w:r>
      <w:r>
        <w:rPr>
          <w:rFonts w:hint="eastAsia" w:ascii="宋体" w:hAnsi="宋体" w:cs="宋体-18030"/>
          <w:color w:val="auto"/>
          <w:kern w:val="0"/>
          <w:sz w:val="24"/>
          <w:highlight w:val="none"/>
          <w:u w:val="single"/>
        </w:rPr>
        <w:t xml:space="preserve">                                </w:t>
      </w:r>
      <w:r>
        <w:rPr>
          <w:rFonts w:hint="eastAsia" w:ascii="宋体" w:hAnsi="宋体" w:cs="宋体-18030"/>
          <w:color w:val="auto"/>
          <w:kern w:val="0"/>
          <w:sz w:val="24"/>
          <w:highlight w:val="none"/>
        </w:rPr>
        <w:t>(其他补充说明)。</w:t>
      </w:r>
    </w:p>
    <w:p w14:paraId="7EB7D19E">
      <w:pPr>
        <w:autoSpaceDE w:val="0"/>
        <w:autoSpaceDN w:val="0"/>
        <w:adjustRightInd w:val="0"/>
        <w:spacing w:line="500" w:lineRule="exact"/>
        <w:ind w:firstLine="480" w:firstLineChars="200"/>
        <w:jc w:val="left"/>
        <w:rPr>
          <w:rFonts w:hint="eastAsia" w:ascii="宋体" w:hAnsi="宋体" w:cs="宋体-18030"/>
          <w:color w:val="auto"/>
          <w:kern w:val="0"/>
          <w:sz w:val="24"/>
          <w:highlight w:val="none"/>
        </w:rPr>
      </w:pPr>
    </w:p>
    <w:p w14:paraId="26E16680">
      <w:pPr>
        <w:autoSpaceDE w:val="0"/>
        <w:autoSpaceDN w:val="0"/>
        <w:adjustRightInd w:val="0"/>
        <w:spacing w:line="500" w:lineRule="exact"/>
        <w:ind w:firstLine="480" w:firstLineChars="200"/>
        <w:jc w:val="left"/>
        <w:rPr>
          <w:rFonts w:hint="eastAsia" w:ascii="宋体" w:hAnsi="宋体" w:cs="宋体-18030"/>
          <w:color w:val="auto"/>
          <w:kern w:val="0"/>
          <w:sz w:val="24"/>
          <w:highlight w:val="none"/>
        </w:rPr>
      </w:pPr>
      <w:r>
        <w:rPr>
          <w:rFonts w:hint="eastAsia" w:ascii="宋体" w:hAnsi="宋体" w:cs="宋体-18030"/>
          <w:color w:val="auto"/>
          <w:kern w:val="0"/>
          <w:sz w:val="24"/>
          <w:highlight w:val="none"/>
        </w:rPr>
        <w:t>投 标 人：</w:t>
      </w:r>
      <w:r>
        <w:rPr>
          <w:rFonts w:hint="eastAsia" w:ascii="宋体" w:hAnsi="宋体" w:cs="宋体-18030"/>
          <w:color w:val="auto"/>
          <w:kern w:val="0"/>
          <w:sz w:val="24"/>
          <w:highlight w:val="none"/>
          <w:u w:val="single"/>
        </w:rPr>
        <w:t xml:space="preserve">                                </w:t>
      </w:r>
      <w:r>
        <w:rPr>
          <w:rFonts w:hint="eastAsia" w:ascii="宋体" w:hAnsi="宋体" w:cs="宋体-18030"/>
          <w:color w:val="auto"/>
          <w:kern w:val="0"/>
          <w:sz w:val="24"/>
          <w:highlight w:val="none"/>
        </w:rPr>
        <w:t>(盖单位章)</w:t>
      </w:r>
    </w:p>
    <w:p w14:paraId="3D34BA8B">
      <w:pPr>
        <w:autoSpaceDE w:val="0"/>
        <w:autoSpaceDN w:val="0"/>
        <w:adjustRightInd w:val="0"/>
        <w:spacing w:line="400" w:lineRule="exact"/>
        <w:ind w:firstLine="480" w:firstLineChars="200"/>
        <w:jc w:val="left"/>
        <w:rPr>
          <w:rFonts w:hint="eastAsia" w:ascii="宋体" w:hAnsi="宋体" w:cs="宋体-18030"/>
          <w:color w:val="auto"/>
          <w:kern w:val="0"/>
          <w:sz w:val="24"/>
          <w:highlight w:val="none"/>
        </w:rPr>
      </w:pPr>
      <w:r>
        <w:rPr>
          <w:rFonts w:hint="eastAsia" w:ascii="宋体" w:hAnsi="宋体" w:cs="宋体-18030"/>
          <w:color w:val="auto"/>
          <w:kern w:val="0"/>
          <w:sz w:val="24"/>
          <w:highlight w:val="none"/>
        </w:rPr>
        <w:t>法定代表人或其授权委托代理人：</w:t>
      </w:r>
      <w:r>
        <w:rPr>
          <w:rFonts w:hint="eastAsia" w:ascii="宋体" w:hAnsi="宋体" w:cs="宋体-18030"/>
          <w:color w:val="auto"/>
          <w:kern w:val="0"/>
          <w:sz w:val="24"/>
          <w:highlight w:val="none"/>
          <w:u w:val="single"/>
        </w:rPr>
        <w:t xml:space="preserve">               </w:t>
      </w:r>
      <w:r>
        <w:rPr>
          <w:rFonts w:hint="eastAsia" w:ascii="宋体" w:hAnsi="宋体" w:cs="宋体-18030"/>
          <w:color w:val="auto"/>
          <w:kern w:val="0"/>
          <w:sz w:val="24"/>
          <w:highlight w:val="none"/>
        </w:rPr>
        <w:t>(签字)</w:t>
      </w:r>
    </w:p>
    <w:p w14:paraId="516E7366">
      <w:pPr>
        <w:autoSpaceDE w:val="0"/>
        <w:autoSpaceDN w:val="0"/>
        <w:adjustRightInd w:val="0"/>
        <w:spacing w:line="500" w:lineRule="exact"/>
        <w:ind w:firstLine="480" w:firstLineChars="200"/>
        <w:jc w:val="left"/>
        <w:rPr>
          <w:rFonts w:hint="eastAsia" w:ascii="宋体" w:hAnsi="宋体" w:cs="宋体-18030"/>
          <w:color w:val="auto"/>
          <w:kern w:val="0"/>
          <w:sz w:val="24"/>
          <w:highlight w:val="none"/>
        </w:rPr>
      </w:pPr>
      <w:r>
        <w:rPr>
          <w:rFonts w:hint="eastAsia" w:ascii="宋体" w:hAnsi="宋体" w:cs="宋体-18030"/>
          <w:color w:val="auto"/>
          <w:kern w:val="0"/>
          <w:sz w:val="24"/>
          <w:highlight w:val="none"/>
        </w:rPr>
        <w:t>地    址：</w:t>
      </w:r>
      <w:r>
        <w:rPr>
          <w:rFonts w:hint="eastAsia" w:ascii="宋体" w:hAnsi="宋体" w:cs="宋体-18030"/>
          <w:color w:val="auto"/>
          <w:kern w:val="0"/>
          <w:sz w:val="24"/>
          <w:highlight w:val="none"/>
          <w:u w:val="single"/>
        </w:rPr>
        <w:t xml:space="preserve">                                        </w:t>
      </w:r>
    </w:p>
    <w:p w14:paraId="6E00AD2A">
      <w:pPr>
        <w:autoSpaceDE w:val="0"/>
        <w:autoSpaceDN w:val="0"/>
        <w:adjustRightInd w:val="0"/>
        <w:spacing w:line="500" w:lineRule="exact"/>
        <w:ind w:firstLine="480" w:firstLineChars="200"/>
        <w:jc w:val="left"/>
        <w:rPr>
          <w:rFonts w:hint="eastAsia" w:ascii="宋体" w:hAnsi="宋体" w:cs="宋体-18030"/>
          <w:color w:val="auto"/>
          <w:kern w:val="0"/>
          <w:sz w:val="24"/>
          <w:highlight w:val="none"/>
        </w:rPr>
      </w:pPr>
      <w:r>
        <w:rPr>
          <w:rFonts w:hint="eastAsia" w:ascii="宋体" w:hAnsi="宋体" w:cs="宋体-18030"/>
          <w:color w:val="auto"/>
          <w:kern w:val="0"/>
          <w:sz w:val="24"/>
          <w:highlight w:val="none"/>
        </w:rPr>
        <w:t>网    址：</w:t>
      </w:r>
      <w:r>
        <w:rPr>
          <w:rFonts w:hint="eastAsia" w:ascii="宋体" w:hAnsi="宋体" w:cs="宋体-18030"/>
          <w:color w:val="auto"/>
          <w:kern w:val="0"/>
          <w:sz w:val="24"/>
          <w:highlight w:val="none"/>
          <w:u w:val="single"/>
        </w:rPr>
        <w:t xml:space="preserve">                                        </w:t>
      </w:r>
    </w:p>
    <w:p w14:paraId="777D019F">
      <w:pPr>
        <w:autoSpaceDE w:val="0"/>
        <w:autoSpaceDN w:val="0"/>
        <w:adjustRightInd w:val="0"/>
        <w:spacing w:line="500" w:lineRule="exact"/>
        <w:ind w:firstLine="480" w:firstLineChars="200"/>
        <w:jc w:val="left"/>
        <w:rPr>
          <w:rFonts w:hint="eastAsia" w:ascii="宋体" w:hAnsi="宋体" w:cs="宋体-18030"/>
          <w:color w:val="auto"/>
          <w:kern w:val="0"/>
          <w:sz w:val="24"/>
          <w:highlight w:val="none"/>
        </w:rPr>
      </w:pPr>
      <w:r>
        <w:rPr>
          <w:rFonts w:hint="eastAsia" w:ascii="宋体" w:hAnsi="宋体" w:cs="宋体-18030"/>
          <w:color w:val="auto"/>
          <w:kern w:val="0"/>
          <w:sz w:val="24"/>
          <w:highlight w:val="none"/>
        </w:rPr>
        <w:t>电    话：</w:t>
      </w:r>
      <w:r>
        <w:rPr>
          <w:rFonts w:hint="eastAsia" w:ascii="宋体" w:hAnsi="宋体" w:cs="宋体-18030"/>
          <w:color w:val="auto"/>
          <w:kern w:val="0"/>
          <w:sz w:val="24"/>
          <w:highlight w:val="none"/>
          <w:u w:val="single"/>
        </w:rPr>
        <w:t xml:space="preserve">                                        </w:t>
      </w:r>
    </w:p>
    <w:p w14:paraId="46BA00CB">
      <w:pPr>
        <w:autoSpaceDE w:val="0"/>
        <w:autoSpaceDN w:val="0"/>
        <w:adjustRightInd w:val="0"/>
        <w:spacing w:line="500" w:lineRule="exact"/>
        <w:ind w:firstLine="480" w:firstLineChars="200"/>
        <w:jc w:val="left"/>
        <w:rPr>
          <w:rFonts w:hint="eastAsia" w:ascii="宋体" w:hAnsi="宋体" w:cs="宋体-18030"/>
          <w:color w:val="auto"/>
          <w:kern w:val="0"/>
          <w:sz w:val="24"/>
          <w:highlight w:val="none"/>
        </w:rPr>
      </w:pPr>
      <w:r>
        <w:rPr>
          <w:rFonts w:hint="eastAsia" w:ascii="宋体" w:hAnsi="宋体" w:cs="宋体-18030"/>
          <w:color w:val="auto"/>
          <w:kern w:val="0"/>
          <w:sz w:val="24"/>
          <w:highlight w:val="none"/>
        </w:rPr>
        <w:t>传    真：</w:t>
      </w:r>
      <w:r>
        <w:rPr>
          <w:rFonts w:hint="eastAsia" w:ascii="宋体" w:hAnsi="宋体" w:cs="宋体-18030"/>
          <w:color w:val="auto"/>
          <w:kern w:val="0"/>
          <w:sz w:val="24"/>
          <w:highlight w:val="none"/>
          <w:u w:val="single"/>
        </w:rPr>
        <w:t xml:space="preserve">                                        </w:t>
      </w:r>
    </w:p>
    <w:p w14:paraId="7F266386">
      <w:pPr>
        <w:autoSpaceDE w:val="0"/>
        <w:autoSpaceDN w:val="0"/>
        <w:adjustRightInd w:val="0"/>
        <w:spacing w:line="500" w:lineRule="exact"/>
        <w:ind w:firstLine="480" w:firstLineChars="200"/>
        <w:jc w:val="left"/>
        <w:rPr>
          <w:rFonts w:hint="eastAsia" w:ascii="宋体" w:hAnsi="宋体" w:cs="宋体-18030"/>
          <w:color w:val="auto"/>
          <w:kern w:val="0"/>
          <w:sz w:val="24"/>
          <w:highlight w:val="none"/>
        </w:rPr>
      </w:pPr>
      <w:r>
        <w:rPr>
          <w:rFonts w:hint="eastAsia" w:ascii="宋体" w:hAnsi="宋体" w:cs="宋体-18030"/>
          <w:color w:val="auto"/>
          <w:kern w:val="0"/>
          <w:sz w:val="24"/>
          <w:highlight w:val="none"/>
        </w:rPr>
        <w:t>邮政编码：</w:t>
      </w:r>
      <w:r>
        <w:rPr>
          <w:rFonts w:hint="eastAsia" w:ascii="宋体" w:hAnsi="宋体" w:cs="宋体-18030"/>
          <w:color w:val="auto"/>
          <w:kern w:val="0"/>
          <w:sz w:val="24"/>
          <w:highlight w:val="none"/>
          <w:u w:val="single"/>
        </w:rPr>
        <w:t xml:space="preserve">                                        </w:t>
      </w:r>
    </w:p>
    <w:p w14:paraId="5C71E7D3">
      <w:pPr>
        <w:spacing w:line="500" w:lineRule="exact"/>
        <w:jc w:val="right"/>
        <w:rPr>
          <w:rFonts w:hint="eastAsia" w:ascii="宋体" w:hAnsi="宋体" w:cs="宋体-18030"/>
          <w:color w:val="auto"/>
          <w:kern w:val="0"/>
          <w:szCs w:val="21"/>
          <w:highlight w:val="none"/>
        </w:rPr>
      </w:pPr>
      <w:r>
        <w:rPr>
          <w:rFonts w:hint="eastAsia" w:ascii="宋体" w:hAnsi="宋体" w:cs="宋体-18030"/>
          <w:color w:val="auto"/>
          <w:kern w:val="0"/>
          <w:sz w:val="24"/>
          <w:highlight w:val="none"/>
          <w:u w:val="single"/>
        </w:rPr>
        <w:t xml:space="preserve">        </w:t>
      </w:r>
      <w:r>
        <w:rPr>
          <w:rFonts w:hint="eastAsia" w:ascii="宋体" w:hAnsi="宋体" w:cs="宋体-18030"/>
          <w:color w:val="auto"/>
          <w:kern w:val="0"/>
          <w:sz w:val="24"/>
          <w:highlight w:val="none"/>
        </w:rPr>
        <w:t>年</w:t>
      </w:r>
      <w:r>
        <w:rPr>
          <w:rFonts w:hint="eastAsia" w:ascii="宋体" w:hAnsi="宋体" w:cs="宋体-18030"/>
          <w:color w:val="auto"/>
          <w:kern w:val="0"/>
          <w:sz w:val="24"/>
          <w:highlight w:val="none"/>
          <w:u w:val="single"/>
        </w:rPr>
        <w:t xml:space="preserve">     </w:t>
      </w:r>
      <w:r>
        <w:rPr>
          <w:rFonts w:hint="eastAsia" w:ascii="宋体" w:hAnsi="宋体" w:cs="宋体-18030"/>
          <w:color w:val="auto"/>
          <w:kern w:val="0"/>
          <w:sz w:val="24"/>
          <w:highlight w:val="none"/>
        </w:rPr>
        <w:t>月</w:t>
      </w:r>
      <w:r>
        <w:rPr>
          <w:rFonts w:hint="eastAsia" w:ascii="宋体" w:hAnsi="宋体" w:cs="宋体-18030"/>
          <w:color w:val="auto"/>
          <w:kern w:val="0"/>
          <w:sz w:val="24"/>
          <w:highlight w:val="none"/>
          <w:u w:val="single"/>
        </w:rPr>
        <w:t xml:space="preserve">     </w:t>
      </w:r>
      <w:r>
        <w:rPr>
          <w:rFonts w:hint="eastAsia" w:ascii="宋体" w:hAnsi="宋体" w:cs="宋体-18030"/>
          <w:color w:val="auto"/>
          <w:kern w:val="0"/>
          <w:sz w:val="24"/>
          <w:highlight w:val="none"/>
        </w:rPr>
        <w:t>日</w:t>
      </w:r>
    </w:p>
    <w:p w14:paraId="00313C92">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4338DEEE">
      <w:pPr>
        <w:pStyle w:val="4"/>
        <w:numPr>
          <w:ilvl w:val="0"/>
          <w:numId w:val="7"/>
        </w:numPr>
        <w:spacing w:before="0" w:after="0" w:line="360" w:lineRule="auto"/>
        <w:jc w:val="center"/>
        <w:rPr>
          <w:rFonts w:hint="eastAsia" w:cs="仿宋"/>
          <w:color w:val="auto"/>
          <w:sz w:val="28"/>
          <w:szCs w:val="28"/>
          <w:highlight w:val="none"/>
          <w:lang w:val="en-US" w:eastAsia="zh-CN"/>
        </w:rPr>
      </w:pPr>
      <w:r>
        <w:rPr>
          <w:rFonts w:hint="eastAsia" w:ascii="仿宋" w:hAnsi="仿宋" w:eastAsia="仿宋" w:cs="仿宋"/>
          <w:color w:val="auto"/>
          <w:sz w:val="28"/>
          <w:szCs w:val="28"/>
          <w:highlight w:val="none"/>
        </w:rPr>
        <w:t>投标函</w:t>
      </w:r>
      <w:r>
        <w:rPr>
          <w:rFonts w:hint="eastAsia" w:cs="仿宋"/>
          <w:color w:val="auto"/>
          <w:sz w:val="28"/>
          <w:szCs w:val="28"/>
          <w:highlight w:val="none"/>
          <w:lang w:val="en-US" w:eastAsia="zh-CN"/>
        </w:rPr>
        <w:t>附录</w:t>
      </w:r>
    </w:p>
    <w:p w14:paraId="59DF739D">
      <w:pPr>
        <w:numPr>
          <w:ilvl w:val="0"/>
          <w:numId w:val="0"/>
        </w:numPr>
        <w:ind w:firstLine="0"/>
        <w:rPr>
          <w:rFonts w:hint="eastAsia"/>
          <w:color w:val="auto"/>
          <w:highlight w:val="none"/>
          <w:lang w:val="en-US" w:eastAsia="zh-CN"/>
        </w:rPr>
      </w:pPr>
      <w:r>
        <w:rPr>
          <w:rFonts w:hint="eastAsia"/>
          <w:color w:val="auto"/>
          <w:highlight w:val="none"/>
          <w:lang w:val="en-US" w:eastAsia="zh-CN"/>
        </w:rPr>
        <w:t>项目名称:</w:t>
      </w:r>
    </w:p>
    <w:p w14:paraId="1D54FB4A">
      <w:pPr>
        <w:numPr>
          <w:ilvl w:val="0"/>
          <w:numId w:val="0"/>
        </w:numPr>
        <w:ind w:firstLine="0"/>
        <w:rPr>
          <w:rFonts w:hint="eastAsia"/>
          <w:color w:val="auto"/>
          <w:highlight w:val="none"/>
          <w:lang w:val="en-US" w:eastAsia="zh-CN"/>
        </w:rPr>
      </w:pPr>
      <w:r>
        <w:rPr>
          <w:rFonts w:hint="eastAsia"/>
          <w:color w:val="auto"/>
          <w:highlight w:val="none"/>
          <w:lang w:val="en-US" w:eastAsia="zh-CN"/>
        </w:rPr>
        <w:t>项目编号：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2276"/>
        <w:gridCol w:w="3210"/>
        <w:gridCol w:w="2131"/>
      </w:tblGrid>
      <w:tr w14:paraId="1A84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7D81B8F0">
            <w:pPr>
              <w:pStyle w:val="10"/>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序号</w:t>
            </w:r>
          </w:p>
        </w:tc>
        <w:tc>
          <w:tcPr>
            <w:tcW w:w="2276" w:type="dxa"/>
          </w:tcPr>
          <w:p w14:paraId="0B640641">
            <w:pPr>
              <w:pStyle w:val="10"/>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条款内容</w:t>
            </w:r>
          </w:p>
        </w:tc>
        <w:tc>
          <w:tcPr>
            <w:tcW w:w="3210" w:type="dxa"/>
          </w:tcPr>
          <w:p w14:paraId="754C3E98">
            <w:pPr>
              <w:pStyle w:val="10"/>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约定内容</w:t>
            </w:r>
          </w:p>
        </w:tc>
        <w:tc>
          <w:tcPr>
            <w:tcW w:w="2131" w:type="dxa"/>
          </w:tcPr>
          <w:p w14:paraId="76BB3D53">
            <w:pPr>
              <w:pStyle w:val="10"/>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备注</w:t>
            </w:r>
          </w:p>
        </w:tc>
      </w:tr>
      <w:tr w14:paraId="46AF1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4991E69A">
            <w:pPr>
              <w:pStyle w:val="10"/>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2276" w:type="dxa"/>
          </w:tcPr>
          <w:p w14:paraId="11D8B286">
            <w:pPr>
              <w:pStyle w:val="10"/>
              <w:widowControl w:val="0"/>
              <w:ind w:firstLine="0"/>
              <w:jc w:val="both"/>
              <w:rPr>
                <w:rFonts w:hint="eastAsia" w:ascii="仿宋" w:hAnsi="仿宋" w:eastAsia="仿宋" w:cs="仿宋"/>
                <w:color w:val="auto"/>
                <w:sz w:val="21"/>
                <w:szCs w:val="21"/>
                <w:highlight w:val="none"/>
                <w:lang w:val="en-US" w:eastAsia="zh-CN"/>
              </w:rPr>
            </w:pPr>
            <w:r>
              <w:rPr>
                <w:rFonts w:hint="eastAsia" w:ascii="仿宋" w:hAnsi="仿宋" w:cs="仿宋"/>
                <w:color w:val="auto"/>
                <w:sz w:val="21"/>
                <w:szCs w:val="21"/>
                <w:highlight w:val="none"/>
                <w:lang w:eastAsia="zh-CN"/>
              </w:rPr>
              <w:t>服务履行期限</w:t>
            </w:r>
          </w:p>
        </w:tc>
        <w:tc>
          <w:tcPr>
            <w:tcW w:w="3210" w:type="dxa"/>
          </w:tcPr>
          <w:p w14:paraId="1EF411D6">
            <w:pPr>
              <w:pStyle w:val="10"/>
              <w:widowControl w:val="0"/>
              <w:jc w:val="both"/>
              <w:rPr>
                <w:rFonts w:hint="default"/>
                <w:color w:val="auto"/>
                <w:highlight w:val="none"/>
                <w:vertAlign w:val="baseline"/>
                <w:lang w:val="en-US" w:eastAsia="zh-CN"/>
              </w:rPr>
            </w:pPr>
          </w:p>
        </w:tc>
        <w:tc>
          <w:tcPr>
            <w:tcW w:w="2131" w:type="dxa"/>
          </w:tcPr>
          <w:p w14:paraId="6CC2228E">
            <w:pPr>
              <w:pStyle w:val="10"/>
              <w:widowControl w:val="0"/>
              <w:jc w:val="both"/>
              <w:rPr>
                <w:rFonts w:hint="default"/>
                <w:color w:val="auto"/>
                <w:highlight w:val="none"/>
                <w:vertAlign w:val="baseline"/>
                <w:lang w:val="en-US" w:eastAsia="zh-CN"/>
              </w:rPr>
            </w:pPr>
          </w:p>
        </w:tc>
      </w:tr>
      <w:tr w14:paraId="39BF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42EF2F31">
            <w:pPr>
              <w:pStyle w:val="10"/>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2276" w:type="dxa"/>
          </w:tcPr>
          <w:p w14:paraId="684827E3">
            <w:pPr>
              <w:pStyle w:val="10"/>
              <w:widowControl w:val="0"/>
              <w:ind w:firstLine="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供货地点</w:t>
            </w:r>
          </w:p>
        </w:tc>
        <w:tc>
          <w:tcPr>
            <w:tcW w:w="3210" w:type="dxa"/>
          </w:tcPr>
          <w:p w14:paraId="6F40F22F">
            <w:pPr>
              <w:pStyle w:val="10"/>
              <w:widowControl w:val="0"/>
              <w:jc w:val="both"/>
              <w:rPr>
                <w:rFonts w:hint="default"/>
                <w:color w:val="auto"/>
                <w:highlight w:val="none"/>
                <w:vertAlign w:val="baseline"/>
                <w:lang w:val="en-US" w:eastAsia="zh-CN"/>
              </w:rPr>
            </w:pPr>
          </w:p>
        </w:tc>
        <w:tc>
          <w:tcPr>
            <w:tcW w:w="2131" w:type="dxa"/>
          </w:tcPr>
          <w:p w14:paraId="385B6BB2">
            <w:pPr>
              <w:pStyle w:val="10"/>
              <w:widowControl w:val="0"/>
              <w:jc w:val="both"/>
              <w:rPr>
                <w:rFonts w:hint="default"/>
                <w:color w:val="auto"/>
                <w:highlight w:val="none"/>
                <w:vertAlign w:val="baseline"/>
                <w:lang w:val="en-US" w:eastAsia="zh-CN"/>
              </w:rPr>
            </w:pPr>
          </w:p>
        </w:tc>
      </w:tr>
      <w:tr w14:paraId="7A9E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1EBF18D6">
            <w:pPr>
              <w:pStyle w:val="10"/>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2276" w:type="dxa"/>
          </w:tcPr>
          <w:p w14:paraId="6BF3C46D">
            <w:pPr>
              <w:pStyle w:val="10"/>
              <w:widowControl w:val="0"/>
              <w:ind w:firstLine="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质量标准</w:t>
            </w:r>
          </w:p>
        </w:tc>
        <w:tc>
          <w:tcPr>
            <w:tcW w:w="3210" w:type="dxa"/>
          </w:tcPr>
          <w:p w14:paraId="5600C620">
            <w:pPr>
              <w:pStyle w:val="10"/>
              <w:widowControl w:val="0"/>
              <w:jc w:val="both"/>
              <w:rPr>
                <w:rFonts w:hint="default"/>
                <w:color w:val="auto"/>
                <w:highlight w:val="none"/>
                <w:vertAlign w:val="baseline"/>
                <w:lang w:val="en-US" w:eastAsia="zh-CN"/>
              </w:rPr>
            </w:pPr>
          </w:p>
        </w:tc>
        <w:tc>
          <w:tcPr>
            <w:tcW w:w="2131" w:type="dxa"/>
          </w:tcPr>
          <w:p w14:paraId="48DBF3DC">
            <w:pPr>
              <w:pStyle w:val="10"/>
              <w:widowControl w:val="0"/>
              <w:jc w:val="both"/>
              <w:rPr>
                <w:rFonts w:hint="default"/>
                <w:color w:val="auto"/>
                <w:highlight w:val="none"/>
                <w:vertAlign w:val="baseline"/>
                <w:lang w:val="en-US" w:eastAsia="zh-CN"/>
              </w:rPr>
            </w:pPr>
          </w:p>
        </w:tc>
      </w:tr>
      <w:tr w14:paraId="0BE3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49415D73">
            <w:pPr>
              <w:pStyle w:val="10"/>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2276" w:type="dxa"/>
          </w:tcPr>
          <w:p w14:paraId="27C22A55">
            <w:pPr>
              <w:pStyle w:val="10"/>
              <w:widowControl w:val="0"/>
              <w:ind w:firstLine="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联合体投标</w:t>
            </w:r>
          </w:p>
        </w:tc>
        <w:tc>
          <w:tcPr>
            <w:tcW w:w="3210" w:type="dxa"/>
          </w:tcPr>
          <w:p w14:paraId="2B1675F8">
            <w:pPr>
              <w:pStyle w:val="10"/>
              <w:widowControl w:val="0"/>
              <w:jc w:val="both"/>
              <w:rPr>
                <w:rFonts w:hint="default"/>
                <w:color w:val="auto"/>
                <w:highlight w:val="none"/>
                <w:vertAlign w:val="baseline"/>
                <w:lang w:val="en-US" w:eastAsia="zh-CN"/>
              </w:rPr>
            </w:pPr>
          </w:p>
        </w:tc>
        <w:tc>
          <w:tcPr>
            <w:tcW w:w="2131" w:type="dxa"/>
          </w:tcPr>
          <w:p w14:paraId="5905BA80">
            <w:pPr>
              <w:pStyle w:val="10"/>
              <w:widowControl w:val="0"/>
              <w:jc w:val="both"/>
              <w:rPr>
                <w:rFonts w:hint="default"/>
                <w:color w:val="auto"/>
                <w:highlight w:val="none"/>
                <w:vertAlign w:val="baseline"/>
                <w:lang w:val="en-US" w:eastAsia="zh-CN"/>
              </w:rPr>
            </w:pPr>
          </w:p>
        </w:tc>
      </w:tr>
      <w:tr w14:paraId="0F0C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51C5946F">
            <w:pPr>
              <w:pStyle w:val="10"/>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2276" w:type="dxa"/>
          </w:tcPr>
          <w:p w14:paraId="0A03DC9C">
            <w:pPr>
              <w:pStyle w:val="10"/>
              <w:widowControl w:val="0"/>
              <w:ind w:firstLine="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分包</w:t>
            </w:r>
          </w:p>
        </w:tc>
        <w:tc>
          <w:tcPr>
            <w:tcW w:w="3210" w:type="dxa"/>
          </w:tcPr>
          <w:p w14:paraId="4097833D">
            <w:pPr>
              <w:pStyle w:val="10"/>
              <w:widowControl w:val="0"/>
              <w:jc w:val="both"/>
              <w:rPr>
                <w:rFonts w:hint="default"/>
                <w:color w:val="auto"/>
                <w:highlight w:val="none"/>
                <w:vertAlign w:val="baseline"/>
                <w:lang w:val="en-US" w:eastAsia="zh-CN"/>
              </w:rPr>
            </w:pPr>
          </w:p>
        </w:tc>
        <w:tc>
          <w:tcPr>
            <w:tcW w:w="2131" w:type="dxa"/>
          </w:tcPr>
          <w:p w14:paraId="765F1DDA">
            <w:pPr>
              <w:pStyle w:val="10"/>
              <w:widowControl w:val="0"/>
              <w:jc w:val="both"/>
              <w:rPr>
                <w:rFonts w:hint="default"/>
                <w:color w:val="auto"/>
                <w:highlight w:val="none"/>
                <w:vertAlign w:val="baseline"/>
                <w:lang w:val="en-US" w:eastAsia="zh-CN"/>
              </w:rPr>
            </w:pPr>
          </w:p>
        </w:tc>
      </w:tr>
      <w:tr w14:paraId="3D5E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643A101B">
            <w:pPr>
              <w:pStyle w:val="10"/>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2276" w:type="dxa"/>
          </w:tcPr>
          <w:p w14:paraId="6CDAF1E5">
            <w:pPr>
              <w:pStyle w:val="10"/>
              <w:widowControl w:val="0"/>
              <w:ind w:firstLine="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投标有效期</w:t>
            </w:r>
          </w:p>
        </w:tc>
        <w:tc>
          <w:tcPr>
            <w:tcW w:w="3210" w:type="dxa"/>
          </w:tcPr>
          <w:p w14:paraId="5C725BD9">
            <w:pPr>
              <w:pStyle w:val="10"/>
              <w:widowControl w:val="0"/>
              <w:jc w:val="both"/>
              <w:rPr>
                <w:rFonts w:hint="default"/>
                <w:color w:val="auto"/>
                <w:highlight w:val="none"/>
                <w:vertAlign w:val="baseline"/>
                <w:lang w:val="en-US" w:eastAsia="zh-CN"/>
              </w:rPr>
            </w:pPr>
          </w:p>
        </w:tc>
        <w:tc>
          <w:tcPr>
            <w:tcW w:w="2131" w:type="dxa"/>
          </w:tcPr>
          <w:p w14:paraId="3BE2493F">
            <w:pPr>
              <w:pStyle w:val="10"/>
              <w:widowControl w:val="0"/>
              <w:jc w:val="both"/>
              <w:rPr>
                <w:rFonts w:hint="default"/>
                <w:color w:val="auto"/>
                <w:highlight w:val="none"/>
                <w:vertAlign w:val="baseline"/>
                <w:lang w:val="en-US" w:eastAsia="zh-CN"/>
              </w:rPr>
            </w:pPr>
          </w:p>
        </w:tc>
      </w:tr>
      <w:tr w14:paraId="34BE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46AAF3FC">
            <w:pPr>
              <w:pStyle w:val="10"/>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2276" w:type="dxa"/>
          </w:tcPr>
          <w:p w14:paraId="12D614ED">
            <w:pPr>
              <w:pStyle w:val="10"/>
              <w:widowControl w:val="0"/>
              <w:ind w:firstLine="0"/>
              <w:jc w:val="both"/>
              <w:rPr>
                <w:rFonts w:hint="default" w:ascii="仿宋" w:hAnsi="仿宋" w:eastAsia="仿宋" w:cs="仿宋"/>
                <w:color w:val="auto"/>
                <w:sz w:val="21"/>
                <w:szCs w:val="21"/>
                <w:highlight w:val="none"/>
                <w:lang w:val="en-US" w:eastAsia="zh-CN"/>
              </w:rPr>
            </w:pPr>
          </w:p>
        </w:tc>
        <w:tc>
          <w:tcPr>
            <w:tcW w:w="3210" w:type="dxa"/>
          </w:tcPr>
          <w:p w14:paraId="35724F62">
            <w:pPr>
              <w:pStyle w:val="10"/>
              <w:widowControl w:val="0"/>
              <w:jc w:val="both"/>
              <w:rPr>
                <w:rFonts w:hint="default"/>
                <w:color w:val="auto"/>
                <w:highlight w:val="none"/>
                <w:vertAlign w:val="baseline"/>
                <w:lang w:val="en-US" w:eastAsia="zh-CN"/>
              </w:rPr>
            </w:pPr>
          </w:p>
        </w:tc>
        <w:tc>
          <w:tcPr>
            <w:tcW w:w="2131" w:type="dxa"/>
          </w:tcPr>
          <w:p w14:paraId="40BF3550">
            <w:pPr>
              <w:pStyle w:val="10"/>
              <w:widowControl w:val="0"/>
              <w:jc w:val="both"/>
              <w:rPr>
                <w:rFonts w:hint="default"/>
                <w:color w:val="auto"/>
                <w:highlight w:val="none"/>
                <w:vertAlign w:val="baseline"/>
                <w:lang w:val="en-US" w:eastAsia="zh-CN"/>
              </w:rPr>
            </w:pPr>
          </w:p>
        </w:tc>
      </w:tr>
      <w:tr w14:paraId="7E4B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22AFF02E">
            <w:pPr>
              <w:pStyle w:val="10"/>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8</w:t>
            </w:r>
          </w:p>
        </w:tc>
        <w:tc>
          <w:tcPr>
            <w:tcW w:w="2276" w:type="dxa"/>
          </w:tcPr>
          <w:p w14:paraId="6D070E55">
            <w:pPr>
              <w:pStyle w:val="10"/>
              <w:widowControl w:val="0"/>
              <w:jc w:val="both"/>
              <w:rPr>
                <w:rFonts w:hint="default"/>
                <w:color w:val="auto"/>
                <w:highlight w:val="none"/>
                <w:vertAlign w:val="baseline"/>
                <w:lang w:val="en-US" w:eastAsia="zh-CN"/>
              </w:rPr>
            </w:pPr>
          </w:p>
        </w:tc>
        <w:tc>
          <w:tcPr>
            <w:tcW w:w="3210" w:type="dxa"/>
          </w:tcPr>
          <w:p w14:paraId="123F8B0B">
            <w:pPr>
              <w:pStyle w:val="10"/>
              <w:widowControl w:val="0"/>
              <w:jc w:val="both"/>
              <w:rPr>
                <w:rFonts w:hint="default"/>
                <w:color w:val="auto"/>
                <w:highlight w:val="none"/>
                <w:vertAlign w:val="baseline"/>
                <w:lang w:val="en-US" w:eastAsia="zh-CN"/>
              </w:rPr>
            </w:pPr>
          </w:p>
        </w:tc>
        <w:tc>
          <w:tcPr>
            <w:tcW w:w="2131" w:type="dxa"/>
          </w:tcPr>
          <w:p w14:paraId="2D36A507">
            <w:pPr>
              <w:pStyle w:val="10"/>
              <w:widowControl w:val="0"/>
              <w:jc w:val="both"/>
              <w:rPr>
                <w:rFonts w:hint="default"/>
                <w:color w:val="auto"/>
                <w:highlight w:val="none"/>
                <w:vertAlign w:val="baseline"/>
                <w:lang w:val="en-US" w:eastAsia="zh-CN"/>
              </w:rPr>
            </w:pPr>
          </w:p>
        </w:tc>
      </w:tr>
      <w:tr w14:paraId="5044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156E3C5D">
            <w:pPr>
              <w:pStyle w:val="10"/>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9</w:t>
            </w:r>
          </w:p>
        </w:tc>
        <w:tc>
          <w:tcPr>
            <w:tcW w:w="2276" w:type="dxa"/>
          </w:tcPr>
          <w:p w14:paraId="74C7F2CD">
            <w:pPr>
              <w:pStyle w:val="10"/>
              <w:widowControl w:val="0"/>
              <w:jc w:val="both"/>
              <w:rPr>
                <w:rFonts w:hint="default"/>
                <w:color w:val="auto"/>
                <w:highlight w:val="none"/>
                <w:vertAlign w:val="baseline"/>
                <w:lang w:val="en-US" w:eastAsia="zh-CN"/>
              </w:rPr>
            </w:pPr>
          </w:p>
        </w:tc>
        <w:tc>
          <w:tcPr>
            <w:tcW w:w="3210" w:type="dxa"/>
          </w:tcPr>
          <w:p w14:paraId="4932C02B">
            <w:pPr>
              <w:pStyle w:val="10"/>
              <w:widowControl w:val="0"/>
              <w:jc w:val="both"/>
              <w:rPr>
                <w:rFonts w:hint="default"/>
                <w:color w:val="auto"/>
                <w:highlight w:val="none"/>
                <w:vertAlign w:val="baseline"/>
                <w:lang w:val="en-US" w:eastAsia="zh-CN"/>
              </w:rPr>
            </w:pPr>
          </w:p>
        </w:tc>
        <w:tc>
          <w:tcPr>
            <w:tcW w:w="2131" w:type="dxa"/>
          </w:tcPr>
          <w:p w14:paraId="47758414">
            <w:pPr>
              <w:pStyle w:val="10"/>
              <w:widowControl w:val="0"/>
              <w:jc w:val="both"/>
              <w:rPr>
                <w:rFonts w:hint="default"/>
                <w:color w:val="auto"/>
                <w:highlight w:val="none"/>
                <w:vertAlign w:val="baseline"/>
                <w:lang w:val="en-US" w:eastAsia="zh-CN"/>
              </w:rPr>
            </w:pPr>
          </w:p>
        </w:tc>
      </w:tr>
      <w:tr w14:paraId="33A2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21E42F67">
            <w:pPr>
              <w:pStyle w:val="10"/>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10</w:t>
            </w:r>
          </w:p>
        </w:tc>
        <w:tc>
          <w:tcPr>
            <w:tcW w:w="2276" w:type="dxa"/>
          </w:tcPr>
          <w:p w14:paraId="503DDC25">
            <w:pPr>
              <w:pStyle w:val="10"/>
              <w:widowControl w:val="0"/>
              <w:jc w:val="both"/>
              <w:rPr>
                <w:rFonts w:hint="default"/>
                <w:color w:val="auto"/>
                <w:highlight w:val="none"/>
                <w:vertAlign w:val="baseline"/>
                <w:lang w:val="en-US" w:eastAsia="zh-CN"/>
              </w:rPr>
            </w:pPr>
          </w:p>
        </w:tc>
        <w:tc>
          <w:tcPr>
            <w:tcW w:w="3210" w:type="dxa"/>
          </w:tcPr>
          <w:p w14:paraId="4DF764F0">
            <w:pPr>
              <w:pStyle w:val="10"/>
              <w:widowControl w:val="0"/>
              <w:jc w:val="both"/>
              <w:rPr>
                <w:rFonts w:hint="default"/>
                <w:color w:val="auto"/>
                <w:highlight w:val="none"/>
                <w:vertAlign w:val="baseline"/>
                <w:lang w:val="en-US" w:eastAsia="zh-CN"/>
              </w:rPr>
            </w:pPr>
          </w:p>
        </w:tc>
        <w:tc>
          <w:tcPr>
            <w:tcW w:w="2131" w:type="dxa"/>
          </w:tcPr>
          <w:p w14:paraId="3E376113">
            <w:pPr>
              <w:pStyle w:val="10"/>
              <w:widowControl w:val="0"/>
              <w:jc w:val="both"/>
              <w:rPr>
                <w:rFonts w:hint="default"/>
                <w:color w:val="auto"/>
                <w:highlight w:val="none"/>
                <w:vertAlign w:val="baseline"/>
                <w:lang w:val="en-US" w:eastAsia="zh-CN"/>
              </w:rPr>
            </w:pPr>
          </w:p>
        </w:tc>
      </w:tr>
    </w:tbl>
    <w:p w14:paraId="0076BAE8">
      <w:pPr>
        <w:pStyle w:val="10"/>
        <w:rPr>
          <w:rFonts w:hint="default"/>
          <w:color w:val="auto"/>
          <w:highlight w:val="none"/>
          <w:lang w:val="en-US" w:eastAsia="zh-CN"/>
        </w:rPr>
      </w:pPr>
    </w:p>
    <w:p w14:paraId="69AAD80C">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投  标  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（盖单位公章）</w:t>
      </w:r>
    </w:p>
    <w:p w14:paraId="3FA9D22C">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bCs/>
          <w:color w:val="auto"/>
          <w:sz w:val="24"/>
          <w:szCs w:val="21"/>
          <w:highlight w:val="none"/>
        </w:rPr>
        <w:t>法定代表人或委托代理人</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（签字或盖章）</w:t>
      </w:r>
    </w:p>
    <w:p w14:paraId="76FF1DD5">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年</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月</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日</w:t>
      </w:r>
    </w:p>
    <w:p w14:paraId="386999FB">
      <w:pPr>
        <w:bidi w:val="0"/>
        <w:rPr>
          <w:rFonts w:hint="eastAsia"/>
          <w:color w:val="auto"/>
          <w:highlight w:val="none"/>
          <w:lang w:val="zh-CN" w:eastAsia="zh-CN"/>
        </w:rPr>
      </w:pPr>
    </w:p>
    <w:p w14:paraId="1AD6B4E3">
      <w:pPr>
        <w:bidi w:val="0"/>
        <w:rPr>
          <w:rFonts w:hint="eastAsia"/>
          <w:color w:val="auto"/>
          <w:highlight w:val="none"/>
          <w:lang w:val="zh-CN" w:eastAsia="zh-CN"/>
        </w:rPr>
      </w:pPr>
    </w:p>
    <w:p w14:paraId="4B53C4D4">
      <w:pPr>
        <w:bidi w:val="0"/>
        <w:rPr>
          <w:rFonts w:hint="eastAsia"/>
          <w:color w:val="auto"/>
          <w:highlight w:val="none"/>
          <w:lang w:val="zh-CN" w:eastAsia="zh-CN"/>
        </w:rPr>
      </w:pPr>
    </w:p>
    <w:p w14:paraId="49ED0AD0">
      <w:pPr>
        <w:rPr>
          <w:rFonts w:hint="eastAsia" w:ascii="仿宋" w:hAnsi="仿宋" w:eastAsia="仿宋" w:cs="仿宋"/>
          <w:b/>
          <w:color w:val="auto"/>
          <w:sz w:val="32"/>
          <w:szCs w:val="30"/>
          <w:highlight w:val="none"/>
        </w:rPr>
      </w:pPr>
      <w:r>
        <w:rPr>
          <w:rFonts w:hint="eastAsia" w:ascii="仿宋" w:hAnsi="仿宋" w:eastAsia="仿宋" w:cs="仿宋"/>
          <w:b/>
          <w:color w:val="auto"/>
          <w:sz w:val="32"/>
          <w:szCs w:val="30"/>
          <w:highlight w:val="none"/>
        </w:rPr>
        <w:br w:type="page"/>
      </w:r>
    </w:p>
    <w:p w14:paraId="12214CEE">
      <w:pPr>
        <w:pStyle w:val="3"/>
        <w:spacing w:before="0" w:line="360" w:lineRule="auto"/>
        <w:ind w:firstLine="643" w:firstLineChars="200"/>
        <w:jc w:val="center"/>
        <w:rPr>
          <w:rFonts w:hint="eastAsia" w:ascii="仿宋" w:hAnsi="仿宋" w:eastAsia="仿宋" w:cs="仿宋"/>
          <w:b/>
          <w:color w:val="auto"/>
          <w:sz w:val="32"/>
          <w:szCs w:val="30"/>
          <w:highlight w:val="none"/>
        </w:rPr>
      </w:pPr>
      <w:r>
        <w:rPr>
          <w:rFonts w:hint="eastAsia" w:ascii="仿宋" w:hAnsi="仿宋" w:eastAsia="仿宋" w:cs="仿宋"/>
          <w:b/>
          <w:color w:val="auto"/>
          <w:sz w:val="32"/>
          <w:szCs w:val="30"/>
          <w:highlight w:val="none"/>
          <w:lang w:val="en-US" w:eastAsia="zh-CN"/>
        </w:rPr>
        <w:t>开标一览表</w:t>
      </w:r>
    </w:p>
    <w:p w14:paraId="546C95DF">
      <w:pPr>
        <w:autoSpaceDE w:val="0"/>
        <w:autoSpaceDN w:val="0"/>
        <w:adjustRightInd w:val="0"/>
        <w:ind w:firstLine="480" w:firstLineChars="200"/>
        <w:rPr>
          <w:rFonts w:hint="eastAsia" w:ascii="仿宋" w:hAnsi="仿宋" w:eastAsia="仿宋" w:cs="仿宋"/>
          <w:bCs/>
          <w:color w:val="auto"/>
          <w:sz w:val="24"/>
          <w:highlight w:val="none"/>
        </w:rPr>
      </w:pPr>
    </w:p>
    <w:p w14:paraId="029A09E8">
      <w:pPr>
        <w:autoSpaceDE w:val="0"/>
        <w:autoSpaceDN w:val="0"/>
        <w:adjustRightIn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07C2CCA1">
      <w:pPr>
        <w:autoSpaceDE w:val="0"/>
        <w:autoSpaceDN w:val="0"/>
        <w:adjustRightIn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p>
    <w:tbl>
      <w:tblPr>
        <w:tblStyle w:val="20"/>
        <w:tblW w:w="4862" w:type="pct"/>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1662"/>
        <w:gridCol w:w="2454"/>
        <w:gridCol w:w="2581"/>
      </w:tblGrid>
      <w:tr w14:paraId="0A8E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959" w:type="pct"/>
            <w:noWrap w:val="0"/>
            <w:vAlign w:val="center"/>
          </w:tcPr>
          <w:p w14:paraId="531CFB40">
            <w:pPr>
              <w:pStyle w:val="10"/>
              <w:spacing w:line="360" w:lineRule="auto"/>
              <w:ind w:left="0" w:leftChars="0" w:firstLine="0" w:firstLineChars="0"/>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投标人名称</w:t>
            </w:r>
            <w:r>
              <w:rPr>
                <w:rFonts w:hint="eastAsia" w:ascii="仿宋" w:hAnsi="仿宋" w:eastAsia="仿宋" w:cs="仿宋"/>
                <w:b/>
                <w:color w:val="auto"/>
                <w:sz w:val="24"/>
                <w:szCs w:val="28"/>
                <w:highlight w:val="none"/>
              </w:rPr>
              <w:t>（盖单位章）</w:t>
            </w:r>
          </w:p>
        </w:tc>
        <w:tc>
          <w:tcPr>
            <w:tcW w:w="1002" w:type="pct"/>
            <w:noWrap w:val="0"/>
            <w:vAlign w:val="center"/>
          </w:tcPr>
          <w:p w14:paraId="28C1BFC6">
            <w:pPr>
              <w:pStyle w:val="10"/>
              <w:spacing w:line="360" w:lineRule="auto"/>
              <w:ind w:left="0" w:leftChars="0" w:firstLine="0" w:firstLineChars="0"/>
              <w:jc w:val="center"/>
              <w:rPr>
                <w:rFonts w:hint="default" w:ascii="仿宋" w:hAnsi="仿宋" w:eastAsia="仿宋" w:cs="仿宋"/>
                <w:b/>
                <w:color w:val="auto"/>
                <w:sz w:val="24"/>
                <w:highlight w:val="none"/>
                <w:lang w:val="en-US" w:eastAsia="zh-CN"/>
              </w:rPr>
            </w:pPr>
            <w:r>
              <w:rPr>
                <w:rFonts w:hint="eastAsia" w:ascii="仿宋" w:hAnsi="仿宋" w:cs="仿宋"/>
                <w:b/>
                <w:color w:val="auto"/>
                <w:sz w:val="24"/>
                <w:highlight w:val="none"/>
                <w:lang w:val="en-US" w:eastAsia="zh-CN"/>
              </w:rPr>
              <w:t>投标报价（元）</w:t>
            </w:r>
          </w:p>
        </w:tc>
        <w:tc>
          <w:tcPr>
            <w:tcW w:w="1480" w:type="pct"/>
            <w:noWrap w:val="0"/>
            <w:vAlign w:val="center"/>
          </w:tcPr>
          <w:p w14:paraId="4C7B9CA5">
            <w:pPr>
              <w:pStyle w:val="10"/>
              <w:spacing w:line="360" w:lineRule="auto"/>
              <w:ind w:left="0" w:leftChars="0" w:firstLine="0" w:firstLineChars="0"/>
              <w:jc w:val="center"/>
              <w:rPr>
                <w:rFonts w:hint="eastAsia" w:ascii="仿宋" w:hAnsi="仿宋" w:eastAsia="仿宋" w:cs="仿宋"/>
                <w:b/>
                <w:color w:val="auto"/>
                <w:sz w:val="24"/>
                <w:highlight w:val="none"/>
                <w:lang w:val="en-US" w:eastAsia="zh-CN"/>
              </w:rPr>
            </w:pPr>
            <w:r>
              <w:rPr>
                <w:rFonts w:hint="eastAsia" w:ascii="仿宋" w:hAnsi="仿宋" w:cs="仿宋"/>
                <w:b/>
                <w:color w:val="auto"/>
                <w:sz w:val="24"/>
                <w:highlight w:val="none"/>
                <w:lang w:val="en-US" w:eastAsia="zh-CN"/>
              </w:rPr>
              <w:t>服务履行期限</w:t>
            </w:r>
          </w:p>
        </w:tc>
        <w:tc>
          <w:tcPr>
            <w:tcW w:w="1556" w:type="pct"/>
            <w:noWrap w:val="0"/>
            <w:vAlign w:val="center"/>
          </w:tcPr>
          <w:p w14:paraId="570D0A9A">
            <w:pPr>
              <w:pStyle w:val="10"/>
              <w:spacing w:line="360" w:lineRule="auto"/>
              <w:ind w:left="0" w:leftChars="0" w:firstLine="0" w:firstLineChars="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质量标准</w:t>
            </w:r>
          </w:p>
        </w:tc>
      </w:tr>
      <w:tr w14:paraId="4376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959" w:type="pct"/>
            <w:noWrap w:val="0"/>
            <w:vAlign w:val="center"/>
          </w:tcPr>
          <w:p w14:paraId="028458DF">
            <w:pPr>
              <w:pStyle w:val="10"/>
              <w:spacing w:line="360" w:lineRule="auto"/>
              <w:jc w:val="center"/>
              <w:rPr>
                <w:rFonts w:hint="eastAsia" w:ascii="仿宋" w:hAnsi="仿宋" w:eastAsia="仿宋" w:cs="仿宋"/>
                <w:b/>
                <w:color w:val="auto"/>
                <w:sz w:val="24"/>
                <w:highlight w:val="none"/>
                <w:lang w:val="en-US" w:eastAsia="zh-CN"/>
              </w:rPr>
            </w:pPr>
          </w:p>
        </w:tc>
        <w:tc>
          <w:tcPr>
            <w:tcW w:w="1002" w:type="pct"/>
            <w:noWrap w:val="0"/>
            <w:vAlign w:val="center"/>
          </w:tcPr>
          <w:p w14:paraId="2D6B7F5C">
            <w:pPr>
              <w:pStyle w:val="10"/>
              <w:spacing w:line="360" w:lineRule="auto"/>
              <w:jc w:val="left"/>
              <w:rPr>
                <w:rFonts w:hint="eastAsia" w:ascii="仿宋" w:hAnsi="仿宋" w:eastAsia="仿宋" w:cs="仿宋"/>
                <w:color w:val="auto"/>
                <w:sz w:val="24"/>
                <w:highlight w:val="none"/>
                <w:lang w:val="en-US" w:eastAsia="zh-CN"/>
              </w:rPr>
            </w:pPr>
          </w:p>
        </w:tc>
        <w:tc>
          <w:tcPr>
            <w:tcW w:w="1480" w:type="pct"/>
            <w:noWrap w:val="0"/>
            <w:vAlign w:val="center"/>
          </w:tcPr>
          <w:p w14:paraId="72D6ECA7">
            <w:pPr>
              <w:pStyle w:val="10"/>
              <w:spacing w:line="360" w:lineRule="auto"/>
              <w:jc w:val="center"/>
              <w:rPr>
                <w:rFonts w:hint="eastAsia" w:ascii="仿宋" w:hAnsi="仿宋" w:eastAsia="仿宋" w:cs="仿宋"/>
                <w:color w:val="auto"/>
                <w:sz w:val="24"/>
                <w:highlight w:val="none"/>
                <w:lang w:val="en-US" w:eastAsia="zh-CN"/>
              </w:rPr>
            </w:pPr>
          </w:p>
        </w:tc>
        <w:tc>
          <w:tcPr>
            <w:tcW w:w="1556" w:type="pct"/>
            <w:noWrap w:val="0"/>
            <w:vAlign w:val="center"/>
          </w:tcPr>
          <w:p w14:paraId="35497712">
            <w:pPr>
              <w:pStyle w:val="10"/>
              <w:spacing w:line="360" w:lineRule="auto"/>
              <w:jc w:val="center"/>
              <w:rPr>
                <w:rFonts w:hint="eastAsia" w:ascii="仿宋" w:hAnsi="仿宋" w:eastAsia="仿宋" w:cs="仿宋"/>
                <w:color w:val="auto"/>
                <w:sz w:val="24"/>
                <w:highlight w:val="none"/>
                <w:lang w:val="en-US" w:eastAsia="zh-CN"/>
              </w:rPr>
            </w:pPr>
          </w:p>
        </w:tc>
      </w:tr>
    </w:tbl>
    <w:p w14:paraId="514F7893">
      <w:pPr>
        <w:autoSpaceDE w:val="0"/>
        <w:autoSpaceDN w:val="0"/>
        <w:adjustRightInd w:val="0"/>
        <w:spacing w:line="360" w:lineRule="auto"/>
        <w:ind w:firstLine="360" w:firstLineChars="150"/>
        <w:rPr>
          <w:rFonts w:hint="eastAsia" w:ascii="仿宋" w:hAnsi="仿宋" w:eastAsia="仿宋" w:cs="仿宋"/>
          <w:color w:val="auto"/>
          <w:sz w:val="24"/>
          <w:highlight w:val="none"/>
          <w:lang w:val="zh-CN"/>
        </w:rPr>
      </w:pPr>
    </w:p>
    <w:p w14:paraId="081D53E8">
      <w:pPr>
        <w:autoSpaceDE w:val="0"/>
        <w:autoSpaceDN w:val="0"/>
        <w:adjustRightInd w:val="0"/>
        <w:spacing w:line="360" w:lineRule="auto"/>
        <w:rPr>
          <w:rFonts w:hint="eastAsia" w:ascii="仿宋" w:hAnsi="仿宋" w:eastAsia="仿宋" w:cs="仿宋"/>
          <w:b/>
          <w:color w:val="auto"/>
          <w:sz w:val="24"/>
          <w:highlight w:val="none"/>
        </w:rPr>
      </w:pPr>
    </w:p>
    <w:p w14:paraId="5F618758">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投  标  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（盖单位公章）</w:t>
      </w:r>
    </w:p>
    <w:p w14:paraId="0872F8B8">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bCs/>
          <w:color w:val="auto"/>
          <w:sz w:val="24"/>
          <w:szCs w:val="21"/>
          <w:highlight w:val="none"/>
        </w:rPr>
        <w:t>法定代表人或委托代理人</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（签字或盖章）</w:t>
      </w:r>
    </w:p>
    <w:p w14:paraId="6282DCC0">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年</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月</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日</w:t>
      </w:r>
    </w:p>
    <w:p w14:paraId="6DA7FADE">
      <w:pPr>
        <w:autoSpaceDE w:val="0"/>
        <w:autoSpaceDN w:val="0"/>
        <w:adjustRightInd w:val="0"/>
        <w:spacing w:line="360" w:lineRule="auto"/>
        <w:rPr>
          <w:rFonts w:hint="eastAsia" w:ascii="仿宋" w:hAnsi="仿宋" w:eastAsia="仿宋" w:cs="仿宋"/>
          <w:b/>
          <w:color w:val="auto"/>
          <w:sz w:val="24"/>
          <w:highlight w:val="none"/>
          <w:lang w:val="zh-CN"/>
        </w:rPr>
      </w:pPr>
    </w:p>
    <w:p w14:paraId="0AED364B">
      <w:pPr>
        <w:autoSpaceDE w:val="0"/>
        <w:autoSpaceDN w:val="0"/>
        <w:adjustRightInd w:val="0"/>
        <w:spacing w:line="360" w:lineRule="auto"/>
        <w:rPr>
          <w:rFonts w:hint="eastAsia" w:ascii="仿宋" w:hAnsi="仿宋" w:eastAsia="仿宋" w:cs="仿宋"/>
          <w:b/>
          <w:color w:val="auto"/>
          <w:sz w:val="24"/>
          <w:highlight w:val="none"/>
          <w:lang w:val="zh-CN"/>
        </w:rPr>
      </w:pPr>
    </w:p>
    <w:p w14:paraId="7EAD5F78">
      <w:pPr>
        <w:rPr>
          <w:rFonts w:hint="eastAsia" w:ascii="仿宋" w:hAnsi="仿宋" w:eastAsia="仿宋" w:cs="仿宋"/>
          <w:bCs/>
          <w:color w:val="auto"/>
          <w:sz w:val="24"/>
          <w:highlight w:val="none"/>
          <w:lang w:val="zh-CN"/>
        </w:rPr>
      </w:pPr>
      <w:r>
        <w:rPr>
          <w:rFonts w:hint="eastAsia" w:ascii="仿宋" w:hAnsi="仿宋" w:eastAsia="仿宋" w:cs="仿宋"/>
          <w:b/>
          <w:color w:val="auto"/>
          <w:sz w:val="32"/>
          <w:szCs w:val="30"/>
          <w:highlight w:val="none"/>
          <w:lang w:val="zh-CN" w:eastAsia="zh-CN"/>
        </w:rPr>
        <w:br w:type="page"/>
      </w:r>
    </w:p>
    <w:p w14:paraId="682F5FA2">
      <w:pPr>
        <w:pStyle w:val="3"/>
        <w:spacing w:before="0" w:line="360" w:lineRule="auto"/>
        <w:ind w:firstLine="643" w:firstLineChars="200"/>
        <w:jc w:val="center"/>
        <w:rPr>
          <w:rFonts w:hint="eastAsia" w:ascii="仿宋" w:hAnsi="仿宋" w:eastAsia="仿宋" w:cs="仿宋"/>
          <w:b/>
          <w:color w:val="auto"/>
          <w:sz w:val="32"/>
          <w:szCs w:val="30"/>
          <w:highlight w:val="none"/>
          <w:lang w:val="zh-CN"/>
        </w:rPr>
      </w:pPr>
      <w:r>
        <w:rPr>
          <w:rFonts w:hint="eastAsia" w:ascii="仿宋" w:hAnsi="仿宋" w:eastAsia="仿宋" w:cs="仿宋"/>
          <w:b/>
          <w:color w:val="auto"/>
          <w:sz w:val="32"/>
          <w:szCs w:val="30"/>
          <w:highlight w:val="none"/>
          <w:lang w:val="zh-CN"/>
        </w:rPr>
        <w:t>法定代表人身份证明</w:t>
      </w:r>
    </w:p>
    <w:p w14:paraId="6BD82295">
      <w:pPr>
        <w:spacing w:line="360" w:lineRule="auto"/>
        <w:rPr>
          <w:rFonts w:hint="eastAsia" w:ascii="仿宋" w:hAnsi="仿宋" w:eastAsia="仿宋" w:cs="仿宋"/>
          <w:b/>
          <w:bCs/>
          <w:color w:val="auto"/>
          <w:sz w:val="24"/>
          <w:szCs w:val="24"/>
          <w:highlight w:val="none"/>
          <w:u w:val="single"/>
        </w:rPr>
      </w:pPr>
    </w:p>
    <w:p w14:paraId="5F319881">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投 标 人：</w:t>
      </w:r>
      <w:r>
        <w:rPr>
          <w:rFonts w:hint="eastAsia" w:ascii="仿宋" w:hAnsi="仿宋" w:eastAsia="仿宋" w:cs="仿宋"/>
          <w:color w:val="auto"/>
          <w:sz w:val="24"/>
          <w:szCs w:val="21"/>
          <w:highlight w:val="none"/>
          <w:u w:val="single"/>
        </w:rPr>
        <w:t xml:space="preserve">                                          </w:t>
      </w:r>
    </w:p>
    <w:p w14:paraId="77710B4D">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单位性质:</w:t>
      </w:r>
      <w:r>
        <w:rPr>
          <w:rFonts w:hint="eastAsia" w:ascii="仿宋" w:hAnsi="仿宋" w:eastAsia="仿宋" w:cs="仿宋"/>
          <w:color w:val="auto"/>
          <w:sz w:val="24"/>
          <w:szCs w:val="21"/>
          <w:highlight w:val="none"/>
          <w:u w:val="single"/>
        </w:rPr>
        <w:t xml:space="preserve">                                            </w:t>
      </w:r>
    </w:p>
    <w:p w14:paraId="52BEC731">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地    址：</w:t>
      </w:r>
      <w:r>
        <w:rPr>
          <w:rFonts w:hint="eastAsia" w:ascii="仿宋" w:hAnsi="仿宋" w:eastAsia="仿宋" w:cs="仿宋"/>
          <w:color w:val="auto"/>
          <w:sz w:val="24"/>
          <w:szCs w:val="21"/>
          <w:highlight w:val="none"/>
          <w:u w:val="single"/>
        </w:rPr>
        <w:t xml:space="preserve">                                           </w:t>
      </w:r>
    </w:p>
    <w:p w14:paraId="3E667428">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成立时间：</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年</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月</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日</w:t>
      </w:r>
    </w:p>
    <w:p w14:paraId="4ADDF9E5">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经营期限：</w:t>
      </w:r>
      <w:r>
        <w:rPr>
          <w:rFonts w:hint="eastAsia" w:ascii="仿宋" w:hAnsi="仿宋" w:eastAsia="仿宋" w:cs="仿宋"/>
          <w:color w:val="auto"/>
          <w:sz w:val="24"/>
          <w:szCs w:val="21"/>
          <w:highlight w:val="none"/>
          <w:u w:val="single"/>
        </w:rPr>
        <w:t xml:space="preserve">                                           </w:t>
      </w:r>
    </w:p>
    <w:p w14:paraId="0609C48E">
      <w:pPr>
        <w:tabs>
          <w:tab w:val="left" w:pos="1710"/>
        </w:tabs>
        <w:wordWrap w:val="0"/>
        <w:spacing w:line="480" w:lineRule="auto"/>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姓    名：</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性     别：</w:t>
      </w:r>
      <w:r>
        <w:rPr>
          <w:rFonts w:hint="eastAsia" w:ascii="仿宋" w:hAnsi="仿宋" w:eastAsia="仿宋" w:cs="仿宋"/>
          <w:color w:val="auto"/>
          <w:sz w:val="24"/>
          <w:szCs w:val="21"/>
          <w:highlight w:val="none"/>
          <w:u w:val="single"/>
        </w:rPr>
        <w:t xml:space="preserve">                </w:t>
      </w:r>
    </w:p>
    <w:p w14:paraId="5594E3BA">
      <w:pPr>
        <w:tabs>
          <w:tab w:val="left" w:pos="1710"/>
        </w:tabs>
        <w:wordWrap w:val="0"/>
        <w:spacing w:line="480" w:lineRule="auto"/>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年    龄：</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职     务：</w:t>
      </w:r>
      <w:r>
        <w:rPr>
          <w:rFonts w:hint="eastAsia" w:ascii="仿宋" w:hAnsi="仿宋" w:eastAsia="仿宋" w:cs="仿宋"/>
          <w:color w:val="auto"/>
          <w:sz w:val="24"/>
          <w:szCs w:val="21"/>
          <w:highlight w:val="none"/>
          <w:u w:val="single"/>
        </w:rPr>
        <w:t xml:space="preserve">                </w:t>
      </w:r>
    </w:p>
    <w:p w14:paraId="6CC7A6C8">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系</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（投标人名称）的法定代表人。</w:t>
      </w:r>
    </w:p>
    <w:p w14:paraId="55B75DCA">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特此证明。</w:t>
      </w:r>
    </w:p>
    <w:p w14:paraId="68FC615E">
      <w:pPr>
        <w:wordWrap w:val="0"/>
        <w:spacing w:line="360" w:lineRule="auto"/>
        <w:rPr>
          <w:rFonts w:hint="eastAsia" w:ascii="仿宋" w:hAnsi="仿宋" w:eastAsia="仿宋" w:cs="仿宋"/>
          <w:color w:val="auto"/>
          <w:sz w:val="24"/>
          <w:szCs w:val="24"/>
          <w:highlight w:val="none"/>
        </w:rPr>
      </w:pPr>
    </w:p>
    <w:tbl>
      <w:tblPr>
        <w:tblStyle w:val="20"/>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720"/>
      </w:tblGrid>
      <w:tr w14:paraId="120D2F4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41" w:hRule="atLeast"/>
          <w:jc w:val="center"/>
        </w:trPr>
        <w:tc>
          <w:tcPr>
            <w:tcW w:w="6720" w:type="dxa"/>
            <w:noWrap w:val="0"/>
            <w:vAlign w:val="center"/>
          </w:tcPr>
          <w:p w14:paraId="78C179F1">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附：法定代表人居民身份证复印件（正、反面）</w:t>
            </w:r>
          </w:p>
        </w:tc>
      </w:tr>
    </w:tbl>
    <w:p w14:paraId="0DE1E337">
      <w:pPr>
        <w:wordWrap w:val="0"/>
        <w:spacing w:line="360" w:lineRule="auto"/>
        <w:rPr>
          <w:rFonts w:hint="eastAsia" w:ascii="仿宋" w:hAnsi="仿宋" w:eastAsia="仿宋" w:cs="仿宋"/>
          <w:color w:val="auto"/>
          <w:sz w:val="24"/>
          <w:szCs w:val="24"/>
          <w:highlight w:val="none"/>
        </w:rPr>
      </w:pPr>
    </w:p>
    <w:p w14:paraId="2067303F">
      <w:pPr>
        <w:wordWrap w:val="0"/>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4"/>
          <w:highlight w:val="none"/>
        </w:rPr>
        <w:t>（盖单位公章）</w:t>
      </w:r>
    </w:p>
    <w:p w14:paraId="210F21ED">
      <w:pPr>
        <w:wordWrap w:val="0"/>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4"/>
          <w:highlight w:val="none"/>
        </w:rPr>
        <w:t>（签字）</w:t>
      </w:r>
    </w:p>
    <w:p w14:paraId="64377F24">
      <w:pPr>
        <w:wordWrap w:val="0"/>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6E0A133">
      <w:pPr>
        <w:pStyle w:val="3"/>
        <w:spacing w:before="0" w:line="360" w:lineRule="auto"/>
        <w:ind w:firstLine="643" w:firstLineChars="200"/>
        <w:jc w:val="center"/>
        <w:rPr>
          <w:rFonts w:hint="eastAsia" w:ascii="仿宋" w:hAnsi="仿宋" w:eastAsia="仿宋" w:cs="仿宋"/>
          <w:b/>
          <w:color w:val="auto"/>
          <w:sz w:val="32"/>
          <w:szCs w:val="30"/>
          <w:highlight w:val="none"/>
          <w:lang w:val="zh-CN" w:eastAsia="zh-CN"/>
        </w:rPr>
      </w:pPr>
      <w:bookmarkStart w:id="88" w:name="_Toc534639458"/>
      <w:bookmarkStart w:id="89" w:name="_Toc534639585"/>
      <w:bookmarkStart w:id="90" w:name="_Toc3572712"/>
      <w:r>
        <w:rPr>
          <w:rFonts w:hint="eastAsia" w:ascii="仿宋" w:hAnsi="仿宋" w:eastAsia="仿宋" w:cs="仿宋"/>
          <w:b/>
          <w:color w:val="auto"/>
          <w:sz w:val="32"/>
          <w:szCs w:val="30"/>
          <w:highlight w:val="none"/>
          <w:lang w:val="zh-CN" w:eastAsia="zh-CN"/>
        </w:rPr>
        <w:t>授权委托书</w:t>
      </w:r>
      <w:bookmarkEnd w:id="88"/>
      <w:bookmarkEnd w:id="89"/>
      <w:bookmarkEnd w:id="90"/>
    </w:p>
    <w:p w14:paraId="2EC26676">
      <w:pPr>
        <w:adjustRightInd w:val="0"/>
        <w:snapToGrid w:val="0"/>
        <w:spacing w:line="480" w:lineRule="auto"/>
        <w:ind w:firstLine="480" w:firstLineChars="200"/>
        <w:rPr>
          <w:rFonts w:hint="eastAsia" w:ascii="仿宋" w:hAnsi="仿宋" w:eastAsia="仿宋" w:cs="仿宋"/>
          <w:color w:val="auto"/>
          <w:sz w:val="24"/>
          <w:szCs w:val="21"/>
          <w:highlight w:val="none"/>
        </w:rPr>
      </w:pPr>
    </w:p>
    <w:p w14:paraId="16E4D6CF">
      <w:pPr>
        <w:adjustRightInd w:val="0"/>
        <w:snapToGrid w:val="0"/>
        <w:spacing w:line="48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本人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（姓名）系</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（投标人名称）的法定代表人，现委托</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（姓名）为我方代理人，代理人根据授权，以我方名义签署、澄清、说明、补正、递交、撤回、修改</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（项目名称）响应文件、签订合同和处理有关事宜，其法律后果由我方承担。</w:t>
      </w:r>
    </w:p>
    <w:p w14:paraId="6EEC67B9">
      <w:pPr>
        <w:adjustRightInd w:val="0"/>
        <w:snapToGrid w:val="0"/>
        <w:spacing w:line="48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委托期限：</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w:t>
      </w:r>
    </w:p>
    <w:p w14:paraId="235ECC93">
      <w:pPr>
        <w:wordWrap w:val="0"/>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1"/>
          <w:highlight w:val="none"/>
        </w:rPr>
        <w:t>代理人无转委托权。</w:t>
      </w:r>
    </w:p>
    <w:p w14:paraId="78E0E920">
      <w:pPr>
        <w:wordWrap w:val="0"/>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本表后附：法定代表人身份证明</w:t>
      </w:r>
    </w:p>
    <w:p w14:paraId="0E40C825">
      <w:pPr>
        <w:bidi w:val="0"/>
        <w:rPr>
          <w:rFonts w:hint="eastAsia" w:ascii="仿宋" w:hAnsi="仿宋" w:eastAsia="仿宋" w:cs="仿宋"/>
          <w:color w:val="auto"/>
          <w:highlight w:val="none"/>
        </w:rPr>
      </w:pPr>
      <w:bookmarkStart w:id="91" w:name="_Toc10824"/>
      <w:bookmarkStart w:id="92" w:name="_Toc19097106"/>
      <w:bookmarkStart w:id="93" w:name="_Toc16666385"/>
      <w:bookmarkStart w:id="94" w:name="_Toc492451837"/>
      <w:bookmarkStart w:id="95" w:name="_Toc17185714"/>
      <w:bookmarkStart w:id="96" w:name="_Toc17185817"/>
    </w:p>
    <w:tbl>
      <w:tblPr>
        <w:tblStyle w:val="20"/>
        <w:tblW w:w="0" w:type="auto"/>
        <w:tblInd w:w="136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904"/>
      </w:tblGrid>
      <w:tr w14:paraId="74A83B7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75" w:hRule="atLeast"/>
        </w:trPr>
        <w:tc>
          <w:tcPr>
            <w:tcW w:w="6904" w:type="dxa"/>
            <w:noWrap w:val="0"/>
            <w:vAlign w:val="center"/>
          </w:tcPr>
          <w:p w14:paraId="0AC51EC8">
            <w:pPr>
              <w:bidi w:val="0"/>
              <w:rPr>
                <w:rFonts w:hint="eastAsia" w:ascii="仿宋" w:hAnsi="仿宋" w:eastAsia="仿宋" w:cs="仿宋"/>
                <w:b/>
                <w:color w:val="auto"/>
                <w:szCs w:val="24"/>
                <w:highlight w:val="none"/>
              </w:rPr>
            </w:pPr>
            <w:bookmarkStart w:id="97" w:name="_Toc22892142"/>
            <w:r>
              <w:rPr>
                <w:rFonts w:hint="eastAsia"/>
                <w:color w:val="auto"/>
                <w:highlight w:val="none"/>
              </w:rPr>
              <w:t>附：委托代理人居民身份证复印件（正、反面）</w:t>
            </w:r>
            <w:bookmarkEnd w:id="97"/>
          </w:p>
        </w:tc>
      </w:tr>
    </w:tbl>
    <w:p w14:paraId="5A7ACF91">
      <w:pPr>
        <w:bidi w:val="0"/>
        <w:rPr>
          <w:rFonts w:hint="eastAsia" w:ascii="仿宋" w:hAnsi="仿宋" w:eastAsia="仿宋" w:cs="仿宋"/>
          <w:color w:val="auto"/>
          <w:highlight w:val="none"/>
        </w:rPr>
      </w:pPr>
    </w:p>
    <w:bookmarkEnd w:id="91"/>
    <w:bookmarkEnd w:id="92"/>
    <w:bookmarkEnd w:id="93"/>
    <w:bookmarkEnd w:id="94"/>
    <w:bookmarkEnd w:id="95"/>
    <w:bookmarkEnd w:id="96"/>
    <w:p w14:paraId="1B551F72">
      <w:pPr>
        <w:tabs>
          <w:tab w:val="left" w:pos="0"/>
        </w:tabs>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（盖单位章）</w:t>
      </w:r>
    </w:p>
    <w:p w14:paraId="7EDDC5CD">
      <w:pPr>
        <w:tabs>
          <w:tab w:val="left" w:pos="0"/>
        </w:tabs>
        <w:wordWrap w:val="0"/>
        <w:spacing w:line="360" w:lineRule="auto"/>
        <w:rPr>
          <w:rFonts w:hint="eastAsia" w:ascii="仿宋" w:hAnsi="仿宋" w:eastAsia="仿宋" w:cs="仿宋"/>
          <w:color w:val="auto"/>
          <w:sz w:val="24"/>
          <w:szCs w:val="24"/>
          <w:highlight w:val="none"/>
        </w:rPr>
      </w:pPr>
      <w:bookmarkStart w:id="98" w:name="_Toc16528401"/>
      <w:bookmarkStart w:id="99" w:name="_Toc16528278"/>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w:t>
      </w:r>
      <w:bookmarkEnd w:id="98"/>
      <w:bookmarkEnd w:id="99"/>
    </w:p>
    <w:p w14:paraId="40A46F40">
      <w:pPr>
        <w:tabs>
          <w:tab w:val="left" w:pos="0"/>
        </w:tabs>
        <w:wordWrap w:val="0"/>
        <w:spacing w:line="360" w:lineRule="auto"/>
        <w:rPr>
          <w:rFonts w:hint="eastAsia" w:ascii="仿宋" w:hAnsi="仿宋" w:eastAsia="仿宋" w:cs="仿宋"/>
          <w:color w:val="auto"/>
          <w:sz w:val="24"/>
          <w:szCs w:val="24"/>
          <w:highlight w:val="none"/>
        </w:rPr>
      </w:pPr>
      <w:bookmarkStart w:id="100" w:name="_Toc16528402"/>
      <w:bookmarkStart w:id="101" w:name="_Toc16528279"/>
      <w:r>
        <w:rPr>
          <w:rFonts w:hint="eastAsia" w:ascii="仿宋" w:hAnsi="仿宋" w:eastAsia="仿宋" w:cs="仿宋"/>
          <w:color w:val="auto"/>
          <w:sz w:val="24"/>
          <w:szCs w:val="24"/>
          <w:highlight w:val="none"/>
        </w:rPr>
        <w:t>身份证号码：</w:t>
      </w:r>
      <w:bookmarkEnd w:id="100"/>
      <w:bookmarkEnd w:id="101"/>
      <w:r>
        <w:rPr>
          <w:rFonts w:hint="eastAsia" w:ascii="仿宋" w:hAnsi="仿宋" w:eastAsia="仿宋" w:cs="仿宋"/>
          <w:color w:val="auto"/>
          <w:sz w:val="24"/>
          <w:szCs w:val="24"/>
          <w:highlight w:val="none"/>
          <w:u w:val="single"/>
        </w:rPr>
        <w:t xml:space="preserve">                                   </w:t>
      </w:r>
    </w:p>
    <w:p w14:paraId="4809E227">
      <w:pPr>
        <w:tabs>
          <w:tab w:val="left" w:pos="0"/>
        </w:tabs>
        <w:wordWrap w:val="0"/>
        <w:spacing w:line="360" w:lineRule="auto"/>
        <w:rPr>
          <w:rFonts w:hint="eastAsia" w:ascii="仿宋" w:hAnsi="仿宋" w:eastAsia="仿宋" w:cs="仿宋"/>
          <w:color w:val="auto"/>
          <w:sz w:val="24"/>
          <w:szCs w:val="24"/>
          <w:highlight w:val="none"/>
        </w:rPr>
      </w:pPr>
      <w:bookmarkStart w:id="102" w:name="_Toc16528403"/>
      <w:bookmarkStart w:id="103" w:name="_Toc16528280"/>
      <w:r>
        <w:rPr>
          <w:rFonts w:hint="eastAsia" w:ascii="仿宋" w:hAnsi="仿宋" w:eastAsia="仿宋" w:cs="仿宋"/>
          <w:color w:val="auto"/>
          <w:sz w:val="24"/>
          <w:szCs w:val="24"/>
          <w:highlight w:val="none"/>
        </w:rPr>
        <w:t>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w:t>
      </w:r>
      <w:bookmarkEnd w:id="102"/>
      <w:bookmarkEnd w:id="103"/>
    </w:p>
    <w:p w14:paraId="3A28A668">
      <w:pPr>
        <w:tabs>
          <w:tab w:val="left" w:pos="0"/>
        </w:tabs>
        <w:wordWrap w:val="0"/>
        <w:spacing w:line="360" w:lineRule="auto"/>
        <w:rPr>
          <w:rFonts w:hint="eastAsia" w:ascii="仿宋" w:hAnsi="仿宋" w:eastAsia="仿宋" w:cs="仿宋"/>
          <w:color w:val="auto"/>
          <w:sz w:val="24"/>
          <w:szCs w:val="24"/>
          <w:highlight w:val="none"/>
          <w:u w:val="single"/>
        </w:rPr>
      </w:pPr>
      <w:bookmarkStart w:id="104" w:name="_Toc16528281"/>
      <w:bookmarkStart w:id="105" w:name="_Toc16528404"/>
      <w:r>
        <w:rPr>
          <w:rFonts w:hint="eastAsia" w:ascii="仿宋" w:hAnsi="仿宋" w:eastAsia="仿宋" w:cs="仿宋"/>
          <w:color w:val="auto"/>
          <w:sz w:val="24"/>
          <w:szCs w:val="24"/>
          <w:highlight w:val="none"/>
        </w:rPr>
        <w:t>身份证号码：</w:t>
      </w:r>
      <w:bookmarkEnd w:id="104"/>
      <w:bookmarkEnd w:id="105"/>
      <w:r>
        <w:rPr>
          <w:rFonts w:hint="eastAsia" w:ascii="仿宋" w:hAnsi="仿宋" w:eastAsia="仿宋" w:cs="仿宋"/>
          <w:color w:val="auto"/>
          <w:sz w:val="24"/>
          <w:szCs w:val="24"/>
          <w:highlight w:val="none"/>
          <w:u w:val="single"/>
        </w:rPr>
        <w:t xml:space="preserve">                                    </w:t>
      </w:r>
    </w:p>
    <w:p w14:paraId="703F388E">
      <w:pPr>
        <w:tabs>
          <w:tab w:val="left" w:pos="0"/>
        </w:tabs>
        <w:wordWrap w:val="0"/>
        <w:spacing w:line="360" w:lineRule="auto"/>
        <w:rPr>
          <w:rFonts w:hint="eastAsia" w:ascii="仿宋" w:hAnsi="仿宋" w:eastAsia="仿宋" w:cs="仿宋"/>
          <w:color w:val="auto"/>
          <w:sz w:val="24"/>
          <w:szCs w:val="24"/>
          <w:highlight w:val="none"/>
        </w:rPr>
      </w:pPr>
      <w:bookmarkStart w:id="106" w:name="_Toc16528282"/>
      <w:bookmarkStart w:id="107" w:name="_Toc16528405"/>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bookmarkEnd w:id="106"/>
      <w:bookmarkEnd w:id="107"/>
    </w:p>
    <w:p w14:paraId="3288EEBF">
      <w:pPr>
        <w:autoSpaceDE w:val="0"/>
        <w:autoSpaceDN w:val="0"/>
        <w:adjustRightInd w:val="0"/>
        <w:spacing w:line="400" w:lineRule="exact"/>
        <w:jc w:val="left"/>
        <w:rPr>
          <w:rFonts w:hint="eastAsia" w:ascii="仿宋" w:hAnsi="仿宋" w:eastAsia="仿宋" w:cs="仿宋"/>
          <w:bCs/>
          <w:color w:val="auto"/>
          <w:sz w:val="24"/>
          <w:highlight w:val="none"/>
          <w:lang w:val="zh-CN"/>
        </w:rPr>
      </w:pPr>
      <w:bookmarkStart w:id="108" w:name="_Toc17185720"/>
      <w:bookmarkStart w:id="109" w:name="_Toc17185823"/>
      <w:bookmarkStart w:id="110" w:name="_Toc22892143"/>
      <w:bookmarkStart w:id="111" w:name="_Toc19097112"/>
      <w:r>
        <w:rPr>
          <w:rFonts w:hint="eastAsia" w:ascii="仿宋" w:hAnsi="仿宋" w:eastAsia="仿宋" w:cs="仿宋"/>
          <w:bCs/>
          <w:color w:val="auto"/>
          <w:sz w:val="32"/>
          <w:szCs w:val="18"/>
          <w:highlight w:val="none"/>
          <w:lang w:val="zh-CN"/>
        </w:rPr>
        <w:br w:type="page"/>
      </w:r>
      <w:bookmarkEnd w:id="108"/>
      <w:bookmarkEnd w:id="109"/>
      <w:bookmarkEnd w:id="110"/>
      <w:bookmarkEnd w:id="111"/>
    </w:p>
    <w:p w14:paraId="19B4A3DC">
      <w:pPr>
        <w:pStyle w:val="3"/>
        <w:spacing w:before="0" w:line="360" w:lineRule="auto"/>
        <w:ind w:firstLine="643" w:firstLineChars="200"/>
        <w:jc w:val="center"/>
        <w:rPr>
          <w:rFonts w:hint="eastAsia" w:ascii="仿宋" w:hAnsi="仿宋" w:eastAsia="仿宋" w:cs="仿宋"/>
          <w:b/>
          <w:color w:val="auto"/>
          <w:sz w:val="32"/>
          <w:szCs w:val="30"/>
          <w:highlight w:val="none"/>
          <w:lang w:val="zh-CN" w:eastAsia="zh-CN"/>
        </w:rPr>
      </w:pPr>
      <w:bookmarkStart w:id="112" w:name="_Toc2160"/>
      <w:r>
        <w:rPr>
          <w:rFonts w:hint="eastAsia" w:ascii="仿宋" w:hAnsi="仿宋" w:eastAsia="仿宋" w:cs="仿宋"/>
          <w:b/>
          <w:color w:val="auto"/>
          <w:sz w:val="32"/>
          <w:szCs w:val="30"/>
          <w:highlight w:val="none"/>
          <w:lang w:val="en-US" w:eastAsia="zh-CN"/>
        </w:rPr>
        <w:t>投标</w:t>
      </w:r>
      <w:r>
        <w:rPr>
          <w:rFonts w:hint="eastAsia" w:ascii="仿宋" w:hAnsi="仿宋" w:eastAsia="仿宋" w:cs="仿宋"/>
          <w:b/>
          <w:color w:val="auto"/>
          <w:sz w:val="32"/>
          <w:szCs w:val="30"/>
          <w:highlight w:val="none"/>
          <w:lang w:val="zh-CN" w:eastAsia="zh-CN"/>
        </w:rPr>
        <w:t>保证金</w:t>
      </w:r>
    </w:p>
    <w:p w14:paraId="527926BD">
      <w:pPr>
        <w:rPr>
          <w:rFonts w:hint="eastAsia" w:ascii="仿宋" w:hAnsi="仿宋" w:eastAsia="仿宋" w:cs="仿宋"/>
          <w:color w:val="auto"/>
          <w:sz w:val="24"/>
          <w:highlight w:val="none"/>
        </w:rPr>
      </w:pPr>
    </w:p>
    <w:p w14:paraId="32D45407">
      <w:pPr>
        <w:rPr>
          <w:rFonts w:hint="eastAsia" w:ascii="仿宋" w:hAnsi="仿宋" w:eastAsia="仿宋" w:cs="仿宋"/>
          <w:color w:val="auto"/>
          <w:sz w:val="24"/>
          <w:highlight w:val="none"/>
        </w:rPr>
      </w:pPr>
    </w:p>
    <w:p w14:paraId="09CEB50A">
      <w:pPr>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{招标人名称}</w:t>
      </w:r>
    </w:p>
    <w:p w14:paraId="3B4F476D">
      <w:pPr>
        <w:rPr>
          <w:rFonts w:hint="eastAsia" w:ascii="仿宋" w:hAnsi="仿宋" w:eastAsia="仿宋" w:cs="仿宋"/>
          <w:color w:val="auto"/>
          <w:sz w:val="24"/>
          <w:szCs w:val="24"/>
          <w:highlight w:val="none"/>
        </w:rPr>
      </w:pPr>
    </w:p>
    <w:p w14:paraId="10BE176F">
      <w:pPr>
        <w:spacing w:line="360" w:lineRule="auto"/>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（投标人名称）（以下称“投标人”）于     年    月    日递交了      {招标项目名称、项目编号} 的</w:t>
      </w:r>
      <w:r>
        <w:rPr>
          <w:rFonts w:hint="eastAsia" w:ascii="仿宋" w:hAnsi="仿宋" w:eastAsia="仿宋" w:cs="仿宋"/>
          <w:color w:val="auto"/>
          <w:sz w:val="24"/>
          <w:szCs w:val="24"/>
          <w:highlight w:val="none"/>
          <w:u w:val="single"/>
          <w:lang w:eastAsia="zh-CN"/>
        </w:rPr>
        <w:t>投标保证金</w:t>
      </w:r>
      <w:r>
        <w:rPr>
          <w:rFonts w:hint="eastAsia" w:ascii="仿宋" w:hAnsi="仿宋" w:eastAsia="仿宋" w:cs="仿宋"/>
          <w:color w:val="auto"/>
          <w:sz w:val="24"/>
          <w:szCs w:val="24"/>
          <w:highlight w:val="none"/>
          <w:u w:val="single"/>
        </w:rPr>
        <w:t>人民币          元；</w:t>
      </w:r>
    </w:p>
    <w:p w14:paraId="7BF5DD7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如果我方在响应有效期内收到你方的中标通知后，不能或拒绝按投标须知的要求签署合同协议书；你方有权没收我方的</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w:t>
      </w:r>
    </w:p>
    <w:p w14:paraId="4EFB9F0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我方同意</w:t>
      </w:r>
      <w:r>
        <w:rPr>
          <w:rFonts w:hint="eastAsia" w:cs="仿宋"/>
          <w:color w:val="auto"/>
          <w:sz w:val="24"/>
          <w:szCs w:val="24"/>
          <w:highlight w:val="none"/>
          <w:lang w:eastAsia="zh-CN"/>
        </w:rPr>
        <w:t>招标文件</w:t>
      </w:r>
      <w:r>
        <w:rPr>
          <w:rFonts w:hint="eastAsia" w:ascii="仿宋" w:hAnsi="仿宋" w:eastAsia="仿宋" w:cs="仿宋"/>
          <w:color w:val="auto"/>
          <w:sz w:val="24"/>
          <w:szCs w:val="24"/>
          <w:highlight w:val="none"/>
        </w:rPr>
        <w:t>有关</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规定，并对我方有约束力。</w:t>
      </w:r>
    </w:p>
    <w:p w14:paraId="672BA87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lang w:eastAsia="zh-CN"/>
        </w:rPr>
        <w:t>保证金</w:t>
      </w:r>
      <w:r>
        <w:rPr>
          <w:rFonts w:hint="eastAsia" w:ascii="仿宋" w:hAnsi="仿宋" w:eastAsia="仿宋" w:cs="仿宋"/>
          <w:color w:val="auto"/>
          <w:sz w:val="24"/>
          <w:szCs w:val="24"/>
          <w:highlight w:val="none"/>
        </w:rPr>
        <w:t>递交凭证</w:t>
      </w:r>
      <w:r>
        <w:rPr>
          <w:rFonts w:hint="eastAsia" w:cs="仿宋"/>
          <w:color w:val="auto"/>
          <w:sz w:val="24"/>
          <w:szCs w:val="24"/>
          <w:highlight w:val="none"/>
          <w:lang w:eastAsia="zh-CN"/>
        </w:rPr>
        <w:t>（</w:t>
      </w:r>
      <w:r>
        <w:rPr>
          <w:rFonts w:hint="eastAsia" w:cs="仿宋"/>
          <w:color w:val="auto"/>
          <w:sz w:val="24"/>
          <w:szCs w:val="24"/>
          <w:highlight w:val="none"/>
          <w:lang w:val="en-US" w:eastAsia="zh-CN"/>
        </w:rPr>
        <w:t>或投标保函</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w:t>
      </w:r>
    </w:p>
    <w:p w14:paraId="78AD74D5">
      <w:pPr>
        <w:rPr>
          <w:rFonts w:hint="eastAsia" w:ascii="仿宋" w:hAnsi="仿宋" w:eastAsia="仿宋" w:cs="仿宋"/>
          <w:color w:val="auto"/>
          <w:sz w:val="24"/>
          <w:szCs w:val="24"/>
          <w:highlight w:val="none"/>
        </w:rPr>
      </w:pPr>
    </w:p>
    <w:tbl>
      <w:tblPr>
        <w:tblStyle w:val="20"/>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8"/>
      </w:tblGrid>
      <w:tr w14:paraId="381C6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8738" w:type="dxa"/>
            <w:noWrap w:val="0"/>
            <w:vAlign w:val="top"/>
          </w:tcPr>
          <w:p w14:paraId="025EBD9F">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附:银行进账单</w:t>
            </w:r>
          </w:p>
          <w:p w14:paraId="3655792E">
            <w:pPr>
              <w:rPr>
                <w:rFonts w:hint="eastAsia" w:ascii="仿宋" w:hAnsi="仿宋" w:eastAsia="仿宋" w:cs="仿宋"/>
                <w:color w:val="auto"/>
                <w:sz w:val="24"/>
                <w:szCs w:val="24"/>
                <w:highlight w:val="none"/>
              </w:rPr>
            </w:pPr>
          </w:p>
          <w:p w14:paraId="3BD3FA44">
            <w:pPr>
              <w:rPr>
                <w:rFonts w:hint="eastAsia" w:ascii="仿宋" w:hAnsi="仿宋" w:eastAsia="仿宋" w:cs="仿宋"/>
                <w:color w:val="auto"/>
                <w:sz w:val="24"/>
                <w:szCs w:val="24"/>
                <w:highlight w:val="none"/>
              </w:rPr>
            </w:pPr>
          </w:p>
          <w:p w14:paraId="4125A4DB">
            <w:pPr>
              <w:rPr>
                <w:rFonts w:hint="eastAsia" w:ascii="仿宋" w:hAnsi="仿宋" w:eastAsia="仿宋" w:cs="仿宋"/>
                <w:color w:val="auto"/>
                <w:sz w:val="24"/>
                <w:szCs w:val="24"/>
                <w:highlight w:val="none"/>
              </w:rPr>
            </w:pPr>
          </w:p>
          <w:p w14:paraId="02757F7F">
            <w:pPr>
              <w:rPr>
                <w:rFonts w:hint="eastAsia" w:ascii="仿宋" w:hAnsi="仿宋" w:eastAsia="仿宋" w:cs="仿宋"/>
                <w:color w:val="auto"/>
                <w:sz w:val="24"/>
                <w:szCs w:val="24"/>
                <w:highlight w:val="none"/>
              </w:rPr>
            </w:pPr>
          </w:p>
        </w:tc>
      </w:tr>
      <w:tr w14:paraId="3DB3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8738" w:type="dxa"/>
            <w:noWrap w:val="0"/>
            <w:vAlign w:val="top"/>
          </w:tcPr>
          <w:p w14:paraId="32FEB835">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附：开户银行证明</w:t>
            </w:r>
          </w:p>
          <w:p w14:paraId="381E2CDA">
            <w:pPr>
              <w:rPr>
                <w:rFonts w:hint="eastAsia" w:ascii="仿宋" w:hAnsi="仿宋" w:eastAsia="仿宋" w:cs="仿宋"/>
                <w:color w:val="auto"/>
                <w:sz w:val="24"/>
                <w:szCs w:val="24"/>
                <w:highlight w:val="none"/>
              </w:rPr>
            </w:pPr>
          </w:p>
          <w:p w14:paraId="7EC3D87D">
            <w:pPr>
              <w:rPr>
                <w:rFonts w:hint="eastAsia" w:ascii="仿宋" w:hAnsi="仿宋" w:eastAsia="仿宋" w:cs="仿宋"/>
                <w:b/>
                <w:color w:val="auto"/>
                <w:sz w:val="24"/>
                <w:szCs w:val="24"/>
                <w:highlight w:val="none"/>
              </w:rPr>
            </w:pPr>
          </w:p>
        </w:tc>
      </w:tr>
    </w:tbl>
    <w:p w14:paraId="14DF5BD6">
      <w:pPr>
        <w:rPr>
          <w:rFonts w:hint="eastAsia" w:ascii="仿宋" w:hAnsi="仿宋" w:eastAsia="仿宋" w:cs="仿宋"/>
          <w:color w:val="auto"/>
          <w:sz w:val="24"/>
          <w:szCs w:val="24"/>
          <w:highlight w:val="none"/>
        </w:rPr>
      </w:pPr>
    </w:p>
    <w:p w14:paraId="13DEE6E8">
      <w:pPr>
        <w:ind w:left="0" w:leftChars="0" w:firstLine="0" w:firstLineChars="0"/>
        <w:rPr>
          <w:rFonts w:hint="eastAsia" w:ascii="仿宋" w:hAnsi="仿宋" w:eastAsia="仿宋" w:cs="仿宋"/>
          <w:color w:val="auto"/>
          <w:sz w:val="24"/>
          <w:szCs w:val="24"/>
          <w:highlight w:val="none"/>
        </w:rPr>
      </w:pPr>
    </w:p>
    <w:p w14:paraId="3F974115">
      <w:pPr>
        <w:rPr>
          <w:rFonts w:hint="eastAsia" w:ascii="仿宋" w:hAnsi="仿宋" w:eastAsia="仿宋" w:cs="仿宋"/>
          <w:color w:val="auto"/>
          <w:sz w:val="24"/>
          <w:szCs w:val="24"/>
          <w:highlight w:val="none"/>
        </w:rPr>
      </w:pPr>
    </w:p>
    <w:p w14:paraId="7259FBC9">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（盖单位公章）</w:t>
      </w:r>
    </w:p>
    <w:p w14:paraId="112AAF16">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14:paraId="2931266B">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8D0B54C">
      <w:pPr>
        <w:autoSpaceDE w:val="0"/>
        <w:autoSpaceDN w:val="0"/>
        <w:adjustRightInd w:val="0"/>
        <w:spacing w:line="400" w:lineRule="exact"/>
        <w:jc w:val="left"/>
        <w:rPr>
          <w:rFonts w:hint="eastAsia" w:ascii="仿宋" w:hAnsi="仿宋" w:eastAsia="仿宋" w:cs="仿宋"/>
          <w:bCs/>
          <w:color w:val="auto"/>
          <w:sz w:val="24"/>
          <w:highlight w:val="none"/>
          <w:lang w:val="zh-CN"/>
        </w:rPr>
      </w:pPr>
    </w:p>
    <w:p w14:paraId="73DA012B">
      <w:pPr>
        <w:pStyle w:val="3"/>
        <w:spacing w:before="0" w:line="360" w:lineRule="auto"/>
        <w:ind w:firstLine="643" w:firstLineChars="200"/>
        <w:jc w:val="cente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t>供应商基本情况</w:t>
      </w:r>
    </w:p>
    <w:p w14:paraId="109EC033">
      <w:pPr>
        <w:adjustRightInd w:val="0"/>
        <w:snapToGrid w:val="0"/>
        <w:spacing w:line="360" w:lineRule="auto"/>
        <w:jc w:val="center"/>
        <w:outlineLvl w:val="2"/>
        <w:rPr>
          <w:rFonts w:hint="eastAsia" w:ascii="宋体" w:hAnsi="宋体"/>
          <w:b/>
          <w:color w:val="auto"/>
          <w:sz w:val="28"/>
          <w:szCs w:val="28"/>
          <w:highlight w:val="none"/>
        </w:rPr>
      </w:pPr>
      <w:bookmarkStart w:id="113" w:name="_Toc201719192"/>
      <w:bookmarkStart w:id="114" w:name="_Toc30559"/>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一</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投标单位基本情况表</w:t>
      </w:r>
    </w:p>
    <w:tbl>
      <w:tblPr>
        <w:tblStyle w:val="20"/>
        <w:tblW w:w="0" w:type="auto"/>
        <w:jc w:val="center"/>
        <w:tblLayout w:type="fixed"/>
        <w:tblCellMar>
          <w:top w:w="0" w:type="dxa"/>
          <w:left w:w="108" w:type="dxa"/>
          <w:bottom w:w="0" w:type="dxa"/>
          <w:right w:w="108" w:type="dxa"/>
        </w:tblCellMar>
      </w:tblPr>
      <w:tblGrid>
        <w:gridCol w:w="1800"/>
        <w:gridCol w:w="1080"/>
        <w:gridCol w:w="1440"/>
        <w:gridCol w:w="1260"/>
        <w:gridCol w:w="1260"/>
        <w:gridCol w:w="360"/>
        <w:gridCol w:w="1221"/>
        <w:gridCol w:w="1299"/>
      </w:tblGrid>
      <w:tr w14:paraId="7D19C98C">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7F8B3880">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投标人名称</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63F5722C">
            <w:pPr>
              <w:autoSpaceDE w:val="0"/>
              <w:autoSpaceDN w:val="0"/>
              <w:adjustRightInd w:val="0"/>
              <w:spacing w:before="120" w:after="120"/>
              <w:jc w:val="center"/>
              <w:rPr>
                <w:rFonts w:hint="eastAsia" w:ascii="宋体" w:hAnsi="宋体" w:cs="黑体"/>
                <w:bCs/>
                <w:caps/>
                <w:color w:val="auto"/>
                <w:sz w:val="24"/>
                <w:highlight w:val="none"/>
              </w:rPr>
            </w:pPr>
          </w:p>
        </w:tc>
      </w:tr>
      <w:tr w14:paraId="1D24838F">
        <w:tblPrEx>
          <w:tblCellMar>
            <w:top w:w="0" w:type="dxa"/>
            <w:left w:w="108" w:type="dxa"/>
            <w:bottom w:w="0" w:type="dxa"/>
            <w:right w:w="108" w:type="dxa"/>
          </w:tblCellMar>
        </w:tblPrEx>
        <w:trPr>
          <w:trHeight w:val="544"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547CCF65">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注册地址</w:t>
            </w:r>
          </w:p>
        </w:tc>
        <w:tc>
          <w:tcPr>
            <w:tcW w:w="3780" w:type="dxa"/>
            <w:gridSpan w:val="3"/>
            <w:tcBorders>
              <w:top w:val="single" w:color="auto" w:sz="4" w:space="0"/>
              <w:left w:val="single" w:color="auto" w:sz="4" w:space="0"/>
              <w:bottom w:val="single" w:color="auto" w:sz="4" w:space="0"/>
              <w:right w:val="single" w:color="auto" w:sz="4" w:space="0"/>
            </w:tcBorders>
            <w:noWrap w:val="0"/>
            <w:vAlign w:val="center"/>
          </w:tcPr>
          <w:p w14:paraId="45543CC9">
            <w:pPr>
              <w:autoSpaceDE w:val="0"/>
              <w:autoSpaceDN w:val="0"/>
              <w:adjustRightInd w:val="0"/>
              <w:spacing w:before="120" w:after="120"/>
              <w:jc w:val="center"/>
              <w:rPr>
                <w:rFonts w:hint="eastAsia" w:ascii="宋体" w:hAnsi="宋体" w:cs="黑体"/>
                <w:bCs/>
                <w:caps/>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DAB9BE2">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邮政编码</w:t>
            </w: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14:paraId="406A1494">
            <w:pPr>
              <w:autoSpaceDE w:val="0"/>
              <w:autoSpaceDN w:val="0"/>
              <w:adjustRightInd w:val="0"/>
              <w:spacing w:before="120" w:after="120"/>
              <w:jc w:val="center"/>
              <w:rPr>
                <w:rFonts w:hint="eastAsia" w:ascii="宋体" w:hAnsi="宋体" w:cs="黑体"/>
                <w:bCs/>
                <w:caps/>
                <w:color w:val="auto"/>
                <w:sz w:val="24"/>
                <w:highlight w:val="none"/>
              </w:rPr>
            </w:pPr>
          </w:p>
        </w:tc>
      </w:tr>
      <w:tr w14:paraId="23D88F47">
        <w:tblPrEx>
          <w:tblCellMar>
            <w:top w:w="0" w:type="dxa"/>
            <w:left w:w="108" w:type="dxa"/>
            <w:bottom w:w="0" w:type="dxa"/>
            <w:right w:w="108" w:type="dxa"/>
          </w:tblCellMar>
        </w:tblPrEx>
        <w:trPr>
          <w:trHeight w:val="518" w:hRule="atLeast"/>
          <w:jc w:val="center"/>
        </w:trPr>
        <w:tc>
          <w:tcPr>
            <w:tcW w:w="1800" w:type="dxa"/>
            <w:vMerge w:val="restart"/>
            <w:tcBorders>
              <w:top w:val="single" w:color="auto" w:sz="4" w:space="0"/>
              <w:left w:val="single" w:color="auto" w:sz="4" w:space="0"/>
              <w:right w:val="single" w:color="auto" w:sz="4" w:space="0"/>
            </w:tcBorders>
            <w:noWrap w:val="0"/>
            <w:vAlign w:val="center"/>
          </w:tcPr>
          <w:p w14:paraId="0F6D3832">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联系方式</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21E222A">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联系人</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14:paraId="46AE6310">
            <w:pPr>
              <w:autoSpaceDE w:val="0"/>
              <w:autoSpaceDN w:val="0"/>
              <w:adjustRightInd w:val="0"/>
              <w:spacing w:before="120" w:after="120"/>
              <w:jc w:val="center"/>
              <w:rPr>
                <w:rFonts w:hint="eastAsia" w:ascii="宋体" w:hAnsi="宋体" w:cs="黑体"/>
                <w:bCs/>
                <w:caps/>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4383024">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电  话</w:t>
            </w: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14:paraId="2648023D">
            <w:pPr>
              <w:autoSpaceDE w:val="0"/>
              <w:autoSpaceDN w:val="0"/>
              <w:adjustRightInd w:val="0"/>
              <w:spacing w:before="120" w:after="120"/>
              <w:jc w:val="center"/>
              <w:rPr>
                <w:rFonts w:hint="eastAsia" w:ascii="宋体" w:hAnsi="宋体" w:cs="黑体"/>
                <w:bCs/>
                <w:caps/>
                <w:color w:val="auto"/>
                <w:sz w:val="24"/>
                <w:highlight w:val="none"/>
              </w:rPr>
            </w:pPr>
          </w:p>
        </w:tc>
      </w:tr>
      <w:tr w14:paraId="5266FC49">
        <w:tblPrEx>
          <w:tblCellMar>
            <w:top w:w="0" w:type="dxa"/>
            <w:left w:w="108" w:type="dxa"/>
            <w:bottom w:w="0" w:type="dxa"/>
            <w:right w:w="108" w:type="dxa"/>
          </w:tblCellMar>
        </w:tblPrEx>
        <w:trPr>
          <w:trHeight w:val="544" w:hRule="atLeast"/>
          <w:jc w:val="center"/>
        </w:trPr>
        <w:tc>
          <w:tcPr>
            <w:tcW w:w="1800" w:type="dxa"/>
            <w:vMerge w:val="continue"/>
            <w:tcBorders>
              <w:left w:val="single" w:color="auto" w:sz="4" w:space="0"/>
              <w:bottom w:val="single" w:color="auto" w:sz="4" w:space="0"/>
              <w:right w:val="single" w:color="auto" w:sz="4" w:space="0"/>
            </w:tcBorders>
            <w:noWrap w:val="0"/>
            <w:vAlign w:val="center"/>
          </w:tcPr>
          <w:p w14:paraId="2CE9593C">
            <w:pPr>
              <w:autoSpaceDE w:val="0"/>
              <w:autoSpaceDN w:val="0"/>
              <w:adjustRightInd w:val="0"/>
              <w:spacing w:before="120" w:after="120"/>
              <w:jc w:val="center"/>
              <w:rPr>
                <w:rFonts w:hint="eastAsia" w:ascii="宋体" w:hAnsi="宋体" w:cs="黑体"/>
                <w:bCs/>
                <w:caps/>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4A3AF43">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传  真</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14:paraId="11973221">
            <w:pPr>
              <w:autoSpaceDE w:val="0"/>
              <w:autoSpaceDN w:val="0"/>
              <w:adjustRightInd w:val="0"/>
              <w:spacing w:before="120" w:after="120"/>
              <w:jc w:val="center"/>
              <w:rPr>
                <w:rFonts w:hint="eastAsia" w:ascii="宋体" w:hAnsi="宋体" w:cs="黑体"/>
                <w:bCs/>
                <w:caps/>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DA5D6BC">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网  址</w:t>
            </w: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14:paraId="2314CD70">
            <w:pPr>
              <w:autoSpaceDE w:val="0"/>
              <w:autoSpaceDN w:val="0"/>
              <w:adjustRightInd w:val="0"/>
              <w:spacing w:before="120" w:after="120"/>
              <w:jc w:val="center"/>
              <w:rPr>
                <w:rFonts w:hint="eastAsia" w:ascii="宋体" w:hAnsi="宋体" w:cs="黑体"/>
                <w:bCs/>
                <w:caps/>
                <w:color w:val="auto"/>
                <w:sz w:val="24"/>
                <w:highlight w:val="none"/>
              </w:rPr>
            </w:pPr>
          </w:p>
        </w:tc>
      </w:tr>
      <w:tr w14:paraId="7E60C75A">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6AD3D3CA">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组织结构</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4187D810">
            <w:pPr>
              <w:autoSpaceDE w:val="0"/>
              <w:autoSpaceDN w:val="0"/>
              <w:adjustRightInd w:val="0"/>
              <w:spacing w:before="120" w:after="120"/>
              <w:jc w:val="center"/>
              <w:rPr>
                <w:rFonts w:hint="eastAsia" w:ascii="宋体" w:hAnsi="宋体" w:cs="黑体"/>
                <w:bCs/>
                <w:caps/>
                <w:color w:val="auto"/>
                <w:sz w:val="24"/>
                <w:highlight w:val="none"/>
              </w:rPr>
            </w:pPr>
          </w:p>
        </w:tc>
      </w:tr>
      <w:tr w14:paraId="46EC5A24">
        <w:trPr>
          <w:trHeight w:val="1063"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457CCB22">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法定代表人</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FFBF653">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姓  名</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9866E5B">
            <w:pPr>
              <w:autoSpaceDE w:val="0"/>
              <w:autoSpaceDN w:val="0"/>
              <w:adjustRightInd w:val="0"/>
              <w:spacing w:before="120" w:after="120"/>
              <w:jc w:val="center"/>
              <w:rPr>
                <w:rFonts w:hint="eastAsia" w:ascii="宋体" w:hAnsi="宋体" w:cs="黑体"/>
                <w:bCs/>
                <w:caps/>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C5A06C5">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技术职称</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570CA506">
            <w:pPr>
              <w:autoSpaceDE w:val="0"/>
              <w:autoSpaceDN w:val="0"/>
              <w:adjustRightInd w:val="0"/>
              <w:spacing w:before="120" w:after="120"/>
              <w:jc w:val="center"/>
              <w:rPr>
                <w:rFonts w:hint="eastAsia" w:ascii="宋体" w:hAnsi="宋体" w:cs="黑体"/>
                <w:bCs/>
                <w:caps/>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D8CC1BC">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电话</w:t>
            </w:r>
          </w:p>
        </w:tc>
        <w:tc>
          <w:tcPr>
            <w:tcW w:w="1299" w:type="dxa"/>
            <w:tcBorders>
              <w:top w:val="single" w:color="auto" w:sz="4" w:space="0"/>
              <w:left w:val="single" w:color="auto" w:sz="4" w:space="0"/>
              <w:bottom w:val="single" w:color="auto" w:sz="4" w:space="0"/>
              <w:right w:val="single" w:color="auto" w:sz="4" w:space="0"/>
            </w:tcBorders>
            <w:noWrap w:val="0"/>
            <w:vAlign w:val="center"/>
          </w:tcPr>
          <w:p w14:paraId="7DBB7469">
            <w:pPr>
              <w:autoSpaceDE w:val="0"/>
              <w:autoSpaceDN w:val="0"/>
              <w:adjustRightInd w:val="0"/>
              <w:spacing w:before="120" w:after="120"/>
              <w:jc w:val="center"/>
              <w:rPr>
                <w:rFonts w:hint="eastAsia" w:ascii="宋体" w:hAnsi="宋体" w:cs="黑体"/>
                <w:bCs/>
                <w:caps/>
                <w:color w:val="auto"/>
                <w:sz w:val="24"/>
                <w:highlight w:val="none"/>
              </w:rPr>
            </w:pPr>
          </w:p>
        </w:tc>
      </w:tr>
      <w:tr w14:paraId="3E31F7F8">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6FA116ED">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成立时间</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7B6D4894">
            <w:pPr>
              <w:autoSpaceDE w:val="0"/>
              <w:autoSpaceDN w:val="0"/>
              <w:adjustRightInd w:val="0"/>
              <w:spacing w:before="120" w:after="120"/>
              <w:jc w:val="center"/>
              <w:rPr>
                <w:rFonts w:hint="eastAsia" w:ascii="宋体" w:hAnsi="宋体" w:cs="黑体"/>
                <w:bCs/>
                <w:caps/>
                <w:color w:val="auto"/>
                <w:sz w:val="24"/>
                <w:highlight w:val="none"/>
              </w:rPr>
            </w:pPr>
          </w:p>
        </w:tc>
      </w:tr>
      <w:tr w14:paraId="04B7BA05">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7E5B1AF7">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营业执照号</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5D5A72AE">
            <w:pPr>
              <w:autoSpaceDE w:val="0"/>
              <w:autoSpaceDN w:val="0"/>
              <w:adjustRightInd w:val="0"/>
              <w:spacing w:before="120" w:after="120"/>
              <w:jc w:val="center"/>
              <w:rPr>
                <w:rFonts w:hint="eastAsia" w:ascii="宋体" w:hAnsi="宋体" w:cs="黑体"/>
                <w:bCs/>
                <w:caps/>
                <w:color w:val="auto"/>
                <w:sz w:val="24"/>
                <w:highlight w:val="none"/>
              </w:rPr>
            </w:pPr>
          </w:p>
        </w:tc>
      </w:tr>
      <w:tr w14:paraId="712C2A8D">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38A44B97">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注册资金</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02DF38BC">
            <w:pPr>
              <w:autoSpaceDE w:val="0"/>
              <w:autoSpaceDN w:val="0"/>
              <w:adjustRightInd w:val="0"/>
              <w:spacing w:before="120" w:after="120"/>
              <w:jc w:val="center"/>
              <w:rPr>
                <w:rFonts w:hint="eastAsia" w:ascii="宋体" w:hAnsi="宋体" w:cs="黑体"/>
                <w:bCs/>
                <w:caps/>
                <w:color w:val="auto"/>
                <w:sz w:val="24"/>
                <w:highlight w:val="none"/>
              </w:rPr>
            </w:pPr>
          </w:p>
        </w:tc>
      </w:tr>
      <w:tr w14:paraId="20251079">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138CF6F4">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开户银行</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12362074">
            <w:pPr>
              <w:autoSpaceDE w:val="0"/>
              <w:autoSpaceDN w:val="0"/>
              <w:adjustRightInd w:val="0"/>
              <w:spacing w:before="120" w:after="120"/>
              <w:jc w:val="center"/>
              <w:rPr>
                <w:rFonts w:hint="eastAsia" w:ascii="宋体" w:hAnsi="宋体" w:cs="黑体"/>
                <w:bCs/>
                <w:caps/>
                <w:color w:val="auto"/>
                <w:sz w:val="24"/>
                <w:highlight w:val="none"/>
              </w:rPr>
            </w:pPr>
          </w:p>
        </w:tc>
      </w:tr>
      <w:tr w14:paraId="22311562">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6D4E1F9F">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账    号</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1D89BBC8">
            <w:pPr>
              <w:autoSpaceDE w:val="0"/>
              <w:autoSpaceDN w:val="0"/>
              <w:adjustRightInd w:val="0"/>
              <w:spacing w:before="120" w:after="120"/>
              <w:jc w:val="center"/>
              <w:rPr>
                <w:rFonts w:hint="eastAsia" w:ascii="宋体" w:hAnsi="宋体" w:cs="黑体"/>
                <w:bCs/>
                <w:caps/>
                <w:color w:val="auto"/>
                <w:sz w:val="24"/>
                <w:highlight w:val="none"/>
              </w:rPr>
            </w:pPr>
          </w:p>
        </w:tc>
      </w:tr>
      <w:tr w14:paraId="0CE730EB">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14AEAA1F">
            <w:pPr>
              <w:autoSpaceDE w:val="0"/>
              <w:autoSpaceDN w:val="0"/>
              <w:adjustRightInd w:val="0"/>
              <w:spacing w:before="120" w:after="120"/>
              <w:jc w:val="center"/>
              <w:rPr>
                <w:rFonts w:hint="eastAsia" w:ascii="宋体" w:hAnsi="宋体" w:cs="仿宋_GB2312"/>
                <w:bCs/>
                <w:caps/>
                <w:color w:val="auto"/>
                <w:sz w:val="24"/>
                <w:highlight w:val="none"/>
              </w:rPr>
            </w:pPr>
            <w:r>
              <w:rPr>
                <w:rFonts w:hint="eastAsia" w:ascii="宋体" w:hAnsi="宋体" w:cs="仿宋_GB2312"/>
                <w:bCs/>
                <w:caps/>
                <w:color w:val="auto"/>
                <w:sz w:val="24"/>
                <w:highlight w:val="none"/>
              </w:rPr>
              <w:t>经营范围</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1AF03F4C">
            <w:pPr>
              <w:autoSpaceDE w:val="0"/>
              <w:autoSpaceDN w:val="0"/>
              <w:adjustRightInd w:val="0"/>
              <w:spacing w:before="120" w:after="120"/>
              <w:jc w:val="center"/>
              <w:rPr>
                <w:rFonts w:hint="eastAsia" w:ascii="宋体" w:hAnsi="宋体" w:cs="黑体"/>
                <w:bCs/>
                <w:caps/>
                <w:color w:val="auto"/>
                <w:sz w:val="24"/>
                <w:highlight w:val="none"/>
              </w:rPr>
            </w:pPr>
          </w:p>
        </w:tc>
      </w:tr>
      <w:tr w14:paraId="47EE59C7">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5E105219">
            <w:pPr>
              <w:autoSpaceDE w:val="0"/>
              <w:autoSpaceDN w:val="0"/>
              <w:adjustRightInd w:val="0"/>
              <w:spacing w:before="120" w:after="120"/>
              <w:jc w:val="center"/>
              <w:rPr>
                <w:rFonts w:hint="eastAsia" w:ascii="宋体" w:hAnsi="宋体" w:cs="仿宋_GB2312"/>
                <w:bCs/>
                <w:caps/>
                <w:color w:val="auto"/>
                <w:sz w:val="24"/>
                <w:highlight w:val="none"/>
              </w:rPr>
            </w:pPr>
            <w:r>
              <w:rPr>
                <w:rFonts w:hint="eastAsia" w:ascii="宋体" w:hAnsi="宋体" w:cs="仿宋_GB2312"/>
                <w:bCs/>
                <w:caps/>
                <w:color w:val="auto"/>
                <w:sz w:val="24"/>
                <w:highlight w:val="none"/>
              </w:rPr>
              <w:t>员工总人数</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4CC2FC3B">
            <w:pPr>
              <w:autoSpaceDE w:val="0"/>
              <w:autoSpaceDN w:val="0"/>
              <w:adjustRightInd w:val="0"/>
              <w:spacing w:before="120" w:after="120"/>
              <w:jc w:val="center"/>
              <w:rPr>
                <w:rFonts w:hint="eastAsia" w:ascii="宋体" w:hAnsi="宋体" w:cs="黑体"/>
                <w:bCs/>
                <w:caps/>
                <w:color w:val="auto"/>
                <w:sz w:val="24"/>
                <w:highlight w:val="none"/>
              </w:rPr>
            </w:pPr>
          </w:p>
        </w:tc>
      </w:tr>
      <w:tr w14:paraId="3234F3BE">
        <w:tblPrEx>
          <w:tblCellMar>
            <w:top w:w="0" w:type="dxa"/>
            <w:left w:w="108" w:type="dxa"/>
            <w:bottom w:w="0" w:type="dxa"/>
            <w:right w:w="108" w:type="dxa"/>
          </w:tblCellMar>
        </w:tblPrEx>
        <w:trPr>
          <w:trHeight w:val="2004" w:hRule="exac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48B5D885">
            <w:pPr>
              <w:autoSpaceDE w:val="0"/>
              <w:autoSpaceDN w:val="0"/>
              <w:adjustRightInd w:val="0"/>
              <w:spacing w:before="120" w:after="120"/>
              <w:jc w:val="center"/>
              <w:rPr>
                <w:rFonts w:hint="eastAsia" w:ascii="宋体" w:hAnsi="宋体" w:cs="仿宋_GB2312"/>
                <w:bCs/>
                <w:caps/>
                <w:color w:val="auto"/>
                <w:sz w:val="24"/>
                <w:highlight w:val="none"/>
              </w:rPr>
            </w:pPr>
            <w:r>
              <w:rPr>
                <w:rFonts w:hint="eastAsia" w:ascii="宋体" w:hAnsi="宋体" w:cs="仿宋_GB2312"/>
                <w:bCs/>
                <w:caps/>
                <w:color w:val="auto"/>
                <w:sz w:val="24"/>
                <w:highlight w:val="none"/>
              </w:rPr>
              <w:t>备    注</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21EF8535">
            <w:pPr>
              <w:autoSpaceDE w:val="0"/>
              <w:autoSpaceDN w:val="0"/>
              <w:adjustRightInd w:val="0"/>
              <w:spacing w:before="120" w:after="120"/>
              <w:jc w:val="center"/>
              <w:rPr>
                <w:rFonts w:hint="eastAsia" w:ascii="宋体" w:hAnsi="宋体" w:cs="黑体"/>
                <w:bCs/>
                <w:caps/>
                <w:color w:val="auto"/>
                <w:sz w:val="24"/>
                <w:highlight w:val="none"/>
              </w:rPr>
            </w:pPr>
          </w:p>
          <w:p w14:paraId="5E1D82FD">
            <w:pPr>
              <w:autoSpaceDE w:val="0"/>
              <w:autoSpaceDN w:val="0"/>
              <w:adjustRightInd w:val="0"/>
              <w:spacing w:before="120" w:after="120"/>
              <w:jc w:val="center"/>
              <w:rPr>
                <w:rFonts w:hint="eastAsia" w:ascii="宋体" w:hAnsi="宋体" w:cs="黑体"/>
                <w:bCs/>
                <w:caps/>
                <w:color w:val="auto"/>
                <w:sz w:val="24"/>
                <w:highlight w:val="none"/>
              </w:rPr>
            </w:pPr>
          </w:p>
          <w:p w14:paraId="22C3DBB4">
            <w:pPr>
              <w:autoSpaceDE w:val="0"/>
              <w:autoSpaceDN w:val="0"/>
              <w:adjustRightInd w:val="0"/>
              <w:spacing w:before="120" w:after="120"/>
              <w:jc w:val="center"/>
              <w:rPr>
                <w:rFonts w:hint="eastAsia" w:ascii="宋体" w:hAnsi="宋体" w:cs="黑体"/>
                <w:bCs/>
                <w:caps/>
                <w:color w:val="auto"/>
                <w:sz w:val="24"/>
                <w:highlight w:val="none"/>
              </w:rPr>
            </w:pPr>
          </w:p>
          <w:p w14:paraId="20FCE6A6">
            <w:pPr>
              <w:autoSpaceDE w:val="0"/>
              <w:autoSpaceDN w:val="0"/>
              <w:adjustRightInd w:val="0"/>
              <w:spacing w:before="120" w:after="120"/>
              <w:jc w:val="center"/>
              <w:rPr>
                <w:rFonts w:hint="eastAsia" w:ascii="宋体" w:hAnsi="宋体" w:cs="黑体"/>
                <w:bCs/>
                <w:caps/>
                <w:color w:val="auto"/>
                <w:sz w:val="24"/>
                <w:highlight w:val="none"/>
              </w:rPr>
            </w:pPr>
          </w:p>
          <w:p w14:paraId="4C806537">
            <w:pPr>
              <w:autoSpaceDE w:val="0"/>
              <w:autoSpaceDN w:val="0"/>
              <w:adjustRightInd w:val="0"/>
              <w:spacing w:before="120" w:after="120"/>
              <w:jc w:val="center"/>
              <w:rPr>
                <w:rFonts w:hint="eastAsia" w:ascii="宋体" w:hAnsi="宋体" w:cs="黑体"/>
                <w:bCs/>
                <w:caps/>
                <w:color w:val="auto"/>
                <w:sz w:val="24"/>
                <w:highlight w:val="none"/>
              </w:rPr>
            </w:pPr>
          </w:p>
          <w:p w14:paraId="10559887">
            <w:pPr>
              <w:autoSpaceDE w:val="0"/>
              <w:autoSpaceDN w:val="0"/>
              <w:adjustRightInd w:val="0"/>
              <w:spacing w:before="120" w:after="120"/>
              <w:jc w:val="center"/>
              <w:rPr>
                <w:rFonts w:hint="eastAsia" w:ascii="宋体" w:hAnsi="宋体" w:cs="黑体"/>
                <w:bCs/>
                <w:caps/>
                <w:color w:val="auto"/>
                <w:sz w:val="24"/>
                <w:highlight w:val="none"/>
              </w:rPr>
            </w:pPr>
          </w:p>
          <w:p w14:paraId="1744E951">
            <w:pPr>
              <w:autoSpaceDE w:val="0"/>
              <w:autoSpaceDN w:val="0"/>
              <w:adjustRightInd w:val="0"/>
              <w:spacing w:before="120" w:after="120"/>
              <w:jc w:val="center"/>
              <w:rPr>
                <w:rFonts w:hint="eastAsia" w:ascii="宋体" w:hAnsi="宋体" w:cs="黑体"/>
                <w:bCs/>
                <w:caps/>
                <w:color w:val="auto"/>
                <w:sz w:val="24"/>
                <w:highlight w:val="none"/>
              </w:rPr>
            </w:pPr>
          </w:p>
        </w:tc>
      </w:tr>
    </w:tbl>
    <w:p w14:paraId="3D756676">
      <w:pPr>
        <w:rPr>
          <w:rFonts w:hint="eastAsia" w:ascii="仿宋" w:hAnsi="仿宋" w:eastAsia="仿宋" w:cs="仿宋"/>
          <w:b/>
          <w:color w:val="auto"/>
          <w:sz w:val="32"/>
          <w:szCs w:val="30"/>
          <w:highlight w:val="none"/>
          <w:lang w:val="zh-CN" w:eastAsia="zh-CN"/>
        </w:rPr>
      </w:pPr>
      <w:bookmarkStart w:id="115" w:name="_Toc17307"/>
      <w:r>
        <w:rPr>
          <w:rFonts w:hint="eastAsia" w:ascii="宋体" w:hAnsi="宋体" w:cs="仿宋_GB2312"/>
          <w:bCs/>
          <w:caps/>
          <w:color w:val="auto"/>
          <w:sz w:val="24"/>
          <w:highlight w:val="none"/>
        </w:rPr>
        <w:t>后附营业执照(副本)等材料复印件</w:t>
      </w:r>
      <w:bookmarkEnd w:id="115"/>
      <w:r>
        <w:rPr>
          <w:rFonts w:hint="eastAsia" w:ascii="仿宋" w:hAnsi="仿宋" w:eastAsia="仿宋" w:cs="仿宋"/>
          <w:b/>
          <w:color w:val="auto"/>
          <w:sz w:val="32"/>
          <w:szCs w:val="30"/>
          <w:highlight w:val="none"/>
          <w:lang w:val="zh-CN" w:eastAsia="zh-CN"/>
        </w:rPr>
        <w:br w:type="page"/>
      </w:r>
    </w:p>
    <w:p w14:paraId="2FED082A">
      <w:pPr>
        <w:pStyle w:val="4"/>
        <w:spacing w:before="0" w:after="0" w:line="36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cs="仿宋"/>
          <w:color w:val="auto"/>
          <w:sz w:val="28"/>
          <w:szCs w:val="28"/>
          <w:highlight w:val="none"/>
          <w:lang w:val="en-US" w:eastAsia="zh-CN"/>
        </w:rPr>
        <w:t>二</w:t>
      </w:r>
      <w:r>
        <w:rPr>
          <w:rFonts w:hint="eastAsia" w:ascii="仿宋" w:hAnsi="仿宋" w:eastAsia="仿宋" w:cs="仿宋"/>
          <w:color w:val="auto"/>
          <w:sz w:val="28"/>
          <w:szCs w:val="28"/>
          <w:highlight w:val="none"/>
          <w:lang w:eastAsia="zh-CN"/>
        </w:rPr>
        <w:t>）投标单位财务状况</w:t>
      </w:r>
    </w:p>
    <w:p w14:paraId="44A89E66">
      <w:pPr>
        <w:rPr>
          <w:rFonts w:hint="eastAsia" w:ascii="仿宋" w:hAnsi="仿宋" w:eastAsia="仿宋" w:cs="仿宋"/>
          <w:b/>
          <w:color w:val="auto"/>
          <w:sz w:val="32"/>
          <w:szCs w:val="30"/>
          <w:highlight w:val="none"/>
          <w:lang w:val="zh-CN" w:eastAsia="zh-CN"/>
        </w:rPr>
      </w:pPr>
      <w:r>
        <w:rPr>
          <w:rFonts w:hint="eastAsia" w:ascii="仿宋" w:hAnsi="仿宋" w:eastAsia="仿宋" w:cs="仿宋"/>
          <w:color w:val="auto"/>
          <w:sz w:val="21"/>
          <w:szCs w:val="21"/>
          <w:highlight w:val="none"/>
        </w:rPr>
        <w:t>应出具近三年（</w:t>
      </w:r>
      <w:r>
        <w:rPr>
          <w:rFonts w:hint="eastAsia" w:cs="仿宋"/>
          <w:color w:val="auto"/>
          <w:sz w:val="21"/>
          <w:szCs w:val="21"/>
          <w:highlight w:val="none"/>
          <w:lang w:eastAsia="zh-CN"/>
        </w:rPr>
        <w:t>2022年至2024年</w:t>
      </w:r>
      <w:r>
        <w:rPr>
          <w:rFonts w:hint="eastAsia" w:ascii="仿宋" w:hAnsi="仿宋" w:eastAsia="仿宋" w:cs="仿宋"/>
          <w:color w:val="auto"/>
          <w:sz w:val="21"/>
          <w:szCs w:val="21"/>
          <w:highlight w:val="none"/>
        </w:rPr>
        <w:t>）经会计师事务所审计的财务审计报告</w:t>
      </w:r>
      <w:r>
        <w:rPr>
          <w:rFonts w:hint="eastAsia" w:cs="仿宋"/>
          <w:color w:val="auto"/>
          <w:sz w:val="21"/>
          <w:szCs w:val="21"/>
          <w:highlight w:val="none"/>
          <w:lang w:val="en-US" w:eastAsia="zh-CN"/>
        </w:rPr>
        <w:t>或财务报表</w:t>
      </w:r>
      <w:r>
        <w:rPr>
          <w:rFonts w:hint="eastAsia" w:ascii="仿宋" w:hAnsi="仿宋" w:eastAsia="仿宋" w:cs="仿宋"/>
          <w:color w:val="auto"/>
          <w:sz w:val="21"/>
          <w:szCs w:val="21"/>
          <w:highlight w:val="none"/>
        </w:rPr>
        <w:t>（投标人的成立时间少于规定年份的，</w:t>
      </w:r>
      <w:r>
        <w:rPr>
          <w:rFonts w:hint="eastAsia" w:cs="仿宋"/>
          <w:color w:val="auto"/>
          <w:sz w:val="21"/>
          <w:szCs w:val="21"/>
          <w:highlight w:val="none"/>
          <w:lang w:eastAsia="zh-CN"/>
        </w:rPr>
        <w:t>应提供成立以来至2024年的财务审计报告或财务报表</w:t>
      </w:r>
      <w:r>
        <w:rPr>
          <w:rFonts w:hint="eastAsia" w:ascii="仿宋" w:hAnsi="仿宋" w:eastAsia="仿宋" w:cs="仿宋"/>
          <w:color w:val="auto"/>
          <w:sz w:val="21"/>
          <w:szCs w:val="21"/>
          <w:highlight w:val="none"/>
        </w:rPr>
        <w:t>；</w:t>
      </w:r>
      <w:r>
        <w:rPr>
          <w:rFonts w:hint="eastAsia" w:cs="仿宋"/>
          <w:color w:val="auto"/>
          <w:sz w:val="21"/>
          <w:szCs w:val="21"/>
          <w:highlight w:val="none"/>
          <w:lang w:eastAsia="zh-CN"/>
        </w:rPr>
        <w:t>2025年以后新成立企业需提供近三个月内银行出具的公司资信证明）</w:t>
      </w:r>
    </w:p>
    <w:p w14:paraId="3EFF5D90">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br w:type="page"/>
      </w:r>
    </w:p>
    <w:p w14:paraId="090ECBCC">
      <w:pPr>
        <w:pStyle w:val="4"/>
        <w:spacing w:before="0" w:after="0" w:line="36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w:t>
      </w:r>
      <w:r>
        <w:rPr>
          <w:rFonts w:hint="eastAsia" w:cs="仿宋"/>
          <w:color w:val="auto"/>
          <w:sz w:val="28"/>
          <w:szCs w:val="28"/>
          <w:highlight w:val="none"/>
          <w:lang w:val="en-US" w:eastAsia="zh-CN"/>
        </w:rPr>
        <w:t>社保缴费凭证</w:t>
      </w:r>
    </w:p>
    <w:p w14:paraId="76E2D345">
      <w:pPr>
        <w:spacing w:before="0" w:after="0" w:line="360" w:lineRule="auto"/>
        <w:ind w:firstLine="420" w:firstLineChars="0"/>
        <w:jc w:val="left"/>
        <w:outlineLvl w:val="9"/>
        <w:rPr>
          <w:rFonts w:hint="eastAsia"/>
          <w:color w:val="auto"/>
          <w:highlight w:val="none"/>
          <w:lang w:val="en-US" w:eastAsia="zh-CN"/>
        </w:rPr>
      </w:pPr>
      <w:r>
        <w:rPr>
          <w:rFonts w:hint="eastAsia"/>
          <w:color w:val="auto"/>
          <w:highlight w:val="none"/>
          <w:lang w:val="en-US" w:eastAsia="zh-CN"/>
        </w:rPr>
        <w:t>供应商应提供近六个月中至少一个月的社会缴纳社会保险的凭据（专用收据或社会保险缴纳清单）和良好缴纳税收的相关凭据（以税务机关提供的纳税凭据或银行入账单为准），并加盖本单位公章。依法免税或不需要缴纳社会保障资金的供应商，应提供相应文件证明其依法免税或不需要缴纳社会保障资金</w:t>
      </w:r>
    </w:p>
    <w:p w14:paraId="6EB97BA5">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45334522">
      <w:pPr>
        <w:pStyle w:val="4"/>
        <w:spacing w:before="0" w:after="0" w:line="36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r>
        <w:rPr>
          <w:rFonts w:hint="eastAsia" w:cs="仿宋"/>
          <w:color w:val="auto"/>
          <w:sz w:val="28"/>
          <w:szCs w:val="28"/>
          <w:highlight w:val="none"/>
          <w:lang w:val="en-US" w:eastAsia="zh-CN"/>
        </w:rPr>
        <w:t>四</w:t>
      </w:r>
      <w:r>
        <w:rPr>
          <w:rFonts w:hint="eastAsia" w:ascii="仿宋" w:hAnsi="仿宋" w:eastAsia="仿宋" w:cs="仿宋"/>
          <w:color w:val="auto"/>
          <w:sz w:val="28"/>
          <w:szCs w:val="28"/>
          <w:highlight w:val="none"/>
          <w:lang w:val="en-US" w:eastAsia="zh-CN"/>
        </w:rPr>
        <w:t>）类似项目业绩</w:t>
      </w:r>
    </w:p>
    <w:tbl>
      <w:tblPr>
        <w:tblStyle w:val="20"/>
        <w:tblW w:w="9015" w:type="dxa"/>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5"/>
        <w:gridCol w:w="1350"/>
        <w:gridCol w:w="1275"/>
        <w:gridCol w:w="1380"/>
        <w:gridCol w:w="1365"/>
        <w:gridCol w:w="2580"/>
      </w:tblGrid>
      <w:tr w14:paraId="361DD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65" w:type="dxa"/>
            <w:noWrap w:val="0"/>
            <w:vAlign w:val="center"/>
          </w:tcPr>
          <w:p w14:paraId="2243DBC3">
            <w:pPr>
              <w:pStyle w:val="4"/>
              <w:spacing w:line="360" w:lineRule="auto"/>
              <w:jc w:val="center"/>
              <w:rPr>
                <w:rFonts w:hint="eastAsia"/>
                <w:b w:val="0"/>
                <w:color w:val="auto"/>
                <w:sz w:val="24"/>
                <w:szCs w:val="24"/>
                <w:highlight w:val="none"/>
                <w:lang w:eastAsia="zh-CN"/>
              </w:rPr>
            </w:pPr>
            <w:r>
              <w:rPr>
                <w:rFonts w:hint="eastAsia"/>
                <w:b w:val="0"/>
                <w:color w:val="auto"/>
                <w:sz w:val="24"/>
                <w:szCs w:val="24"/>
                <w:highlight w:val="none"/>
                <w:lang w:eastAsia="zh-CN"/>
              </w:rPr>
              <w:t>序号</w:t>
            </w:r>
          </w:p>
        </w:tc>
        <w:tc>
          <w:tcPr>
            <w:tcW w:w="1350" w:type="dxa"/>
            <w:noWrap w:val="0"/>
            <w:vAlign w:val="center"/>
          </w:tcPr>
          <w:p w14:paraId="63A661BE">
            <w:pPr>
              <w:pStyle w:val="4"/>
              <w:spacing w:line="360" w:lineRule="auto"/>
              <w:jc w:val="center"/>
              <w:rPr>
                <w:rFonts w:hint="eastAsia"/>
                <w:b w:val="0"/>
                <w:color w:val="auto"/>
                <w:sz w:val="24"/>
                <w:szCs w:val="24"/>
                <w:highlight w:val="none"/>
                <w:lang w:eastAsia="zh-CN"/>
              </w:rPr>
            </w:pPr>
            <w:r>
              <w:rPr>
                <w:rFonts w:hint="eastAsia"/>
                <w:b w:val="0"/>
                <w:color w:val="auto"/>
                <w:sz w:val="24"/>
                <w:szCs w:val="24"/>
                <w:highlight w:val="none"/>
                <w:lang w:eastAsia="zh-CN"/>
              </w:rPr>
              <w:t>项目名称</w:t>
            </w:r>
          </w:p>
        </w:tc>
        <w:tc>
          <w:tcPr>
            <w:tcW w:w="1275" w:type="dxa"/>
            <w:noWrap w:val="0"/>
            <w:vAlign w:val="center"/>
          </w:tcPr>
          <w:p w14:paraId="59CA02CB">
            <w:pPr>
              <w:pStyle w:val="4"/>
              <w:spacing w:line="360" w:lineRule="auto"/>
              <w:jc w:val="center"/>
              <w:rPr>
                <w:rFonts w:hint="eastAsia"/>
                <w:b w:val="0"/>
                <w:color w:val="auto"/>
                <w:sz w:val="24"/>
                <w:szCs w:val="24"/>
                <w:highlight w:val="none"/>
                <w:lang w:eastAsia="zh-CN"/>
              </w:rPr>
            </w:pPr>
            <w:r>
              <w:rPr>
                <w:rFonts w:hint="eastAsia"/>
                <w:b w:val="0"/>
                <w:color w:val="auto"/>
                <w:sz w:val="24"/>
                <w:szCs w:val="24"/>
                <w:highlight w:val="none"/>
                <w:lang w:eastAsia="zh-CN"/>
              </w:rPr>
              <w:t>采购内容</w:t>
            </w:r>
          </w:p>
        </w:tc>
        <w:tc>
          <w:tcPr>
            <w:tcW w:w="1380" w:type="dxa"/>
            <w:noWrap w:val="0"/>
            <w:vAlign w:val="center"/>
          </w:tcPr>
          <w:p w14:paraId="54C8407D">
            <w:pPr>
              <w:pStyle w:val="4"/>
              <w:spacing w:line="360" w:lineRule="auto"/>
              <w:jc w:val="center"/>
              <w:rPr>
                <w:rFonts w:hint="eastAsia"/>
                <w:b w:val="0"/>
                <w:color w:val="auto"/>
                <w:sz w:val="24"/>
                <w:szCs w:val="24"/>
                <w:highlight w:val="none"/>
                <w:lang w:eastAsia="zh-CN"/>
              </w:rPr>
            </w:pPr>
            <w:r>
              <w:rPr>
                <w:rFonts w:hint="eastAsia"/>
                <w:b w:val="0"/>
                <w:color w:val="auto"/>
                <w:sz w:val="24"/>
                <w:szCs w:val="24"/>
                <w:highlight w:val="none"/>
                <w:lang w:eastAsia="zh-CN"/>
              </w:rPr>
              <w:t>中标金额</w:t>
            </w:r>
          </w:p>
        </w:tc>
        <w:tc>
          <w:tcPr>
            <w:tcW w:w="1365" w:type="dxa"/>
            <w:noWrap w:val="0"/>
            <w:vAlign w:val="center"/>
          </w:tcPr>
          <w:p w14:paraId="017E6C70">
            <w:pPr>
              <w:pStyle w:val="4"/>
              <w:spacing w:line="360" w:lineRule="auto"/>
              <w:jc w:val="center"/>
              <w:rPr>
                <w:rFonts w:hint="eastAsia"/>
                <w:b w:val="0"/>
                <w:color w:val="auto"/>
                <w:sz w:val="24"/>
                <w:szCs w:val="24"/>
                <w:highlight w:val="none"/>
                <w:lang w:eastAsia="zh-CN"/>
              </w:rPr>
            </w:pPr>
            <w:r>
              <w:rPr>
                <w:rFonts w:hint="eastAsia"/>
                <w:b w:val="0"/>
                <w:color w:val="auto"/>
                <w:sz w:val="24"/>
                <w:szCs w:val="24"/>
                <w:highlight w:val="none"/>
                <w:lang w:eastAsia="zh-CN"/>
              </w:rPr>
              <w:t>服务履行期限</w:t>
            </w:r>
          </w:p>
        </w:tc>
        <w:tc>
          <w:tcPr>
            <w:tcW w:w="2580" w:type="dxa"/>
            <w:noWrap w:val="0"/>
            <w:vAlign w:val="center"/>
          </w:tcPr>
          <w:p w14:paraId="1761CE06">
            <w:pPr>
              <w:pStyle w:val="4"/>
              <w:spacing w:line="360" w:lineRule="auto"/>
              <w:jc w:val="center"/>
              <w:rPr>
                <w:rFonts w:hint="eastAsia"/>
                <w:b w:val="0"/>
                <w:color w:val="auto"/>
                <w:sz w:val="24"/>
                <w:szCs w:val="24"/>
                <w:highlight w:val="none"/>
                <w:lang w:eastAsia="zh-CN"/>
              </w:rPr>
            </w:pPr>
            <w:r>
              <w:rPr>
                <w:rFonts w:hint="eastAsia"/>
                <w:b w:val="0"/>
                <w:color w:val="auto"/>
                <w:sz w:val="24"/>
                <w:szCs w:val="24"/>
                <w:highlight w:val="none"/>
                <w:lang w:eastAsia="zh-CN"/>
              </w:rPr>
              <w:t>采购人联系电话</w:t>
            </w:r>
          </w:p>
        </w:tc>
      </w:tr>
      <w:tr w14:paraId="7DCDC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065" w:type="dxa"/>
            <w:noWrap w:val="0"/>
            <w:vAlign w:val="center"/>
          </w:tcPr>
          <w:p w14:paraId="4B250B44">
            <w:pPr>
              <w:pStyle w:val="4"/>
              <w:spacing w:line="360" w:lineRule="auto"/>
              <w:jc w:val="center"/>
              <w:rPr>
                <w:rFonts w:hint="eastAsia"/>
                <w:color w:val="auto"/>
                <w:sz w:val="24"/>
                <w:szCs w:val="24"/>
                <w:highlight w:val="none"/>
                <w:lang w:eastAsia="zh-CN"/>
              </w:rPr>
            </w:pPr>
          </w:p>
        </w:tc>
        <w:tc>
          <w:tcPr>
            <w:tcW w:w="1350" w:type="dxa"/>
            <w:noWrap w:val="0"/>
            <w:vAlign w:val="center"/>
          </w:tcPr>
          <w:p w14:paraId="7D552CFF">
            <w:pPr>
              <w:pStyle w:val="4"/>
              <w:spacing w:line="360" w:lineRule="auto"/>
              <w:jc w:val="center"/>
              <w:rPr>
                <w:rFonts w:hint="eastAsia"/>
                <w:color w:val="auto"/>
                <w:sz w:val="24"/>
                <w:szCs w:val="24"/>
                <w:highlight w:val="none"/>
                <w:lang w:eastAsia="zh-CN"/>
              </w:rPr>
            </w:pPr>
          </w:p>
        </w:tc>
        <w:tc>
          <w:tcPr>
            <w:tcW w:w="1275" w:type="dxa"/>
            <w:noWrap w:val="0"/>
            <w:vAlign w:val="center"/>
          </w:tcPr>
          <w:p w14:paraId="2DBF8E14">
            <w:pPr>
              <w:pStyle w:val="4"/>
              <w:spacing w:line="360" w:lineRule="auto"/>
              <w:jc w:val="center"/>
              <w:rPr>
                <w:rFonts w:hint="eastAsia"/>
                <w:color w:val="auto"/>
                <w:sz w:val="24"/>
                <w:szCs w:val="24"/>
                <w:highlight w:val="none"/>
                <w:lang w:eastAsia="zh-CN"/>
              </w:rPr>
            </w:pPr>
          </w:p>
        </w:tc>
        <w:tc>
          <w:tcPr>
            <w:tcW w:w="1380" w:type="dxa"/>
            <w:noWrap w:val="0"/>
            <w:vAlign w:val="center"/>
          </w:tcPr>
          <w:p w14:paraId="073E6C17">
            <w:pPr>
              <w:pStyle w:val="4"/>
              <w:spacing w:line="360" w:lineRule="auto"/>
              <w:jc w:val="center"/>
              <w:rPr>
                <w:rFonts w:hint="eastAsia"/>
                <w:color w:val="auto"/>
                <w:sz w:val="24"/>
                <w:szCs w:val="24"/>
                <w:highlight w:val="none"/>
                <w:lang w:eastAsia="zh-CN"/>
              </w:rPr>
            </w:pPr>
          </w:p>
        </w:tc>
        <w:tc>
          <w:tcPr>
            <w:tcW w:w="1365" w:type="dxa"/>
            <w:noWrap w:val="0"/>
            <w:vAlign w:val="center"/>
          </w:tcPr>
          <w:p w14:paraId="30C6E1F7">
            <w:pPr>
              <w:pStyle w:val="4"/>
              <w:spacing w:line="360" w:lineRule="auto"/>
              <w:jc w:val="center"/>
              <w:rPr>
                <w:rFonts w:hint="eastAsia"/>
                <w:color w:val="auto"/>
                <w:sz w:val="24"/>
                <w:szCs w:val="24"/>
                <w:highlight w:val="none"/>
                <w:lang w:eastAsia="zh-CN"/>
              </w:rPr>
            </w:pPr>
          </w:p>
        </w:tc>
        <w:tc>
          <w:tcPr>
            <w:tcW w:w="2580" w:type="dxa"/>
            <w:noWrap w:val="0"/>
            <w:vAlign w:val="center"/>
          </w:tcPr>
          <w:p w14:paraId="5355CD10">
            <w:pPr>
              <w:pStyle w:val="4"/>
              <w:spacing w:line="360" w:lineRule="auto"/>
              <w:jc w:val="center"/>
              <w:rPr>
                <w:rFonts w:hint="eastAsia"/>
                <w:color w:val="auto"/>
                <w:sz w:val="24"/>
                <w:szCs w:val="24"/>
                <w:highlight w:val="none"/>
                <w:lang w:eastAsia="zh-CN"/>
              </w:rPr>
            </w:pPr>
          </w:p>
        </w:tc>
      </w:tr>
      <w:tr w14:paraId="23A49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5" w:type="dxa"/>
            <w:noWrap w:val="0"/>
            <w:vAlign w:val="center"/>
          </w:tcPr>
          <w:p w14:paraId="47F364D5">
            <w:pPr>
              <w:pStyle w:val="4"/>
              <w:spacing w:line="360" w:lineRule="auto"/>
              <w:jc w:val="center"/>
              <w:rPr>
                <w:rFonts w:hint="eastAsia"/>
                <w:color w:val="auto"/>
                <w:sz w:val="24"/>
                <w:szCs w:val="24"/>
                <w:highlight w:val="none"/>
                <w:lang w:eastAsia="zh-CN"/>
              </w:rPr>
            </w:pPr>
          </w:p>
        </w:tc>
        <w:tc>
          <w:tcPr>
            <w:tcW w:w="1350" w:type="dxa"/>
            <w:noWrap w:val="0"/>
            <w:vAlign w:val="center"/>
          </w:tcPr>
          <w:p w14:paraId="3C46B129">
            <w:pPr>
              <w:pStyle w:val="4"/>
              <w:spacing w:line="360" w:lineRule="auto"/>
              <w:jc w:val="center"/>
              <w:rPr>
                <w:rFonts w:hint="eastAsia"/>
                <w:color w:val="auto"/>
                <w:sz w:val="24"/>
                <w:szCs w:val="24"/>
                <w:highlight w:val="none"/>
                <w:lang w:eastAsia="zh-CN"/>
              </w:rPr>
            </w:pPr>
          </w:p>
        </w:tc>
        <w:tc>
          <w:tcPr>
            <w:tcW w:w="1275" w:type="dxa"/>
            <w:noWrap w:val="0"/>
            <w:vAlign w:val="center"/>
          </w:tcPr>
          <w:p w14:paraId="4F082CFC">
            <w:pPr>
              <w:pStyle w:val="4"/>
              <w:spacing w:line="360" w:lineRule="auto"/>
              <w:jc w:val="center"/>
              <w:rPr>
                <w:rFonts w:hint="eastAsia"/>
                <w:color w:val="auto"/>
                <w:sz w:val="24"/>
                <w:szCs w:val="24"/>
                <w:highlight w:val="none"/>
                <w:lang w:eastAsia="zh-CN"/>
              </w:rPr>
            </w:pPr>
          </w:p>
        </w:tc>
        <w:tc>
          <w:tcPr>
            <w:tcW w:w="1380" w:type="dxa"/>
            <w:noWrap w:val="0"/>
            <w:vAlign w:val="center"/>
          </w:tcPr>
          <w:p w14:paraId="15268AEA">
            <w:pPr>
              <w:pStyle w:val="4"/>
              <w:spacing w:line="360" w:lineRule="auto"/>
              <w:jc w:val="center"/>
              <w:rPr>
                <w:rFonts w:hint="eastAsia"/>
                <w:color w:val="auto"/>
                <w:sz w:val="24"/>
                <w:szCs w:val="24"/>
                <w:highlight w:val="none"/>
                <w:lang w:eastAsia="zh-CN"/>
              </w:rPr>
            </w:pPr>
          </w:p>
        </w:tc>
        <w:tc>
          <w:tcPr>
            <w:tcW w:w="1365" w:type="dxa"/>
            <w:noWrap w:val="0"/>
            <w:vAlign w:val="center"/>
          </w:tcPr>
          <w:p w14:paraId="69E18915">
            <w:pPr>
              <w:pStyle w:val="4"/>
              <w:spacing w:line="360" w:lineRule="auto"/>
              <w:jc w:val="center"/>
              <w:rPr>
                <w:rFonts w:hint="eastAsia"/>
                <w:color w:val="auto"/>
                <w:sz w:val="24"/>
                <w:szCs w:val="24"/>
                <w:highlight w:val="none"/>
                <w:lang w:eastAsia="zh-CN"/>
              </w:rPr>
            </w:pPr>
          </w:p>
        </w:tc>
        <w:tc>
          <w:tcPr>
            <w:tcW w:w="2580" w:type="dxa"/>
            <w:noWrap w:val="0"/>
            <w:vAlign w:val="center"/>
          </w:tcPr>
          <w:p w14:paraId="13CE3C36">
            <w:pPr>
              <w:pStyle w:val="4"/>
              <w:spacing w:line="360" w:lineRule="auto"/>
              <w:jc w:val="center"/>
              <w:rPr>
                <w:rFonts w:hint="eastAsia"/>
                <w:color w:val="auto"/>
                <w:sz w:val="24"/>
                <w:szCs w:val="24"/>
                <w:highlight w:val="none"/>
                <w:lang w:eastAsia="zh-CN"/>
              </w:rPr>
            </w:pPr>
          </w:p>
        </w:tc>
      </w:tr>
      <w:tr w14:paraId="49448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5" w:type="dxa"/>
            <w:noWrap w:val="0"/>
            <w:vAlign w:val="center"/>
          </w:tcPr>
          <w:p w14:paraId="21FA7FDB">
            <w:pPr>
              <w:pStyle w:val="4"/>
              <w:spacing w:line="360" w:lineRule="auto"/>
              <w:jc w:val="center"/>
              <w:rPr>
                <w:rFonts w:hint="eastAsia"/>
                <w:color w:val="auto"/>
                <w:sz w:val="24"/>
                <w:szCs w:val="24"/>
                <w:highlight w:val="none"/>
                <w:lang w:eastAsia="zh-CN"/>
              </w:rPr>
            </w:pPr>
          </w:p>
        </w:tc>
        <w:tc>
          <w:tcPr>
            <w:tcW w:w="1350" w:type="dxa"/>
            <w:noWrap w:val="0"/>
            <w:vAlign w:val="center"/>
          </w:tcPr>
          <w:p w14:paraId="519EBF6F">
            <w:pPr>
              <w:pStyle w:val="4"/>
              <w:spacing w:line="360" w:lineRule="auto"/>
              <w:jc w:val="center"/>
              <w:rPr>
                <w:rFonts w:hint="eastAsia"/>
                <w:color w:val="auto"/>
                <w:sz w:val="24"/>
                <w:szCs w:val="24"/>
                <w:highlight w:val="none"/>
                <w:lang w:eastAsia="zh-CN"/>
              </w:rPr>
            </w:pPr>
          </w:p>
        </w:tc>
        <w:tc>
          <w:tcPr>
            <w:tcW w:w="1275" w:type="dxa"/>
            <w:noWrap w:val="0"/>
            <w:vAlign w:val="center"/>
          </w:tcPr>
          <w:p w14:paraId="5DDA2531">
            <w:pPr>
              <w:pStyle w:val="4"/>
              <w:spacing w:line="360" w:lineRule="auto"/>
              <w:jc w:val="center"/>
              <w:rPr>
                <w:rFonts w:hint="eastAsia"/>
                <w:color w:val="auto"/>
                <w:sz w:val="24"/>
                <w:szCs w:val="24"/>
                <w:highlight w:val="none"/>
                <w:lang w:eastAsia="zh-CN"/>
              </w:rPr>
            </w:pPr>
          </w:p>
        </w:tc>
        <w:tc>
          <w:tcPr>
            <w:tcW w:w="1380" w:type="dxa"/>
            <w:noWrap w:val="0"/>
            <w:vAlign w:val="center"/>
          </w:tcPr>
          <w:p w14:paraId="670BC509">
            <w:pPr>
              <w:pStyle w:val="4"/>
              <w:spacing w:line="360" w:lineRule="auto"/>
              <w:jc w:val="center"/>
              <w:rPr>
                <w:rFonts w:hint="eastAsia"/>
                <w:color w:val="auto"/>
                <w:sz w:val="24"/>
                <w:szCs w:val="24"/>
                <w:highlight w:val="none"/>
                <w:lang w:eastAsia="zh-CN"/>
              </w:rPr>
            </w:pPr>
          </w:p>
        </w:tc>
        <w:tc>
          <w:tcPr>
            <w:tcW w:w="1365" w:type="dxa"/>
            <w:noWrap w:val="0"/>
            <w:vAlign w:val="center"/>
          </w:tcPr>
          <w:p w14:paraId="62C7107C">
            <w:pPr>
              <w:pStyle w:val="4"/>
              <w:spacing w:line="360" w:lineRule="auto"/>
              <w:jc w:val="center"/>
              <w:rPr>
                <w:rFonts w:hint="eastAsia"/>
                <w:color w:val="auto"/>
                <w:sz w:val="24"/>
                <w:szCs w:val="24"/>
                <w:highlight w:val="none"/>
                <w:lang w:eastAsia="zh-CN"/>
              </w:rPr>
            </w:pPr>
          </w:p>
        </w:tc>
        <w:tc>
          <w:tcPr>
            <w:tcW w:w="2580" w:type="dxa"/>
            <w:noWrap w:val="0"/>
            <w:vAlign w:val="center"/>
          </w:tcPr>
          <w:p w14:paraId="4E0E7169">
            <w:pPr>
              <w:pStyle w:val="4"/>
              <w:spacing w:line="360" w:lineRule="auto"/>
              <w:jc w:val="center"/>
              <w:rPr>
                <w:rFonts w:hint="eastAsia"/>
                <w:color w:val="auto"/>
                <w:sz w:val="24"/>
                <w:szCs w:val="24"/>
                <w:highlight w:val="none"/>
                <w:lang w:eastAsia="zh-CN"/>
              </w:rPr>
            </w:pPr>
          </w:p>
        </w:tc>
      </w:tr>
      <w:tr w14:paraId="1EEFB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5" w:type="dxa"/>
            <w:noWrap w:val="0"/>
            <w:vAlign w:val="center"/>
          </w:tcPr>
          <w:p w14:paraId="78B7AC16">
            <w:pPr>
              <w:pStyle w:val="4"/>
              <w:spacing w:line="360" w:lineRule="auto"/>
              <w:jc w:val="center"/>
              <w:rPr>
                <w:rFonts w:hint="eastAsia"/>
                <w:color w:val="auto"/>
                <w:sz w:val="24"/>
                <w:szCs w:val="24"/>
                <w:highlight w:val="none"/>
                <w:lang w:eastAsia="zh-CN"/>
              </w:rPr>
            </w:pPr>
          </w:p>
        </w:tc>
        <w:tc>
          <w:tcPr>
            <w:tcW w:w="1350" w:type="dxa"/>
            <w:noWrap w:val="0"/>
            <w:vAlign w:val="center"/>
          </w:tcPr>
          <w:p w14:paraId="628BFC5D">
            <w:pPr>
              <w:pStyle w:val="4"/>
              <w:spacing w:line="360" w:lineRule="auto"/>
              <w:jc w:val="center"/>
              <w:rPr>
                <w:rFonts w:hint="eastAsia"/>
                <w:color w:val="auto"/>
                <w:sz w:val="24"/>
                <w:szCs w:val="24"/>
                <w:highlight w:val="none"/>
                <w:lang w:eastAsia="zh-CN"/>
              </w:rPr>
            </w:pPr>
          </w:p>
        </w:tc>
        <w:tc>
          <w:tcPr>
            <w:tcW w:w="1275" w:type="dxa"/>
            <w:noWrap w:val="0"/>
            <w:vAlign w:val="center"/>
          </w:tcPr>
          <w:p w14:paraId="3DA10C2A">
            <w:pPr>
              <w:pStyle w:val="4"/>
              <w:spacing w:line="360" w:lineRule="auto"/>
              <w:jc w:val="center"/>
              <w:rPr>
                <w:rFonts w:hint="eastAsia"/>
                <w:color w:val="auto"/>
                <w:sz w:val="24"/>
                <w:szCs w:val="24"/>
                <w:highlight w:val="none"/>
                <w:lang w:eastAsia="zh-CN"/>
              </w:rPr>
            </w:pPr>
          </w:p>
        </w:tc>
        <w:tc>
          <w:tcPr>
            <w:tcW w:w="1380" w:type="dxa"/>
            <w:noWrap w:val="0"/>
            <w:vAlign w:val="center"/>
          </w:tcPr>
          <w:p w14:paraId="29016F45">
            <w:pPr>
              <w:pStyle w:val="4"/>
              <w:spacing w:line="360" w:lineRule="auto"/>
              <w:jc w:val="center"/>
              <w:rPr>
                <w:rFonts w:hint="eastAsia"/>
                <w:color w:val="auto"/>
                <w:sz w:val="24"/>
                <w:szCs w:val="24"/>
                <w:highlight w:val="none"/>
                <w:lang w:eastAsia="zh-CN"/>
              </w:rPr>
            </w:pPr>
          </w:p>
        </w:tc>
        <w:tc>
          <w:tcPr>
            <w:tcW w:w="1365" w:type="dxa"/>
            <w:noWrap w:val="0"/>
            <w:vAlign w:val="center"/>
          </w:tcPr>
          <w:p w14:paraId="1F7420AD">
            <w:pPr>
              <w:pStyle w:val="4"/>
              <w:spacing w:line="360" w:lineRule="auto"/>
              <w:jc w:val="center"/>
              <w:rPr>
                <w:rFonts w:hint="eastAsia"/>
                <w:color w:val="auto"/>
                <w:sz w:val="24"/>
                <w:szCs w:val="24"/>
                <w:highlight w:val="none"/>
                <w:lang w:eastAsia="zh-CN"/>
              </w:rPr>
            </w:pPr>
          </w:p>
        </w:tc>
        <w:tc>
          <w:tcPr>
            <w:tcW w:w="2580" w:type="dxa"/>
            <w:noWrap w:val="0"/>
            <w:vAlign w:val="center"/>
          </w:tcPr>
          <w:p w14:paraId="74716C45">
            <w:pPr>
              <w:pStyle w:val="4"/>
              <w:spacing w:line="360" w:lineRule="auto"/>
              <w:jc w:val="center"/>
              <w:rPr>
                <w:rFonts w:hint="eastAsia"/>
                <w:color w:val="auto"/>
                <w:sz w:val="24"/>
                <w:szCs w:val="24"/>
                <w:highlight w:val="none"/>
                <w:lang w:eastAsia="zh-CN"/>
              </w:rPr>
            </w:pPr>
          </w:p>
        </w:tc>
      </w:tr>
      <w:tr w14:paraId="1E8AC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5" w:type="dxa"/>
            <w:noWrap w:val="0"/>
            <w:vAlign w:val="center"/>
          </w:tcPr>
          <w:p w14:paraId="7AF61AC7">
            <w:pPr>
              <w:pStyle w:val="4"/>
              <w:spacing w:line="360" w:lineRule="auto"/>
              <w:jc w:val="center"/>
              <w:rPr>
                <w:rFonts w:hint="eastAsia"/>
                <w:color w:val="auto"/>
                <w:sz w:val="24"/>
                <w:szCs w:val="24"/>
                <w:highlight w:val="none"/>
                <w:lang w:eastAsia="zh-CN"/>
              </w:rPr>
            </w:pPr>
          </w:p>
        </w:tc>
        <w:tc>
          <w:tcPr>
            <w:tcW w:w="1350" w:type="dxa"/>
            <w:noWrap w:val="0"/>
            <w:vAlign w:val="center"/>
          </w:tcPr>
          <w:p w14:paraId="61EE2192">
            <w:pPr>
              <w:pStyle w:val="4"/>
              <w:spacing w:line="360" w:lineRule="auto"/>
              <w:jc w:val="center"/>
              <w:rPr>
                <w:rFonts w:hint="eastAsia"/>
                <w:color w:val="auto"/>
                <w:sz w:val="24"/>
                <w:szCs w:val="24"/>
                <w:highlight w:val="none"/>
                <w:lang w:eastAsia="zh-CN"/>
              </w:rPr>
            </w:pPr>
          </w:p>
        </w:tc>
        <w:tc>
          <w:tcPr>
            <w:tcW w:w="1275" w:type="dxa"/>
            <w:noWrap w:val="0"/>
            <w:vAlign w:val="center"/>
          </w:tcPr>
          <w:p w14:paraId="24C09CA2">
            <w:pPr>
              <w:pStyle w:val="4"/>
              <w:spacing w:line="360" w:lineRule="auto"/>
              <w:jc w:val="center"/>
              <w:rPr>
                <w:rFonts w:hint="eastAsia"/>
                <w:color w:val="auto"/>
                <w:sz w:val="24"/>
                <w:szCs w:val="24"/>
                <w:highlight w:val="none"/>
                <w:lang w:eastAsia="zh-CN"/>
              </w:rPr>
            </w:pPr>
          </w:p>
        </w:tc>
        <w:tc>
          <w:tcPr>
            <w:tcW w:w="1380" w:type="dxa"/>
            <w:noWrap w:val="0"/>
            <w:vAlign w:val="center"/>
          </w:tcPr>
          <w:p w14:paraId="15F25C30">
            <w:pPr>
              <w:pStyle w:val="4"/>
              <w:spacing w:line="360" w:lineRule="auto"/>
              <w:jc w:val="center"/>
              <w:rPr>
                <w:rFonts w:hint="eastAsia"/>
                <w:color w:val="auto"/>
                <w:sz w:val="24"/>
                <w:szCs w:val="24"/>
                <w:highlight w:val="none"/>
                <w:lang w:eastAsia="zh-CN"/>
              </w:rPr>
            </w:pPr>
          </w:p>
        </w:tc>
        <w:tc>
          <w:tcPr>
            <w:tcW w:w="1365" w:type="dxa"/>
            <w:noWrap w:val="0"/>
            <w:vAlign w:val="center"/>
          </w:tcPr>
          <w:p w14:paraId="74D4C843">
            <w:pPr>
              <w:pStyle w:val="4"/>
              <w:spacing w:line="360" w:lineRule="auto"/>
              <w:jc w:val="center"/>
              <w:rPr>
                <w:rFonts w:hint="eastAsia"/>
                <w:color w:val="auto"/>
                <w:sz w:val="24"/>
                <w:szCs w:val="24"/>
                <w:highlight w:val="none"/>
                <w:lang w:eastAsia="zh-CN"/>
              </w:rPr>
            </w:pPr>
          </w:p>
        </w:tc>
        <w:tc>
          <w:tcPr>
            <w:tcW w:w="2580" w:type="dxa"/>
            <w:noWrap w:val="0"/>
            <w:vAlign w:val="center"/>
          </w:tcPr>
          <w:p w14:paraId="58D884D0">
            <w:pPr>
              <w:pStyle w:val="4"/>
              <w:spacing w:line="360" w:lineRule="auto"/>
              <w:jc w:val="center"/>
              <w:rPr>
                <w:rFonts w:hint="eastAsia"/>
                <w:color w:val="auto"/>
                <w:sz w:val="24"/>
                <w:szCs w:val="24"/>
                <w:highlight w:val="none"/>
                <w:lang w:eastAsia="zh-CN"/>
              </w:rPr>
            </w:pPr>
          </w:p>
        </w:tc>
      </w:tr>
    </w:tbl>
    <w:p w14:paraId="5816F7C1">
      <w:pPr>
        <w:bidi w:val="0"/>
        <w:rPr>
          <w:rFonts w:hint="eastAsia"/>
          <w:color w:val="auto"/>
          <w:highlight w:val="none"/>
          <w:lang w:val="en-US" w:eastAsia="zh-CN"/>
        </w:rPr>
      </w:pPr>
    </w:p>
    <w:p w14:paraId="73C7295E">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（盖单位公章）</w:t>
      </w:r>
    </w:p>
    <w:p w14:paraId="0240647F">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14:paraId="6237D253">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50C389C">
      <w:pPr>
        <w:bidi w:val="0"/>
        <w:rPr>
          <w:rFonts w:hint="eastAsia"/>
          <w:color w:val="auto"/>
          <w:highlight w:val="none"/>
          <w:lang w:val="en-US" w:eastAsia="zh-CN"/>
        </w:rPr>
      </w:pPr>
    </w:p>
    <w:p w14:paraId="1545FD7B">
      <w:pPr>
        <w:bidi w:val="0"/>
        <w:rPr>
          <w:rFonts w:hint="eastAsia"/>
          <w:color w:val="auto"/>
          <w:highlight w:val="none"/>
          <w:lang w:val="en-US" w:eastAsia="zh-CN"/>
        </w:rPr>
      </w:pPr>
    </w:p>
    <w:p w14:paraId="3EBA6CBB">
      <w:pPr>
        <w:bidi w:val="0"/>
        <w:rPr>
          <w:rFonts w:hint="default"/>
          <w:color w:val="auto"/>
          <w:highlight w:val="none"/>
          <w:lang w:val="en-US" w:eastAsia="zh-CN"/>
        </w:rPr>
      </w:pPr>
      <w:r>
        <w:rPr>
          <w:rFonts w:hint="eastAsia"/>
          <w:color w:val="auto"/>
          <w:highlight w:val="none"/>
          <w:lang w:val="en-US" w:eastAsia="zh-CN"/>
        </w:rPr>
        <w:t>后附业绩证明材料（中标通知书或供货合同）并标明序号，没有类似项目经验本表可不填写。</w:t>
      </w:r>
    </w:p>
    <w:p w14:paraId="4FC18047">
      <w:pPr>
        <w:pStyle w:val="4"/>
        <w:spacing w:before="0" w:after="0" w:line="36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b/>
          <w:color w:val="auto"/>
          <w:sz w:val="32"/>
          <w:szCs w:val="30"/>
          <w:highlight w:val="none"/>
          <w:lang w:val="zh-CN" w:eastAsia="zh-CN"/>
        </w:rPr>
        <w:br w:type="page"/>
      </w:r>
      <w:r>
        <w:rPr>
          <w:rFonts w:hint="eastAsia" w:ascii="仿宋" w:hAnsi="仿宋" w:eastAsia="仿宋" w:cs="仿宋"/>
          <w:color w:val="auto"/>
          <w:sz w:val="28"/>
          <w:szCs w:val="28"/>
          <w:highlight w:val="none"/>
          <w:lang w:val="en-US" w:eastAsia="zh-CN"/>
        </w:rPr>
        <w:t>（</w:t>
      </w:r>
      <w:r>
        <w:rPr>
          <w:rFonts w:hint="eastAsia" w:cs="仿宋"/>
          <w:color w:val="auto"/>
          <w:sz w:val="28"/>
          <w:szCs w:val="28"/>
          <w:highlight w:val="none"/>
          <w:lang w:val="en-US" w:eastAsia="zh-CN"/>
        </w:rPr>
        <w:t>五</w:t>
      </w:r>
      <w:r>
        <w:rPr>
          <w:rFonts w:hint="eastAsia" w:ascii="仿宋" w:hAnsi="仿宋" w:eastAsia="仿宋" w:cs="仿宋"/>
          <w:color w:val="auto"/>
          <w:sz w:val="28"/>
          <w:szCs w:val="28"/>
          <w:highlight w:val="none"/>
          <w:lang w:val="en-US" w:eastAsia="zh-CN"/>
        </w:rPr>
        <w:t>）投标单位信誉情况</w:t>
      </w:r>
    </w:p>
    <w:p w14:paraId="2F906CBA">
      <w:pPr>
        <w:spacing w:line="360" w:lineRule="auto"/>
        <w:jc w:val="left"/>
        <w:outlineLvl w:val="9"/>
        <w:rPr>
          <w:rFonts w:hint="eastAsia" w:ascii="仿宋" w:hAnsi="仿宋" w:eastAsia="仿宋" w:cs="Times New Roman"/>
          <w:bCs w:val="0"/>
          <w:color w:val="auto"/>
          <w:kern w:val="2"/>
          <w:sz w:val="24"/>
          <w:szCs w:val="28"/>
          <w:highlight w:val="none"/>
          <w:lang w:val="en-US" w:eastAsia="zh-CN" w:bidi="ar-SA"/>
        </w:rPr>
      </w:pPr>
      <w:r>
        <w:rPr>
          <w:rFonts w:hint="eastAsia" w:ascii="仿宋" w:hAnsi="仿宋" w:eastAsia="仿宋" w:cs="Times New Roman"/>
          <w:bCs w:val="0"/>
          <w:color w:val="auto"/>
          <w:kern w:val="2"/>
          <w:sz w:val="24"/>
          <w:szCs w:val="28"/>
          <w:highlight w:val="none"/>
          <w:lang w:val="en-US" w:eastAsia="zh-CN" w:bidi="ar-SA"/>
        </w:rPr>
        <w:t>（1）拒绝列入政府取消投标资格记录期间的企业或个人投标；</w:t>
      </w:r>
    </w:p>
    <w:p w14:paraId="0352D5B3">
      <w:pPr>
        <w:spacing w:line="360" w:lineRule="auto"/>
        <w:jc w:val="left"/>
        <w:outlineLvl w:val="9"/>
        <w:rPr>
          <w:rFonts w:hint="eastAsia" w:ascii="仿宋" w:hAnsi="仿宋" w:eastAsia="仿宋" w:cs="Times New Roman"/>
          <w:bCs w:val="0"/>
          <w:color w:val="auto"/>
          <w:kern w:val="2"/>
          <w:sz w:val="24"/>
          <w:szCs w:val="28"/>
          <w:highlight w:val="none"/>
          <w:lang w:val="en-US" w:eastAsia="zh-CN" w:bidi="ar-SA"/>
        </w:rPr>
      </w:pPr>
      <w:r>
        <w:rPr>
          <w:rFonts w:hint="eastAsia" w:ascii="仿宋" w:hAnsi="仿宋" w:eastAsia="仿宋" w:cs="Times New Roman"/>
          <w:bCs w:val="0"/>
          <w:color w:val="auto"/>
          <w:kern w:val="2"/>
          <w:sz w:val="24"/>
          <w:szCs w:val="28"/>
          <w:highlight w:val="none"/>
          <w:lang w:val="en-US" w:eastAsia="zh-CN" w:bidi="ar-SA"/>
        </w:rPr>
        <w:t>（2）投标人未被工商行政管理机关在全国企业信用信息公示系统（www.gsxt.gov.cn）中列入严重违法失信企业名单；</w:t>
      </w:r>
    </w:p>
    <w:p w14:paraId="11712E94">
      <w:pPr>
        <w:spacing w:line="360" w:lineRule="auto"/>
        <w:jc w:val="left"/>
        <w:outlineLvl w:val="9"/>
        <w:rPr>
          <w:rFonts w:hint="eastAsia" w:ascii="仿宋" w:hAnsi="仿宋" w:eastAsia="仿宋" w:cs="Times New Roman"/>
          <w:bCs w:val="0"/>
          <w:color w:val="auto"/>
          <w:kern w:val="2"/>
          <w:sz w:val="24"/>
          <w:szCs w:val="28"/>
          <w:highlight w:val="none"/>
          <w:lang w:val="en-US" w:eastAsia="zh-CN" w:bidi="ar-SA"/>
        </w:rPr>
      </w:pPr>
      <w:r>
        <w:rPr>
          <w:rFonts w:hint="eastAsia" w:ascii="仿宋" w:hAnsi="仿宋" w:eastAsia="仿宋" w:cs="Times New Roman"/>
          <w:bCs w:val="0"/>
          <w:color w:val="auto"/>
          <w:kern w:val="2"/>
          <w:sz w:val="24"/>
          <w:szCs w:val="28"/>
          <w:highlight w:val="none"/>
          <w:lang w:val="en-US" w:eastAsia="zh-CN" w:bidi="ar-SA"/>
        </w:rPr>
        <w:t>（3）投标人未被列入“失信被执行人、重大税收违法失信主体”的记录名单，通过“信用中国”网站（www.creditchina.gov.cn)查询；</w:t>
      </w:r>
    </w:p>
    <w:p w14:paraId="70FD9E1F">
      <w:pPr>
        <w:spacing w:line="360" w:lineRule="auto"/>
        <w:jc w:val="left"/>
        <w:outlineLvl w:val="9"/>
        <w:rPr>
          <w:rFonts w:hint="eastAsia" w:ascii="仿宋" w:hAnsi="仿宋" w:eastAsia="仿宋" w:cs="Times New Roman"/>
          <w:bCs w:val="0"/>
          <w:color w:val="auto"/>
          <w:kern w:val="2"/>
          <w:sz w:val="24"/>
          <w:szCs w:val="28"/>
          <w:highlight w:val="none"/>
          <w:lang w:val="en-US" w:eastAsia="zh-CN" w:bidi="ar-SA"/>
        </w:rPr>
      </w:pPr>
      <w:r>
        <w:rPr>
          <w:rFonts w:hint="eastAsia" w:ascii="仿宋" w:hAnsi="仿宋" w:eastAsia="仿宋" w:cs="Times New Roman"/>
          <w:bCs w:val="0"/>
          <w:color w:val="auto"/>
          <w:kern w:val="2"/>
          <w:sz w:val="24"/>
          <w:szCs w:val="28"/>
          <w:highlight w:val="none"/>
          <w:lang w:val="en-US" w:eastAsia="zh-CN" w:bidi="ar-SA"/>
        </w:rPr>
        <w:t>（4）投标人未被列入“政府采购严重违法失信行为记录名单”，通过“中国政府采购网”（www.ccgp.gov.cn）查询；</w:t>
      </w:r>
    </w:p>
    <w:p w14:paraId="7C76CE61">
      <w:pPr>
        <w:spacing w:line="360" w:lineRule="auto"/>
        <w:jc w:val="left"/>
        <w:outlineLvl w:val="9"/>
        <w:rPr>
          <w:rFonts w:hint="eastAsia" w:ascii="仿宋" w:hAnsi="仿宋" w:eastAsia="仿宋" w:cs="Times New Roman"/>
          <w:bCs w:val="0"/>
          <w:color w:val="auto"/>
          <w:kern w:val="2"/>
          <w:sz w:val="24"/>
          <w:szCs w:val="28"/>
          <w:highlight w:val="none"/>
          <w:lang w:val="en-US" w:eastAsia="zh-CN" w:bidi="ar-SA"/>
        </w:rPr>
      </w:pPr>
      <w:r>
        <w:rPr>
          <w:rFonts w:hint="eastAsia" w:ascii="仿宋" w:hAnsi="仿宋" w:eastAsia="仿宋" w:cs="Times New Roman"/>
          <w:bCs w:val="0"/>
          <w:color w:val="auto"/>
          <w:kern w:val="2"/>
          <w:sz w:val="24"/>
          <w:szCs w:val="28"/>
          <w:highlight w:val="none"/>
          <w:lang w:val="en-US" w:eastAsia="zh-CN" w:bidi="ar-SA"/>
        </w:rPr>
        <w:t>（5）投标人和个人（指法定代表人、法人代理人）未在“中国裁判文书网”（wenshu.court.gov.cn）上有行贿犯罪行为；</w:t>
      </w:r>
    </w:p>
    <w:p w14:paraId="566C4262">
      <w:pPr>
        <w:spacing w:line="360" w:lineRule="auto"/>
        <w:jc w:val="left"/>
        <w:outlineLvl w:val="9"/>
        <w:rPr>
          <w:rFonts w:hint="eastAsia"/>
          <w:b w:val="0"/>
          <w:bCs/>
          <w:color w:val="auto"/>
          <w:sz w:val="24"/>
          <w:szCs w:val="24"/>
          <w:highlight w:val="none"/>
        </w:rPr>
      </w:pPr>
      <w:r>
        <w:rPr>
          <w:rFonts w:hint="eastAsia" w:ascii="仿宋" w:hAnsi="仿宋" w:eastAsia="仿宋" w:cs="Times New Roman"/>
          <w:bCs w:val="0"/>
          <w:color w:val="auto"/>
          <w:kern w:val="2"/>
          <w:sz w:val="24"/>
          <w:szCs w:val="28"/>
          <w:highlight w:val="none"/>
          <w:lang w:val="en-US" w:eastAsia="zh-CN" w:bidi="ar-SA"/>
        </w:rPr>
        <w:t>投标文件内（1）-（5）附由法定代表人或其委托代理人签字并加盖供应商公章的承诺书</w:t>
      </w:r>
      <w:r>
        <w:rPr>
          <w:rFonts w:hint="eastAsia"/>
          <w:b w:val="0"/>
          <w:bCs/>
          <w:color w:val="auto"/>
          <w:sz w:val="24"/>
          <w:szCs w:val="24"/>
          <w:highlight w:val="none"/>
        </w:rPr>
        <w:t>。</w:t>
      </w:r>
    </w:p>
    <w:p w14:paraId="34001297">
      <w:pPr>
        <w:rPr>
          <w:rFonts w:hint="eastAsia"/>
          <w:b w:val="0"/>
          <w:bCs/>
          <w:color w:val="auto"/>
          <w:sz w:val="24"/>
          <w:szCs w:val="24"/>
          <w:highlight w:val="none"/>
        </w:rPr>
      </w:pPr>
      <w:r>
        <w:rPr>
          <w:rFonts w:hint="eastAsia" w:ascii="仿宋" w:hAnsi="仿宋" w:eastAsia="仿宋" w:cs="仿宋"/>
          <w:color w:val="auto"/>
          <w:sz w:val="28"/>
          <w:szCs w:val="28"/>
          <w:highlight w:val="none"/>
          <w:lang w:val="en-US" w:eastAsia="zh-CN"/>
        </w:rPr>
        <w:br w:type="page"/>
      </w:r>
    </w:p>
    <w:p w14:paraId="784D5789">
      <w:pPr>
        <w:jc w:val="center"/>
        <w:outlineLvl w:val="2"/>
        <w:rPr>
          <w:rFonts w:hint="eastAsia" w:ascii="仿宋" w:hAnsi="仿宋" w:eastAsia="仿宋" w:cs="仿宋"/>
          <w:b/>
          <w:bCs/>
          <w:color w:val="auto"/>
          <w:kern w:val="0"/>
          <w:sz w:val="28"/>
          <w:szCs w:val="28"/>
          <w:highlight w:val="none"/>
          <w:lang w:val="en-US" w:eastAsia="zh-CN" w:bidi="ar-SA"/>
        </w:rPr>
      </w:pPr>
      <w:r>
        <w:rPr>
          <w:rFonts w:hint="eastAsia" w:cs="仿宋"/>
          <w:b/>
          <w:bCs/>
          <w:color w:val="auto"/>
          <w:kern w:val="0"/>
          <w:sz w:val="28"/>
          <w:szCs w:val="28"/>
          <w:highlight w:val="none"/>
          <w:lang w:val="en-US" w:eastAsia="zh-CN" w:bidi="ar-SA"/>
        </w:rPr>
        <w:t>（六）</w:t>
      </w:r>
      <w:r>
        <w:rPr>
          <w:rFonts w:hint="eastAsia" w:ascii="仿宋" w:hAnsi="仿宋" w:eastAsia="仿宋" w:cs="仿宋"/>
          <w:b/>
          <w:bCs/>
          <w:color w:val="auto"/>
          <w:kern w:val="0"/>
          <w:sz w:val="28"/>
          <w:szCs w:val="28"/>
          <w:highlight w:val="none"/>
          <w:lang w:val="en-US" w:eastAsia="zh-CN" w:bidi="ar-SA"/>
        </w:rPr>
        <w:t>具有依法缴纳税收和社会保障资金的良好记录的书面承诺函</w:t>
      </w:r>
    </w:p>
    <w:p w14:paraId="1BC93009">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color w:val="auto"/>
          <w:sz w:val="24"/>
          <w:szCs w:val="24"/>
          <w:highlight w:val="none"/>
          <w:lang w:eastAsia="zh-CN"/>
        </w:rPr>
      </w:pPr>
    </w:p>
    <w:p w14:paraId="13DE4CD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采购代理机构</w:t>
      </w:r>
      <w:r>
        <w:rPr>
          <w:rFonts w:hint="eastAsia"/>
          <w:color w:val="auto"/>
          <w:sz w:val="24"/>
          <w:szCs w:val="24"/>
          <w:highlight w:val="none"/>
          <w:lang w:eastAsia="zh-CN"/>
        </w:rPr>
        <w:t>）</w:t>
      </w:r>
      <w:r>
        <w:rPr>
          <w:rFonts w:hint="eastAsia"/>
          <w:color w:val="auto"/>
          <w:sz w:val="24"/>
          <w:szCs w:val="24"/>
          <w:highlight w:val="none"/>
        </w:rPr>
        <w:t>:</w:t>
      </w:r>
    </w:p>
    <w:p w14:paraId="2DE7F8D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我单位郑重承诺︰我单位参加</w:t>
      </w:r>
      <w:r>
        <w:rPr>
          <w:rFonts w:hint="eastAsia"/>
          <w:color w:val="auto"/>
          <w:sz w:val="24"/>
          <w:szCs w:val="24"/>
          <w:highlight w:val="none"/>
          <w:u w:val="single"/>
        </w:rPr>
        <w:t>（</w:t>
      </w:r>
      <w:r>
        <w:rPr>
          <w:rFonts w:hint="eastAsia"/>
          <w:color w:val="auto"/>
          <w:sz w:val="24"/>
          <w:szCs w:val="24"/>
          <w:highlight w:val="none"/>
          <w:u w:val="single"/>
          <w:lang w:val="en-US" w:eastAsia="zh-CN"/>
        </w:rPr>
        <w:t>采购人</w:t>
      </w:r>
      <w:r>
        <w:rPr>
          <w:rFonts w:hint="eastAsia"/>
          <w:color w:val="auto"/>
          <w:sz w:val="24"/>
          <w:szCs w:val="24"/>
          <w:highlight w:val="none"/>
          <w:u w:val="single"/>
        </w:rPr>
        <w:t>名称）</w:t>
      </w:r>
      <w:r>
        <w:rPr>
          <w:rFonts w:hint="eastAsia"/>
          <w:color w:val="auto"/>
          <w:sz w:val="24"/>
          <w:szCs w:val="24"/>
          <w:highlight w:val="none"/>
        </w:rPr>
        <w:t>的</w:t>
      </w:r>
      <w:r>
        <w:rPr>
          <w:rFonts w:hint="eastAsia"/>
          <w:color w:val="auto"/>
          <w:sz w:val="24"/>
          <w:szCs w:val="24"/>
          <w:highlight w:val="none"/>
          <w:u w:val="single"/>
        </w:rPr>
        <w:t>（项目名称）</w:t>
      </w:r>
      <w:r>
        <w:rPr>
          <w:rFonts w:hint="eastAsia"/>
          <w:color w:val="auto"/>
          <w:sz w:val="24"/>
          <w:szCs w:val="24"/>
          <w:highlight w:val="none"/>
        </w:rPr>
        <w:t>采购活动，根据《中华人民共和国政府采购法》第二十二条的规定，我单位具有依法缴纳税收和社会保障资金的良好记录，符合相关要求。</w:t>
      </w:r>
    </w:p>
    <w:p w14:paraId="5E3B5D8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auto"/>
          <w:sz w:val="24"/>
          <w:szCs w:val="24"/>
          <w:highlight w:val="none"/>
        </w:rPr>
      </w:pPr>
    </w:p>
    <w:p w14:paraId="42DECF1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auto"/>
          <w:sz w:val="24"/>
          <w:szCs w:val="24"/>
          <w:highlight w:val="none"/>
        </w:rPr>
      </w:pPr>
      <w:r>
        <w:rPr>
          <w:rFonts w:hint="eastAsia"/>
          <w:color w:val="auto"/>
          <w:sz w:val="24"/>
          <w:szCs w:val="24"/>
          <w:highlight w:val="none"/>
        </w:rPr>
        <w:t>特此承诺。</w:t>
      </w:r>
    </w:p>
    <w:p w14:paraId="612EC63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我单位对上述承诺的真实性负责。如有虚假，将依法承担相应责任。</w:t>
      </w:r>
    </w:p>
    <w:p w14:paraId="22D7755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olor w:val="auto"/>
          <w:sz w:val="24"/>
          <w:szCs w:val="24"/>
          <w:highlight w:val="none"/>
        </w:rPr>
      </w:pPr>
    </w:p>
    <w:p w14:paraId="724F011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auto"/>
          <w:sz w:val="24"/>
          <w:szCs w:val="24"/>
          <w:highlight w:val="none"/>
        </w:rPr>
      </w:pPr>
    </w:p>
    <w:p w14:paraId="71C98A2E">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（盖单位公章）</w:t>
      </w:r>
    </w:p>
    <w:p w14:paraId="41EEC37D">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14:paraId="58F15B03">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E355398">
      <w:pPr>
        <w:rPr>
          <w:rFonts w:hint="eastAsia" w:ascii="仿宋" w:hAnsi="仿宋" w:eastAsia="仿宋" w:cs="仿宋"/>
          <w:b/>
          <w:color w:val="auto"/>
          <w:sz w:val="32"/>
          <w:szCs w:val="30"/>
          <w:highlight w:val="none"/>
          <w:lang w:val="zh-CN" w:eastAsia="zh-CN"/>
        </w:rPr>
      </w:pPr>
    </w:p>
    <w:p w14:paraId="6D670867">
      <w:pP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br w:type="page"/>
      </w:r>
    </w:p>
    <w:p w14:paraId="3B3845AC">
      <w:pPr>
        <w:pStyle w:val="3"/>
        <w:spacing w:before="0" w:line="360" w:lineRule="auto"/>
        <w:ind w:firstLine="643" w:firstLineChars="200"/>
        <w:jc w:val="cente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t>投标人的资格声明</w:t>
      </w:r>
    </w:p>
    <w:p w14:paraId="59242FE0">
      <w:pPr>
        <w:autoSpaceDE w:val="0"/>
        <w:autoSpaceDN w:val="0"/>
        <w:rPr>
          <w:rFonts w:hint="eastAsia" w:ascii="仿宋" w:hAnsi="仿宋" w:eastAsia="仿宋" w:cs="仿宋"/>
          <w:b/>
          <w:bCs/>
          <w:color w:val="auto"/>
          <w:sz w:val="24"/>
          <w:szCs w:val="24"/>
          <w:highlight w:val="none"/>
        </w:rPr>
      </w:pPr>
    </w:p>
    <w:p w14:paraId="03EF4C9C">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致</w:t>
      </w:r>
      <w:r>
        <w:rPr>
          <w:rFonts w:hint="eastAsia" w:cs="仿宋"/>
          <w:color w:val="auto"/>
          <w:sz w:val="24"/>
          <w:szCs w:val="24"/>
          <w:highlight w:val="none"/>
          <w:lang w:val="zh-CN"/>
        </w:rPr>
        <w:t>吉林东亿来项目管理有限公司</w:t>
      </w:r>
      <w:r>
        <w:rPr>
          <w:rFonts w:hint="eastAsia" w:ascii="仿宋" w:hAnsi="仿宋" w:eastAsia="仿宋" w:cs="仿宋"/>
          <w:color w:val="auto"/>
          <w:sz w:val="24"/>
          <w:szCs w:val="24"/>
          <w:highlight w:val="none"/>
          <w:lang w:val="zh-CN"/>
        </w:rPr>
        <w:t>：</w:t>
      </w:r>
    </w:p>
    <w:p w14:paraId="66E58E14">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按照《中华人民共和国政府采购法》第</w:t>
      </w: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zh-CN"/>
        </w:rPr>
        <w:t>条和你单位发布的《</w:t>
      </w:r>
      <w:r>
        <w:rPr>
          <w:rFonts w:hint="eastAsia" w:ascii="仿宋" w:hAnsi="仿宋" w:eastAsia="仿宋" w:cs="仿宋"/>
          <w:color w:val="auto"/>
          <w:sz w:val="24"/>
          <w:szCs w:val="24"/>
          <w:highlight w:val="none"/>
          <w:u w:val="single"/>
          <w:lang w:val="zh-CN"/>
        </w:rPr>
        <w:t>采购单位名称+项目名称</w:t>
      </w:r>
      <w:r>
        <w:rPr>
          <w:rFonts w:hint="eastAsia" w:ascii="仿宋" w:hAnsi="仿宋" w:eastAsia="仿宋" w:cs="仿宋"/>
          <w:color w:val="auto"/>
          <w:sz w:val="24"/>
          <w:szCs w:val="24"/>
          <w:highlight w:val="none"/>
          <w:lang w:val="zh-CN"/>
        </w:rPr>
        <w:t>招标文件》（</w:t>
      </w:r>
      <w:r>
        <w:rPr>
          <w:rFonts w:hint="eastAsia" w:ascii="仿宋" w:hAnsi="仿宋" w:eastAsia="仿宋" w:cs="仿宋"/>
          <w:color w:val="auto"/>
          <w:sz w:val="24"/>
          <w:szCs w:val="24"/>
          <w:highlight w:val="none"/>
        </w:rPr>
        <w:t xml:space="preserve">     -      </w:t>
      </w:r>
      <w:r>
        <w:rPr>
          <w:rFonts w:hint="eastAsia" w:ascii="仿宋" w:hAnsi="仿宋" w:eastAsia="仿宋" w:cs="仿宋"/>
          <w:color w:val="auto"/>
          <w:sz w:val="24"/>
          <w:szCs w:val="24"/>
          <w:highlight w:val="none"/>
          <w:lang w:val="zh-CN"/>
        </w:rPr>
        <w:t>号）的规定，我公司郑重声明如下：</w:t>
      </w:r>
    </w:p>
    <w:p w14:paraId="74F6FC3E">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、我公司是按照中华人民共和国法律在工商管理机关登记注册的企业法人，注册地点为，公司全称为，法定代表人为，具有独立承担民事责任的能力。</w:t>
      </w:r>
    </w:p>
    <w:p w14:paraId="66CC1614">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、我公司具有良好的商业信誉和健全的财务会计制度。</w:t>
      </w:r>
    </w:p>
    <w:p w14:paraId="51EB7AAF">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、我公司具有履行本项目采购合同所必需的设备和专业技术能力。</w:t>
      </w:r>
    </w:p>
    <w:p w14:paraId="6EBD1EE7">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、我公司具有依法缴纳税收和社会保障资金的良好记录。</w:t>
      </w:r>
    </w:p>
    <w:p w14:paraId="30825C8D">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、我公司在参与本次政府采购活动之前三年内，在经营活动中无重大违法记录。</w:t>
      </w:r>
    </w:p>
    <w:p w14:paraId="4DBE80CB">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、我公司在参与本次政府采购活动时未受到任何地方政府采购部门作出的暂停参加政府采购活动的处罚。</w:t>
      </w:r>
    </w:p>
    <w:p w14:paraId="4E7C2FE8">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我公司保证上述声明的事项都是真实的，如有虚假，我公司承担相应的法律责任，并承担因此给你公司以及本项目采购人所造成的损失。</w:t>
      </w:r>
    </w:p>
    <w:p w14:paraId="66408390">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我公司已经按照招标文件的要求提交了所要求提交的能够证明上述声明事项真实性的全部文件材料，并保证随时按照要求提供能够证明上述声明事项真实性的任何有效文件。</w:t>
      </w:r>
    </w:p>
    <w:p w14:paraId="03CD39D5">
      <w:pPr>
        <w:autoSpaceDE w:val="0"/>
        <w:autoSpaceDN w:val="0"/>
        <w:ind w:firstLine="480"/>
        <w:rPr>
          <w:rFonts w:hint="eastAsia" w:ascii="仿宋" w:hAnsi="仿宋" w:eastAsia="仿宋" w:cs="仿宋"/>
          <w:color w:val="auto"/>
          <w:sz w:val="24"/>
          <w:szCs w:val="24"/>
          <w:highlight w:val="none"/>
        </w:rPr>
      </w:pPr>
    </w:p>
    <w:bookmarkEnd w:id="113"/>
    <w:bookmarkEnd w:id="114"/>
    <w:p w14:paraId="25ED7E39">
      <w:pPr>
        <w:autoSpaceDE w:val="0"/>
        <w:autoSpaceDN w:val="0"/>
        <w:adjustRightInd w:val="0"/>
        <w:spacing w:line="360" w:lineRule="auto"/>
        <w:jc w:val="left"/>
        <w:rPr>
          <w:rFonts w:hint="eastAsia" w:ascii="仿宋" w:hAnsi="仿宋" w:eastAsia="仿宋" w:cs="仿宋"/>
          <w:color w:val="auto"/>
          <w:sz w:val="24"/>
          <w:szCs w:val="21"/>
          <w:highlight w:val="none"/>
        </w:rPr>
      </w:pPr>
      <w:bookmarkStart w:id="116" w:name="_Toc19097124"/>
      <w:bookmarkStart w:id="117" w:name="_Toc476745880"/>
      <w:bookmarkStart w:id="118" w:name="_Toc27274"/>
      <w:bookmarkStart w:id="119" w:name="_Toc17185835"/>
      <w:bookmarkStart w:id="120" w:name="_Toc17185732"/>
      <w:bookmarkStart w:id="121" w:name="_Toc22892155"/>
      <w:r>
        <w:rPr>
          <w:rFonts w:hint="eastAsia" w:ascii="仿宋" w:hAnsi="仿宋" w:eastAsia="仿宋" w:cs="仿宋"/>
          <w:color w:val="auto"/>
          <w:sz w:val="24"/>
          <w:szCs w:val="21"/>
          <w:highlight w:val="none"/>
        </w:rPr>
        <w:t>投  标  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（盖单位公章）</w:t>
      </w:r>
    </w:p>
    <w:p w14:paraId="5DDB594D">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bCs/>
          <w:color w:val="auto"/>
          <w:sz w:val="24"/>
          <w:szCs w:val="21"/>
          <w:highlight w:val="none"/>
        </w:rPr>
        <w:t>法定代表人或委托代理人</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（签字或盖章）</w:t>
      </w:r>
    </w:p>
    <w:p w14:paraId="5BE31CDB">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年</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月</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日</w:t>
      </w:r>
    </w:p>
    <w:p w14:paraId="281E1E4B">
      <w:pPr>
        <w:rPr>
          <w:rFonts w:hint="eastAsia" w:ascii="仿宋" w:hAnsi="仿宋" w:eastAsia="仿宋" w:cs="仿宋"/>
          <w:b/>
          <w:bCs/>
          <w:color w:val="auto"/>
          <w:kern w:val="2"/>
          <w:sz w:val="24"/>
          <w:szCs w:val="24"/>
          <w:highlight w:val="none"/>
          <w:lang w:val="zh-CN" w:eastAsia="zh-CN" w:bidi="ar-SA"/>
        </w:rPr>
      </w:pPr>
    </w:p>
    <w:p w14:paraId="74931EF4">
      <w:pP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br w:type="page"/>
      </w:r>
    </w:p>
    <w:bookmarkEnd w:id="116"/>
    <w:bookmarkEnd w:id="117"/>
    <w:bookmarkEnd w:id="118"/>
    <w:bookmarkEnd w:id="119"/>
    <w:bookmarkEnd w:id="120"/>
    <w:bookmarkEnd w:id="121"/>
    <w:p w14:paraId="41D07CF6">
      <w:pPr>
        <w:pStyle w:val="3"/>
        <w:spacing w:before="0" w:line="360" w:lineRule="auto"/>
        <w:ind w:firstLine="643" w:firstLineChars="200"/>
        <w:jc w:val="cente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t>技术因素评审内容</w:t>
      </w:r>
    </w:p>
    <w:p w14:paraId="2648A772">
      <w:pPr>
        <w:pStyle w:val="17"/>
        <w:spacing w:line="360" w:lineRule="exact"/>
        <w:outlineLvl w:val="9"/>
        <w:rPr>
          <w:rFonts w:hint="eastAsia" w:ascii="仿宋" w:hAnsi="仿宋" w:eastAsia="仿宋" w:cs="仿宋"/>
          <w:b w:val="0"/>
          <w:color w:val="auto"/>
          <w:sz w:val="21"/>
          <w:szCs w:val="21"/>
          <w:highlight w:val="none"/>
          <w:lang w:val="zh-CN"/>
        </w:rPr>
      </w:pPr>
    </w:p>
    <w:p w14:paraId="20A4ABAA">
      <w:pPr>
        <w:spacing w:line="360" w:lineRule="auto"/>
        <w:jc w:val="center"/>
        <w:rPr>
          <w:rFonts w:hint="eastAsia" w:ascii="宋体" w:cs="宋体"/>
          <w:color w:val="auto"/>
          <w:kern w:val="0"/>
          <w:sz w:val="24"/>
          <w:szCs w:val="24"/>
          <w:highlight w:val="none"/>
        </w:rPr>
      </w:pPr>
      <w:r>
        <w:rPr>
          <w:rFonts w:hint="eastAsia" w:ascii="宋体" w:cs="宋体"/>
          <w:color w:val="auto"/>
          <w:kern w:val="0"/>
          <w:sz w:val="24"/>
          <w:szCs w:val="24"/>
          <w:highlight w:val="none"/>
        </w:rPr>
        <w:t>（以上项无固定格式，由投标人自行填写。）</w:t>
      </w:r>
    </w:p>
    <w:p w14:paraId="5D075084">
      <w:pP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br w:type="page"/>
      </w:r>
    </w:p>
    <w:p w14:paraId="12D877A0">
      <w:pPr>
        <w:pStyle w:val="3"/>
        <w:spacing w:before="0" w:line="360" w:lineRule="auto"/>
        <w:ind w:firstLine="643" w:firstLineChars="200"/>
        <w:jc w:val="center"/>
        <w:rPr>
          <w:rFonts w:hint="eastAsia" w:ascii="仿宋" w:hAnsi="仿宋" w:eastAsia="仿宋" w:cs="仿宋"/>
          <w:b/>
          <w:color w:val="auto"/>
          <w:sz w:val="32"/>
          <w:szCs w:val="30"/>
          <w:highlight w:val="none"/>
          <w:lang w:val="en-US" w:eastAsia="zh-CN"/>
        </w:rPr>
      </w:pPr>
      <w:r>
        <w:rPr>
          <w:rFonts w:hint="eastAsia" w:ascii="仿宋" w:hAnsi="仿宋" w:eastAsia="仿宋" w:cs="仿宋"/>
          <w:b/>
          <w:color w:val="auto"/>
          <w:sz w:val="32"/>
          <w:szCs w:val="30"/>
          <w:highlight w:val="none"/>
          <w:lang w:val="zh-CN" w:eastAsia="zh-CN"/>
        </w:rPr>
        <w:t>投标单位认为需要提供的其他材料</w:t>
      </w:r>
    </w:p>
    <w:p w14:paraId="1C5997F4">
      <w:pPr>
        <w:bidi w:val="0"/>
        <w:jc w:val="center"/>
        <w:rPr>
          <w:rFonts w:hint="eastAsia" w:ascii="仿宋" w:hAnsi="仿宋" w:eastAsia="仿宋" w:cs="仿宋"/>
          <w:b/>
          <w:color w:val="auto"/>
          <w:szCs w:val="30"/>
          <w:highlight w:val="none"/>
          <w:lang w:val="en-US" w:eastAsia="zh-CN"/>
        </w:rPr>
      </w:pPr>
      <w:r>
        <w:rPr>
          <w:rFonts w:hint="eastAsia"/>
          <w:color w:val="auto"/>
          <w:highlight w:val="none"/>
          <w:lang w:val="en-US" w:eastAsia="zh-CN"/>
        </w:rPr>
        <w:t>格式自拟</w:t>
      </w:r>
      <w:r>
        <w:rPr>
          <w:rFonts w:hint="eastAsia" w:ascii="仿宋" w:hAnsi="仿宋" w:eastAsia="仿宋" w:cs="仿宋"/>
          <w:b/>
          <w:color w:val="auto"/>
          <w:szCs w:val="30"/>
          <w:highlight w:val="none"/>
          <w:lang w:val="zh-CN" w:eastAsia="zh-CN"/>
        </w:rPr>
        <w:br w:type="page"/>
      </w:r>
    </w:p>
    <w:p w14:paraId="1301B3E1">
      <w:pPr>
        <w:pStyle w:val="2"/>
        <w:numPr>
          <w:ilvl w:val="0"/>
          <w:numId w:val="0"/>
        </w:numPr>
        <w:spacing w:line="240" w:lineRule="auto"/>
        <w:ind w:leftChars="0"/>
        <w:jc w:val="center"/>
        <w:rPr>
          <w:rFonts w:hint="eastAsia" w:ascii="仿宋" w:hAnsi="仿宋" w:eastAsia="仿宋" w:cs="仿宋"/>
          <w:b w:val="0"/>
          <w:bCs w:val="0"/>
          <w:color w:val="auto"/>
          <w:sz w:val="48"/>
          <w:szCs w:val="22"/>
          <w:highlight w:val="none"/>
          <w:lang w:val="en-US" w:eastAsia="zh-CN"/>
        </w:rPr>
      </w:pPr>
      <w:bookmarkStart w:id="122" w:name="_Toc11240"/>
      <w:r>
        <w:rPr>
          <w:rFonts w:hint="eastAsia" w:ascii="仿宋" w:hAnsi="仿宋" w:eastAsia="仿宋" w:cs="仿宋"/>
          <w:b/>
          <w:bCs/>
          <w:color w:val="auto"/>
          <w:highlight w:val="none"/>
          <w:lang w:val="en-US" w:eastAsia="zh-CN"/>
        </w:rPr>
        <w:t>第</w:t>
      </w:r>
      <w:r>
        <w:rPr>
          <w:rFonts w:hint="eastAsia" w:cs="仿宋"/>
          <w:b/>
          <w:bCs/>
          <w:color w:val="auto"/>
          <w:highlight w:val="none"/>
          <w:lang w:val="en-US" w:eastAsia="zh-CN"/>
        </w:rPr>
        <w:t>七</w:t>
      </w:r>
      <w:r>
        <w:rPr>
          <w:rFonts w:hint="eastAsia" w:ascii="仿宋" w:hAnsi="仿宋" w:eastAsia="仿宋" w:cs="仿宋"/>
          <w:b/>
          <w:bCs/>
          <w:color w:val="auto"/>
          <w:highlight w:val="none"/>
          <w:lang w:val="en-US" w:eastAsia="zh-CN"/>
        </w:rPr>
        <w:t>章</w:t>
      </w:r>
      <w:r>
        <w:rPr>
          <w:rFonts w:hint="eastAsia" w:ascii="仿宋" w:hAnsi="仿宋" w:eastAsia="仿宋" w:cs="仿宋"/>
          <w:color w:val="auto"/>
          <w:highlight w:val="none"/>
          <w:lang w:val="en-US" w:eastAsia="zh-CN"/>
        </w:rPr>
        <w:t xml:space="preserve"> </w:t>
      </w:r>
      <w:r>
        <w:rPr>
          <w:rFonts w:hint="eastAsia" w:ascii="仿宋" w:hAnsi="仿宋" w:eastAsia="仿宋" w:cs="仿宋"/>
          <w:b/>
          <w:bCs/>
          <w:color w:val="auto"/>
          <w:szCs w:val="44"/>
          <w:highlight w:val="none"/>
          <w:lang w:eastAsia="zh-CN"/>
        </w:rPr>
        <w:t>评标办法</w:t>
      </w:r>
      <w:bookmarkEnd w:id="112"/>
      <w:bookmarkEnd w:id="122"/>
    </w:p>
    <w:p w14:paraId="0D8E3CC6">
      <w:pPr>
        <w:numPr>
          <w:ilvl w:val="0"/>
          <w:numId w:val="0"/>
        </w:numPr>
        <w:spacing w:line="240" w:lineRule="auto"/>
        <w:ind w:leftChars="0"/>
        <w:jc w:val="center"/>
        <w:outlineLvl w:val="9"/>
        <w:rPr>
          <w:rFonts w:hint="eastAsia" w:ascii="仿宋" w:hAnsi="仿宋" w:eastAsia="仿宋" w:cs="仿宋"/>
          <w:b w:val="0"/>
          <w:bCs w:val="0"/>
          <w:color w:val="auto"/>
          <w:sz w:val="32"/>
          <w:szCs w:val="16"/>
          <w:highlight w:val="none"/>
          <w:lang w:val="en-US" w:eastAsia="zh-CN"/>
        </w:rPr>
      </w:pPr>
      <w:bookmarkStart w:id="123" w:name="_Toc27964"/>
      <w:r>
        <w:rPr>
          <w:rFonts w:hint="eastAsia" w:ascii="仿宋" w:hAnsi="仿宋" w:eastAsia="仿宋" w:cs="仿宋"/>
          <w:b w:val="0"/>
          <w:bCs w:val="0"/>
          <w:color w:val="auto"/>
          <w:sz w:val="32"/>
          <w:szCs w:val="16"/>
          <w:highlight w:val="none"/>
          <w:lang w:eastAsia="zh-CN"/>
        </w:rPr>
        <w:t>（综合评估法）</w:t>
      </w:r>
      <w:bookmarkEnd w:id="123"/>
    </w:p>
    <w:p w14:paraId="1E1E16B0">
      <w:pPr>
        <w:numPr>
          <w:ilvl w:val="0"/>
          <w:numId w:val="0"/>
        </w:numPr>
        <w:spacing w:line="240" w:lineRule="auto"/>
        <w:ind w:leftChars="0"/>
        <w:jc w:val="center"/>
        <w:outlineLvl w:val="9"/>
        <w:rPr>
          <w:rFonts w:hint="eastAsia" w:ascii="仿宋" w:hAnsi="仿宋" w:eastAsia="仿宋" w:cs="仿宋"/>
          <w:b w:val="0"/>
          <w:bCs w:val="0"/>
          <w:color w:val="auto"/>
          <w:sz w:val="32"/>
          <w:szCs w:val="16"/>
          <w:highlight w:val="none"/>
          <w:lang w:eastAsia="zh-CN"/>
        </w:rPr>
      </w:pPr>
      <w:bookmarkStart w:id="124" w:name="_Toc525929464"/>
      <w:bookmarkStart w:id="125" w:name="_Toc471726704"/>
      <w:r>
        <w:rPr>
          <w:rFonts w:hint="eastAsia" w:ascii="仿宋" w:hAnsi="仿宋" w:eastAsia="仿宋" w:cs="仿宋"/>
          <w:b w:val="0"/>
          <w:bCs w:val="0"/>
          <w:color w:val="auto"/>
          <w:sz w:val="32"/>
          <w:szCs w:val="16"/>
          <w:highlight w:val="none"/>
          <w:lang w:eastAsia="zh-CN"/>
        </w:rPr>
        <w:t>评标办法正文</w:t>
      </w:r>
      <w:bookmarkEnd w:id="124"/>
      <w:bookmarkEnd w:id="125"/>
    </w:p>
    <w:p w14:paraId="2385CFB4">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一、评标须知</w:t>
      </w:r>
    </w:p>
    <w:p w14:paraId="40AF5796">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1.关于评标方案</w:t>
      </w:r>
    </w:p>
    <w:p w14:paraId="40A9442A">
      <w:pPr>
        <w:tabs>
          <w:tab w:val="left" w:pos="0"/>
        </w:tabs>
        <w:spacing w:line="240" w:lineRule="auto"/>
        <w:ind w:firstLine="42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（1）评标委员会的每位成员（简称评委）应认真地阅读并确认已经正确理解了评标方案；</w:t>
      </w:r>
    </w:p>
    <w:p w14:paraId="29D0404E">
      <w:pPr>
        <w:tabs>
          <w:tab w:val="left" w:pos="0"/>
        </w:tabs>
        <w:spacing w:line="240" w:lineRule="auto"/>
        <w:ind w:firstLine="42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（2）评委如对评标方案有异议，应在评标开始前提出。</w:t>
      </w:r>
    </w:p>
    <w:p w14:paraId="5BC1DCDA">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2.关于评标纪律</w:t>
      </w:r>
    </w:p>
    <w:p w14:paraId="7AC668D6">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评标委员会及其成员不得有下列行为：</w:t>
      </w:r>
    </w:p>
    <w:p w14:paraId="153472E3">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（一）确定参与评标至评标结束前私自接触供应商</w:t>
      </w:r>
    </w:p>
    <w:p w14:paraId="417BCF87">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（二）接受供应商提出的与投标文件不一致的澄清或者说明；</w:t>
      </w:r>
    </w:p>
    <w:p w14:paraId="097BC616">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（三）违反评标纪律发表倾向性意见或者征询采购人的倾向性意见；</w:t>
      </w:r>
    </w:p>
    <w:p w14:paraId="1E29311D">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（四）对需要专业判断的主观评审因素协商评分；</w:t>
      </w:r>
    </w:p>
    <w:p w14:paraId="0A6C3589">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（五）在评标过程中擅离职守，影响评标程序正常进行的；</w:t>
      </w:r>
    </w:p>
    <w:p w14:paraId="0AFC1480">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（六）记录、复制或者带走任何评标资料；</w:t>
      </w:r>
    </w:p>
    <w:p w14:paraId="2206F84A">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（七）其他不遵守评标纪律的行为。</w:t>
      </w:r>
    </w:p>
    <w:p w14:paraId="123942E8">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评标委员会成员有前款第一至五项行为之一的，其评审意见无效，并不得获取评审劳务报酬和报销异地评审差旅费。</w:t>
      </w:r>
    </w:p>
    <w:p w14:paraId="07FE87A5">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3.关于评标责任</w:t>
      </w:r>
    </w:p>
    <w:p w14:paraId="6339713F">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（1）评委应在其书面评审意见上签字确认</w:t>
      </w:r>
    </w:p>
    <w:p w14:paraId="7443A468">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（2）评委对其所提出的评审意见承担个人责任。</w:t>
      </w:r>
    </w:p>
    <w:p w14:paraId="0CCE70F0">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4.关于回避</w:t>
      </w:r>
    </w:p>
    <w:p w14:paraId="01BD2BF2">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有下列情形之一的，不得担任评标委员会成员，如事先不知情的，应在宣读供应商名单及评标纪律后主动提出回避：</w:t>
      </w:r>
    </w:p>
    <w:p w14:paraId="40EBBDED">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（1）供应商或供应商主要负责人的近亲属；</w:t>
      </w:r>
    </w:p>
    <w:p w14:paraId="4C9C6DE5">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（2）项目主管部门或者行政监督部门的人员</w:t>
      </w:r>
    </w:p>
    <w:p w14:paraId="00F2B736">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（3）与供应商有经济利益关系，可能影响对投标公正评审的；</w:t>
      </w:r>
    </w:p>
    <w:p w14:paraId="408CB20A">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（4）曾因在招标、评标以及其他与招标投标有关活动中从事违法行为而受过行政处罚或刑事处罚的；</w:t>
      </w:r>
    </w:p>
    <w:p w14:paraId="077EC239">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（5）与供应商有其他利害关系。</w:t>
      </w:r>
    </w:p>
    <w:p w14:paraId="3B4440FC">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5.关于保密</w:t>
      </w:r>
    </w:p>
    <w:p w14:paraId="153B37B9">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评标委员会成员和与评标活动有关的工作人员不得透露对投标文件的评审和比较、中标候选人的推荐情况以及评标有关的其他情况。</w:t>
      </w:r>
    </w:p>
    <w:p w14:paraId="3116C374">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前款所称与评标活动有关的工作人员，是指评标委员会成员以外的因参与评标监督工作或者事务性工作而知悉有关评标情况的所有人员。</w:t>
      </w:r>
    </w:p>
    <w:p w14:paraId="63E460B7">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二、评标原则</w:t>
      </w:r>
    </w:p>
    <w:p w14:paraId="7AAF4C71">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1.评标方法</w:t>
      </w:r>
    </w:p>
    <w:p w14:paraId="20DA7114">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次评标采用综合评分法。评标委员会对满足招标文件全部实质性要求的投标文件，按照本章第2.2款规定的评分标准进行打分，并按得分由高到低顺序推荐中标候选人，但投标报价低于其成本的除外。综合评分相等时，以投标报价低的优先；得分且投标报价相同的并列。投标文件满足招标文件全部实质性要求，且按照评审因素的量化指标评审得分最高的供应商为排名第一的中标候选人，依次排列。提供相同品牌产品且通过资格审查、符合性审查的不同供应商参加同一合同项下投标的，按一家供应商计算，评审后得分最高的同品牌供应商获得中标供应商推荐资格；得分相同的，按投标报价最低的同品牌供应商确定一个供应商获得中标供应商推荐资格；得分且投标报价也相同的，按技术标评审得分最高的同品牌供应商确定一个供应商获得中标供应商推荐资格。</w:t>
      </w:r>
    </w:p>
    <w:p w14:paraId="7250CBF2">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2.评审标准</w:t>
      </w:r>
    </w:p>
    <w:p w14:paraId="0EFAD149">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2.1初步评审标准</w:t>
      </w:r>
    </w:p>
    <w:p w14:paraId="3756DC52">
      <w:pPr>
        <w:tabs>
          <w:tab w:val="left" w:pos="0"/>
        </w:tabs>
        <w:spacing w:line="240" w:lineRule="auto"/>
        <w:ind w:left="420" w:lef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 形式评审标准：见评标办法前附表。</w:t>
      </w:r>
    </w:p>
    <w:p w14:paraId="6E1826DB">
      <w:pPr>
        <w:tabs>
          <w:tab w:val="left" w:pos="0"/>
        </w:tabs>
        <w:spacing w:line="240" w:lineRule="auto"/>
        <w:ind w:left="420" w:lef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 资格评审标准：见评标办法前附表。</w:t>
      </w:r>
    </w:p>
    <w:p w14:paraId="56DF79F4">
      <w:pPr>
        <w:tabs>
          <w:tab w:val="left" w:pos="0"/>
        </w:tabs>
        <w:spacing w:line="240" w:lineRule="auto"/>
        <w:ind w:left="420" w:lef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2.1.3 响应性评审标准：见评标办法前附表。</w:t>
      </w:r>
    </w:p>
    <w:p w14:paraId="75192C03">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2.2分值构成与评分标准</w:t>
      </w:r>
    </w:p>
    <w:p w14:paraId="1B501013">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2.2.1 分值构成</w:t>
      </w:r>
    </w:p>
    <w:p w14:paraId="6086E7FA">
      <w:pPr>
        <w:tabs>
          <w:tab w:val="left" w:pos="0"/>
        </w:tabs>
        <w:spacing w:line="240" w:lineRule="auto"/>
        <w:ind w:left="420" w:lef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（1）商务部分：见评标办法前附表；</w:t>
      </w:r>
    </w:p>
    <w:p w14:paraId="4185BC1C">
      <w:pPr>
        <w:tabs>
          <w:tab w:val="left" w:pos="0"/>
        </w:tabs>
        <w:spacing w:line="240" w:lineRule="auto"/>
        <w:ind w:left="420" w:lef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（2）技术部分：见评标办法前附表；</w:t>
      </w:r>
    </w:p>
    <w:p w14:paraId="345D9116">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2.2.2 评标基准价计算</w:t>
      </w:r>
    </w:p>
    <w:p w14:paraId="7027A779">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评标基准价计算方法：见评标办法前附表。</w:t>
      </w:r>
    </w:p>
    <w:p w14:paraId="19493752">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2.2.3 评分标准</w:t>
      </w:r>
    </w:p>
    <w:p w14:paraId="7A725494">
      <w:pPr>
        <w:tabs>
          <w:tab w:val="left" w:pos="0"/>
        </w:tabs>
        <w:spacing w:line="240" w:lineRule="auto"/>
        <w:ind w:left="420" w:lef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（1）商务部分评分标准：见评标办法前附表；</w:t>
      </w:r>
    </w:p>
    <w:p w14:paraId="24F52B0F">
      <w:pPr>
        <w:tabs>
          <w:tab w:val="left" w:pos="0"/>
        </w:tabs>
        <w:spacing w:line="240" w:lineRule="auto"/>
        <w:ind w:left="420" w:lef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（2）技术部分评分标准：见评标办法前附表；</w:t>
      </w:r>
    </w:p>
    <w:p w14:paraId="2ADF20BE">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3.评标程序</w:t>
      </w:r>
    </w:p>
    <w:p w14:paraId="5632B374">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ind w:firstLine="422" w:firstLineChars="200"/>
        <w:jc w:val="left"/>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3.1初步评审</w:t>
      </w:r>
    </w:p>
    <w:p w14:paraId="724DD5BE">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3.1.1 评标委员会可以要求供应商提交第二章“供应商须知”规定的有关证明和证件的原件，以便核验。评标委员会依据本章第2.1款规定的标准对投标文件进行初步评审。有一项不符合评审标准的，评标委员会应当否决其投标。</w:t>
      </w:r>
    </w:p>
    <w:p w14:paraId="2F80732C">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3.1.2 供应商有以下情形之一的，评标委员会应当否决其投标：</w:t>
      </w:r>
    </w:p>
    <w:p w14:paraId="1FBCEBF5">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(1)第二章“供应商须知”前附表及正文规定的任何一种投标无效、废标、否决投标的情况；</w:t>
      </w:r>
    </w:p>
    <w:p w14:paraId="1B686D48">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(2)串通投标或弄虚作假或有其他违法行为的：</w:t>
      </w:r>
    </w:p>
    <w:p w14:paraId="21C9E705">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(3)不按评标委员会要求澄清、说明或补正的。</w:t>
      </w:r>
    </w:p>
    <w:p w14:paraId="560D0CA2">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ind w:firstLine="422" w:firstLineChars="200"/>
        <w:jc w:val="left"/>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3.2详细评审</w:t>
      </w:r>
    </w:p>
    <w:p w14:paraId="0F6BAB07">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3.2.1 评标委员会按本章第2.2款规定的量化因素和分值进行打分，并计算出综合评估得分。</w:t>
      </w:r>
    </w:p>
    <w:p w14:paraId="3B3AF48D">
      <w:pPr>
        <w:tabs>
          <w:tab w:val="left" w:pos="0"/>
        </w:tabs>
        <w:spacing w:line="240" w:lineRule="auto"/>
        <w:ind w:left="420" w:lef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（1）按本章第2.2.3（1）目规定的评审因素和分值对商务部分计算出得分A；</w:t>
      </w:r>
    </w:p>
    <w:p w14:paraId="19DEE268">
      <w:pPr>
        <w:tabs>
          <w:tab w:val="left" w:pos="0"/>
        </w:tabs>
        <w:spacing w:line="240" w:lineRule="auto"/>
        <w:ind w:left="420" w:lef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（2）按本章第2.2.4（2）目规定的评审因素和分值对技术部分计算出得分B；</w:t>
      </w:r>
    </w:p>
    <w:p w14:paraId="61E9A757">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3.2.2 评分分值计算保留小数点后两位，小数点后第三位“四舍五入”。</w:t>
      </w:r>
    </w:p>
    <w:p w14:paraId="70DC8A91">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3.2.3 供应商得分=A+B。</w:t>
      </w:r>
    </w:p>
    <w:p w14:paraId="421A00DE">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3.2.4 评标委员会发现供应商的报价明显低于其他通过符合性审查供应商的报价，或者在设有标底时明显低于标底，使得其投标报价可能低于其个别成本的，可能影响产品质量或者不能诚信履约的，应当要求其在评标现场合理的时间内提供书面说明，必要时提交相关证明材料；供应商不能证明其报价合理性的，评标委员会应当将其作为无效投标处理。以低于成本报价竞标，其投标将被否决。</w:t>
      </w:r>
    </w:p>
    <w:p w14:paraId="16BC9E13">
      <w:pPr>
        <w:tabs>
          <w:tab w:val="left" w:pos="0"/>
        </w:tabs>
        <w:spacing w:line="240" w:lineRule="auto"/>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3.2.5 本次招标活动对于满足政府采购政策要求的供应商按照下列相关规定的扶持政策执行</w:t>
      </w:r>
      <w:r>
        <w:rPr>
          <w:rFonts w:hint="eastAsia" w:cs="仿宋"/>
          <w:color w:val="auto"/>
          <w:sz w:val="21"/>
          <w:szCs w:val="21"/>
          <w:highlight w:val="none"/>
          <w:lang w:val="en-US" w:eastAsia="zh-CN"/>
        </w:rPr>
        <w:t>:</w:t>
      </w:r>
    </w:p>
    <w:p w14:paraId="3EB45174">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1、《政府采购促进中小企业发展管理办法》（财库﹝2020﹞46号）</w:t>
      </w:r>
    </w:p>
    <w:p w14:paraId="07208CC5">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（1）在政府采购活动中，对符合本办法规定的小微企业报价给予</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%的扣除，用扣除后的价格参加评审。</w:t>
      </w:r>
    </w:p>
    <w:p w14:paraId="55EF2A95">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（2）接受大中型企业与小微企业组成联合体或者允许大中型企业向一家或者多家小微企业分包的采购项目，对于联合协议或者分包意向协议约定小微企业的合同份额占到合同总金额30%以上的，报价给予</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%的扣除，用扣除后的价格参加评审，组成联合体或者接受分包的小微企业与联合体内其他企业、分包企业之间存在直接控股、管理关系的，不享受价格扣除优惠政策。</w:t>
      </w:r>
    </w:p>
    <w:p w14:paraId="1AEBA9BC">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中小企业参加政府采购活动，应当出具本办法规定的《中小企业声明函（货物）》，否则不得享受相关中小企业扶持政策，本条款中（1）和（2）两种价格扣除规则不得同时适用。</w:t>
      </w:r>
    </w:p>
    <w:p w14:paraId="24CF4292">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2、《财政部司法部关于政府采购支持监狱企业发展有关问题的通知》（财库〔2014〕68号）</w:t>
      </w:r>
    </w:p>
    <w:p w14:paraId="34857683">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条件的监狱企业参加政府采购活动时，应当提供由省级以上监狱管理局、戒毒管理局（含新疆生产建设兵团）出具的属于监狱企业的证明文件，监狱企业视同小型、微型企业，享受第1条相同的相关扶持政策。</w:t>
      </w:r>
    </w:p>
    <w:p w14:paraId="1E2A7CFC">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3、《财政部 民政部 中国残疾人联合会关于促进残疾人就业政府采购政策的通知》（财库〔2017〕141号）</w:t>
      </w:r>
    </w:p>
    <w:p w14:paraId="2C8FE6B2">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符合条件的残疾人福利性单位在参加政府采购活动时，应当提供本通知规定的《残疾人福利性单位声明函》，残疾人福利性单位视同小型、微型企业，享受第1条相同的相关扶持政策。</w:t>
      </w:r>
    </w:p>
    <w:p w14:paraId="010C2CA5">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4、同时属于中小企业、监狱企业、残疾人福利性单位的，不重复享受政策。</w:t>
      </w:r>
    </w:p>
    <w:p w14:paraId="08D5F1B2">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5、《节能产品政府采购实施意见》（财库〔2004〕185号）、《关于印发节能产品政府采购品目清单的通知》（财库〔2019〕19号）</w:t>
      </w:r>
    </w:p>
    <w:p w14:paraId="1EA2EBB7">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政府采购属于节能清单中产品时，在技术、服务等指标同等条件下，应当优先采购节能清单所列的节能产品，优先采购的评审标准：</w:t>
      </w:r>
    </w:p>
    <w:p w14:paraId="518BE9D1">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（1）给予投标报价得分的3％的加分，采购项目或者分包中既包含节能产品也包含非节能产品的，只对纳入《节能产品政府采购清单》的产品按其在总报价中所占的比例给予价格分加分。</w:t>
      </w:r>
    </w:p>
    <w:p w14:paraId="374495EF">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（2）对于技术评分项目，给予技术评分得分的3％的加分。</w:t>
      </w:r>
    </w:p>
    <w:p w14:paraId="2634E953">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按照财政部、发展改革委最新发布执行的《节能产品政府采购清单》的规定，《采购需求》中凡包含强制采购产品的，供应商必须提供列入《节能产品政府采购清单》的产品，否则投标无效。</w:t>
      </w:r>
    </w:p>
    <w:p w14:paraId="4A200EF6">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6、《关于环境标志产品政府采购实施的意见》（财库〔2006〕90号）、《关于印发环境标志产品政府采购品目清单的通知》（财库〔2019〕18号）</w:t>
      </w:r>
    </w:p>
    <w:p w14:paraId="38A16C10">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采购人采购的产品属于清单中品目的，在性能、技术、服务等指标同等条件下，应当优先采购清单中的产品，优先采购的评审标准：</w:t>
      </w:r>
    </w:p>
    <w:p w14:paraId="2760A379">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（1）给予投标报价得分的3％的加分，采购项目或者分包中既包含环境标志产品也包含非环境标志产品的，只对纳入《环境标志产品政府采购清单》的产品按其在总报价中所占的比例给予价格分加分。</w:t>
      </w:r>
    </w:p>
    <w:p w14:paraId="245031F8">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（2）对于技术评分项目，给予技术评分得分的3％的加分。</w:t>
      </w:r>
    </w:p>
    <w:p w14:paraId="372695FD">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7、投标产品同时纳入《环境标志产品政府采购清单》和《节能产品政府采购清单》的，价格扣除比例不叠加。</w:t>
      </w:r>
    </w:p>
    <w:p w14:paraId="7C53759A">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财政部关于印发《政府采购进口产品管理办法》的通知（财库[2007]119号）政府采购应当采购本国产品，确需采购进口产品（指通过中国海关报关验放进入中国境内且产自关境外的产品）的，实行审核管理的规定。</w:t>
      </w:r>
    </w:p>
    <w:p w14:paraId="2FC46183">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ind w:firstLine="422" w:firstLineChars="200"/>
        <w:jc w:val="left"/>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3.3投标文件的澄清和补正</w:t>
      </w:r>
    </w:p>
    <w:p w14:paraId="0FC23C44">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3.3.1 在评标过程中，评标委员会可以书面形式要求供应商对所提交投标文件中不明确的内容进行书面澄清或说明，或者对细微偏差进行补正。评标委员会不接受供应商主动提出的澄清、说明或补正。</w:t>
      </w:r>
    </w:p>
    <w:p w14:paraId="30D6C21E">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3.3.2 澄清、说明和补正不得改变投标文件的实质性内容(算术性错误修正的除外)。供应商的书面澄清、说明和补正属于投标文件的组成部分。</w:t>
      </w:r>
    </w:p>
    <w:p w14:paraId="2919433C">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3.3.3 评标委员会对供应商提交的澄清、说明或补正有疑问的，可以要求供应商进一步澄清、说明或补正，直至满足评标委员会的要求。</w:t>
      </w:r>
    </w:p>
    <w:p w14:paraId="21DA1023">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ind w:firstLine="422" w:firstLineChars="200"/>
        <w:jc w:val="left"/>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3.4评标结果</w:t>
      </w:r>
    </w:p>
    <w:p w14:paraId="03187D7A">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3.4.1 除第二章“供应商须知”前附表授权直接确定中标供应商外，评标委员会按照得分由高到低的顺序推荐中标候选人，排名第一的中标候选人放弃中标、因不可抗力不能履行合同、不按照招标文件要求提交履约保证金，或者被查实存在影响中标结果的违法行为等情形，不符合中标条件的，采购人可以选择重新招标，或按照评标委员会提出的中标候选人名单排序依次确定其他中标候选人为中标供应商。</w:t>
      </w:r>
    </w:p>
    <w:p w14:paraId="42BD6843">
      <w:pPr>
        <w:spacing w:line="240" w:lineRule="auto"/>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3.4.2 评标委员会完成评标后，应当向</w:t>
      </w:r>
      <w:r>
        <w:rPr>
          <w:rFonts w:hint="eastAsia" w:ascii="仿宋" w:hAnsi="仿宋" w:eastAsia="仿宋" w:cs="仿宋"/>
          <w:color w:val="auto"/>
          <w:sz w:val="21"/>
          <w:szCs w:val="21"/>
          <w:highlight w:val="none"/>
          <w:lang w:eastAsia="zh-CN"/>
        </w:rPr>
        <w:t>采购人</w:t>
      </w:r>
      <w:r>
        <w:rPr>
          <w:rFonts w:hint="eastAsia" w:ascii="仿宋" w:hAnsi="仿宋" w:eastAsia="仿宋" w:cs="仿宋"/>
          <w:color w:val="auto"/>
          <w:sz w:val="21"/>
          <w:szCs w:val="21"/>
          <w:highlight w:val="none"/>
        </w:rPr>
        <w:t>提交书面评标报告和中标候选人名单</w:t>
      </w:r>
      <w:r>
        <w:rPr>
          <w:rFonts w:hint="eastAsia" w:cs="仿宋"/>
          <w:color w:val="auto"/>
          <w:sz w:val="21"/>
          <w:szCs w:val="21"/>
          <w:highlight w:val="none"/>
          <w:lang w:eastAsia="zh-CN"/>
        </w:rPr>
        <w:t>。</w:t>
      </w:r>
    </w:p>
    <w:p w14:paraId="6B6CF888">
      <w:pPr>
        <w:rPr>
          <w:rFonts w:hint="eastAsia" w:ascii="仿宋" w:hAnsi="仿宋" w:eastAsia="仿宋" w:cs="仿宋"/>
          <w:color w:val="auto"/>
          <w:highlight w:val="none"/>
        </w:rPr>
      </w:pPr>
    </w:p>
    <w:p w14:paraId="68409CBA">
      <w:pPr>
        <w:rPr>
          <w:rFonts w:hint="eastAsia"/>
          <w:color w:val="auto"/>
          <w:highlight w:val="none"/>
          <w:lang w:val="en-US" w:eastAsia="zh-CN"/>
        </w:rPr>
      </w:pPr>
      <w:r>
        <w:rPr>
          <w:rFonts w:hint="eastAsia"/>
          <w:color w:val="auto"/>
          <w:highlight w:val="none"/>
          <w:lang w:val="en-US" w:eastAsia="zh-CN"/>
        </w:rPr>
        <w:br w:type="page"/>
      </w:r>
    </w:p>
    <w:p w14:paraId="34002397">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jc w:val="center"/>
        <w:textAlignment w:val="auto"/>
        <w:outlineLvl w:val="2"/>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附表一、初步评审表</w:t>
      </w:r>
    </w:p>
    <w:tbl>
      <w:tblPr>
        <w:tblStyle w:val="20"/>
        <w:tblW w:w="8314" w:type="dxa"/>
        <w:tblInd w:w="108" w:type="dxa"/>
        <w:tblLayout w:type="fixed"/>
        <w:tblCellMar>
          <w:top w:w="0" w:type="dxa"/>
          <w:left w:w="108" w:type="dxa"/>
          <w:bottom w:w="0" w:type="dxa"/>
          <w:right w:w="108" w:type="dxa"/>
        </w:tblCellMar>
      </w:tblPr>
      <w:tblGrid>
        <w:gridCol w:w="742"/>
        <w:gridCol w:w="824"/>
        <w:gridCol w:w="1777"/>
        <w:gridCol w:w="4971"/>
      </w:tblGrid>
      <w:tr w14:paraId="6C858ED8">
        <w:tblPrEx>
          <w:tblCellMar>
            <w:top w:w="0" w:type="dxa"/>
            <w:left w:w="108" w:type="dxa"/>
            <w:bottom w:w="0" w:type="dxa"/>
            <w:right w:w="108" w:type="dxa"/>
          </w:tblCellMar>
        </w:tblPrEx>
        <w:trPr>
          <w:trHeight w:val="623" w:hRule="atLeast"/>
        </w:trPr>
        <w:tc>
          <w:tcPr>
            <w:tcW w:w="1566" w:type="dxa"/>
            <w:gridSpan w:val="2"/>
            <w:tcBorders>
              <w:top w:val="single" w:color="000000" w:sz="2" w:space="0"/>
              <w:left w:val="single" w:color="000000" w:sz="2" w:space="0"/>
              <w:bottom w:val="single" w:color="000000" w:sz="2" w:space="0"/>
              <w:right w:val="single" w:color="000000" w:sz="2" w:space="0"/>
            </w:tcBorders>
            <w:noWrap w:val="0"/>
            <w:vAlign w:val="center"/>
          </w:tcPr>
          <w:p w14:paraId="301E5FCB">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条款号</w:t>
            </w: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65A98124">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评审因素</w:t>
            </w:r>
          </w:p>
        </w:tc>
        <w:tc>
          <w:tcPr>
            <w:tcW w:w="4971" w:type="dxa"/>
            <w:tcBorders>
              <w:top w:val="single" w:color="000000" w:sz="2" w:space="0"/>
              <w:left w:val="single" w:color="000000" w:sz="2" w:space="0"/>
              <w:bottom w:val="single" w:color="000000" w:sz="2" w:space="0"/>
              <w:right w:val="single" w:color="000000" w:sz="2" w:space="0"/>
            </w:tcBorders>
            <w:noWrap w:val="0"/>
            <w:vAlign w:val="center"/>
          </w:tcPr>
          <w:p w14:paraId="1061EFDA">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评审标准</w:t>
            </w:r>
          </w:p>
        </w:tc>
      </w:tr>
      <w:tr w14:paraId="272A25E1">
        <w:tblPrEx>
          <w:tblCellMar>
            <w:top w:w="0" w:type="dxa"/>
            <w:left w:w="108" w:type="dxa"/>
            <w:bottom w:w="0" w:type="dxa"/>
            <w:right w:w="108" w:type="dxa"/>
          </w:tblCellMar>
        </w:tblPrEx>
        <w:trPr>
          <w:trHeight w:val="465" w:hRule="atLeast"/>
        </w:trPr>
        <w:tc>
          <w:tcPr>
            <w:tcW w:w="742" w:type="dxa"/>
            <w:vMerge w:val="restart"/>
            <w:tcBorders>
              <w:top w:val="single" w:color="000000" w:sz="2" w:space="0"/>
              <w:left w:val="single" w:color="000000" w:sz="2" w:space="0"/>
              <w:right w:val="single" w:color="000000" w:sz="2" w:space="0"/>
            </w:tcBorders>
            <w:noWrap w:val="0"/>
            <w:vAlign w:val="center"/>
          </w:tcPr>
          <w:p w14:paraId="4A871532">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824" w:type="dxa"/>
            <w:vMerge w:val="restart"/>
            <w:tcBorders>
              <w:top w:val="single" w:color="000000" w:sz="2" w:space="0"/>
              <w:left w:val="single" w:color="000000" w:sz="2" w:space="0"/>
              <w:right w:val="single" w:color="000000" w:sz="2" w:space="0"/>
            </w:tcBorders>
            <w:noWrap w:val="0"/>
            <w:vAlign w:val="center"/>
          </w:tcPr>
          <w:p w14:paraId="0917E8C5">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形式评审标准</w:t>
            </w: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66703C53">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供应商名称</w:t>
            </w:r>
          </w:p>
        </w:tc>
        <w:tc>
          <w:tcPr>
            <w:tcW w:w="4971" w:type="dxa"/>
            <w:tcBorders>
              <w:top w:val="single" w:color="000000" w:sz="2" w:space="0"/>
              <w:left w:val="single" w:color="000000" w:sz="2" w:space="0"/>
              <w:bottom w:val="single" w:color="000000" w:sz="2" w:space="0"/>
              <w:right w:val="single" w:color="000000" w:sz="2" w:space="0"/>
            </w:tcBorders>
            <w:noWrap w:val="0"/>
            <w:vAlign w:val="center"/>
          </w:tcPr>
          <w:p w14:paraId="376F5177">
            <w:pPr>
              <w:spacing w:line="0" w:lineRule="atLeas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与营业执照、税务登记证、组织机构代码证一致。 </w:t>
            </w:r>
          </w:p>
        </w:tc>
      </w:tr>
      <w:tr w14:paraId="656E6734">
        <w:tblPrEx>
          <w:tblCellMar>
            <w:top w:w="0" w:type="dxa"/>
            <w:left w:w="108" w:type="dxa"/>
            <w:bottom w:w="0" w:type="dxa"/>
            <w:right w:w="108" w:type="dxa"/>
          </w:tblCellMar>
        </w:tblPrEx>
        <w:trPr>
          <w:trHeight w:val="465" w:hRule="atLeast"/>
        </w:trPr>
        <w:tc>
          <w:tcPr>
            <w:tcW w:w="742" w:type="dxa"/>
            <w:vMerge w:val="continue"/>
            <w:tcBorders>
              <w:left w:val="single" w:color="000000" w:sz="2" w:space="0"/>
              <w:right w:val="single" w:color="000000" w:sz="2" w:space="0"/>
            </w:tcBorders>
            <w:noWrap w:val="0"/>
            <w:vAlign w:val="center"/>
          </w:tcPr>
          <w:p w14:paraId="69DEE934">
            <w:pPr>
              <w:spacing w:line="0" w:lineRule="atLeast"/>
              <w:jc w:val="center"/>
              <w:rPr>
                <w:rFonts w:hint="eastAsia" w:ascii="仿宋" w:hAnsi="仿宋" w:eastAsia="仿宋" w:cs="仿宋"/>
                <w:color w:val="auto"/>
                <w:sz w:val="21"/>
                <w:szCs w:val="21"/>
                <w:highlight w:val="none"/>
              </w:rPr>
            </w:pPr>
          </w:p>
        </w:tc>
        <w:tc>
          <w:tcPr>
            <w:tcW w:w="824" w:type="dxa"/>
            <w:vMerge w:val="continue"/>
            <w:tcBorders>
              <w:left w:val="single" w:color="000000" w:sz="2" w:space="0"/>
              <w:right w:val="single" w:color="000000" w:sz="2" w:space="0"/>
            </w:tcBorders>
            <w:noWrap w:val="0"/>
            <w:vAlign w:val="center"/>
          </w:tcPr>
          <w:p w14:paraId="20E95F56">
            <w:pPr>
              <w:spacing w:line="0" w:lineRule="atLeast"/>
              <w:jc w:val="center"/>
              <w:rPr>
                <w:rFonts w:hint="eastAsia" w:ascii="仿宋" w:hAnsi="仿宋" w:eastAsia="仿宋" w:cs="仿宋"/>
                <w:color w:val="auto"/>
                <w:sz w:val="21"/>
                <w:szCs w:val="21"/>
                <w:highlight w:val="none"/>
              </w:rPr>
            </w:pP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4094A397">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投标函签字盖章</w:t>
            </w:r>
          </w:p>
        </w:tc>
        <w:tc>
          <w:tcPr>
            <w:tcW w:w="4971" w:type="dxa"/>
            <w:tcBorders>
              <w:top w:val="single" w:color="000000" w:sz="2" w:space="0"/>
              <w:left w:val="single" w:color="000000" w:sz="2" w:space="0"/>
              <w:bottom w:val="single" w:color="000000" w:sz="2" w:space="0"/>
              <w:right w:val="single" w:color="000000" w:sz="2" w:space="0"/>
            </w:tcBorders>
            <w:noWrap w:val="0"/>
            <w:vAlign w:val="center"/>
          </w:tcPr>
          <w:p w14:paraId="4D36046E">
            <w:pPr>
              <w:spacing w:line="0" w:lineRule="atLeas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有法定代表人或其委托代理人签字并加盖单位章。</w:t>
            </w:r>
          </w:p>
        </w:tc>
      </w:tr>
      <w:tr w14:paraId="5507D5F6">
        <w:tblPrEx>
          <w:tblCellMar>
            <w:top w:w="0" w:type="dxa"/>
            <w:left w:w="108" w:type="dxa"/>
            <w:bottom w:w="0" w:type="dxa"/>
            <w:right w:w="108" w:type="dxa"/>
          </w:tblCellMar>
        </w:tblPrEx>
        <w:trPr>
          <w:trHeight w:val="465" w:hRule="atLeast"/>
        </w:trPr>
        <w:tc>
          <w:tcPr>
            <w:tcW w:w="742" w:type="dxa"/>
            <w:vMerge w:val="continue"/>
            <w:tcBorders>
              <w:left w:val="single" w:color="000000" w:sz="2" w:space="0"/>
              <w:right w:val="single" w:color="000000" w:sz="2" w:space="0"/>
            </w:tcBorders>
            <w:noWrap w:val="0"/>
            <w:vAlign w:val="center"/>
          </w:tcPr>
          <w:p w14:paraId="300A9133">
            <w:pPr>
              <w:spacing w:line="0" w:lineRule="atLeast"/>
              <w:jc w:val="center"/>
              <w:rPr>
                <w:rFonts w:hint="eastAsia" w:ascii="仿宋" w:hAnsi="仿宋" w:eastAsia="仿宋" w:cs="仿宋"/>
                <w:color w:val="auto"/>
                <w:sz w:val="21"/>
                <w:szCs w:val="21"/>
                <w:highlight w:val="none"/>
              </w:rPr>
            </w:pPr>
          </w:p>
        </w:tc>
        <w:tc>
          <w:tcPr>
            <w:tcW w:w="824" w:type="dxa"/>
            <w:vMerge w:val="continue"/>
            <w:tcBorders>
              <w:left w:val="single" w:color="000000" w:sz="2" w:space="0"/>
              <w:right w:val="single" w:color="000000" w:sz="2" w:space="0"/>
            </w:tcBorders>
            <w:noWrap w:val="0"/>
            <w:vAlign w:val="center"/>
          </w:tcPr>
          <w:p w14:paraId="0CD597EF">
            <w:pPr>
              <w:spacing w:line="0" w:lineRule="atLeast"/>
              <w:jc w:val="center"/>
              <w:rPr>
                <w:rFonts w:hint="eastAsia" w:ascii="仿宋" w:hAnsi="仿宋" w:eastAsia="仿宋" w:cs="仿宋"/>
                <w:color w:val="auto"/>
                <w:sz w:val="21"/>
                <w:szCs w:val="21"/>
                <w:highlight w:val="none"/>
              </w:rPr>
            </w:pPr>
          </w:p>
        </w:tc>
        <w:tc>
          <w:tcPr>
            <w:tcW w:w="1777" w:type="dxa"/>
            <w:tcBorders>
              <w:top w:val="single" w:color="000000" w:sz="2" w:space="0"/>
              <w:left w:val="single" w:color="000000" w:sz="2" w:space="0"/>
              <w:bottom w:val="single" w:color="auto" w:sz="4" w:space="0"/>
              <w:right w:val="single" w:color="000000" w:sz="2" w:space="0"/>
            </w:tcBorders>
            <w:noWrap w:val="0"/>
            <w:vAlign w:val="center"/>
          </w:tcPr>
          <w:p w14:paraId="4E8F36C4">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投标文件格式</w:t>
            </w:r>
          </w:p>
        </w:tc>
        <w:tc>
          <w:tcPr>
            <w:tcW w:w="4971" w:type="dxa"/>
            <w:tcBorders>
              <w:top w:val="single" w:color="000000" w:sz="2" w:space="0"/>
              <w:left w:val="single" w:color="000000" w:sz="2" w:space="0"/>
              <w:bottom w:val="single" w:color="auto" w:sz="4" w:space="0"/>
              <w:right w:val="single" w:color="000000" w:sz="2" w:space="0"/>
            </w:tcBorders>
            <w:noWrap w:val="0"/>
            <w:vAlign w:val="center"/>
          </w:tcPr>
          <w:p w14:paraId="09FD56DD">
            <w:pPr>
              <w:spacing w:line="0" w:lineRule="atLeas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符合第六章“投标文件格式”的要求。</w:t>
            </w:r>
          </w:p>
        </w:tc>
      </w:tr>
      <w:tr w14:paraId="585FC93B">
        <w:tblPrEx>
          <w:tblCellMar>
            <w:top w:w="0" w:type="dxa"/>
            <w:left w:w="108" w:type="dxa"/>
            <w:bottom w:w="0" w:type="dxa"/>
            <w:right w:w="108" w:type="dxa"/>
          </w:tblCellMar>
        </w:tblPrEx>
        <w:trPr>
          <w:trHeight w:val="465" w:hRule="atLeast"/>
        </w:trPr>
        <w:tc>
          <w:tcPr>
            <w:tcW w:w="742" w:type="dxa"/>
            <w:vMerge w:val="continue"/>
            <w:tcBorders>
              <w:left w:val="single" w:color="000000" w:sz="2" w:space="0"/>
              <w:bottom w:val="single" w:color="auto" w:sz="4" w:space="0"/>
              <w:right w:val="single" w:color="000000" w:sz="2" w:space="0"/>
            </w:tcBorders>
            <w:noWrap w:val="0"/>
            <w:vAlign w:val="center"/>
          </w:tcPr>
          <w:p w14:paraId="4F100D1C">
            <w:pPr>
              <w:spacing w:line="0" w:lineRule="atLeast"/>
              <w:jc w:val="center"/>
              <w:rPr>
                <w:rFonts w:hint="eastAsia" w:ascii="仿宋" w:hAnsi="仿宋" w:eastAsia="仿宋" w:cs="仿宋"/>
                <w:color w:val="auto"/>
                <w:sz w:val="21"/>
                <w:szCs w:val="21"/>
                <w:highlight w:val="none"/>
              </w:rPr>
            </w:pPr>
          </w:p>
        </w:tc>
        <w:tc>
          <w:tcPr>
            <w:tcW w:w="824" w:type="dxa"/>
            <w:vMerge w:val="continue"/>
            <w:tcBorders>
              <w:left w:val="single" w:color="000000" w:sz="2" w:space="0"/>
              <w:bottom w:val="single" w:color="auto" w:sz="4" w:space="0"/>
              <w:right w:val="single" w:color="000000" w:sz="2" w:space="0"/>
            </w:tcBorders>
            <w:noWrap w:val="0"/>
            <w:vAlign w:val="center"/>
          </w:tcPr>
          <w:p w14:paraId="0CF443CA">
            <w:pPr>
              <w:spacing w:line="0" w:lineRule="atLeast"/>
              <w:jc w:val="center"/>
              <w:rPr>
                <w:rFonts w:hint="eastAsia" w:ascii="仿宋" w:hAnsi="仿宋" w:eastAsia="仿宋" w:cs="仿宋"/>
                <w:color w:val="auto"/>
                <w:sz w:val="21"/>
                <w:szCs w:val="21"/>
                <w:highlight w:val="none"/>
              </w:rPr>
            </w:pPr>
          </w:p>
        </w:tc>
        <w:tc>
          <w:tcPr>
            <w:tcW w:w="1777" w:type="dxa"/>
            <w:tcBorders>
              <w:top w:val="single" w:color="000000" w:sz="2" w:space="0"/>
              <w:left w:val="single" w:color="000000" w:sz="2" w:space="0"/>
              <w:bottom w:val="single" w:color="auto" w:sz="4" w:space="0"/>
              <w:right w:val="single" w:color="000000" w:sz="2" w:space="0"/>
            </w:tcBorders>
            <w:noWrap w:val="0"/>
            <w:vAlign w:val="center"/>
          </w:tcPr>
          <w:p w14:paraId="55F58790">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报价唯一 </w:t>
            </w:r>
          </w:p>
        </w:tc>
        <w:tc>
          <w:tcPr>
            <w:tcW w:w="4971" w:type="dxa"/>
            <w:tcBorders>
              <w:top w:val="single" w:color="000000" w:sz="2" w:space="0"/>
              <w:left w:val="single" w:color="000000" w:sz="2" w:space="0"/>
              <w:bottom w:val="single" w:color="auto" w:sz="4" w:space="0"/>
              <w:right w:val="single" w:color="000000" w:sz="2" w:space="0"/>
            </w:tcBorders>
            <w:noWrap w:val="0"/>
            <w:vAlign w:val="center"/>
          </w:tcPr>
          <w:p w14:paraId="5C3BA7EB">
            <w:pPr>
              <w:spacing w:line="0" w:lineRule="atLeas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只能有一个有效报价。</w:t>
            </w:r>
          </w:p>
        </w:tc>
      </w:tr>
      <w:tr w14:paraId="6BB96306">
        <w:tblPrEx>
          <w:tblCellMar>
            <w:top w:w="0" w:type="dxa"/>
            <w:left w:w="108" w:type="dxa"/>
            <w:bottom w:w="0" w:type="dxa"/>
            <w:right w:w="108" w:type="dxa"/>
          </w:tblCellMar>
        </w:tblPrEx>
        <w:trPr>
          <w:trHeight w:val="662" w:hRule="atLeast"/>
        </w:trPr>
        <w:tc>
          <w:tcPr>
            <w:tcW w:w="742" w:type="dxa"/>
            <w:vMerge w:val="restart"/>
            <w:tcBorders>
              <w:top w:val="single" w:color="auto" w:sz="4" w:space="0"/>
              <w:left w:val="single" w:color="auto" w:sz="4" w:space="0"/>
              <w:bottom w:val="single" w:color="auto" w:sz="4" w:space="0"/>
              <w:right w:val="single" w:color="000000" w:sz="2" w:space="0"/>
            </w:tcBorders>
            <w:noWrap w:val="0"/>
            <w:vAlign w:val="center"/>
          </w:tcPr>
          <w:p w14:paraId="65B43394">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824" w:type="dxa"/>
            <w:vMerge w:val="restart"/>
            <w:tcBorders>
              <w:top w:val="single" w:color="auto" w:sz="4" w:space="0"/>
              <w:left w:val="single" w:color="000000" w:sz="2" w:space="0"/>
              <w:bottom w:val="single" w:color="auto" w:sz="4" w:space="0"/>
              <w:right w:val="single" w:color="auto" w:sz="4" w:space="0"/>
            </w:tcBorders>
            <w:noWrap w:val="0"/>
            <w:vAlign w:val="center"/>
          </w:tcPr>
          <w:p w14:paraId="16E3094C">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资格评审标准</w:t>
            </w:r>
          </w:p>
        </w:tc>
        <w:tc>
          <w:tcPr>
            <w:tcW w:w="1777" w:type="dxa"/>
            <w:tcBorders>
              <w:top w:val="single" w:color="auto" w:sz="4" w:space="0"/>
              <w:left w:val="single" w:color="auto" w:sz="4" w:space="0"/>
              <w:bottom w:val="single" w:color="auto" w:sz="4" w:space="0"/>
              <w:right w:val="single" w:color="auto" w:sz="4" w:space="0"/>
            </w:tcBorders>
            <w:noWrap w:val="0"/>
            <w:vAlign w:val="center"/>
          </w:tcPr>
          <w:p w14:paraId="6694403A">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营业执照</w:t>
            </w:r>
          </w:p>
        </w:tc>
        <w:tc>
          <w:tcPr>
            <w:tcW w:w="4971" w:type="dxa"/>
            <w:tcBorders>
              <w:top w:val="single" w:color="auto" w:sz="4" w:space="0"/>
              <w:left w:val="single" w:color="auto" w:sz="4" w:space="0"/>
              <w:bottom w:val="single" w:color="auto" w:sz="4" w:space="0"/>
              <w:right w:val="single" w:color="auto" w:sz="4" w:space="0"/>
            </w:tcBorders>
            <w:noWrap w:val="0"/>
            <w:vAlign w:val="center"/>
          </w:tcPr>
          <w:p w14:paraId="3609ABF6">
            <w:pPr>
              <w:autoSpaceDE w:val="0"/>
              <w:autoSpaceDN w:val="0"/>
              <w:adjustRightInd w:val="0"/>
              <w:spacing w:line="0" w:lineRule="atLeas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rPr>
              <w:t>须是在中国境内注册具有独立承担民事责任能力的独立法人或其他组织形式，具备有效的营业执照；</w:t>
            </w:r>
          </w:p>
        </w:tc>
      </w:tr>
      <w:tr w14:paraId="3DE355B2">
        <w:tblPrEx>
          <w:tblCellMar>
            <w:top w:w="0" w:type="dxa"/>
            <w:left w:w="108" w:type="dxa"/>
            <w:bottom w:w="0" w:type="dxa"/>
            <w:right w:w="108" w:type="dxa"/>
          </w:tblCellMar>
        </w:tblPrEx>
        <w:trPr>
          <w:trHeight w:val="610" w:hRule="atLeast"/>
        </w:trPr>
        <w:tc>
          <w:tcPr>
            <w:tcW w:w="742" w:type="dxa"/>
            <w:vMerge w:val="continue"/>
            <w:tcBorders>
              <w:top w:val="single" w:color="auto" w:sz="4" w:space="0"/>
              <w:left w:val="single" w:color="auto" w:sz="4" w:space="0"/>
              <w:bottom w:val="single" w:color="auto" w:sz="4" w:space="0"/>
              <w:right w:val="single" w:color="000000" w:sz="2" w:space="0"/>
            </w:tcBorders>
            <w:noWrap w:val="0"/>
            <w:vAlign w:val="center"/>
          </w:tcPr>
          <w:p w14:paraId="4C60C2E4">
            <w:pPr>
              <w:spacing w:line="0" w:lineRule="atLeast"/>
              <w:jc w:val="left"/>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auto" w:sz="4" w:space="0"/>
            </w:tcBorders>
            <w:noWrap w:val="0"/>
            <w:vAlign w:val="center"/>
          </w:tcPr>
          <w:p w14:paraId="56331A8F">
            <w:pPr>
              <w:spacing w:line="0" w:lineRule="atLeast"/>
              <w:jc w:val="left"/>
              <w:rPr>
                <w:rFonts w:hint="eastAsia" w:ascii="仿宋" w:hAnsi="仿宋" w:eastAsia="仿宋" w:cs="仿宋"/>
                <w:color w:val="auto"/>
                <w:sz w:val="21"/>
                <w:szCs w:val="21"/>
                <w:highlight w:val="none"/>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181F37FF">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财务状况</w:t>
            </w:r>
          </w:p>
        </w:tc>
        <w:tc>
          <w:tcPr>
            <w:tcW w:w="4971" w:type="dxa"/>
            <w:tcBorders>
              <w:top w:val="single" w:color="auto" w:sz="4" w:space="0"/>
              <w:left w:val="single" w:color="auto" w:sz="4" w:space="0"/>
              <w:bottom w:val="single" w:color="auto" w:sz="4" w:space="0"/>
              <w:right w:val="single" w:color="auto" w:sz="4" w:space="0"/>
            </w:tcBorders>
            <w:noWrap w:val="0"/>
            <w:vAlign w:val="center"/>
          </w:tcPr>
          <w:p w14:paraId="43106141">
            <w:pPr>
              <w:spacing w:line="0" w:lineRule="atLeast"/>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应出具近三年（</w:t>
            </w:r>
            <w:r>
              <w:rPr>
                <w:rFonts w:hint="eastAsia" w:cs="仿宋"/>
                <w:color w:val="auto"/>
                <w:sz w:val="21"/>
                <w:szCs w:val="21"/>
                <w:highlight w:val="none"/>
                <w:lang w:eastAsia="zh-CN"/>
              </w:rPr>
              <w:t>2022年至2024年</w:t>
            </w:r>
            <w:r>
              <w:rPr>
                <w:rFonts w:hint="eastAsia" w:ascii="仿宋" w:hAnsi="仿宋" w:eastAsia="仿宋" w:cs="仿宋"/>
                <w:color w:val="auto"/>
                <w:sz w:val="21"/>
                <w:szCs w:val="21"/>
                <w:highlight w:val="none"/>
              </w:rPr>
              <w:t>）经会计师事务所审计的财务审计报告</w:t>
            </w:r>
            <w:r>
              <w:rPr>
                <w:rFonts w:hint="eastAsia" w:cs="仿宋"/>
                <w:color w:val="auto"/>
                <w:sz w:val="21"/>
                <w:szCs w:val="21"/>
                <w:highlight w:val="none"/>
                <w:lang w:val="en-US" w:eastAsia="zh-CN"/>
              </w:rPr>
              <w:t>或财务报表</w:t>
            </w:r>
            <w:r>
              <w:rPr>
                <w:rFonts w:hint="eastAsia" w:ascii="仿宋" w:hAnsi="仿宋" w:eastAsia="仿宋" w:cs="仿宋"/>
                <w:color w:val="auto"/>
                <w:sz w:val="21"/>
                <w:szCs w:val="21"/>
                <w:highlight w:val="none"/>
              </w:rPr>
              <w:t>（投标人的成立时间少于规定年份的，</w:t>
            </w:r>
            <w:r>
              <w:rPr>
                <w:rFonts w:hint="eastAsia" w:cs="仿宋"/>
                <w:color w:val="auto"/>
                <w:sz w:val="21"/>
                <w:szCs w:val="21"/>
                <w:highlight w:val="none"/>
                <w:lang w:eastAsia="zh-CN"/>
              </w:rPr>
              <w:t>应提供成立以来至2024年的财务审计报告或财务报表</w:t>
            </w:r>
            <w:r>
              <w:rPr>
                <w:rFonts w:hint="eastAsia" w:ascii="仿宋" w:hAnsi="仿宋" w:eastAsia="仿宋" w:cs="仿宋"/>
                <w:color w:val="auto"/>
                <w:sz w:val="21"/>
                <w:szCs w:val="21"/>
                <w:highlight w:val="none"/>
              </w:rPr>
              <w:t>；</w:t>
            </w:r>
            <w:r>
              <w:rPr>
                <w:rFonts w:hint="eastAsia" w:cs="仿宋"/>
                <w:color w:val="auto"/>
                <w:sz w:val="21"/>
                <w:szCs w:val="21"/>
                <w:highlight w:val="none"/>
                <w:lang w:eastAsia="zh-CN"/>
              </w:rPr>
              <w:t>2025年以后新成立企业需提供近三个月内银行出具的公司资信证明）</w:t>
            </w:r>
          </w:p>
        </w:tc>
      </w:tr>
      <w:tr w14:paraId="6EC773BD">
        <w:tblPrEx>
          <w:tblCellMar>
            <w:top w:w="0" w:type="dxa"/>
            <w:left w:w="108" w:type="dxa"/>
            <w:bottom w:w="0" w:type="dxa"/>
            <w:right w:w="108" w:type="dxa"/>
          </w:tblCellMar>
        </w:tblPrEx>
        <w:trPr>
          <w:trHeight w:val="610" w:hRule="atLeast"/>
        </w:trPr>
        <w:tc>
          <w:tcPr>
            <w:tcW w:w="742" w:type="dxa"/>
            <w:vMerge w:val="continue"/>
            <w:tcBorders>
              <w:top w:val="single" w:color="auto" w:sz="4" w:space="0"/>
              <w:left w:val="single" w:color="auto" w:sz="4" w:space="0"/>
              <w:bottom w:val="single" w:color="auto" w:sz="4" w:space="0"/>
              <w:right w:val="single" w:color="000000" w:sz="2" w:space="0"/>
            </w:tcBorders>
            <w:noWrap w:val="0"/>
            <w:vAlign w:val="center"/>
          </w:tcPr>
          <w:p w14:paraId="57018446">
            <w:pPr>
              <w:spacing w:line="0" w:lineRule="atLeast"/>
              <w:jc w:val="left"/>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auto" w:sz="4" w:space="0"/>
            </w:tcBorders>
            <w:noWrap w:val="0"/>
            <w:vAlign w:val="center"/>
          </w:tcPr>
          <w:p w14:paraId="55D0AC77">
            <w:pPr>
              <w:spacing w:line="0" w:lineRule="atLeast"/>
              <w:jc w:val="left"/>
              <w:rPr>
                <w:rFonts w:hint="eastAsia" w:ascii="仿宋" w:hAnsi="仿宋" w:eastAsia="仿宋" w:cs="仿宋"/>
                <w:color w:val="auto"/>
                <w:sz w:val="21"/>
                <w:szCs w:val="21"/>
                <w:highlight w:val="none"/>
              </w:rPr>
            </w:pPr>
          </w:p>
        </w:tc>
        <w:tc>
          <w:tcPr>
            <w:tcW w:w="1777" w:type="dxa"/>
            <w:tcBorders>
              <w:top w:val="single" w:color="auto" w:sz="4" w:space="0"/>
              <w:left w:val="single" w:color="auto" w:sz="4" w:space="0"/>
              <w:bottom w:val="single" w:color="000000" w:sz="2" w:space="0"/>
              <w:right w:val="single" w:color="000000" w:sz="2" w:space="0"/>
            </w:tcBorders>
            <w:noWrap w:val="0"/>
            <w:vAlign w:val="center"/>
          </w:tcPr>
          <w:p w14:paraId="3669E522">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依法缴纳税收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社会保障资金的良好记录</w:t>
            </w:r>
          </w:p>
        </w:tc>
        <w:tc>
          <w:tcPr>
            <w:tcW w:w="4971" w:type="dxa"/>
            <w:tcBorders>
              <w:top w:val="single" w:color="auto" w:sz="4" w:space="0"/>
              <w:left w:val="single" w:color="000000" w:sz="2" w:space="0"/>
              <w:bottom w:val="single" w:color="000000" w:sz="2" w:space="0"/>
              <w:right w:val="single" w:color="000000" w:sz="2" w:space="0"/>
            </w:tcBorders>
            <w:noWrap w:val="0"/>
            <w:vAlign w:val="center"/>
          </w:tcPr>
          <w:p w14:paraId="4CF95174">
            <w:pPr>
              <w:spacing w:line="0" w:lineRule="atLeast"/>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供应商应提供近六个月中至少一个月的社会缴纳社会保险的凭据（专用收据或社会保险缴纳清单）和良好缴纳税收的相关凭据（以税务机关提供的纳税凭据或银行入账单为准），并加盖本单位公章。依法免税或不需要缴纳社会保障资金的供应商，应提供相应文件证明其依法免税或不需要缴纳社会保障资金</w:t>
            </w:r>
          </w:p>
        </w:tc>
      </w:tr>
      <w:tr w14:paraId="4AE795BD">
        <w:tblPrEx>
          <w:tblCellMar>
            <w:top w:w="0" w:type="dxa"/>
            <w:left w:w="108" w:type="dxa"/>
            <w:bottom w:w="0" w:type="dxa"/>
            <w:right w:w="108" w:type="dxa"/>
          </w:tblCellMar>
        </w:tblPrEx>
        <w:trPr>
          <w:trHeight w:val="610" w:hRule="atLeast"/>
        </w:trPr>
        <w:tc>
          <w:tcPr>
            <w:tcW w:w="742" w:type="dxa"/>
            <w:vMerge w:val="continue"/>
            <w:tcBorders>
              <w:top w:val="single" w:color="auto" w:sz="4" w:space="0"/>
              <w:left w:val="single" w:color="auto" w:sz="4" w:space="0"/>
              <w:bottom w:val="single" w:color="auto" w:sz="4" w:space="0"/>
              <w:right w:val="single" w:color="000000" w:sz="2" w:space="0"/>
            </w:tcBorders>
            <w:noWrap w:val="0"/>
            <w:vAlign w:val="center"/>
          </w:tcPr>
          <w:p w14:paraId="3703F3C6">
            <w:pPr>
              <w:spacing w:line="0" w:lineRule="atLeast"/>
              <w:jc w:val="left"/>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auto" w:sz="4" w:space="0"/>
            </w:tcBorders>
            <w:noWrap w:val="0"/>
            <w:vAlign w:val="center"/>
          </w:tcPr>
          <w:p w14:paraId="4A58F8C7">
            <w:pPr>
              <w:spacing w:line="0" w:lineRule="atLeast"/>
              <w:jc w:val="left"/>
              <w:rPr>
                <w:rFonts w:hint="eastAsia" w:ascii="仿宋" w:hAnsi="仿宋" w:eastAsia="仿宋" w:cs="仿宋"/>
                <w:color w:val="auto"/>
                <w:sz w:val="21"/>
                <w:szCs w:val="21"/>
                <w:highlight w:val="none"/>
              </w:rPr>
            </w:pPr>
          </w:p>
        </w:tc>
        <w:tc>
          <w:tcPr>
            <w:tcW w:w="1777" w:type="dxa"/>
            <w:tcBorders>
              <w:top w:val="single" w:color="auto" w:sz="4" w:space="0"/>
              <w:left w:val="single" w:color="auto" w:sz="4" w:space="0"/>
              <w:bottom w:val="single" w:color="000000" w:sz="2" w:space="0"/>
              <w:right w:val="single" w:color="000000" w:sz="2" w:space="0"/>
            </w:tcBorders>
            <w:noWrap w:val="0"/>
            <w:vAlign w:val="center"/>
          </w:tcPr>
          <w:p w14:paraId="23E418C2">
            <w:pPr>
              <w:spacing w:line="0" w:lineRule="atLeas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中小企业声明函</w:t>
            </w:r>
          </w:p>
        </w:tc>
        <w:tc>
          <w:tcPr>
            <w:tcW w:w="4971" w:type="dxa"/>
            <w:tcBorders>
              <w:top w:val="single" w:color="auto" w:sz="4" w:space="0"/>
              <w:left w:val="single" w:color="000000" w:sz="2" w:space="0"/>
              <w:bottom w:val="single" w:color="000000" w:sz="2" w:space="0"/>
              <w:right w:val="single" w:color="000000" w:sz="2" w:space="0"/>
            </w:tcBorders>
            <w:noWrap w:val="0"/>
            <w:vAlign w:val="center"/>
          </w:tcPr>
          <w:p w14:paraId="2282A89B">
            <w:pPr>
              <w:spacing w:line="0" w:lineRule="atLeast"/>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按照要求提交中小企业声明函</w:t>
            </w:r>
          </w:p>
        </w:tc>
      </w:tr>
      <w:tr w14:paraId="458180D5">
        <w:tblPrEx>
          <w:tblCellMar>
            <w:top w:w="0" w:type="dxa"/>
            <w:left w:w="108" w:type="dxa"/>
            <w:bottom w:w="0" w:type="dxa"/>
            <w:right w:w="108" w:type="dxa"/>
          </w:tblCellMar>
        </w:tblPrEx>
        <w:trPr>
          <w:trHeight w:val="90" w:hRule="atLeast"/>
        </w:trPr>
        <w:tc>
          <w:tcPr>
            <w:tcW w:w="742" w:type="dxa"/>
            <w:vMerge w:val="continue"/>
            <w:tcBorders>
              <w:top w:val="single" w:color="auto" w:sz="4" w:space="0"/>
              <w:left w:val="single" w:color="auto" w:sz="4" w:space="0"/>
              <w:bottom w:val="single" w:color="auto" w:sz="4" w:space="0"/>
              <w:right w:val="single" w:color="000000" w:sz="2" w:space="0"/>
            </w:tcBorders>
            <w:noWrap w:val="0"/>
            <w:vAlign w:val="center"/>
          </w:tcPr>
          <w:p w14:paraId="668643BD">
            <w:pPr>
              <w:spacing w:line="0" w:lineRule="atLeast"/>
              <w:jc w:val="left"/>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auto" w:sz="4" w:space="0"/>
            </w:tcBorders>
            <w:noWrap w:val="0"/>
            <w:vAlign w:val="center"/>
          </w:tcPr>
          <w:p w14:paraId="37B0D1D9">
            <w:pPr>
              <w:spacing w:line="0" w:lineRule="atLeast"/>
              <w:jc w:val="left"/>
              <w:rPr>
                <w:rFonts w:hint="eastAsia" w:ascii="仿宋" w:hAnsi="仿宋" w:eastAsia="仿宋" w:cs="仿宋"/>
                <w:color w:val="auto"/>
                <w:sz w:val="21"/>
                <w:szCs w:val="21"/>
                <w:highlight w:val="none"/>
              </w:rPr>
            </w:pPr>
          </w:p>
        </w:tc>
        <w:tc>
          <w:tcPr>
            <w:tcW w:w="1777" w:type="dxa"/>
            <w:tcBorders>
              <w:top w:val="single" w:color="000000" w:sz="2" w:space="0"/>
              <w:left w:val="single" w:color="auto" w:sz="4" w:space="0"/>
              <w:bottom w:val="single" w:color="000000" w:sz="2" w:space="0"/>
              <w:right w:val="single" w:color="000000" w:sz="2" w:space="0"/>
            </w:tcBorders>
            <w:noWrap w:val="0"/>
            <w:vAlign w:val="center"/>
          </w:tcPr>
          <w:p w14:paraId="52DBCE80">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信誉要求</w:t>
            </w:r>
          </w:p>
        </w:tc>
        <w:tc>
          <w:tcPr>
            <w:tcW w:w="4971" w:type="dxa"/>
            <w:tcBorders>
              <w:top w:val="single" w:color="000000" w:sz="2" w:space="0"/>
              <w:left w:val="single" w:color="000000" w:sz="2" w:space="0"/>
              <w:bottom w:val="single" w:color="000000" w:sz="2" w:space="0"/>
              <w:right w:val="single" w:color="000000" w:sz="2" w:space="0"/>
            </w:tcBorders>
            <w:noWrap w:val="0"/>
            <w:vAlign w:val="center"/>
          </w:tcPr>
          <w:p w14:paraId="7CE68FCC">
            <w:pPr>
              <w:autoSpaceDE w:val="0"/>
              <w:autoSpaceDN w:val="0"/>
              <w:adjustRightInd w:val="0"/>
              <w:spacing w:line="0" w:lineRule="atLeas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（1）拒绝列入政府取消投标资格记录期间的企业或个人投标</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w:t>
            </w:r>
          </w:p>
          <w:p w14:paraId="32CBD15D">
            <w:pPr>
              <w:autoSpaceDE w:val="0"/>
              <w:autoSpaceDN w:val="0"/>
              <w:adjustRightInd w:val="0"/>
              <w:spacing w:line="0" w:lineRule="atLeas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（2）投标人未被工商行政管理机关在全国企业信用信息公示系统（www.gsxt.gov.cn）中列入严重违法失信企业名单；</w:t>
            </w:r>
          </w:p>
          <w:p w14:paraId="1B8DAFAD">
            <w:pPr>
              <w:autoSpaceDE w:val="0"/>
              <w:autoSpaceDN w:val="0"/>
              <w:adjustRightInd w:val="0"/>
              <w:spacing w:line="0" w:lineRule="atLeas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（3）投标人未被列入“失信被执行人、重大税收违法失信主体”的记录名单，通过“信用中国”网站（www.creditchina.gov.cn)查询；</w:t>
            </w:r>
          </w:p>
          <w:p w14:paraId="1FC8B047">
            <w:pPr>
              <w:autoSpaceDE w:val="0"/>
              <w:autoSpaceDN w:val="0"/>
              <w:adjustRightInd w:val="0"/>
              <w:spacing w:line="0" w:lineRule="atLeas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（4）投标人未被列入“政府采购严重违法失信行为记录名单”，通过“中国政府采购网”（www.ccgp.gov.cn）查询；</w:t>
            </w:r>
          </w:p>
          <w:p w14:paraId="4AF0296B">
            <w:pPr>
              <w:autoSpaceDE w:val="0"/>
              <w:autoSpaceDN w:val="0"/>
              <w:adjustRightInd w:val="0"/>
              <w:spacing w:line="0" w:lineRule="atLeas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（5）投标人和个人（指法定代表人、法人代理人）未在“中国裁判文书网”（wenshu.court.gov.cn）上有行贿犯罪行为；</w:t>
            </w:r>
          </w:p>
          <w:p w14:paraId="14CF7E1E">
            <w:pPr>
              <w:autoSpaceDE w:val="0"/>
              <w:autoSpaceDN w:val="0"/>
              <w:adjustRightInd w:val="0"/>
              <w:spacing w:line="0" w:lineRule="atLeast"/>
              <w:jc w:val="left"/>
              <w:rPr>
                <w:rFonts w:hint="eastAsia"/>
                <w:color w:val="auto"/>
                <w:highlight w:val="none"/>
              </w:rPr>
            </w:pPr>
            <w:r>
              <w:rPr>
                <w:rFonts w:hint="eastAsia" w:ascii="仿宋" w:hAnsi="仿宋" w:eastAsia="仿宋" w:cs="仿宋"/>
                <w:color w:val="auto"/>
                <w:sz w:val="21"/>
                <w:szCs w:val="21"/>
                <w:highlight w:val="none"/>
                <w:lang w:val="en-US" w:eastAsia="zh-CN"/>
              </w:rPr>
              <w:t>投标文件内（1）-（5）附由法定代表人或其委托代理人签字并加盖供应商公章的承诺书</w:t>
            </w:r>
            <w:r>
              <w:rPr>
                <w:rFonts w:hint="eastAsia" w:ascii="仿宋" w:hAnsi="仿宋" w:eastAsia="仿宋" w:cs="仿宋"/>
                <w:color w:val="auto"/>
                <w:sz w:val="21"/>
                <w:szCs w:val="21"/>
                <w:highlight w:val="none"/>
              </w:rPr>
              <w:t>。</w:t>
            </w:r>
          </w:p>
        </w:tc>
      </w:tr>
      <w:tr w14:paraId="77EB8AC4">
        <w:tblPrEx>
          <w:tblCellMar>
            <w:top w:w="0" w:type="dxa"/>
            <w:left w:w="108" w:type="dxa"/>
            <w:bottom w:w="0" w:type="dxa"/>
            <w:right w:w="108" w:type="dxa"/>
          </w:tblCellMar>
        </w:tblPrEx>
        <w:trPr>
          <w:trHeight w:val="667" w:hRule="atLeast"/>
        </w:trPr>
        <w:tc>
          <w:tcPr>
            <w:tcW w:w="742" w:type="dxa"/>
            <w:vMerge w:val="continue"/>
            <w:tcBorders>
              <w:top w:val="single" w:color="auto" w:sz="4" w:space="0"/>
              <w:left w:val="single" w:color="auto" w:sz="4" w:space="0"/>
              <w:bottom w:val="single" w:color="auto" w:sz="4" w:space="0"/>
              <w:right w:val="single" w:color="000000" w:sz="2" w:space="0"/>
            </w:tcBorders>
            <w:noWrap w:val="0"/>
            <w:vAlign w:val="center"/>
          </w:tcPr>
          <w:p w14:paraId="7E95F6B8">
            <w:pPr>
              <w:spacing w:line="0" w:lineRule="atLeast"/>
              <w:jc w:val="left"/>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auto" w:sz="4" w:space="0"/>
            </w:tcBorders>
            <w:noWrap w:val="0"/>
            <w:vAlign w:val="center"/>
          </w:tcPr>
          <w:p w14:paraId="0EF6BB6D">
            <w:pPr>
              <w:spacing w:line="0" w:lineRule="atLeast"/>
              <w:jc w:val="left"/>
              <w:rPr>
                <w:rFonts w:hint="eastAsia" w:ascii="仿宋" w:hAnsi="仿宋" w:eastAsia="仿宋" w:cs="仿宋"/>
                <w:color w:val="auto"/>
                <w:sz w:val="21"/>
                <w:szCs w:val="21"/>
                <w:highlight w:val="none"/>
              </w:rPr>
            </w:pPr>
          </w:p>
        </w:tc>
        <w:tc>
          <w:tcPr>
            <w:tcW w:w="1777" w:type="dxa"/>
            <w:tcBorders>
              <w:top w:val="single" w:color="000000" w:sz="2" w:space="0"/>
              <w:left w:val="single" w:color="auto" w:sz="4" w:space="0"/>
              <w:bottom w:val="single" w:color="auto" w:sz="4" w:space="0"/>
              <w:right w:val="single" w:color="000000" w:sz="2" w:space="0"/>
            </w:tcBorders>
            <w:noWrap w:val="0"/>
            <w:vAlign w:val="center"/>
          </w:tcPr>
          <w:p w14:paraId="2CD2B259">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其他要求</w:t>
            </w:r>
          </w:p>
        </w:tc>
        <w:tc>
          <w:tcPr>
            <w:tcW w:w="4971" w:type="dxa"/>
            <w:tcBorders>
              <w:top w:val="single" w:color="000000" w:sz="2" w:space="0"/>
              <w:left w:val="single" w:color="000000" w:sz="2" w:space="0"/>
              <w:bottom w:val="single" w:color="auto" w:sz="4" w:space="0"/>
              <w:right w:val="single" w:color="000000" w:sz="2" w:space="0"/>
            </w:tcBorders>
            <w:noWrap w:val="0"/>
            <w:vAlign w:val="center"/>
          </w:tcPr>
          <w:p w14:paraId="37C38ED5">
            <w:pPr>
              <w:spacing w:line="0" w:lineRule="atLeast"/>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投标人不得存在下列情形之一：</w:t>
            </w:r>
          </w:p>
          <w:p w14:paraId="321AFD15">
            <w:pPr>
              <w:numPr>
                <w:ilvl w:val="0"/>
                <w:numId w:val="8"/>
              </w:numPr>
              <w:spacing w:line="0" w:lineRule="atLeast"/>
              <w:ind w:left="0" w:leftChars="0"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为</w:t>
            </w:r>
            <w:r>
              <w:rPr>
                <w:rFonts w:hint="eastAsia" w:ascii="仿宋" w:hAnsi="仿宋" w:eastAsia="仿宋" w:cs="仿宋"/>
                <w:color w:val="auto"/>
                <w:kern w:val="0"/>
                <w:sz w:val="21"/>
                <w:szCs w:val="21"/>
                <w:highlight w:val="none"/>
                <w:lang w:eastAsia="zh-CN"/>
              </w:rPr>
              <w:t>采购人</w:t>
            </w:r>
            <w:r>
              <w:rPr>
                <w:rFonts w:hint="eastAsia" w:ascii="仿宋" w:hAnsi="仿宋" w:eastAsia="仿宋" w:cs="仿宋"/>
                <w:color w:val="auto"/>
                <w:kern w:val="0"/>
                <w:sz w:val="21"/>
                <w:szCs w:val="21"/>
                <w:highlight w:val="none"/>
              </w:rPr>
              <w:t>不具有独立法人资格的附属机构(单位)；</w:t>
            </w:r>
          </w:p>
          <w:p w14:paraId="2A8DE84D">
            <w:pPr>
              <w:numPr>
                <w:ilvl w:val="0"/>
                <w:numId w:val="8"/>
              </w:numPr>
              <w:spacing w:line="0" w:lineRule="atLeast"/>
              <w:ind w:left="0" w:leftChars="0"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为本项目提供</w:t>
            </w:r>
            <w:r>
              <w:rPr>
                <w:rFonts w:hint="eastAsia" w:ascii="仿宋" w:hAnsi="仿宋" w:eastAsia="仿宋" w:cs="仿宋"/>
                <w:color w:val="auto"/>
                <w:kern w:val="0"/>
                <w:sz w:val="21"/>
                <w:szCs w:val="21"/>
                <w:highlight w:val="none"/>
                <w:lang w:val="en-US" w:eastAsia="zh-CN"/>
              </w:rPr>
              <w:t>采购</w:t>
            </w:r>
            <w:r>
              <w:rPr>
                <w:rFonts w:hint="eastAsia" w:ascii="仿宋" w:hAnsi="仿宋" w:eastAsia="仿宋" w:cs="仿宋"/>
                <w:color w:val="auto"/>
                <w:kern w:val="0"/>
                <w:sz w:val="21"/>
                <w:szCs w:val="21"/>
                <w:highlight w:val="none"/>
              </w:rPr>
              <w:t>代理服务的</w:t>
            </w:r>
          </w:p>
          <w:p w14:paraId="275BEC10">
            <w:pPr>
              <w:numPr>
                <w:ilvl w:val="0"/>
                <w:numId w:val="8"/>
              </w:numPr>
              <w:spacing w:line="0" w:lineRule="atLeast"/>
              <w:ind w:left="0" w:leftChars="0"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被责令停业的； </w:t>
            </w:r>
          </w:p>
          <w:p w14:paraId="608AD09A">
            <w:pPr>
              <w:numPr>
                <w:ilvl w:val="0"/>
                <w:numId w:val="8"/>
              </w:numPr>
              <w:spacing w:line="0" w:lineRule="atLeast"/>
              <w:ind w:left="0" w:leftChars="0"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被暂停或取消投标资格的；</w:t>
            </w:r>
          </w:p>
          <w:p w14:paraId="5628E1B0">
            <w:pPr>
              <w:numPr>
                <w:ilvl w:val="0"/>
                <w:numId w:val="8"/>
              </w:numPr>
              <w:spacing w:line="0" w:lineRule="atLeast"/>
              <w:ind w:left="0" w:leftChars="0"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财产被接管或冻结的；</w:t>
            </w:r>
          </w:p>
          <w:p w14:paraId="3D32AE4A">
            <w:pPr>
              <w:numPr>
                <w:ilvl w:val="0"/>
                <w:numId w:val="8"/>
              </w:numPr>
              <w:spacing w:line="0" w:lineRule="atLeast"/>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在最近三年内有骗取中标或严重违约或重大</w:t>
            </w:r>
            <w:r>
              <w:rPr>
                <w:rFonts w:hint="eastAsia" w:ascii="仿宋" w:hAnsi="仿宋" w:eastAsia="仿宋" w:cs="仿宋"/>
                <w:color w:val="auto"/>
                <w:kern w:val="0"/>
                <w:sz w:val="21"/>
                <w:szCs w:val="21"/>
                <w:highlight w:val="none"/>
                <w:lang w:val="en-US" w:eastAsia="zh-CN"/>
              </w:rPr>
              <w:t>项目</w:t>
            </w:r>
            <w:r>
              <w:rPr>
                <w:rFonts w:hint="eastAsia" w:ascii="仿宋" w:hAnsi="仿宋" w:eastAsia="仿宋" w:cs="仿宋"/>
                <w:color w:val="auto"/>
                <w:kern w:val="0"/>
                <w:sz w:val="21"/>
                <w:szCs w:val="21"/>
                <w:highlight w:val="none"/>
              </w:rPr>
              <w:t>质量问题的。</w:t>
            </w:r>
          </w:p>
          <w:p w14:paraId="47AF4EB5">
            <w:pPr>
              <w:numPr>
                <w:ilvl w:val="0"/>
                <w:numId w:val="8"/>
              </w:numPr>
              <w:spacing w:line="0" w:lineRule="atLeast"/>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投标文件</w:t>
            </w:r>
            <w:r>
              <w:rPr>
                <w:rFonts w:hint="eastAsia" w:ascii="仿宋" w:hAnsi="仿宋" w:eastAsia="仿宋" w:cs="仿宋"/>
                <w:color w:val="auto"/>
                <w:kern w:val="0"/>
                <w:sz w:val="21"/>
                <w:szCs w:val="21"/>
                <w:highlight w:val="none"/>
              </w:rPr>
              <w:t>内附法</w:t>
            </w:r>
            <w:r>
              <w:rPr>
                <w:rFonts w:hint="eastAsia" w:ascii="仿宋" w:hAnsi="仿宋" w:eastAsia="仿宋" w:cs="仿宋"/>
                <w:color w:val="auto"/>
                <w:kern w:val="0"/>
                <w:sz w:val="21"/>
                <w:szCs w:val="21"/>
                <w:highlight w:val="none"/>
                <w:lang w:val="en-US" w:eastAsia="zh-CN"/>
              </w:rPr>
              <w:t>定</w:t>
            </w:r>
            <w:r>
              <w:rPr>
                <w:rFonts w:hint="eastAsia" w:ascii="仿宋" w:hAnsi="仿宋" w:eastAsia="仿宋" w:cs="仿宋"/>
                <w:color w:val="auto"/>
                <w:kern w:val="0"/>
                <w:sz w:val="21"/>
                <w:szCs w:val="21"/>
                <w:highlight w:val="none"/>
              </w:rPr>
              <w:t>代表人或其授权委托人签字并加盖公章的承诺书。</w:t>
            </w:r>
          </w:p>
        </w:tc>
      </w:tr>
      <w:tr w14:paraId="38697B4F">
        <w:tblPrEx>
          <w:tblCellMar>
            <w:top w:w="0" w:type="dxa"/>
            <w:left w:w="108" w:type="dxa"/>
            <w:bottom w:w="0" w:type="dxa"/>
            <w:right w:w="108" w:type="dxa"/>
          </w:tblCellMar>
        </w:tblPrEx>
        <w:trPr>
          <w:trHeight w:val="454" w:hRule="atLeast"/>
        </w:trPr>
        <w:tc>
          <w:tcPr>
            <w:tcW w:w="742" w:type="dxa"/>
            <w:vMerge w:val="restart"/>
            <w:tcBorders>
              <w:top w:val="single" w:color="auto" w:sz="4" w:space="0"/>
              <w:left w:val="single" w:color="000000" w:sz="2" w:space="0"/>
              <w:bottom w:val="single" w:color="auto" w:sz="4" w:space="0"/>
              <w:right w:val="single" w:color="000000" w:sz="2" w:space="0"/>
            </w:tcBorders>
            <w:noWrap w:val="0"/>
            <w:vAlign w:val="center"/>
          </w:tcPr>
          <w:p w14:paraId="07817EB5">
            <w:pPr>
              <w:spacing w:line="0" w:lineRule="atLeas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824" w:type="dxa"/>
            <w:vMerge w:val="restart"/>
            <w:tcBorders>
              <w:top w:val="single" w:color="auto" w:sz="4" w:space="0"/>
              <w:left w:val="single" w:color="000000" w:sz="2" w:space="0"/>
              <w:bottom w:val="single" w:color="auto" w:sz="4" w:space="0"/>
              <w:right w:val="single" w:color="000000" w:sz="2" w:space="0"/>
            </w:tcBorders>
            <w:noWrap w:val="0"/>
            <w:vAlign w:val="center"/>
          </w:tcPr>
          <w:p w14:paraId="28308254">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响应性评审标准</w:t>
            </w: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5C1EF8EA">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投标内容</w:t>
            </w:r>
          </w:p>
        </w:tc>
        <w:tc>
          <w:tcPr>
            <w:tcW w:w="4971" w:type="dxa"/>
            <w:tcBorders>
              <w:top w:val="single" w:color="000000" w:sz="2" w:space="0"/>
              <w:left w:val="single" w:color="000000" w:sz="2" w:space="0"/>
              <w:bottom w:val="single" w:color="000000" w:sz="2" w:space="0"/>
              <w:right w:val="single" w:color="000000" w:sz="2" w:space="0"/>
            </w:tcBorders>
            <w:noWrap w:val="0"/>
            <w:vAlign w:val="center"/>
          </w:tcPr>
          <w:p w14:paraId="17D84324">
            <w:pPr>
              <w:spacing w:line="0" w:lineRule="atLeas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符合招标文件要求</w:t>
            </w:r>
          </w:p>
        </w:tc>
      </w:tr>
      <w:tr w14:paraId="0A426FBA">
        <w:tblPrEx>
          <w:tblCellMar>
            <w:top w:w="0" w:type="dxa"/>
            <w:left w:w="108" w:type="dxa"/>
            <w:bottom w:w="0" w:type="dxa"/>
            <w:right w:w="108" w:type="dxa"/>
          </w:tblCellMar>
        </w:tblPrEx>
        <w:trPr>
          <w:trHeight w:val="454" w:hRule="atLeast"/>
        </w:trPr>
        <w:tc>
          <w:tcPr>
            <w:tcW w:w="742" w:type="dxa"/>
            <w:vMerge w:val="continue"/>
            <w:tcBorders>
              <w:top w:val="single" w:color="auto" w:sz="4" w:space="0"/>
              <w:left w:val="single" w:color="000000" w:sz="2" w:space="0"/>
              <w:bottom w:val="single" w:color="auto" w:sz="4" w:space="0"/>
              <w:right w:val="single" w:color="000000" w:sz="2" w:space="0"/>
            </w:tcBorders>
            <w:noWrap w:val="0"/>
            <w:vAlign w:val="center"/>
          </w:tcPr>
          <w:p w14:paraId="5A18C329">
            <w:pPr>
              <w:spacing w:line="0" w:lineRule="atLeast"/>
              <w:jc w:val="left"/>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000000" w:sz="2" w:space="0"/>
            </w:tcBorders>
            <w:noWrap w:val="0"/>
            <w:vAlign w:val="center"/>
          </w:tcPr>
          <w:p w14:paraId="0F8E491D">
            <w:pPr>
              <w:spacing w:line="0" w:lineRule="atLeast"/>
              <w:jc w:val="left"/>
              <w:rPr>
                <w:rFonts w:hint="eastAsia" w:ascii="仿宋" w:hAnsi="仿宋" w:eastAsia="仿宋" w:cs="仿宋"/>
                <w:color w:val="auto"/>
                <w:sz w:val="21"/>
                <w:szCs w:val="21"/>
                <w:highlight w:val="none"/>
              </w:rPr>
            </w:pP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46A8FC11">
            <w:pPr>
              <w:spacing w:line="0" w:lineRule="atLeast"/>
              <w:jc w:val="center"/>
              <w:rPr>
                <w:rFonts w:hint="default"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服务履行期限</w:t>
            </w:r>
          </w:p>
        </w:tc>
        <w:tc>
          <w:tcPr>
            <w:tcW w:w="4971" w:type="dxa"/>
            <w:tcBorders>
              <w:top w:val="single" w:color="000000" w:sz="2" w:space="0"/>
              <w:left w:val="single" w:color="000000" w:sz="2" w:space="0"/>
              <w:bottom w:val="single" w:color="000000" w:sz="2" w:space="0"/>
              <w:right w:val="single" w:color="000000" w:sz="2" w:space="0"/>
            </w:tcBorders>
            <w:noWrap w:val="0"/>
            <w:vAlign w:val="center"/>
          </w:tcPr>
          <w:p w14:paraId="2AC53AB3">
            <w:pPr>
              <w:spacing w:line="0" w:lineRule="atLeast"/>
              <w:jc w:val="left"/>
              <w:rPr>
                <w:rFonts w:hint="default"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合同签订后至2026年7月6日，具体以实际合同签订为准</w:t>
            </w:r>
          </w:p>
        </w:tc>
      </w:tr>
      <w:tr w14:paraId="761ECD25">
        <w:tblPrEx>
          <w:tblCellMar>
            <w:top w:w="0" w:type="dxa"/>
            <w:left w:w="108" w:type="dxa"/>
            <w:bottom w:w="0" w:type="dxa"/>
            <w:right w:w="108" w:type="dxa"/>
          </w:tblCellMar>
        </w:tblPrEx>
        <w:trPr>
          <w:trHeight w:val="478" w:hRule="atLeast"/>
        </w:trPr>
        <w:tc>
          <w:tcPr>
            <w:tcW w:w="742" w:type="dxa"/>
            <w:vMerge w:val="continue"/>
            <w:tcBorders>
              <w:top w:val="single" w:color="auto" w:sz="4" w:space="0"/>
              <w:left w:val="single" w:color="000000" w:sz="2" w:space="0"/>
              <w:bottom w:val="single" w:color="auto" w:sz="4" w:space="0"/>
              <w:right w:val="single" w:color="000000" w:sz="2" w:space="0"/>
            </w:tcBorders>
            <w:noWrap w:val="0"/>
            <w:vAlign w:val="center"/>
          </w:tcPr>
          <w:p w14:paraId="7D025B70">
            <w:pPr>
              <w:spacing w:line="0" w:lineRule="atLeast"/>
              <w:jc w:val="left"/>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000000" w:sz="2" w:space="0"/>
            </w:tcBorders>
            <w:noWrap w:val="0"/>
            <w:vAlign w:val="center"/>
          </w:tcPr>
          <w:p w14:paraId="03EA0BCE">
            <w:pPr>
              <w:spacing w:line="0" w:lineRule="atLeast"/>
              <w:jc w:val="left"/>
              <w:rPr>
                <w:rFonts w:hint="eastAsia" w:ascii="仿宋" w:hAnsi="仿宋" w:eastAsia="仿宋" w:cs="仿宋"/>
                <w:color w:val="auto"/>
                <w:sz w:val="21"/>
                <w:szCs w:val="21"/>
                <w:highlight w:val="none"/>
              </w:rPr>
            </w:pP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2AEE36D8">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质量标准</w:t>
            </w:r>
          </w:p>
        </w:tc>
        <w:tc>
          <w:tcPr>
            <w:tcW w:w="4971" w:type="dxa"/>
            <w:tcBorders>
              <w:top w:val="single" w:color="000000" w:sz="2" w:space="0"/>
              <w:left w:val="single" w:color="000000" w:sz="2" w:space="0"/>
              <w:bottom w:val="single" w:color="000000" w:sz="2" w:space="0"/>
              <w:right w:val="single" w:color="000000" w:sz="2" w:space="0"/>
            </w:tcBorders>
            <w:noWrap w:val="0"/>
            <w:vAlign w:val="center"/>
          </w:tcPr>
          <w:p w14:paraId="4DEA971B">
            <w:pPr>
              <w:spacing w:line="0" w:lineRule="atLeast"/>
              <w:jc w:val="left"/>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符合国家及行业现行标准的合格产品</w:t>
            </w:r>
          </w:p>
        </w:tc>
      </w:tr>
      <w:tr w14:paraId="6F785081">
        <w:tblPrEx>
          <w:tblCellMar>
            <w:top w:w="0" w:type="dxa"/>
            <w:left w:w="108" w:type="dxa"/>
            <w:bottom w:w="0" w:type="dxa"/>
            <w:right w:w="108" w:type="dxa"/>
          </w:tblCellMar>
        </w:tblPrEx>
        <w:trPr>
          <w:trHeight w:val="499" w:hRule="atLeast"/>
        </w:trPr>
        <w:tc>
          <w:tcPr>
            <w:tcW w:w="742" w:type="dxa"/>
            <w:vMerge w:val="continue"/>
            <w:tcBorders>
              <w:top w:val="single" w:color="auto" w:sz="4" w:space="0"/>
              <w:left w:val="single" w:color="000000" w:sz="2" w:space="0"/>
              <w:bottom w:val="single" w:color="auto" w:sz="4" w:space="0"/>
              <w:right w:val="single" w:color="000000" w:sz="2" w:space="0"/>
            </w:tcBorders>
            <w:noWrap w:val="0"/>
            <w:vAlign w:val="center"/>
          </w:tcPr>
          <w:p w14:paraId="6067559E">
            <w:pPr>
              <w:spacing w:line="0" w:lineRule="atLeast"/>
              <w:jc w:val="left"/>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000000" w:sz="2" w:space="0"/>
            </w:tcBorders>
            <w:noWrap w:val="0"/>
            <w:vAlign w:val="center"/>
          </w:tcPr>
          <w:p w14:paraId="192D2A1A">
            <w:pPr>
              <w:spacing w:line="0" w:lineRule="atLeast"/>
              <w:jc w:val="left"/>
              <w:rPr>
                <w:rFonts w:hint="eastAsia" w:ascii="仿宋" w:hAnsi="仿宋" w:eastAsia="仿宋" w:cs="仿宋"/>
                <w:color w:val="auto"/>
                <w:sz w:val="21"/>
                <w:szCs w:val="21"/>
                <w:highlight w:val="none"/>
              </w:rPr>
            </w:pP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33EE74B4">
            <w:pPr>
              <w:spacing w:line="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技术规格</w:t>
            </w:r>
          </w:p>
        </w:tc>
        <w:tc>
          <w:tcPr>
            <w:tcW w:w="4971" w:type="dxa"/>
            <w:tcBorders>
              <w:top w:val="single" w:color="000000" w:sz="2" w:space="0"/>
              <w:left w:val="single" w:color="000000" w:sz="2" w:space="0"/>
              <w:bottom w:val="single" w:color="000000" w:sz="2" w:space="0"/>
              <w:right w:val="single" w:color="000000" w:sz="2" w:space="0"/>
            </w:tcBorders>
            <w:noWrap w:val="0"/>
            <w:vAlign w:val="center"/>
          </w:tcPr>
          <w:p w14:paraId="6D4B9ABB">
            <w:pPr>
              <w:spacing w:line="0" w:lineRule="atLeas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符合招标文件</w:t>
            </w:r>
            <w:r>
              <w:rPr>
                <w:rFonts w:hint="eastAsia" w:cs="仿宋"/>
                <w:color w:val="auto"/>
                <w:sz w:val="21"/>
                <w:szCs w:val="21"/>
                <w:highlight w:val="none"/>
                <w:lang w:val="en-US" w:eastAsia="zh-CN"/>
              </w:rPr>
              <w:t>第五章“服务需求及要求”</w:t>
            </w:r>
          </w:p>
        </w:tc>
      </w:tr>
      <w:tr w14:paraId="0F748E48">
        <w:tblPrEx>
          <w:tblCellMar>
            <w:top w:w="0" w:type="dxa"/>
            <w:left w:w="108" w:type="dxa"/>
            <w:bottom w:w="0" w:type="dxa"/>
            <w:right w:w="108" w:type="dxa"/>
          </w:tblCellMar>
        </w:tblPrEx>
        <w:trPr>
          <w:trHeight w:val="499" w:hRule="atLeast"/>
        </w:trPr>
        <w:tc>
          <w:tcPr>
            <w:tcW w:w="742" w:type="dxa"/>
            <w:vMerge w:val="continue"/>
            <w:tcBorders>
              <w:top w:val="single" w:color="auto" w:sz="4" w:space="0"/>
              <w:left w:val="single" w:color="000000" w:sz="2" w:space="0"/>
              <w:bottom w:val="single" w:color="auto" w:sz="4" w:space="0"/>
              <w:right w:val="single" w:color="000000" w:sz="2" w:space="0"/>
            </w:tcBorders>
            <w:noWrap w:val="0"/>
            <w:vAlign w:val="center"/>
          </w:tcPr>
          <w:p w14:paraId="37D93B6E">
            <w:pPr>
              <w:spacing w:line="0" w:lineRule="atLeast"/>
              <w:jc w:val="left"/>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000000" w:sz="2" w:space="0"/>
            </w:tcBorders>
            <w:noWrap w:val="0"/>
            <w:vAlign w:val="center"/>
          </w:tcPr>
          <w:p w14:paraId="1C4DBA17">
            <w:pPr>
              <w:spacing w:line="0" w:lineRule="atLeast"/>
              <w:jc w:val="left"/>
              <w:rPr>
                <w:rFonts w:hint="eastAsia" w:ascii="仿宋" w:hAnsi="仿宋" w:eastAsia="仿宋" w:cs="仿宋"/>
                <w:color w:val="auto"/>
                <w:sz w:val="21"/>
                <w:szCs w:val="21"/>
                <w:highlight w:val="none"/>
              </w:rPr>
            </w:pP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148509A2">
            <w:pPr>
              <w:spacing w:line="0" w:lineRule="atLeas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投标有效期</w:t>
            </w:r>
          </w:p>
        </w:tc>
        <w:tc>
          <w:tcPr>
            <w:tcW w:w="4971" w:type="dxa"/>
            <w:tcBorders>
              <w:top w:val="single" w:color="000000" w:sz="2" w:space="0"/>
              <w:left w:val="single" w:color="000000" w:sz="2" w:space="0"/>
              <w:bottom w:val="single" w:color="000000" w:sz="2" w:space="0"/>
              <w:right w:val="single" w:color="000000" w:sz="2" w:space="0"/>
            </w:tcBorders>
            <w:noWrap w:val="0"/>
            <w:vAlign w:val="center"/>
          </w:tcPr>
          <w:p w14:paraId="478DA102">
            <w:pPr>
              <w:spacing w:line="0" w:lineRule="atLeast"/>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90天</w:t>
            </w:r>
          </w:p>
        </w:tc>
      </w:tr>
      <w:tr w14:paraId="62C731D0">
        <w:tblPrEx>
          <w:tblCellMar>
            <w:top w:w="0" w:type="dxa"/>
            <w:left w:w="108" w:type="dxa"/>
            <w:bottom w:w="0" w:type="dxa"/>
            <w:right w:w="108" w:type="dxa"/>
          </w:tblCellMar>
        </w:tblPrEx>
        <w:trPr>
          <w:trHeight w:val="499" w:hRule="atLeast"/>
        </w:trPr>
        <w:tc>
          <w:tcPr>
            <w:tcW w:w="742" w:type="dxa"/>
            <w:vMerge w:val="continue"/>
            <w:tcBorders>
              <w:top w:val="single" w:color="auto" w:sz="4" w:space="0"/>
              <w:left w:val="single" w:color="000000" w:sz="2" w:space="0"/>
              <w:bottom w:val="single" w:color="auto" w:sz="4" w:space="0"/>
              <w:right w:val="single" w:color="000000" w:sz="2" w:space="0"/>
            </w:tcBorders>
            <w:noWrap w:val="0"/>
            <w:vAlign w:val="center"/>
          </w:tcPr>
          <w:p w14:paraId="751A407E">
            <w:pPr>
              <w:spacing w:line="0" w:lineRule="atLeast"/>
              <w:jc w:val="left"/>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000000" w:sz="2" w:space="0"/>
            </w:tcBorders>
            <w:noWrap w:val="0"/>
            <w:vAlign w:val="center"/>
          </w:tcPr>
          <w:p w14:paraId="2C312AB2">
            <w:pPr>
              <w:spacing w:line="0" w:lineRule="atLeast"/>
              <w:jc w:val="left"/>
              <w:rPr>
                <w:rFonts w:hint="eastAsia" w:ascii="仿宋" w:hAnsi="仿宋" w:eastAsia="仿宋" w:cs="仿宋"/>
                <w:color w:val="auto"/>
                <w:sz w:val="21"/>
                <w:szCs w:val="21"/>
                <w:highlight w:val="none"/>
              </w:rPr>
            </w:pP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0409D837">
            <w:pPr>
              <w:spacing w:line="0" w:lineRule="atLeas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投标保证金</w:t>
            </w:r>
          </w:p>
        </w:tc>
        <w:tc>
          <w:tcPr>
            <w:tcW w:w="4971" w:type="dxa"/>
            <w:tcBorders>
              <w:top w:val="single" w:color="000000" w:sz="2" w:space="0"/>
              <w:left w:val="single" w:color="000000" w:sz="2" w:space="0"/>
              <w:bottom w:val="single" w:color="000000" w:sz="2" w:space="0"/>
              <w:right w:val="single" w:color="000000" w:sz="2" w:space="0"/>
            </w:tcBorders>
            <w:noWrap w:val="0"/>
            <w:vAlign w:val="center"/>
          </w:tcPr>
          <w:p w14:paraId="0117617A">
            <w:pPr>
              <w:spacing w:line="0" w:lineRule="atLeas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有缴纳投标保证金凭证原件加盖公章，基本账户开户许可证复印件加盖公章【要求件清晰可见】 </w:t>
            </w:r>
          </w:p>
        </w:tc>
      </w:tr>
      <w:tr w14:paraId="2798CA1E">
        <w:tblPrEx>
          <w:tblCellMar>
            <w:top w:w="0" w:type="dxa"/>
            <w:left w:w="108" w:type="dxa"/>
            <w:bottom w:w="0" w:type="dxa"/>
            <w:right w:w="108" w:type="dxa"/>
          </w:tblCellMar>
        </w:tblPrEx>
        <w:trPr>
          <w:trHeight w:val="454" w:hRule="atLeast"/>
        </w:trPr>
        <w:tc>
          <w:tcPr>
            <w:tcW w:w="742" w:type="dxa"/>
            <w:vMerge w:val="continue"/>
            <w:tcBorders>
              <w:top w:val="single" w:color="auto" w:sz="4" w:space="0"/>
              <w:left w:val="single" w:color="000000" w:sz="2" w:space="0"/>
              <w:bottom w:val="single" w:color="auto" w:sz="4" w:space="0"/>
              <w:right w:val="single" w:color="000000" w:sz="2" w:space="0"/>
            </w:tcBorders>
            <w:noWrap w:val="0"/>
            <w:vAlign w:val="center"/>
          </w:tcPr>
          <w:p w14:paraId="68E425DA">
            <w:pPr>
              <w:spacing w:line="0" w:lineRule="atLeast"/>
              <w:jc w:val="left"/>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000000" w:sz="2" w:space="0"/>
            </w:tcBorders>
            <w:noWrap w:val="0"/>
            <w:vAlign w:val="center"/>
          </w:tcPr>
          <w:p w14:paraId="3C0335CE">
            <w:pPr>
              <w:spacing w:line="0" w:lineRule="atLeast"/>
              <w:jc w:val="left"/>
              <w:rPr>
                <w:rFonts w:hint="eastAsia" w:ascii="仿宋" w:hAnsi="仿宋" w:eastAsia="仿宋" w:cs="仿宋"/>
                <w:color w:val="auto"/>
                <w:sz w:val="21"/>
                <w:szCs w:val="21"/>
                <w:highlight w:val="none"/>
              </w:rPr>
            </w:pP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6B64A668">
            <w:pPr>
              <w:spacing w:line="0" w:lineRule="atLeast"/>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投标报价</w:t>
            </w:r>
          </w:p>
        </w:tc>
        <w:tc>
          <w:tcPr>
            <w:tcW w:w="4971" w:type="dxa"/>
            <w:tcBorders>
              <w:top w:val="single" w:color="000000" w:sz="2" w:space="0"/>
              <w:left w:val="single" w:color="000000" w:sz="2" w:space="0"/>
              <w:bottom w:val="single" w:color="000000" w:sz="2" w:space="0"/>
              <w:right w:val="single" w:color="000000" w:sz="2" w:space="0"/>
            </w:tcBorders>
            <w:noWrap w:val="0"/>
            <w:vAlign w:val="center"/>
          </w:tcPr>
          <w:p w14:paraId="1322F0AA">
            <w:pPr>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不超过采购预算，超过采购预算的投标报价，其投标将被否决</w:t>
            </w:r>
          </w:p>
        </w:tc>
      </w:tr>
    </w:tbl>
    <w:p w14:paraId="40A8FB10">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48CB6617">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jc w:val="center"/>
        <w:textAlignment w:val="auto"/>
        <w:outlineLvl w:val="2"/>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附表二、详细评审表</w:t>
      </w:r>
    </w:p>
    <w:tbl>
      <w:tblPr>
        <w:tblStyle w:val="20"/>
        <w:tblW w:w="870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1"/>
        <w:gridCol w:w="1173"/>
        <w:gridCol w:w="1486"/>
        <w:gridCol w:w="764"/>
        <w:gridCol w:w="4533"/>
      </w:tblGrid>
      <w:tr w14:paraId="5AE91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1924" w:type="dxa"/>
            <w:gridSpan w:val="2"/>
            <w:tcBorders>
              <w:tl2br w:val="nil"/>
              <w:tr2bl w:val="nil"/>
            </w:tcBorders>
            <w:noWrap w:val="0"/>
            <w:vAlign w:val="center"/>
          </w:tcPr>
          <w:p w14:paraId="4C4D4E9A">
            <w:pPr>
              <w:spacing w:line="276" w:lineRule="auto"/>
              <w:jc w:val="center"/>
              <w:rPr>
                <w:rFonts w:hint="eastAsia" w:ascii="仿宋" w:hAnsi="仿宋" w:eastAsia="仿宋" w:cs="仿宋"/>
                <w:b/>
                <w:sz w:val="21"/>
                <w:szCs w:val="21"/>
                <w:highlight w:val="none"/>
              </w:rPr>
            </w:pPr>
            <w:r>
              <w:rPr>
                <w:rFonts w:hint="eastAsia" w:ascii="仿宋" w:hAnsi="仿宋" w:eastAsia="仿宋" w:cs="仿宋"/>
                <w:b/>
                <w:bCs/>
                <w:color w:val="000000"/>
                <w:sz w:val="21"/>
                <w:szCs w:val="21"/>
                <w:highlight w:val="none"/>
              </w:rPr>
              <w:t>条款号</w:t>
            </w:r>
          </w:p>
        </w:tc>
        <w:tc>
          <w:tcPr>
            <w:tcW w:w="2250" w:type="dxa"/>
            <w:gridSpan w:val="2"/>
            <w:tcBorders>
              <w:tl2br w:val="nil"/>
              <w:tr2bl w:val="nil"/>
            </w:tcBorders>
            <w:noWrap w:val="0"/>
            <w:vAlign w:val="center"/>
          </w:tcPr>
          <w:p w14:paraId="2B702114">
            <w:pPr>
              <w:spacing w:line="276" w:lineRule="auto"/>
              <w:jc w:val="center"/>
              <w:rPr>
                <w:rFonts w:hint="eastAsia" w:ascii="仿宋" w:hAnsi="仿宋" w:eastAsia="仿宋" w:cs="仿宋"/>
                <w:b/>
                <w:sz w:val="21"/>
                <w:szCs w:val="21"/>
                <w:highlight w:val="none"/>
              </w:rPr>
            </w:pPr>
            <w:r>
              <w:rPr>
                <w:rFonts w:hint="eastAsia" w:ascii="仿宋" w:hAnsi="仿宋" w:eastAsia="仿宋" w:cs="仿宋"/>
                <w:b/>
                <w:bCs/>
                <w:color w:val="000000"/>
                <w:sz w:val="21"/>
                <w:szCs w:val="21"/>
                <w:highlight w:val="none"/>
              </w:rPr>
              <w:t>评审因素</w:t>
            </w:r>
          </w:p>
        </w:tc>
        <w:tc>
          <w:tcPr>
            <w:tcW w:w="4533" w:type="dxa"/>
            <w:tcBorders>
              <w:tl2br w:val="nil"/>
              <w:tr2bl w:val="nil"/>
            </w:tcBorders>
            <w:noWrap w:val="0"/>
            <w:vAlign w:val="center"/>
          </w:tcPr>
          <w:p w14:paraId="1D299857">
            <w:pPr>
              <w:spacing w:line="276" w:lineRule="auto"/>
              <w:jc w:val="center"/>
              <w:rPr>
                <w:rFonts w:hint="eastAsia" w:ascii="仿宋" w:hAnsi="仿宋" w:eastAsia="仿宋" w:cs="仿宋"/>
                <w:sz w:val="21"/>
                <w:szCs w:val="21"/>
                <w:highlight w:val="none"/>
              </w:rPr>
            </w:pPr>
            <w:r>
              <w:rPr>
                <w:rFonts w:hint="eastAsia" w:ascii="仿宋" w:hAnsi="仿宋" w:eastAsia="仿宋" w:cs="仿宋"/>
                <w:b/>
                <w:bCs/>
                <w:color w:val="000000"/>
                <w:sz w:val="21"/>
                <w:szCs w:val="21"/>
                <w:highlight w:val="none"/>
              </w:rPr>
              <w:t>评审标准</w:t>
            </w:r>
          </w:p>
        </w:tc>
      </w:tr>
      <w:tr w14:paraId="159BE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1924" w:type="dxa"/>
            <w:gridSpan w:val="2"/>
            <w:tcBorders>
              <w:tl2br w:val="nil"/>
              <w:tr2bl w:val="nil"/>
            </w:tcBorders>
            <w:noWrap w:val="0"/>
            <w:vAlign w:val="center"/>
          </w:tcPr>
          <w:p w14:paraId="55C9E4D5">
            <w:pPr>
              <w:spacing w:line="276" w:lineRule="auto"/>
              <w:jc w:val="center"/>
              <w:rPr>
                <w:rFonts w:hint="eastAsia" w:ascii="仿宋" w:hAnsi="仿宋" w:eastAsia="仿宋" w:cs="仿宋"/>
                <w:b/>
                <w:bCs/>
                <w:sz w:val="21"/>
                <w:szCs w:val="21"/>
                <w:highlight w:val="none"/>
              </w:rPr>
            </w:pPr>
            <w:r>
              <w:rPr>
                <w:rFonts w:hint="eastAsia" w:ascii="仿宋" w:hAnsi="仿宋" w:eastAsia="仿宋" w:cs="仿宋"/>
                <w:b/>
                <w:bCs/>
                <w:color w:val="000000"/>
                <w:sz w:val="21"/>
                <w:szCs w:val="21"/>
                <w:highlight w:val="none"/>
              </w:rPr>
              <w:t>2.2.1</w:t>
            </w:r>
          </w:p>
        </w:tc>
        <w:tc>
          <w:tcPr>
            <w:tcW w:w="2250" w:type="dxa"/>
            <w:gridSpan w:val="2"/>
            <w:tcBorders>
              <w:tl2br w:val="nil"/>
              <w:tr2bl w:val="nil"/>
            </w:tcBorders>
            <w:noWrap w:val="0"/>
            <w:vAlign w:val="center"/>
          </w:tcPr>
          <w:p w14:paraId="14815495">
            <w:pPr>
              <w:spacing w:line="276" w:lineRule="auto"/>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分值构成</w:t>
            </w:r>
          </w:p>
          <w:p w14:paraId="179ACFDA">
            <w:pPr>
              <w:spacing w:line="276" w:lineRule="auto"/>
              <w:jc w:val="center"/>
              <w:rPr>
                <w:rFonts w:hint="eastAsia" w:ascii="仿宋" w:hAnsi="仿宋" w:eastAsia="仿宋" w:cs="仿宋"/>
                <w:b/>
                <w:bCs/>
                <w:sz w:val="21"/>
                <w:szCs w:val="21"/>
                <w:highlight w:val="none"/>
              </w:rPr>
            </w:pPr>
            <w:r>
              <w:rPr>
                <w:rFonts w:hint="eastAsia" w:ascii="仿宋" w:hAnsi="仿宋" w:eastAsia="仿宋" w:cs="仿宋"/>
                <w:b/>
                <w:bCs/>
                <w:color w:val="000000"/>
                <w:sz w:val="21"/>
                <w:szCs w:val="21"/>
                <w:highlight w:val="none"/>
                <w:lang w:eastAsia="zh-CN"/>
              </w:rPr>
              <w:t>（</w:t>
            </w:r>
            <w:r>
              <w:rPr>
                <w:rFonts w:hint="eastAsia" w:ascii="仿宋" w:hAnsi="仿宋" w:eastAsia="仿宋" w:cs="仿宋"/>
                <w:b/>
                <w:bCs/>
                <w:color w:val="000000"/>
                <w:sz w:val="21"/>
                <w:szCs w:val="21"/>
                <w:highlight w:val="none"/>
              </w:rPr>
              <w:t>总分 100 分</w:t>
            </w:r>
            <w:r>
              <w:rPr>
                <w:rFonts w:hint="eastAsia" w:ascii="仿宋" w:hAnsi="仿宋" w:eastAsia="仿宋" w:cs="仿宋"/>
                <w:b/>
                <w:bCs/>
                <w:color w:val="000000"/>
                <w:sz w:val="21"/>
                <w:szCs w:val="21"/>
                <w:highlight w:val="none"/>
                <w:lang w:eastAsia="zh-CN"/>
              </w:rPr>
              <w:t>）</w:t>
            </w:r>
          </w:p>
        </w:tc>
        <w:tc>
          <w:tcPr>
            <w:tcW w:w="4533" w:type="dxa"/>
            <w:tcBorders>
              <w:tl2br w:val="nil"/>
              <w:tr2bl w:val="nil"/>
            </w:tcBorders>
            <w:noWrap w:val="0"/>
            <w:vAlign w:val="center"/>
          </w:tcPr>
          <w:p w14:paraId="62B05EDA">
            <w:pPr>
              <w:spacing w:line="276" w:lineRule="auto"/>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lang w:val="en-US" w:eastAsia="zh-CN"/>
              </w:rPr>
              <w:t>技术</w:t>
            </w:r>
            <w:r>
              <w:rPr>
                <w:rFonts w:hint="eastAsia" w:ascii="仿宋" w:hAnsi="仿宋" w:eastAsia="仿宋" w:cs="仿宋"/>
                <w:b/>
                <w:bCs/>
                <w:color w:val="000000"/>
                <w:sz w:val="21"/>
                <w:szCs w:val="21"/>
                <w:highlight w:val="none"/>
              </w:rPr>
              <w:t>部分：</w:t>
            </w:r>
            <w:r>
              <w:rPr>
                <w:rFonts w:hint="eastAsia" w:cs="仿宋"/>
                <w:b/>
                <w:bCs/>
                <w:color w:val="000000"/>
                <w:sz w:val="21"/>
                <w:szCs w:val="21"/>
                <w:highlight w:val="none"/>
                <w:lang w:val="en-US" w:eastAsia="zh-CN"/>
              </w:rPr>
              <w:t>70</w:t>
            </w:r>
            <w:r>
              <w:rPr>
                <w:rFonts w:hint="eastAsia" w:ascii="仿宋" w:hAnsi="仿宋" w:eastAsia="仿宋" w:cs="仿宋"/>
                <w:b/>
                <w:bCs/>
                <w:color w:val="000000"/>
                <w:sz w:val="21"/>
                <w:szCs w:val="21"/>
                <w:highlight w:val="none"/>
              </w:rPr>
              <w:t>分；</w:t>
            </w:r>
          </w:p>
          <w:p w14:paraId="2C0D3AFD">
            <w:pPr>
              <w:spacing w:line="276" w:lineRule="auto"/>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lang w:val="en-US" w:eastAsia="zh-CN"/>
              </w:rPr>
              <w:t>商务</w:t>
            </w:r>
            <w:r>
              <w:rPr>
                <w:rFonts w:hint="eastAsia" w:ascii="仿宋" w:hAnsi="仿宋" w:eastAsia="仿宋" w:cs="仿宋"/>
                <w:b/>
                <w:bCs/>
                <w:color w:val="000000"/>
                <w:sz w:val="21"/>
                <w:szCs w:val="21"/>
                <w:highlight w:val="none"/>
              </w:rPr>
              <w:t>部分：</w:t>
            </w:r>
            <w:r>
              <w:rPr>
                <w:rFonts w:hint="eastAsia" w:cs="仿宋"/>
                <w:b/>
                <w:bCs/>
                <w:color w:val="000000"/>
                <w:sz w:val="21"/>
                <w:szCs w:val="21"/>
                <w:highlight w:val="none"/>
                <w:lang w:val="en-US" w:eastAsia="zh-CN"/>
              </w:rPr>
              <w:t>20</w:t>
            </w:r>
            <w:r>
              <w:rPr>
                <w:rFonts w:hint="eastAsia" w:ascii="仿宋" w:hAnsi="仿宋" w:eastAsia="仿宋" w:cs="仿宋"/>
                <w:b/>
                <w:bCs/>
                <w:color w:val="000000"/>
                <w:sz w:val="21"/>
                <w:szCs w:val="21"/>
                <w:highlight w:val="none"/>
              </w:rPr>
              <w:t>分；</w:t>
            </w:r>
          </w:p>
          <w:p w14:paraId="2253DFB3">
            <w:pPr>
              <w:spacing w:line="276" w:lineRule="auto"/>
              <w:rPr>
                <w:rFonts w:hint="eastAsia" w:ascii="仿宋" w:hAnsi="仿宋" w:eastAsia="仿宋" w:cs="仿宋"/>
                <w:b/>
                <w:bCs/>
                <w:sz w:val="21"/>
                <w:szCs w:val="21"/>
                <w:highlight w:val="none"/>
              </w:rPr>
            </w:pPr>
            <w:r>
              <w:rPr>
                <w:rFonts w:hint="eastAsia" w:ascii="仿宋" w:hAnsi="仿宋" w:eastAsia="仿宋" w:cs="仿宋"/>
                <w:b/>
                <w:bCs/>
                <w:color w:val="000000"/>
                <w:sz w:val="21"/>
                <w:szCs w:val="21"/>
                <w:highlight w:val="none"/>
              </w:rPr>
              <w:t>报价</w:t>
            </w:r>
            <w:r>
              <w:rPr>
                <w:rFonts w:hint="eastAsia" w:ascii="仿宋" w:hAnsi="仿宋" w:eastAsia="仿宋" w:cs="仿宋"/>
                <w:b/>
                <w:bCs/>
                <w:color w:val="000000"/>
                <w:sz w:val="21"/>
                <w:szCs w:val="21"/>
                <w:highlight w:val="none"/>
                <w:lang w:val="en-US" w:eastAsia="zh-CN"/>
              </w:rPr>
              <w:t>部分</w:t>
            </w:r>
            <w:r>
              <w:rPr>
                <w:rFonts w:hint="eastAsia" w:ascii="仿宋" w:hAnsi="仿宋" w:eastAsia="仿宋" w:cs="仿宋"/>
                <w:b/>
                <w:bCs/>
                <w:color w:val="000000"/>
                <w:sz w:val="21"/>
                <w:szCs w:val="21"/>
                <w:highlight w:val="none"/>
              </w:rPr>
              <w:t>：</w:t>
            </w:r>
            <w:r>
              <w:rPr>
                <w:rFonts w:hint="eastAsia" w:cs="仿宋"/>
                <w:b/>
                <w:bCs/>
                <w:color w:val="000000"/>
                <w:sz w:val="21"/>
                <w:szCs w:val="21"/>
                <w:highlight w:val="none"/>
                <w:lang w:val="en-US" w:eastAsia="zh-CN"/>
              </w:rPr>
              <w:t>10</w:t>
            </w:r>
            <w:r>
              <w:rPr>
                <w:rFonts w:hint="eastAsia" w:ascii="仿宋" w:hAnsi="仿宋" w:eastAsia="仿宋" w:cs="仿宋"/>
                <w:b/>
                <w:bCs/>
                <w:color w:val="000000"/>
                <w:sz w:val="21"/>
                <w:szCs w:val="21"/>
                <w:highlight w:val="none"/>
              </w:rPr>
              <w:t>分</w:t>
            </w:r>
          </w:p>
        </w:tc>
      </w:tr>
      <w:tr w14:paraId="4102E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1924" w:type="dxa"/>
            <w:gridSpan w:val="2"/>
            <w:tcBorders>
              <w:tl2br w:val="nil"/>
              <w:tr2bl w:val="nil"/>
            </w:tcBorders>
            <w:noWrap w:val="0"/>
            <w:vAlign w:val="center"/>
          </w:tcPr>
          <w:p w14:paraId="14AA4731">
            <w:pPr>
              <w:spacing w:line="240" w:lineRule="auto"/>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2.2.2</w:t>
            </w:r>
          </w:p>
        </w:tc>
        <w:tc>
          <w:tcPr>
            <w:tcW w:w="2250" w:type="dxa"/>
            <w:gridSpan w:val="2"/>
            <w:tcBorders>
              <w:tl2br w:val="nil"/>
              <w:tr2bl w:val="nil"/>
            </w:tcBorders>
            <w:noWrap w:val="0"/>
            <w:vAlign w:val="center"/>
          </w:tcPr>
          <w:p w14:paraId="3E5952E6">
            <w:pPr>
              <w:spacing w:line="240" w:lineRule="auto"/>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评标基准价计算</w:t>
            </w:r>
          </w:p>
        </w:tc>
        <w:tc>
          <w:tcPr>
            <w:tcW w:w="4533" w:type="dxa"/>
            <w:tcBorders>
              <w:tl2br w:val="nil"/>
              <w:tr2bl w:val="nil"/>
            </w:tcBorders>
            <w:noWrap w:val="0"/>
            <w:vAlign w:val="center"/>
          </w:tcPr>
          <w:p w14:paraId="41BED07E">
            <w:pPr>
              <w:spacing w:line="24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统一采用低价优先法，即满足招标文件全部实质性要求且投标价格最低的投标报价作为评标基准价，其价格分为满分</w:t>
            </w:r>
            <w:r>
              <w:rPr>
                <w:rFonts w:hint="eastAsia" w:cs="仿宋"/>
                <w:sz w:val="21"/>
                <w:szCs w:val="21"/>
                <w:highlight w:val="none"/>
                <w:lang w:val="en-US" w:eastAsia="zh-CN"/>
              </w:rPr>
              <w:t>10</w:t>
            </w:r>
            <w:r>
              <w:rPr>
                <w:rFonts w:hint="eastAsia" w:ascii="仿宋" w:hAnsi="仿宋" w:eastAsia="仿宋" w:cs="仿宋"/>
                <w:sz w:val="21"/>
                <w:szCs w:val="21"/>
                <w:highlight w:val="none"/>
              </w:rPr>
              <w:t>分。</w:t>
            </w:r>
          </w:p>
        </w:tc>
      </w:tr>
      <w:tr w14:paraId="60533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51" w:type="dxa"/>
            <w:tcBorders>
              <w:bottom w:val="single" w:color="auto" w:sz="4" w:space="0"/>
              <w:tl2br w:val="nil"/>
              <w:tr2bl w:val="nil"/>
            </w:tcBorders>
            <w:noWrap w:val="0"/>
            <w:vAlign w:val="center"/>
          </w:tcPr>
          <w:p w14:paraId="24E3B91E">
            <w:pPr>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2.2.3（1）</w:t>
            </w:r>
          </w:p>
        </w:tc>
        <w:tc>
          <w:tcPr>
            <w:tcW w:w="1173" w:type="dxa"/>
            <w:tcBorders>
              <w:bottom w:val="single" w:color="auto" w:sz="4" w:space="0"/>
              <w:tl2br w:val="nil"/>
              <w:tr2bl w:val="nil"/>
            </w:tcBorders>
            <w:noWrap w:val="0"/>
            <w:vAlign w:val="center"/>
          </w:tcPr>
          <w:p w14:paraId="72E9DFA6">
            <w:pPr>
              <w:spacing w:line="240" w:lineRule="auto"/>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报价部分</w:t>
            </w:r>
          </w:p>
          <w:p w14:paraId="5F7BB20A">
            <w:pPr>
              <w:spacing w:line="240" w:lineRule="auto"/>
              <w:jc w:val="center"/>
              <w:rPr>
                <w:rFonts w:hint="eastAsia" w:ascii="仿宋" w:hAnsi="仿宋" w:eastAsia="仿宋" w:cs="仿宋"/>
                <w:sz w:val="21"/>
                <w:szCs w:val="21"/>
                <w:highlight w:val="none"/>
              </w:rPr>
            </w:pPr>
            <w:r>
              <w:rPr>
                <w:rFonts w:hint="eastAsia" w:ascii="仿宋" w:hAnsi="仿宋" w:eastAsia="仿宋" w:cs="仿宋"/>
                <w:b/>
                <w:bCs/>
                <w:sz w:val="21"/>
                <w:szCs w:val="21"/>
                <w:highlight w:val="none"/>
              </w:rPr>
              <w:t>（</w:t>
            </w:r>
            <w:r>
              <w:rPr>
                <w:rFonts w:hint="eastAsia" w:cs="仿宋"/>
                <w:b/>
                <w:bCs/>
                <w:sz w:val="21"/>
                <w:szCs w:val="21"/>
                <w:highlight w:val="none"/>
                <w:lang w:val="en-US" w:eastAsia="zh-CN"/>
              </w:rPr>
              <w:t>10</w:t>
            </w:r>
            <w:r>
              <w:rPr>
                <w:rFonts w:hint="eastAsia" w:ascii="仿宋" w:hAnsi="仿宋" w:eastAsia="仿宋" w:cs="仿宋"/>
                <w:b/>
                <w:bCs/>
                <w:sz w:val="21"/>
                <w:szCs w:val="21"/>
                <w:highlight w:val="none"/>
              </w:rPr>
              <w:t>分）</w:t>
            </w:r>
          </w:p>
        </w:tc>
        <w:tc>
          <w:tcPr>
            <w:tcW w:w="1486" w:type="dxa"/>
            <w:tcBorders>
              <w:tl2br w:val="nil"/>
              <w:tr2bl w:val="nil"/>
            </w:tcBorders>
            <w:noWrap w:val="0"/>
            <w:vAlign w:val="center"/>
          </w:tcPr>
          <w:p w14:paraId="6C00885A">
            <w:pPr>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投标报价</w:t>
            </w:r>
          </w:p>
        </w:tc>
        <w:tc>
          <w:tcPr>
            <w:tcW w:w="764" w:type="dxa"/>
            <w:tcBorders>
              <w:tl2br w:val="nil"/>
              <w:tr2bl w:val="nil"/>
            </w:tcBorders>
            <w:noWrap w:val="0"/>
            <w:vAlign w:val="center"/>
          </w:tcPr>
          <w:p w14:paraId="5B4F37D5">
            <w:pPr>
              <w:spacing w:line="240" w:lineRule="auto"/>
              <w:jc w:val="center"/>
              <w:rPr>
                <w:rFonts w:hint="eastAsia" w:ascii="仿宋" w:hAnsi="仿宋" w:eastAsia="仿宋" w:cs="仿宋"/>
                <w:sz w:val="21"/>
                <w:szCs w:val="21"/>
                <w:highlight w:val="none"/>
                <w:lang w:eastAsia="zh-CN"/>
              </w:rPr>
            </w:pPr>
            <w:r>
              <w:rPr>
                <w:rFonts w:hint="eastAsia" w:cs="仿宋"/>
                <w:sz w:val="21"/>
                <w:szCs w:val="21"/>
                <w:highlight w:val="none"/>
                <w:lang w:val="en-US" w:eastAsia="zh-CN"/>
              </w:rPr>
              <w:t>10</w:t>
            </w:r>
            <w:r>
              <w:rPr>
                <w:rFonts w:hint="eastAsia" w:ascii="仿宋" w:hAnsi="仿宋" w:eastAsia="仿宋" w:cs="仿宋"/>
                <w:sz w:val="21"/>
                <w:szCs w:val="21"/>
                <w:highlight w:val="none"/>
                <w:lang w:eastAsia="zh-CN"/>
              </w:rPr>
              <w:t>分</w:t>
            </w:r>
          </w:p>
        </w:tc>
        <w:tc>
          <w:tcPr>
            <w:tcW w:w="4533" w:type="dxa"/>
            <w:tcBorders>
              <w:tl2br w:val="nil"/>
              <w:tr2bl w:val="nil"/>
            </w:tcBorders>
            <w:noWrap w:val="0"/>
            <w:vAlign w:val="center"/>
          </w:tcPr>
          <w:p w14:paraId="47715FD2">
            <w:pPr>
              <w:spacing w:line="24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投标报价得分=评标基准价/有效投标报价×</w:t>
            </w:r>
            <w:r>
              <w:rPr>
                <w:rFonts w:hint="eastAsia" w:cs="仿宋"/>
                <w:sz w:val="21"/>
                <w:szCs w:val="21"/>
                <w:highlight w:val="none"/>
                <w:lang w:val="en-US" w:eastAsia="zh-CN"/>
              </w:rPr>
              <w:t>10</w:t>
            </w:r>
            <w:r>
              <w:rPr>
                <w:rFonts w:hint="eastAsia" w:ascii="仿宋" w:hAnsi="仿宋" w:eastAsia="仿宋" w:cs="仿宋"/>
                <w:sz w:val="21"/>
                <w:szCs w:val="21"/>
                <w:highlight w:val="none"/>
              </w:rPr>
              <w:t>（小数点后保留二位，第三位四舍五入）。</w:t>
            </w:r>
          </w:p>
        </w:tc>
      </w:tr>
      <w:tr w14:paraId="2C2F5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751" w:type="dxa"/>
            <w:vMerge w:val="restart"/>
            <w:tcBorders>
              <w:tl2br w:val="nil"/>
              <w:tr2bl w:val="nil"/>
            </w:tcBorders>
            <w:noWrap w:val="0"/>
            <w:vAlign w:val="center"/>
          </w:tcPr>
          <w:p w14:paraId="07246F00">
            <w:pPr>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2.2.3（</w:t>
            </w:r>
            <w:r>
              <w:rPr>
                <w:rFonts w:hint="eastAsia" w:cs="仿宋"/>
                <w:sz w:val="21"/>
                <w:szCs w:val="21"/>
                <w:highlight w:val="none"/>
                <w:lang w:val="en-US" w:eastAsia="zh-CN"/>
              </w:rPr>
              <w:t>2</w:t>
            </w:r>
            <w:r>
              <w:rPr>
                <w:rFonts w:hint="eastAsia" w:ascii="仿宋" w:hAnsi="仿宋" w:eastAsia="仿宋" w:cs="仿宋"/>
                <w:sz w:val="21"/>
                <w:szCs w:val="21"/>
                <w:highlight w:val="none"/>
                <w:lang w:val="en-US" w:eastAsia="zh-CN"/>
              </w:rPr>
              <w:t>）</w:t>
            </w:r>
          </w:p>
        </w:tc>
        <w:tc>
          <w:tcPr>
            <w:tcW w:w="1173" w:type="dxa"/>
            <w:vMerge w:val="restart"/>
            <w:tcBorders>
              <w:tl2br w:val="nil"/>
              <w:tr2bl w:val="nil"/>
            </w:tcBorders>
            <w:noWrap w:val="0"/>
            <w:vAlign w:val="center"/>
          </w:tcPr>
          <w:p w14:paraId="52980FF9">
            <w:pPr>
              <w:spacing w:line="240" w:lineRule="auto"/>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lang w:val="en-US" w:eastAsia="zh-CN"/>
              </w:rPr>
              <w:t>商务</w:t>
            </w:r>
            <w:r>
              <w:rPr>
                <w:rFonts w:hint="eastAsia" w:ascii="仿宋" w:hAnsi="仿宋" w:eastAsia="仿宋" w:cs="仿宋"/>
                <w:b/>
                <w:bCs/>
                <w:color w:val="000000"/>
                <w:sz w:val="21"/>
                <w:szCs w:val="21"/>
                <w:highlight w:val="none"/>
              </w:rPr>
              <w:t>部分</w:t>
            </w:r>
          </w:p>
          <w:p w14:paraId="74DAB85F">
            <w:pPr>
              <w:spacing w:line="240" w:lineRule="auto"/>
              <w:jc w:val="center"/>
              <w:rPr>
                <w:rFonts w:hint="eastAsia" w:ascii="仿宋" w:hAnsi="仿宋" w:eastAsia="仿宋" w:cs="仿宋"/>
                <w:sz w:val="21"/>
                <w:szCs w:val="21"/>
                <w:highlight w:val="none"/>
                <w:lang w:eastAsia="zh-CN"/>
              </w:rPr>
            </w:pPr>
            <w:r>
              <w:rPr>
                <w:rFonts w:hint="eastAsia" w:ascii="仿宋" w:hAnsi="仿宋" w:eastAsia="仿宋" w:cs="仿宋"/>
                <w:b/>
                <w:bCs/>
                <w:color w:val="000000"/>
                <w:sz w:val="21"/>
                <w:szCs w:val="21"/>
                <w:highlight w:val="none"/>
                <w:lang w:eastAsia="zh-CN"/>
              </w:rPr>
              <w:t>（</w:t>
            </w:r>
            <w:r>
              <w:rPr>
                <w:rFonts w:hint="eastAsia" w:cs="仿宋"/>
                <w:b/>
                <w:bCs/>
                <w:color w:val="000000"/>
                <w:sz w:val="21"/>
                <w:szCs w:val="21"/>
                <w:highlight w:val="none"/>
                <w:lang w:val="en-US" w:eastAsia="zh-CN"/>
              </w:rPr>
              <w:t>20</w:t>
            </w:r>
            <w:r>
              <w:rPr>
                <w:rFonts w:hint="eastAsia" w:ascii="仿宋" w:hAnsi="仿宋" w:eastAsia="仿宋" w:cs="仿宋"/>
                <w:b/>
                <w:bCs/>
                <w:color w:val="000000"/>
                <w:sz w:val="21"/>
                <w:szCs w:val="21"/>
                <w:highlight w:val="none"/>
                <w:lang w:val="en-US" w:eastAsia="zh-CN"/>
              </w:rPr>
              <w:t>分</w:t>
            </w:r>
            <w:r>
              <w:rPr>
                <w:rFonts w:hint="eastAsia" w:ascii="仿宋" w:hAnsi="仿宋" w:eastAsia="仿宋" w:cs="仿宋"/>
                <w:b/>
                <w:bCs/>
                <w:color w:val="000000"/>
                <w:sz w:val="21"/>
                <w:szCs w:val="21"/>
                <w:highlight w:val="none"/>
                <w:lang w:eastAsia="zh-CN"/>
              </w:rPr>
              <w:t>）</w:t>
            </w:r>
          </w:p>
        </w:tc>
        <w:tc>
          <w:tcPr>
            <w:tcW w:w="1486" w:type="dxa"/>
            <w:tcBorders>
              <w:tl2br w:val="nil"/>
              <w:tr2bl w:val="nil"/>
            </w:tcBorders>
            <w:noWrap w:val="0"/>
            <w:vAlign w:val="center"/>
          </w:tcPr>
          <w:p w14:paraId="6100175B">
            <w:pPr>
              <w:spacing w:line="240" w:lineRule="auto"/>
              <w:jc w:val="center"/>
              <w:rPr>
                <w:rFonts w:hint="default" w:ascii="仿宋" w:hAnsi="仿宋" w:eastAsia="仿宋" w:cs="仿宋"/>
                <w:sz w:val="21"/>
                <w:szCs w:val="21"/>
                <w:highlight w:val="none"/>
                <w:lang w:val="en-US" w:eastAsia="zh-CN"/>
              </w:rPr>
            </w:pPr>
            <w:r>
              <w:rPr>
                <w:rFonts w:hint="eastAsia" w:cs="仿宋"/>
                <w:sz w:val="21"/>
                <w:szCs w:val="21"/>
                <w:highlight w:val="none"/>
                <w:lang w:val="en-US" w:eastAsia="zh-CN"/>
              </w:rPr>
              <w:t>人员配备</w:t>
            </w:r>
          </w:p>
        </w:tc>
        <w:tc>
          <w:tcPr>
            <w:tcW w:w="764" w:type="dxa"/>
            <w:tcBorders>
              <w:tl2br w:val="nil"/>
              <w:tr2bl w:val="nil"/>
            </w:tcBorders>
            <w:noWrap w:val="0"/>
            <w:vAlign w:val="center"/>
          </w:tcPr>
          <w:p w14:paraId="472C11DB">
            <w:pPr>
              <w:spacing w:line="240" w:lineRule="auto"/>
              <w:jc w:val="center"/>
              <w:rPr>
                <w:rFonts w:hint="default" w:ascii="仿宋" w:hAnsi="仿宋" w:eastAsia="仿宋" w:cs="仿宋"/>
                <w:sz w:val="21"/>
                <w:szCs w:val="21"/>
                <w:highlight w:val="none"/>
                <w:lang w:val="en-US" w:eastAsia="zh-CN"/>
              </w:rPr>
            </w:pPr>
            <w:r>
              <w:rPr>
                <w:rFonts w:hint="eastAsia" w:cs="仿宋"/>
                <w:sz w:val="21"/>
                <w:szCs w:val="21"/>
                <w:highlight w:val="none"/>
                <w:lang w:val="en-US" w:eastAsia="zh-CN"/>
              </w:rPr>
              <w:t>6分</w:t>
            </w:r>
          </w:p>
        </w:tc>
        <w:tc>
          <w:tcPr>
            <w:tcW w:w="4533" w:type="dxa"/>
            <w:tcBorders>
              <w:tl2br w:val="nil"/>
              <w:tr2bl w:val="nil"/>
            </w:tcBorders>
            <w:noWrap w:val="0"/>
            <w:vAlign w:val="center"/>
          </w:tcPr>
          <w:p w14:paraId="2AE71328">
            <w:pPr>
              <w:numPr>
                <w:ilvl w:val="0"/>
                <w:numId w:val="9"/>
              </w:numPr>
              <w:spacing w:line="24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职业医师:配备1人得</w:t>
            </w:r>
            <w:r>
              <w:rPr>
                <w:rFonts w:hint="eastAsia" w:cs="仿宋"/>
                <w:sz w:val="21"/>
                <w:szCs w:val="21"/>
                <w:highlight w:val="none"/>
                <w:lang w:val="en-US" w:eastAsia="zh-CN"/>
              </w:rPr>
              <w:t>2</w:t>
            </w:r>
            <w:r>
              <w:rPr>
                <w:rFonts w:hint="eastAsia" w:ascii="仿宋" w:hAnsi="仿宋" w:eastAsia="仿宋" w:cs="仿宋"/>
                <w:sz w:val="21"/>
                <w:szCs w:val="21"/>
                <w:highlight w:val="none"/>
              </w:rPr>
              <w:t>分，最多得</w:t>
            </w:r>
            <w:r>
              <w:rPr>
                <w:rFonts w:hint="eastAsia" w:cs="仿宋"/>
                <w:sz w:val="21"/>
                <w:szCs w:val="21"/>
                <w:highlight w:val="none"/>
                <w:lang w:val="en-US" w:eastAsia="zh-CN"/>
              </w:rPr>
              <w:t>2</w:t>
            </w:r>
            <w:r>
              <w:rPr>
                <w:rFonts w:hint="eastAsia" w:ascii="仿宋" w:hAnsi="仿宋" w:eastAsia="仿宋" w:cs="仿宋"/>
                <w:sz w:val="21"/>
                <w:szCs w:val="21"/>
                <w:highlight w:val="none"/>
              </w:rPr>
              <w:t>分</w:t>
            </w:r>
          </w:p>
          <w:p w14:paraId="76975C1A">
            <w:pPr>
              <w:numPr>
                <w:ilvl w:val="0"/>
                <w:numId w:val="9"/>
              </w:numPr>
              <w:spacing w:line="24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护士:配备1人得</w:t>
            </w:r>
            <w:r>
              <w:rPr>
                <w:rFonts w:hint="eastAsia" w:cs="仿宋"/>
                <w:sz w:val="21"/>
                <w:szCs w:val="21"/>
                <w:highlight w:val="none"/>
                <w:lang w:val="en-US" w:eastAsia="zh-CN"/>
              </w:rPr>
              <w:t>2</w:t>
            </w:r>
            <w:r>
              <w:rPr>
                <w:rFonts w:hint="eastAsia" w:ascii="仿宋" w:hAnsi="仿宋" w:eastAsia="仿宋" w:cs="仿宋"/>
                <w:sz w:val="21"/>
                <w:szCs w:val="21"/>
                <w:highlight w:val="none"/>
              </w:rPr>
              <w:t>分，最多得</w:t>
            </w:r>
            <w:r>
              <w:rPr>
                <w:rFonts w:hint="eastAsia" w:cs="仿宋"/>
                <w:sz w:val="21"/>
                <w:szCs w:val="21"/>
                <w:highlight w:val="none"/>
                <w:lang w:val="en-US" w:eastAsia="zh-CN"/>
              </w:rPr>
              <w:t>4</w:t>
            </w:r>
            <w:r>
              <w:rPr>
                <w:rFonts w:hint="eastAsia" w:ascii="仿宋" w:hAnsi="仿宋" w:eastAsia="仿宋" w:cs="仿宋"/>
                <w:sz w:val="21"/>
                <w:szCs w:val="21"/>
                <w:highlight w:val="none"/>
              </w:rPr>
              <w:t>分。</w:t>
            </w:r>
          </w:p>
          <w:p w14:paraId="02716E4B">
            <w:pPr>
              <w:numPr>
                <w:ilvl w:val="0"/>
                <w:numId w:val="0"/>
              </w:numPr>
              <w:spacing w:line="24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文件内提供身份证、及相关资格证书加盖公章的复印件</w:t>
            </w:r>
          </w:p>
        </w:tc>
      </w:tr>
      <w:tr w14:paraId="6CE91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751" w:type="dxa"/>
            <w:vMerge w:val="continue"/>
            <w:tcBorders>
              <w:tl2br w:val="nil"/>
              <w:tr2bl w:val="nil"/>
            </w:tcBorders>
            <w:noWrap w:val="0"/>
            <w:vAlign w:val="center"/>
          </w:tcPr>
          <w:p w14:paraId="70E2FF0B">
            <w:pPr>
              <w:spacing w:line="240" w:lineRule="auto"/>
              <w:jc w:val="center"/>
              <w:rPr>
                <w:rFonts w:hint="eastAsia" w:ascii="仿宋" w:hAnsi="仿宋" w:eastAsia="仿宋" w:cs="仿宋"/>
                <w:sz w:val="21"/>
                <w:szCs w:val="21"/>
                <w:highlight w:val="none"/>
              </w:rPr>
            </w:pPr>
          </w:p>
        </w:tc>
        <w:tc>
          <w:tcPr>
            <w:tcW w:w="1173" w:type="dxa"/>
            <w:vMerge w:val="continue"/>
            <w:tcBorders>
              <w:tl2br w:val="nil"/>
              <w:tr2bl w:val="nil"/>
            </w:tcBorders>
            <w:noWrap w:val="0"/>
            <w:vAlign w:val="center"/>
          </w:tcPr>
          <w:p w14:paraId="5EA32101">
            <w:pPr>
              <w:spacing w:line="240" w:lineRule="auto"/>
              <w:jc w:val="center"/>
              <w:rPr>
                <w:rFonts w:hint="eastAsia" w:ascii="仿宋" w:hAnsi="仿宋" w:eastAsia="仿宋" w:cs="仿宋"/>
                <w:sz w:val="21"/>
                <w:szCs w:val="21"/>
                <w:highlight w:val="none"/>
              </w:rPr>
            </w:pPr>
          </w:p>
        </w:tc>
        <w:tc>
          <w:tcPr>
            <w:tcW w:w="1486" w:type="dxa"/>
            <w:tcBorders>
              <w:tl2br w:val="nil"/>
              <w:tr2bl w:val="nil"/>
            </w:tcBorders>
            <w:noWrap w:val="0"/>
            <w:vAlign w:val="center"/>
          </w:tcPr>
          <w:p w14:paraId="25515761">
            <w:pPr>
              <w:spacing w:line="240" w:lineRule="auto"/>
              <w:jc w:val="center"/>
              <w:rPr>
                <w:rFonts w:hint="default" w:ascii="仿宋" w:hAnsi="仿宋" w:eastAsia="仿宋" w:cs="仿宋"/>
                <w:sz w:val="21"/>
                <w:szCs w:val="21"/>
                <w:highlight w:val="none"/>
                <w:lang w:val="en-US" w:eastAsia="zh-CN"/>
              </w:rPr>
            </w:pPr>
            <w:r>
              <w:rPr>
                <w:rFonts w:hint="eastAsia" w:cs="仿宋"/>
                <w:sz w:val="21"/>
                <w:szCs w:val="21"/>
                <w:highlight w:val="none"/>
                <w:lang w:val="en-US" w:eastAsia="zh-CN"/>
              </w:rPr>
              <w:t>企业业绩</w:t>
            </w:r>
          </w:p>
        </w:tc>
        <w:tc>
          <w:tcPr>
            <w:tcW w:w="764" w:type="dxa"/>
            <w:tcBorders>
              <w:tl2br w:val="nil"/>
              <w:tr2bl w:val="nil"/>
            </w:tcBorders>
            <w:noWrap w:val="0"/>
            <w:vAlign w:val="center"/>
          </w:tcPr>
          <w:p w14:paraId="06749A40">
            <w:pPr>
              <w:spacing w:line="240" w:lineRule="auto"/>
              <w:jc w:val="center"/>
              <w:rPr>
                <w:rFonts w:hint="default" w:ascii="仿宋" w:hAnsi="仿宋" w:eastAsia="仿宋" w:cs="仿宋"/>
                <w:sz w:val="21"/>
                <w:szCs w:val="21"/>
                <w:highlight w:val="none"/>
                <w:lang w:val="en-US" w:eastAsia="zh-CN"/>
              </w:rPr>
            </w:pPr>
            <w:r>
              <w:rPr>
                <w:rFonts w:hint="eastAsia" w:cs="仿宋"/>
                <w:sz w:val="21"/>
                <w:szCs w:val="21"/>
                <w:highlight w:val="none"/>
                <w:lang w:val="en-US" w:eastAsia="zh-CN"/>
              </w:rPr>
              <w:t>2分</w:t>
            </w:r>
          </w:p>
        </w:tc>
        <w:tc>
          <w:tcPr>
            <w:tcW w:w="4533" w:type="dxa"/>
            <w:tcBorders>
              <w:tl2br w:val="nil"/>
              <w:tr2bl w:val="nil"/>
            </w:tcBorders>
            <w:noWrap w:val="0"/>
            <w:vAlign w:val="center"/>
          </w:tcPr>
          <w:p w14:paraId="3F987E80">
            <w:pPr>
              <w:spacing w:line="24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近三年（2022年1月1日至今）完成的同类或类似业绩</w:t>
            </w:r>
            <w:r>
              <w:rPr>
                <w:rFonts w:hint="eastAsia" w:cs="仿宋"/>
                <w:sz w:val="21"/>
                <w:szCs w:val="21"/>
                <w:highlight w:val="none"/>
                <w:lang w:val="en-US" w:eastAsia="zh-CN"/>
              </w:rPr>
              <w:t>一项得2分，最多得2分</w:t>
            </w:r>
            <w:r>
              <w:rPr>
                <w:rFonts w:hint="eastAsia" w:ascii="仿宋" w:hAnsi="仿宋" w:eastAsia="仿宋" w:cs="仿宋"/>
                <w:sz w:val="21"/>
                <w:szCs w:val="21"/>
                <w:highlight w:val="none"/>
              </w:rPr>
              <w:t>。(提供服务协议书或中标通知书,标书中附复印件加盖公章)</w:t>
            </w:r>
          </w:p>
        </w:tc>
      </w:tr>
      <w:tr w14:paraId="4708F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751" w:type="dxa"/>
            <w:vMerge w:val="continue"/>
            <w:tcBorders>
              <w:tl2br w:val="nil"/>
              <w:tr2bl w:val="nil"/>
            </w:tcBorders>
            <w:noWrap w:val="0"/>
            <w:vAlign w:val="center"/>
          </w:tcPr>
          <w:p w14:paraId="023DFFDD">
            <w:pPr>
              <w:spacing w:line="240" w:lineRule="auto"/>
              <w:jc w:val="center"/>
              <w:rPr>
                <w:rFonts w:hint="eastAsia" w:ascii="仿宋" w:hAnsi="仿宋" w:eastAsia="仿宋" w:cs="仿宋"/>
                <w:sz w:val="21"/>
                <w:szCs w:val="21"/>
                <w:highlight w:val="none"/>
              </w:rPr>
            </w:pPr>
          </w:p>
        </w:tc>
        <w:tc>
          <w:tcPr>
            <w:tcW w:w="1173" w:type="dxa"/>
            <w:vMerge w:val="continue"/>
            <w:tcBorders>
              <w:tl2br w:val="nil"/>
              <w:tr2bl w:val="nil"/>
            </w:tcBorders>
            <w:noWrap w:val="0"/>
            <w:vAlign w:val="center"/>
          </w:tcPr>
          <w:p w14:paraId="3E6CA860">
            <w:pPr>
              <w:spacing w:line="240" w:lineRule="auto"/>
              <w:jc w:val="center"/>
              <w:rPr>
                <w:rFonts w:hint="eastAsia" w:ascii="仿宋" w:hAnsi="仿宋" w:eastAsia="仿宋" w:cs="仿宋"/>
                <w:sz w:val="21"/>
                <w:szCs w:val="21"/>
                <w:highlight w:val="none"/>
              </w:rPr>
            </w:pPr>
          </w:p>
        </w:tc>
        <w:tc>
          <w:tcPr>
            <w:tcW w:w="1486" w:type="dxa"/>
            <w:vMerge w:val="restart"/>
            <w:tcBorders>
              <w:tl2br w:val="nil"/>
              <w:tr2bl w:val="nil"/>
            </w:tcBorders>
            <w:noWrap w:val="0"/>
            <w:vAlign w:val="center"/>
          </w:tcPr>
          <w:p w14:paraId="39E70898">
            <w:pPr>
              <w:spacing w:line="240" w:lineRule="auto"/>
              <w:jc w:val="center"/>
              <w:rPr>
                <w:rFonts w:hint="default" w:ascii="仿宋" w:hAnsi="仿宋" w:eastAsia="仿宋" w:cs="仿宋"/>
                <w:sz w:val="21"/>
                <w:szCs w:val="21"/>
                <w:highlight w:val="none"/>
                <w:lang w:val="en-US" w:eastAsia="zh-CN"/>
              </w:rPr>
            </w:pPr>
            <w:r>
              <w:rPr>
                <w:rFonts w:hint="eastAsia" w:cs="仿宋"/>
                <w:sz w:val="21"/>
                <w:szCs w:val="21"/>
                <w:highlight w:val="none"/>
                <w:lang w:val="en-US" w:eastAsia="zh-CN"/>
              </w:rPr>
              <w:t>企业实力</w:t>
            </w:r>
          </w:p>
        </w:tc>
        <w:tc>
          <w:tcPr>
            <w:tcW w:w="764" w:type="dxa"/>
            <w:vMerge w:val="restart"/>
            <w:tcBorders>
              <w:tl2br w:val="nil"/>
              <w:tr2bl w:val="nil"/>
            </w:tcBorders>
            <w:noWrap w:val="0"/>
            <w:vAlign w:val="center"/>
          </w:tcPr>
          <w:p w14:paraId="17842DEB">
            <w:pPr>
              <w:spacing w:line="240" w:lineRule="auto"/>
              <w:jc w:val="center"/>
              <w:rPr>
                <w:rFonts w:hint="default" w:ascii="仿宋" w:hAnsi="仿宋" w:eastAsia="仿宋" w:cs="仿宋"/>
                <w:sz w:val="21"/>
                <w:szCs w:val="21"/>
                <w:highlight w:val="none"/>
                <w:lang w:val="en-US" w:eastAsia="zh-CN"/>
              </w:rPr>
            </w:pPr>
            <w:r>
              <w:rPr>
                <w:rFonts w:hint="eastAsia" w:cs="仿宋"/>
                <w:sz w:val="21"/>
                <w:szCs w:val="21"/>
                <w:highlight w:val="none"/>
                <w:lang w:val="en-US" w:eastAsia="zh-CN"/>
              </w:rPr>
              <w:t>12分</w:t>
            </w:r>
          </w:p>
        </w:tc>
        <w:tc>
          <w:tcPr>
            <w:tcW w:w="4533" w:type="dxa"/>
            <w:tcBorders>
              <w:tl2br w:val="nil"/>
              <w:tr2bl w:val="nil"/>
            </w:tcBorders>
            <w:noWrap w:val="0"/>
            <w:vAlign w:val="center"/>
          </w:tcPr>
          <w:p w14:paraId="3E4F0E1A">
            <w:pPr>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有独立室外院区可以为老人提供休闲服务和户外活动，有多栋楼及不同区域满足老人多方面需求，面积5000平米以上的得</w:t>
            </w:r>
            <w:r>
              <w:rPr>
                <w:rFonts w:hint="eastAsia" w:cs="仿宋"/>
                <w:sz w:val="21"/>
                <w:szCs w:val="21"/>
                <w:highlight w:val="none"/>
                <w:lang w:val="en-US" w:eastAsia="zh-CN"/>
              </w:rPr>
              <w:t>8</w:t>
            </w:r>
            <w:r>
              <w:rPr>
                <w:rFonts w:hint="eastAsia" w:ascii="仿宋" w:hAnsi="仿宋" w:eastAsia="仿宋" w:cs="仿宋"/>
                <w:sz w:val="21"/>
                <w:szCs w:val="21"/>
                <w:highlight w:val="none"/>
                <w:lang w:val="en-US" w:eastAsia="zh-CN"/>
              </w:rPr>
              <w:t>分3000-5000平米得</w:t>
            </w:r>
            <w:r>
              <w:rPr>
                <w:rFonts w:hint="eastAsia" w:cs="仿宋"/>
                <w:sz w:val="21"/>
                <w:szCs w:val="21"/>
                <w:highlight w:val="none"/>
                <w:lang w:val="en-US" w:eastAsia="zh-CN"/>
              </w:rPr>
              <w:t>4</w:t>
            </w:r>
            <w:r>
              <w:rPr>
                <w:rFonts w:hint="eastAsia" w:ascii="仿宋" w:hAnsi="仿宋" w:eastAsia="仿宋" w:cs="仿宋"/>
                <w:sz w:val="21"/>
                <w:szCs w:val="21"/>
                <w:highlight w:val="none"/>
                <w:lang w:val="en-US" w:eastAsia="zh-CN"/>
              </w:rPr>
              <w:t>分,3000平米以下的得</w:t>
            </w:r>
            <w:r>
              <w:rPr>
                <w:rFonts w:hint="eastAsia" w:cs="仿宋"/>
                <w:sz w:val="21"/>
                <w:szCs w:val="21"/>
                <w:highlight w:val="none"/>
                <w:lang w:val="en-US" w:eastAsia="zh-CN"/>
              </w:rPr>
              <w:t>3</w:t>
            </w:r>
            <w:r>
              <w:rPr>
                <w:rFonts w:hint="eastAsia" w:ascii="仿宋" w:hAnsi="仿宋" w:eastAsia="仿宋" w:cs="仿宋"/>
                <w:sz w:val="21"/>
                <w:szCs w:val="21"/>
                <w:highlight w:val="none"/>
                <w:lang w:val="en-US" w:eastAsia="zh-CN"/>
              </w:rPr>
              <w:t>分，</w:t>
            </w:r>
            <w:r>
              <w:rPr>
                <w:rFonts w:hint="eastAsia" w:cs="仿宋"/>
                <w:sz w:val="21"/>
                <w:szCs w:val="21"/>
                <w:highlight w:val="none"/>
                <w:lang w:val="en-US" w:eastAsia="zh-CN"/>
              </w:rPr>
              <w:t>未提供不得分。</w:t>
            </w:r>
            <w:r>
              <w:rPr>
                <w:rFonts w:hint="eastAsia" w:ascii="仿宋" w:hAnsi="仿宋" w:eastAsia="仿宋" w:cs="仿宋"/>
                <w:sz w:val="21"/>
                <w:szCs w:val="21"/>
                <w:highlight w:val="none"/>
                <w:lang w:val="en-US" w:eastAsia="zh-CN"/>
              </w:rPr>
              <w:t>提供相关</w:t>
            </w:r>
            <w:r>
              <w:rPr>
                <w:rFonts w:hint="eastAsia" w:cs="仿宋"/>
                <w:sz w:val="21"/>
                <w:szCs w:val="21"/>
                <w:highlight w:val="none"/>
                <w:lang w:val="en-US" w:eastAsia="zh-CN"/>
              </w:rPr>
              <w:t>（房产证或租赁协议）</w:t>
            </w:r>
            <w:r>
              <w:rPr>
                <w:rFonts w:hint="eastAsia" w:ascii="仿宋" w:hAnsi="仿宋" w:eastAsia="仿宋" w:cs="仿宋"/>
                <w:sz w:val="21"/>
                <w:szCs w:val="21"/>
                <w:highlight w:val="none"/>
                <w:lang w:val="en-US" w:eastAsia="zh-CN"/>
              </w:rPr>
              <w:t>证明</w:t>
            </w:r>
          </w:p>
        </w:tc>
      </w:tr>
      <w:tr w14:paraId="75580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751" w:type="dxa"/>
            <w:vMerge w:val="continue"/>
            <w:tcBorders>
              <w:tl2br w:val="nil"/>
              <w:tr2bl w:val="nil"/>
            </w:tcBorders>
            <w:noWrap w:val="0"/>
            <w:vAlign w:val="center"/>
          </w:tcPr>
          <w:p w14:paraId="54565E96">
            <w:pPr>
              <w:spacing w:line="240" w:lineRule="auto"/>
              <w:rPr>
                <w:highlight w:val="none"/>
              </w:rPr>
            </w:pPr>
          </w:p>
        </w:tc>
        <w:tc>
          <w:tcPr>
            <w:tcW w:w="1173" w:type="dxa"/>
            <w:vMerge w:val="continue"/>
            <w:tcBorders>
              <w:tl2br w:val="nil"/>
              <w:tr2bl w:val="nil"/>
            </w:tcBorders>
            <w:noWrap w:val="0"/>
            <w:vAlign w:val="center"/>
          </w:tcPr>
          <w:p w14:paraId="34939CD6">
            <w:pPr>
              <w:spacing w:line="240" w:lineRule="auto"/>
              <w:rPr>
                <w:highlight w:val="none"/>
              </w:rPr>
            </w:pPr>
          </w:p>
        </w:tc>
        <w:tc>
          <w:tcPr>
            <w:tcW w:w="1486" w:type="dxa"/>
            <w:vMerge w:val="continue"/>
            <w:tcBorders>
              <w:tl2br w:val="nil"/>
              <w:tr2bl w:val="nil"/>
            </w:tcBorders>
            <w:noWrap w:val="0"/>
            <w:vAlign w:val="center"/>
          </w:tcPr>
          <w:p w14:paraId="6929047D">
            <w:pPr>
              <w:spacing w:line="240" w:lineRule="auto"/>
              <w:rPr>
                <w:highlight w:val="none"/>
              </w:rPr>
            </w:pPr>
          </w:p>
        </w:tc>
        <w:tc>
          <w:tcPr>
            <w:tcW w:w="764" w:type="dxa"/>
            <w:vMerge w:val="continue"/>
            <w:tcBorders>
              <w:tl2br w:val="nil"/>
              <w:tr2bl w:val="nil"/>
            </w:tcBorders>
            <w:noWrap w:val="0"/>
            <w:vAlign w:val="center"/>
          </w:tcPr>
          <w:p w14:paraId="6CC7DC6B">
            <w:pPr>
              <w:spacing w:line="240" w:lineRule="auto"/>
              <w:rPr>
                <w:highlight w:val="none"/>
              </w:rPr>
            </w:pPr>
          </w:p>
        </w:tc>
        <w:tc>
          <w:tcPr>
            <w:tcW w:w="4533" w:type="dxa"/>
            <w:tcBorders>
              <w:tl2br w:val="nil"/>
              <w:tr2bl w:val="nil"/>
            </w:tcBorders>
            <w:noWrap w:val="0"/>
            <w:vAlign w:val="center"/>
          </w:tcPr>
          <w:p w14:paraId="5D401857">
            <w:pPr>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与吉林市内多家医院进行医疗救护合作，每有一家的2分，最多得4分，文件内提供相关协议书加盖公章</w:t>
            </w:r>
          </w:p>
        </w:tc>
      </w:tr>
      <w:tr w14:paraId="4AA71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5" w:hRule="atLeast"/>
        </w:trPr>
        <w:tc>
          <w:tcPr>
            <w:tcW w:w="751" w:type="dxa"/>
            <w:vMerge w:val="restart"/>
            <w:tcBorders>
              <w:tl2br w:val="nil"/>
              <w:tr2bl w:val="nil"/>
            </w:tcBorders>
            <w:noWrap w:val="0"/>
            <w:vAlign w:val="center"/>
          </w:tcPr>
          <w:p w14:paraId="1E308424">
            <w:pPr>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2.2.3（3）</w:t>
            </w:r>
          </w:p>
        </w:tc>
        <w:tc>
          <w:tcPr>
            <w:tcW w:w="1173" w:type="dxa"/>
            <w:vMerge w:val="restart"/>
            <w:tcBorders>
              <w:tl2br w:val="nil"/>
              <w:tr2bl w:val="nil"/>
            </w:tcBorders>
            <w:noWrap w:val="0"/>
            <w:vAlign w:val="center"/>
          </w:tcPr>
          <w:p w14:paraId="7FF73A29">
            <w:pPr>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b/>
                <w:bCs/>
                <w:sz w:val="21"/>
                <w:szCs w:val="21"/>
                <w:highlight w:val="none"/>
                <w:lang w:val="en-US" w:eastAsia="zh-CN"/>
              </w:rPr>
              <w:t>技术部分（</w:t>
            </w:r>
            <w:r>
              <w:rPr>
                <w:rFonts w:hint="eastAsia" w:cs="仿宋"/>
                <w:b/>
                <w:bCs/>
                <w:sz w:val="21"/>
                <w:szCs w:val="21"/>
                <w:highlight w:val="none"/>
                <w:lang w:val="en-US" w:eastAsia="zh-CN"/>
              </w:rPr>
              <w:t>70</w:t>
            </w:r>
            <w:r>
              <w:rPr>
                <w:rFonts w:hint="eastAsia" w:ascii="仿宋" w:hAnsi="仿宋" w:eastAsia="仿宋" w:cs="仿宋"/>
                <w:b/>
                <w:bCs/>
                <w:sz w:val="21"/>
                <w:szCs w:val="21"/>
                <w:highlight w:val="none"/>
                <w:lang w:val="en-US" w:eastAsia="zh-CN"/>
              </w:rPr>
              <w:t>分）</w:t>
            </w:r>
          </w:p>
        </w:tc>
        <w:tc>
          <w:tcPr>
            <w:tcW w:w="1486" w:type="dxa"/>
            <w:tcBorders>
              <w:tl2br w:val="nil"/>
              <w:tr2bl w:val="nil"/>
            </w:tcBorders>
            <w:noWrap w:val="0"/>
            <w:vAlign w:val="center"/>
          </w:tcPr>
          <w:p w14:paraId="44F42886">
            <w:pPr>
              <w:spacing w:line="240" w:lineRule="auto"/>
              <w:jc w:val="center"/>
              <w:rPr>
                <w:rFonts w:hint="eastAsia" w:cs="仿宋"/>
                <w:sz w:val="21"/>
                <w:szCs w:val="21"/>
                <w:highlight w:val="none"/>
                <w:lang w:val="en-US" w:eastAsia="zh-CN"/>
              </w:rPr>
            </w:pPr>
            <w:r>
              <w:rPr>
                <w:rFonts w:hint="eastAsia" w:cs="仿宋"/>
                <w:sz w:val="21"/>
                <w:szCs w:val="21"/>
                <w:highlight w:val="none"/>
                <w:lang w:val="en-US" w:eastAsia="zh-CN"/>
              </w:rPr>
              <w:t>项目总体实施方案</w:t>
            </w:r>
          </w:p>
        </w:tc>
        <w:tc>
          <w:tcPr>
            <w:tcW w:w="764" w:type="dxa"/>
            <w:tcBorders>
              <w:tl2br w:val="nil"/>
              <w:tr2bl w:val="nil"/>
            </w:tcBorders>
            <w:noWrap w:val="0"/>
            <w:vAlign w:val="center"/>
          </w:tcPr>
          <w:p w14:paraId="4DD9ECDA">
            <w:pPr>
              <w:spacing w:line="240" w:lineRule="auto"/>
              <w:ind w:firstLine="0" w:firstLineChars="0"/>
              <w:jc w:val="center"/>
              <w:rPr>
                <w:rFonts w:hint="default" w:ascii="仿宋" w:hAnsi="仿宋" w:eastAsia="仿宋" w:cs="仿宋"/>
                <w:kern w:val="2"/>
                <w:sz w:val="21"/>
                <w:szCs w:val="21"/>
                <w:highlight w:val="none"/>
                <w:lang w:val="en-US" w:eastAsia="zh-CN" w:bidi="ar-SA"/>
              </w:rPr>
            </w:pPr>
            <w:r>
              <w:rPr>
                <w:rFonts w:hint="eastAsia" w:cs="仿宋"/>
                <w:kern w:val="2"/>
                <w:sz w:val="21"/>
                <w:szCs w:val="21"/>
                <w:highlight w:val="none"/>
                <w:lang w:val="en-US" w:eastAsia="zh-CN" w:bidi="ar-SA"/>
              </w:rPr>
              <w:t>10分</w:t>
            </w:r>
          </w:p>
        </w:tc>
        <w:tc>
          <w:tcPr>
            <w:tcW w:w="4533" w:type="dxa"/>
            <w:tcBorders>
              <w:tl2br w:val="nil"/>
              <w:tr2bl w:val="nil"/>
            </w:tcBorders>
            <w:noWrap w:val="0"/>
            <w:vAlign w:val="center"/>
          </w:tcPr>
          <w:p w14:paraId="228A37B5">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9-10分：完全满足且超出要求</w:t>
            </w:r>
          </w:p>
          <w:p w14:paraId="2E5C70E2">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方案完整覆盖住宿、餐饮、医疗康复、室内外活动等所有环节，计划具体可行，进度责任明确</w:t>
            </w:r>
          </w:p>
          <w:p w14:paraId="3D07E987">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6-8分：主要要求达标，细节待优化</w:t>
            </w:r>
          </w:p>
          <w:p w14:paraId="209DE867">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覆盖主要环节但部分细节不足（如设备清单、活动标准缺失）</w:t>
            </w:r>
          </w:p>
          <w:p w14:paraId="29162F49">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3-5分：关键内容缺失或模糊</w:t>
            </w:r>
          </w:p>
          <w:p w14:paraId="2E80E83B">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仅描述基础框架，关键内容缺失或模糊</w:t>
            </w:r>
          </w:p>
          <w:p w14:paraId="1CFE502B">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0-2分：未响应或无效响应</w:t>
            </w:r>
          </w:p>
          <w:p w14:paraId="72C35EC2">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val="0"/>
                <w:bCs w:val="0"/>
                <w:sz w:val="21"/>
                <w:szCs w:val="21"/>
                <w:highlight w:val="none"/>
                <w:lang w:val="en-US" w:eastAsia="zh-CN"/>
              </w:rPr>
              <w:t>方案严重缺项或不可行</w:t>
            </w:r>
          </w:p>
        </w:tc>
      </w:tr>
      <w:tr w14:paraId="7378D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5" w:hRule="atLeast"/>
        </w:trPr>
        <w:tc>
          <w:tcPr>
            <w:tcW w:w="751" w:type="dxa"/>
            <w:vMerge w:val="continue"/>
            <w:tcBorders>
              <w:tl2br w:val="nil"/>
              <w:tr2bl w:val="nil"/>
            </w:tcBorders>
            <w:noWrap w:val="0"/>
            <w:vAlign w:val="center"/>
          </w:tcPr>
          <w:p w14:paraId="541B4456">
            <w:pPr>
              <w:spacing w:line="240" w:lineRule="auto"/>
              <w:jc w:val="center"/>
              <w:rPr>
                <w:rFonts w:hint="eastAsia" w:ascii="仿宋" w:hAnsi="仿宋" w:eastAsia="仿宋" w:cs="仿宋"/>
                <w:sz w:val="21"/>
                <w:szCs w:val="21"/>
                <w:highlight w:val="none"/>
                <w:lang w:val="en-US" w:eastAsia="zh-CN"/>
              </w:rPr>
            </w:pPr>
          </w:p>
        </w:tc>
        <w:tc>
          <w:tcPr>
            <w:tcW w:w="1173" w:type="dxa"/>
            <w:vMerge w:val="continue"/>
            <w:tcBorders>
              <w:tl2br w:val="nil"/>
              <w:tr2bl w:val="nil"/>
            </w:tcBorders>
            <w:noWrap w:val="0"/>
            <w:vAlign w:val="center"/>
          </w:tcPr>
          <w:p w14:paraId="37379146">
            <w:pPr>
              <w:spacing w:line="240" w:lineRule="auto"/>
              <w:jc w:val="center"/>
              <w:rPr>
                <w:rFonts w:hint="eastAsia" w:ascii="仿宋" w:hAnsi="仿宋" w:eastAsia="仿宋" w:cs="仿宋"/>
                <w:b/>
                <w:bCs/>
                <w:sz w:val="21"/>
                <w:szCs w:val="21"/>
                <w:highlight w:val="none"/>
                <w:lang w:val="en-US" w:eastAsia="zh-CN"/>
              </w:rPr>
            </w:pPr>
          </w:p>
        </w:tc>
        <w:tc>
          <w:tcPr>
            <w:tcW w:w="1486" w:type="dxa"/>
            <w:tcBorders>
              <w:tl2br w:val="nil"/>
              <w:tr2bl w:val="nil"/>
            </w:tcBorders>
            <w:noWrap w:val="0"/>
            <w:vAlign w:val="center"/>
          </w:tcPr>
          <w:p w14:paraId="1EF4321E">
            <w:pPr>
              <w:spacing w:line="240" w:lineRule="auto"/>
              <w:jc w:val="center"/>
              <w:rPr>
                <w:rFonts w:hint="eastAsia" w:cs="仿宋"/>
                <w:sz w:val="21"/>
                <w:szCs w:val="21"/>
                <w:highlight w:val="none"/>
                <w:lang w:val="en-US" w:eastAsia="zh-CN"/>
              </w:rPr>
            </w:pPr>
            <w:r>
              <w:rPr>
                <w:rFonts w:hint="eastAsia" w:cs="仿宋"/>
                <w:sz w:val="21"/>
                <w:szCs w:val="21"/>
                <w:highlight w:val="none"/>
                <w:lang w:val="en-US" w:eastAsia="zh-CN"/>
              </w:rPr>
              <w:t>服务管理制度</w:t>
            </w:r>
          </w:p>
        </w:tc>
        <w:tc>
          <w:tcPr>
            <w:tcW w:w="764" w:type="dxa"/>
            <w:tcBorders>
              <w:tl2br w:val="nil"/>
              <w:tr2bl w:val="nil"/>
            </w:tcBorders>
            <w:noWrap w:val="0"/>
            <w:vAlign w:val="center"/>
          </w:tcPr>
          <w:p w14:paraId="513C837C">
            <w:pPr>
              <w:spacing w:line="240" w:lineRule="auto"/>
              <w:ind w:firstLine="0" w:firstLineChars="0"/>
              <w:jc w:val="center"/>
              <w:rPr>
                <w:rFonts w:hint="eastAsia" w:ascii="仿宋" w:hAnsi="仿宋" w:eastAsia="仿宋" w:cs="仿宋"/>
                <w:kern w:val="2"/>
                <w:sz w:val="21"/>
                <w:szCs w:val="21"/>
                <w:highlight w:val="none"/>
                <w:lang w:val="en-US" w:eastAsia="zh-CN" w:bidi="ar-SA"/>
              </w:rPr>
            </w:pPr>
            <w:r>
              <w:rPr>
                <w:rFonts w:hint="eastAsia" w:cs="仿宋"/>
                <w:kern w:val="2"/>
                <w:sz w:val="21"/>
                <w:szCs w:val="21"/>
                <w:highlight w:val="none"/>
                <w:lang w:val="en-US" w:eastAsia="zh-CN" w:bidi="ar-SA"/>
              </w:rPr>
              <w:t>10分</w:t>
            </w:r>
          </w:p>
        </w:tc>
        <w:tc>
          <w:tcPr>
            <w:tcW w:w="4533" w:type="dxa"/>
            <w:tcBorders>
              <w:tl2br w:val="nil"/>
              <w:tr2bl w:val="nil"/>
            </w:tcBorders>
            <w:noWrap w:val="0"/>
            <w:vAlign w:val="center"/>
          </w:tcPr>
          <w:p w14:paraId="39D58DE2">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9-10分：完全满足且超出要求</w:t>
            </w:r>
          </w:p>
          <w:p w14:paraId="4D71E36C">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制度完整（</w:t>
            </w:r>
            <w:r>
              <w:rPr>
                <w:rFonts w:hint="eastAsia" w:cs="仿宋"/>
                <w:b w:val="0"/>
                <w:bCs w:val="0"/>
                <w:sz w:val="21"/>
                <w:szCs w:val="21"/>
                <w:highlight w:val="none"/>
                <w:lang w:val="en-US" w:eastAsia="zh-CN"/>
              </w:rPr>
              <w:t>覆盖</w:t>
            </w:r>
            <w:r>
              <w:rPr>
                <w:rFonts w:hint="eastAsia" w:ascii="仿宋" w:hAnsi="仿宋" w:eastAsia="仿宋" w:cs="仿宋"/>
                <w:b w:val="0"/>
                <w:bCs w:val="0"/>
                <w:sz w:val="21"/>
                <w:szCs w:val="21"/>
                <w:highlight w:val="none"/>
                <w:lang w:val="en-US" w:eastAsia="zh-CN"/>
              </w:rPr>
              <w:t>规章/流程/网点/监督/资金</w:t>
            </w:r>
            <w:r>
              <w:rPr>
                <w:rFonts w:hint="eastAsia" w:cs="仿宋"/>
                <w:b w:val="0"/>
                <w:bCs w:val="0"/>
                <w:sz w:val="21"/>
                <w:szCs w:val="21"/>
                <w:highlight w:val="none"/>
                <w:lang w:val="en-US" w:eastAsia="zh-CN"/>
              </w:rPr>
              <w:t>等内容</w:t>
            </w:r>
            <w:r>
              <w:rPr>
                <w:rFonts w:hint="eastAsia" w:ascii="仿宋" w:hAnsi="仿宋" w:eastAsia="仿宋" w:cs="仿宋"/>
                <w:b w:val="0"/>
                <w:bCs w:val="0"/>
                <w:sz w:val="21"/>
                <w:szCs w:val="21"/>
                <w:highlight w:val="none"/>
                <w:lang w:val="en-US" w:eastAsia="zh-CN"/>
              </w:rPr>
              <w:t>），逻辑严密可操作</w:t>
            </w:r>
          </w:p>
          <w:p w14:paraId="7D46F1C4">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6-8分：主要要求达标，细节待优化</w:t>
            </w:r>
          </w:p>
          <w:p w14:paraId="619972CC">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val="0"/>
                <w:bCs w:val="0"/>
                <w:sz w:val="21"/>
                <w:szCs w:val="21"/>
                <w:highlight w:val="none"/>
                <w:lang w:val="en-US" w:eastAsia="zh-CN"/>
              </w:rPr>
              <w:t>基本覆盖但部分制度简略（如监督流程不清晰）</w:t>
            </w:r>
            <w:r>
              <w:rPr>
                <w:rFonts w:hint="eastAsia" w:ascii="仿宋" w:hAnsi="仿宋" w:eastAsia="仿宋" w:cs="仿宋"/>
                <w:b/>
                <w:bCs/>
                <w:sz w:val="21"/>
                <w:szCs w:val="21"/>
                <w:highlight w:val="none"/>
                <w:lang w:val="en-US" w:eastAsia="zh-CN"/>
              </w:rPr>
              <w:t>3-5分：关键内容缺失或模糊</w:t>
            </w:r>
          </w:p>
          <w:p w14:paraId="28D059F5">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存在重大缺项（如缺资金计划或应急预案）</w:t>
            </w:r>
          </w:p>
          <w:p w14:paraId="3B2C947A">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0-2分：未响应或无效响应</w:t>
            </w:r>
          </w:p>
          <w:p w14:paraId="42B73261">
            <w:pPr>
              <w:spacing w:line="240" w:lineRule="auto"/>
              <w:rPr>
                <w:rFonts w:hint="eastAsia" w:ascii="仿宋" w:hAnsi="仿宋" w:eastAsia="仿宋" w:cs="仿宋"/>
                <w:sz w:val="21"/>
                <w:szCs w:val="21"/>
                <w:highlight w:val="none"/>
                <w:lang w:val="en-US" w:eastAsia="zh-CN"/>
              </w:rPr>
            </w:pPr>
            <w:r>
              <w:rPr>
                <w:rFonts w:hint="eastAsia" w:ascii="仿宋" w:hAnsi="仿宋" w:eastAsia="仿宋" w:cs="仿宋"/>
                <w:b w:val="0"/>
                <w:bCs w:val="0"/>
                <w:sz w:val="21"/>
                <w:szCs w:val="21"/>
                <w:highlight w:val="none"/>
                <w:lang w:val="en-US" w:eastAsia="zh-CN"/>
              </w:rPr>
              <w:t>未提供或内容无效</w:t>
            </w:r>
          </w:p>
        </w:tc>
      </w:tr>
      <w:tr w14:paraId="77A4E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62" w:hRule="atLeast"/>
        </w:trPr>
        <w:tc>
          <w:tcPr>
            <w:tcW w:w="751" w:type="dxa"/>
            <w:vMerge w:val="continue"/>
            <w:tcBorders>
              <w:tl2br w:val="nil"/>
              <w:tr2bl w:val="nil"/>
            </w:tcBorders>
            <w:noWrap w:val="0"/>
            <w:vAlign w:val="center"/>
          </w:tcPr>
          <w:p w14:paraId="7FE62DC6">
            <w:pPr>
              <w:spacing w:line="240" w:lineRule="auto"/>
              <w:jc w:val="center"/>
              <w:rPr>
                <w:rFonts w:hint="eastAsia" w:ascii="仿宋" w:hAnsi="仿宋" w:eastAsia="仿宋" w:cs="仿宋"/>
                <w:sz w:val="21"/>
                <w:szCs w:val="21"/>
                <w:highlight w:val="none"/>
              </w:rPr>
            </w:pPr>
          </w:p>
        </w:tc>
        <w:tc>
          <w:tcPr>
            <w:tcW w:w="1173" w:type="dxa"/>
            <w:vMerge w:val="continue"/>
            <w:tcBorders>
              <w:tl2br w:val="nil"/>
              <w:tr2bl w:val="nil"/>
            </w:tcBorders>
            <w:noWrap w:val="0"/>
            <w:vAlign w:val="center"/>
          </w:tcPr>
          <w:p w14:paraId="73CC1273">
            <w:pPr>
              <w:spacing w:line="240" w:lineRule="auto"/>
              <w:jc w:val="center"/>
              <w:rPr>
                <w:rFonts w:hint="eastAsia" w:ascii="仿宋" w:hAnsi="仿宋" w:eastAsia="仿宋" w:cs="仿宋"/>
                <w:sz w:val="21"/>
                <w:szCs w:val="21"/>
                <w:highlight w:val="none"/>
              </w:rPr>
            </w:pPr>
          </w:p>
        </w:tc>
        <w:tc>
          <w:tcPr>
            <w:tcW w:w="1486" w:type="dxa"/>
            <w:tcBorders>
              <w:tl2br w:val="nil"/>
              <w:tr2bl w:val="nil"/>
            </w:tcBorders>
            <w:noWrap w:val="0"/>
            <w:vAlign w:val="center"/>
          </w:tcPr>
          <w:p w14:paraId="6B8343A9">
            <w:pPr>
              <w:spacing w:line="240" w:lineRule="auto"/>
              <w:jc w:val="center"/>
              <w:rPr>
                <w:rFonts w:hint="eastAsia" w:cs="仿宋"/>
                <w:sz w:val="21"/>
                <w:szCs w:val="21"/>
                <w:highlight w:val="none"/>
                <w:lang w:val="en-US" w:eastAsia="zh-CN"/>
              </w:rPr>
            </w:pPr>
            <w:r>
              <w:rPr>
                <w:rFonts w:hint="eastAsia" w:cs="仿宋"/>
                <w:sz w:val="21"/>
                <w:szCs w:val="21"/>
                <w:highlight w:val="none"/>
                <w:lang w:val="en-US" w:eastAsia="zh-CN"/>
              </w:rPr>
              <w:t>岗前培训及业务学习管理措</w:t>
            </w:r>
          </w:p>
          <w:p w14:paraId="5AB38471">
            <w:pPr>
              <w:spacing w:line="240" w:lineRule="auto"/>
              <w:jc w:val="center"/>
              <w:rPr>
                <w:rFonts w:hint="eastAsia" w:cs="仿宋"/>
                <w:sz w:val="21"/>
                <w:szCs w:val="21"/>
                <w:highlight w:val="none"/>
                <w:lang w:val="en-US" w:eastAsia="zh-CN"/>
              </w:rPr>
            </w:pPr>
            <w:r>
              <w:rPr>
                <w:rFonts w:hint="eastAsia" w:cs="仿宋"/>
                <w:sz w:val="21"/>
                <w:szCs w:val="21"/>
                <w:highlight w:val="none"/>
                <w:lang w:val="en-US" w:eastAsia="zh-CN"/>
              </w:rPr>
              <w:t>施</w:t>
            </w:r>
          </w:p>
        </w:tc>
        <w:tc>
          <w:tcPr>
            <w:tcW w:w="764" w:type="dxa"/>
            <w:tcBorders>
              <w:tl2br w:val="nil"/>
              <w:tr2bl w:val="nil"/>
            </w:tcBorders>
            <w:noWrap w:val="0"/>
            <w:vAlign w:val="center"/>
          </w:tcPr>
          <w:p w14:paraId="5530D5A0">
            <w:pPr>
              <w:spacing w:line="240" w:lineRule="auto"/>
              <w:jc w:val="center"/>
              <w:rPr>
                <w:rFonts w:hint="eastAsia" w:ascii="仿宋" w:hAnsi="仿宋" w:eastAsia="仿宋" w:cs="仿宋"/>
                <w:sz w:val="21"/>
                <w:szCs w:val="21"/>
                <w:highlight w:val="none"/>
                <w:lang w:val="en-US" w:eastAsia="zh-CN"/>
              </w:rPr>
            </w:pPr>
            <w:r>
              <w:rPr>
                <w:rFonts w:hint="eastAsia" w:cs="仿宋"/>
                <w:kern w:val="2"/>
                <w:sz w:val="21"/>
                <w:szCs w:val="21"/>
                <w:highlight w:val="none"/>
                <w:lang w:val="en-US" w:eastAsia="zh-CN" w:bidi="ar-SA"/>
              </w:rPr>
              <w:t>10分</w:t>
            </w:r>
          </w:p>
        </w:tc>
        <w:tc>
          <w:tcPr>
            <w:tcW w:w="4533" w:type="dxa"/>
            <w:tcBorders>
              <w:tl2br w:val="nil"/>
              <w:tr2bl w:val="nil"/>
            </w:tcBorders>
            <w:noWrap w:val="0"/>
            <w:vAlign w:val="center"/>
          </w:tcPr>
          <w:p w14:paraId="67D33710">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9-10分：完全满足且超出要求</w:t>
            </w:r>
          </w:p>
          <w:p w14:paraId="6F04FC2F">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岗前/岗中/换岗培训体系完善，含考核标准与记录机制</w:t>
            </w:r>
          </w:p>
          <w:p w14:paraId="28F232E4">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6-8分：主要要求达标，细节待优化</w:t>
            </w:r>
          </w:p>
          <w:p w14:paraId="7F91483F">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覆盖主要阶段但考核或岗中培训不系统</w:t>
            </w:r>
          </w:p>
          <w:p w14:paraId="1D37395B">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3-5分：关键内容缺失或模糊</w:t>
            </w:r>
          </w:p>
          <w:p w14:paraId="75F29A89">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仅简单描述岗前培训，无持续学习机制</w:t>
            </w:r>
          </w:p>
          <w:p w14:paraId="5AC5242B">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0-2分：未响应或无效响应</w:t>
            </w:r>
          </w:p>
          <w:p w14:paraId="0B521B87">
            <w:pPr>
              <w:spacing w:line="240" w:lineRule="auto"/>
              <w:rPr>
                <w:rFonts w:hint="eastAsia" w:ascii="仿宋" w:hAnsi="仿宋" w:eastAsia="仿宋" w:cs="仿宋"/>
                <w:sz w:val="21"/>
                <w:szCs w:val="21"/>
                <w:highlight w:val="none"/>
                <w:lang w:val="en-US" w:eastAsia="zh-CN"/>
              </w:rPr>
            </w:pPr>
            <w:r>
              <w:rPr>
                <w:rFonts w:hint="eastAsia" w:ascii="仿宋" w:hAnsi="仿宋" w:eastAsia="仿宋" w:cs="仿宋"/>
                <w:b w:val="0"/>
                <w:bCs w:val="0"/>
                <w:sz w:val="21"/>
                <w:szCs w:val="21"/>
                <w:highlight w:val="none"/>
                <w:lang w:val="en-US" w:eastAsia="zh-CN"/>
              </w:rPr>
              <w:t>未提供具体措施</w:t>
            </w:r>
          </w:p>
        </w:tc>
      </w:tr>
      <w:tr w14:paraId="6B898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9" w:hRule="atLeast"/>
        </w:trPr>
        <w:tc>
          <w:tcPr>
            <w:tcW w:w="751" w:type="dxa"/>
            <w:vMerge w:val="continue"/>
            <w:tcBorders>
              <w:tl2br w:val="nil"/>
              <w:tr2bl w:val="nil"/>
            </w:tcBorders>
            <w:noWrap w:val="0"/>
            <w:vAlign w:val="center"/>
          </w:tcPr>
          <w:p w14:paraId="17252B2D">
            <w:pPr>
              <w:spacing w:line="240" w:lineRule="auto"/>
              <w:jc w:val="center"/>
              <w:rPr>
                <w:rFonts w:hint="eastAsia" w:ascii="仿宋" w:hAnsi="仿宋" w:eastAsia="仿宋" w:cs="仿宋"/>
                <w:sz w:val="21"/>
                <w:szCs w:val="21"/>
                <w:highlight w:val="none"/>
              </w:rPr>
            </w:pPr>
          </w:p>
        </w:tc>
        <w:tc>
          <w:tcPr>
            <w:tcW w:w="1173" w:type="dxa"/>
            <w:vMerge w:val="continue"/>
            <w:tcBorders>
              <w:tl2br w:val="nil"/>
              <w:tr2bl w:val="nil"/>
            </w:tcBorders>
            <w:noWrap w:val="0"/>
            <w:vAlign w:val="center"/>
          </w:tcPr>
          <w:p w14:paraId="0243F27D">
            <w:pPr>
              <w:spacing w:line="240" w:lineRule="auto"/>
              <w:jc w:val="center"/>
              <w:rPr>
                <w:rFonts w:hint="eastAsia" w:ascii="仿宋" w:hAnsi="仿宋" w:eastAsia="仿宋" w:cs="仿宋"/>
                <w:sz w:val="21"/>
                <w:szCs w:val="21"/>
                <w:highlight w:val="none"/>
              </w:rPr>
            </w:pPr>
          </w:p>
        </w:tc>
        <w:tc>
          <w:tcPr>
            <w:tcW w:w="1486" w:type="dxa"/>
            <w:tcBorders>
              <w:tl2br w:val="nil"/>
              <w:tr2bl w:val="nil"/>
            </w:tcBorders>
            <w:noWrap w:val="0"/>
            <w:vAlign w:val="center"/>
          </w:tcPr>
          <w:p w14:paraId="246BB8F0">
            <w:pPr>
              <w:spacing w:line="240" w:lineRule="auto"/>
              <w:jc w:val="center"/>
              <w:rPr>
                <w:rFonts w:hint="eastAsia" w:cs="仿宋"/>
                <w:sz w:val="21"/>
                <w:szCs w:val="21"/>
                <w:highlight w:val="none"/>
                <w:lang w:val="en-US" w:eastAsia="zh-CN"/>
              </w:rPr>
            </w:pPr>
            <w:r>
              <w:rPr>
                <w:rFonts w:hint="eastAsia" w:cs="仿宋"/>
                <w:sz w:val="21"/>
                <w:szCs w:val="21"/>
                <w:highlight w:val="none"/>
                <w:lang w:val="en-US" w:eastAsia="zh-CN"/>
              </w:rPr>
              <w:t>卫生保障措施</w:t>
            </w:r>
          </w:p>
        </w:tc>
        <w:tc>
          <w:tcPr>
            <w:tcW w:w="764" w:type="dxa"/>
            <w:tcBorders>
              <w:tl2br w:val="nil"/>
              <w:tr2bl w:val="nil"/>
            </w:tcBorders>
            <w:noWrap w:val="0"/>
            <w:vAlign w:val="center"/>
          </w:tcPr>
          <w:p w14:paraId="6F4336E3">
            <w:pPr>
              <w:spacing w:line="240" w:lineRule="auto"/>
              <w:jc w:val="center"/>
              <w:rPr>
                <w:rFonts w:hint="eastAsia" w:ascii="仿宋" w:hAnsi="仿宋" w:eastAsia="仿宋" w:cs="仿宋"/>
                <w:sz w:val="21"/>
                <w:szCs w:val="21"/>
                <w:highlight w:val="none"/>
                <w:lang w:val="en-US" w:eastAsia="zh-CN"/>
              </w:rPr>
            </w:pPr>
            <w:r>
              <w:rPr>
                <w:rFonts w:hint="eastAsia" w:cs="仿宋"/>
                <w:kern w:val="2"/>
                <w:sz w:val="21"/>
                <w:szCs w:val="21"/>
                <w:highlight w:val="none"/>
                <w:lang w:val="en-US" w:eastAsia="zh-CN" w:bidi="ar-SA"/>
              </w:rPr>
              <w:t>10分</w:t>
            </w:r>
          </w:p>
        </w:tc>
        <w:tc>
          <w:tcPr>
            <w:tcW w:w="4533" w:type="dxa"/>
            <w:tcBorders>
              <w:tl2br w:val="nil"/>
              <w:tr2bl w:val="nil"/>
            </w:tcBorders>
            <w:noWrap w:val="0"/>
            <w:vAlign w:val="center"/>
          </w:tcPr>
          <w:p w14:paraId="4F85CA88">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9-10分：完全满足且超出要求</w:t>
            </w:r>
          </w:p>
          <w:p w14:paraId="7D692778">
            <w:pPr>
              <w:spacing w:line="240" w:lineRule="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清洁消毒流程具体（频次/标准/责任人），含垃圾处理及监督记录</w:t>
            </w:r>
            <w:r>
              <w:rPr>
                <w:rFonts w:hint="eastAsia" w:cs="仿宋"/>
                <w:b w:val="0"/>
                <w:bCs w:val="0"/>
                <w:sz w:val="21"/>
                <w:szCs w:val="21"/>
                <w:highlight w:val="none"/>
                <w:lang w:val="en-US" w:eastAsia="zh-CN"/>
              </w:rPr>
              <w:t>等</w:t>
            </w:r>
          </w:p>
          <w:p w14:paraId="65A8CCBE">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6-8分：主要要求达标，细节待优化</w:t>
            </w:r>
          </w:p>
          <w:p w14:paraId="463B9B7E">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覆盖主要阶段但考核或岗中培训不系统</w:t>
            </w:r>
          </w:p>
          <w:p w14:paraId="6AC0AA1F">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3-5分：关键内容缺失或模糊</w:t>
            </w:r>
          </w:p>
          <w:p w14:paraId="374DB884">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仅简单描述岗前培训，无持续学习机制</w:t>
            </w:r>
          </w:p>
          <w:p w14:paraId="668D9011">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0-2分：未响应或无效响应</w:t>
            </w:r>
          </w:p>
          <w:p w14:paraId="7003B9F0">
            <w:pPr>
              <w:spacing w:line="240" w:lineRule="auto"/>
              <w:rPr>
                <w:rFonts w:hint="eastAsia" w:ascii="仿宋" w:hAnsi="仿宋" w:eastAsia="仿宋" w:cs="仿宋"/>
                <w:sz w:val="21"/>
                <w:szCs w:val="21"/>
                <w:highlight w:val="none"/>
                <w:lang w:val="en-US" w:eastAsia="zh-CN"/>
              </w:rPr>
            </w:pPr>
            <w:r>
              <w:rPr>
                <w:rFonts w:hint="eastAsia" w:ascii="仿宋" w:hAnsi="仿宋" w:eastAsia="仿宋" w:cs="仿宋"/>
                <w:b w:val="0"/>
                <w:bCs w:val="0"/>
                <w:sz w:val="21"/>
                <w:szCs w:val="21"/>
                <w:highlight w:val="none"/>
                <w:lang w:val="en-US" w:eastAsia="zh-CN"/>
              </w:rPr>
              <w:t>未提供具体措施</w:t>
            </w:r>
          </w:p>
        </w:tc>
      </w:tr>
      <w:tr w14:paraId="58530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7" w:hRule="atLeast"/>
        </w:trPr>
        <w:tc>
          <w:tcPr>
            <w:tcW w:w="751" w:type="dxa"/>
            <w:vMerge w:val="continue"/>
            <w:tcBorders>
              <w:tl2br w:val="nil"/>
              <w:tr2bl w:val="nil"/>
            </w:tcBorders>
            <w:noWrap w:val="0"/>
            <w:vAlign w:val="center"/>
          </w:tcPr>
          <w:p w14:paraId="08ACB0B3">
            <w:pPr>
              <w:spacing w:line="240" w:lineRule="auto"/>
              <w:jc w:val="center"/>
              <w:rPr>
                <w:rFonts w:hint="eastAsia" w:ascii="仿宋" w:hAnsi="仿宋" w:eastAsia="仿宋" w:cs="仿宋"/>
                <w:sz w:val="21"/>
                <w:szCs w:val="21"/>
                <w:highlight w:val="none"/>
              </w:rPr>
            </w:pPr>
          </w:p>
        </w:tc>
        <w:tc>
          <w:tcPr>
            <w:tcW w:w="1173" w:type="dxa"/>
            <w:vMerge w:val="continue"/>
            <w:tcBorders>
              <w:tl2br w:val="nil"/>
              <w:tr2bl w:val="nil"/>
            </w:tcBorders>
            <w:noWrap w:val="0"/>
            <w:vAlign w:val="center"/>
          </w:tcPr>
          <w:p w14:paraId="53D59859">
            <w:pPr>
              <w:spacing w:line="240" w:lineRule="auto"/>
              <w:jc w:val="center"/>
              <w:rPr>
                <w:rFonts w:hint="eastAsia" w:ascii="仿宋" w:hAnsi="仿宋" w:eastAsia="仿宋" w:cs="仿宋"/>
                <w:sz w:val="21"/>
                <w:szCs w:val="21"/>
                <w:highlight w:val="none"/>
              </w:rPr>
            </w:pPr>
          </w:p>
        </w:tc>
        <w:tc>
          <w:tcPr>
            <w:tcW w:w="1486" w:type="dxa"/>
            <w:tcBorders>
              <w:tl2br w:val="nil"/>
              <w:tr2bl w:val="nil"/>
            </w:tcBorders>
            <w:noWrap w:val="0"/>
            <w:vAlign w:val="center"/>
          </w:tcPr>
          <w:p w14:paraId="39948DF2">
            <w:pPr>
              <w:spacing w:line="240" w:lineRule="auto"/>
              <w:jc w:val="center"/>
              <w:rPr>
                <w:rFonts w:hint="eastAsia" w:cs="仿宋"/>
                <w:sz w:val="21"/>
                <w:szCs w:val="21"/>
                <w:highlight w:val="none"/>
                <w:lang w:val="en-US" w:eastAsia="zh-CN"/>
              </w:rPr>
            </w:pPr>
            <w:r>
              <w:rPr>
                <w:rFonts w:hint="eastAsia" w:cs="仿宋"/>
                <w:sz w:val="21"/>
                <w:szCs w:val="21"/>
                <w:highlight w:val="none"/>
                <w:lang w:val="en-US" w:eastAsia="zh-CN"/>
              </w:rPr>
              <w:t>消防安全措施</w:t>
            </w:r>
          </w:p>
        </w:tc>
        <w:tc>
          <w:tcPr>
            <w:tcW w:w="764" w:type="dxa"/>
            <w:tcBorders>
              <w:tl2br w:val="nil"/>
              <w:tr2bl w:val="nil"/>
            </w:tcBorders>
            <w:noWrap w:val="0"/>
            <w:vAlign w:val="center"/>
          </w:tcPr>
          <w:p w14:paraId="585BD9E6">
            <w:pPr>
              <w:spacing w:line="240" w:lineRule="auto"/>
              <w:jc w:val="center"/>
              <w:rPr>
                <w:rFonts w:hint="eastAsia" w:ascii="仿宋" w:hAnsi="仿宋" w:eastAsia="仿宋" w:cs="仿宋"/>
                <w:sz w:val="21"/>
                <w:szCs w:val="21"/>
                <w:highlight w:val="none"/>
                <w:lang w:val="en-US" w:eastAsia="zh-CN"/>
              </w:rPr>
            </w:pPr>
            <w:r>
              <w:rPr>
                <w:rFonts w:hint="eastAsia" w:cs="仿宋"/>
                <w:kern w:val="2"/>
                <w:sz w:val="21"/>
                <w:szCs w:val="21"/>
                <w:highlight w:val="none"/>
                <w:lang w:val="en-US" w:eastAsia="zh-CN" w:bidi="ar-SA"/>
              </w:rPr>
              <w:t>10分</w:t>
            </w:r>
          </w:p>
        </w:tc>
        <w:tc>
          <w:tcPr>
            <w:tcW w:w="4533" w:type="dxa"/>
            <w:tcBorders>
              <w:tl2br w:val="nil"/>
              <w:tr2bl w:val="nil"/>
            </w:tcBorders>
            <w:noWrap w:val="0"/>
            <w:vAlign w:val="center"/>
          </w:tcPr>
          <w:p w14:paraId="42D9F4A6">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9-10分：完全满足且超出要求</w:t>
            </w:r>
          </w:p>
          <w:p w14:paraId="00676EDA">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逐级消防安全责任制</w:t>
            </w:r>
            <w:r>
              <w:rPr>
                <w:rFonts w:hint="eastAsia" w:cs="仿宋"/>
                <w:b w:val="0"/>
                <w:bCs w:val="0"/>
                <w:sz w:val="21"/>
                <w:szCs w:val="21"/>
                <w:highlight w:val="none"/>
                <w:lang w:val="en-US" w:eastAsia="zh-CN"/>
              </w:rPr>
              <w:t>、</w:t>
            </w:r>
            <w:r>
              <w:rPr>
                <w:rFonts w:hint="eastAsia" w:ascii="仿宋" w:hAnsi="仿宋" w:eastAsia="仿宋" w:cs="仿宋"/>
                <w:b w:val="0"/>
                <w:bCs w:val="0"/>
                <w:sz w:val="21"/>
                <w:szCs w:val="21"/>
                <w:highlight w:val="none"/>
                <w:lang w:val="en-US" w:eastAsia="zh-CN"/>
              </w:rPr>
              <w:t>系统的消防安全宣传教育培训计划</w:t>
            </w:r>
            <w:r>
              <w:rPr>
                <w:rFonts w:hint="eastAsia" w:cs="仿宋"/>
                <w:b w:val="0"/>
                <w:bCs w:val="0"/>
                <w:sz w:val="21"/>
                <w:szCs w:val="21"/>
                <w:highlight w:val="none"/>
                <w:lang w:val="en-US" w:eastAsia="zh-CN"/>
              </w:rPr>
              <w:t>、细的灭火和应急疏散预案、</w:t>
            </w:r>
            <w:r>
              <w:rPr>
                <w:rFonts w:hint="eastAsia" w:ascii="仿宋" w:hAnsi="仿宋" w:eastAsia="仿宋" w:cs="仿宋"/>
                <w:b w:val="0"/>
                <w:bCs w:val="0"/>
                <w:sz w:val="21"/>
                <w:szCs w:val="21"/>
                <w:highlight w:val="none"/>
                <w:lang w:val="en-US" w:eastAsia="zh-CN"/>
              </w:rPr>
              <w:t>设备维保</w:t>
            </w:r>
            <w:r>
              <w:rPr>
                <w:rFonts w:hint="eastAsia" w:cs="仿宋"/>
                <w:b w:val="0"/>
                <w:bCs w:val="0"/>
                <w:sz w:val="21"/>
                <w:szCs w:val="21"/>
                <w:highlight w:val="none"/>
                <w:lang w:val="en-US" w:eastAsia="zh-CN"/>
              </w:rPr>
              <w:t>、</w:t>
            </w:r>
            <w:r>
              <w:rPr>
                <w:rFonts w:hint="eastAsia" w:ascii="仿宋" w:hAnsi="仿宋" w:eastAsia="仿宋" w:cs="仿宋"/>
                <w:b w:val="0"/>
                <w:bCs w:val="0"/>
                <w:sz w:val="21"/>
                <w:szCs w:val="21"/>
                <w:highlight w:val="none"/>
                <w:lang w:val="en-US" w:eastAsia="zh-CN"/>
              </w:rPr>
              <w:t>隐患巡查机制齐全</w:t>
            </w:r>
          </w:p>
          <w:p w14:paraId="60C148A6">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6-8分：主要要求达标，细节待优化</w:t>
            </w:r>
          </w:p>
          <w:p w14:paraId="2E345675">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建立了基本的消防安全责任制</w:t>
            </w:r>
            <w:r>
              <w:rPr>
                <w:rFonts w:hint="eastAsia" w:cs="仿宋"/>
                <w:b w:val="0"/>
                <w:bCs w:val="0"/>
                <w:sz w:val="21"/>
                <w:szCs w:val="21"/>
                <w:highlight w:val="none"/>
                <w:lang w:val="en-US" w:eastAsia="zh-CN"/>
              </w:rPr>
              <w:t>、</w:t>
            </w:r>
            <w:r>
              <w:rPr>
                <w:rFonts w:hint="eastAsia" w:ascii="仿宋" w:hAnsi="仿宋" w:eastAsia="仿宋" w:cs="仿宋"/>
                <w:b w:val="0"/>
                <w:bCs w:val="0"/>
                <w:sz w:val="21"/>
                <w:szCs w:val="21"/>
                <w:highlight w:val="none"/>
                <w:lang w:val="en-US" w:eastAsia="zh-CN"/>
              </w:rPr>
              <w:t>有基本框架但演练频次</w:t>
            </w:r>
            <w:r>
              <w:rPr>
                <w:rFonts w:hint="eastAsia" w:cs="仿宋"/>
                <w:b w:val="0"/>
                <w:bCs w:val="0"/>
                <w:sz w:val="21"/>
                <w:szCs w:val="21"/>
                <w:highlight w:val="none"/>
                <w:lang w:val="en-US" w:eastAsia="zh-CN"/>
              </w:rPr>
              <w:t>、</w:t>
            </w:r>
            <w:r>
              <w:rPr>
                <w:rFonts w:hint="eastAsia" w:ascii="仿宋" w:hAnsi="仿宋" w:eastAsia="仿宋" w:cs="仿宋"/>
                <w:b w:val="0"/>
                <w:bCs w:val="0"/>
                <w:sz w:val="21"/>
                <w:szCs w:val="21"/>
                <w:highlight w:val="none"/>
                <w:lang w:val="en-US" w:eastAsia="zh-CN"/>
              </w:rPr>
              <w:t>预案细节不足</w:t>
            </w:r>
          </w:p>
          <w:p w14:paraId="2944FCD2">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3-5分：关键内容缺失或模糊</w:t>
            </w:r>
          </w:p>
          <w:p w14:paraId="0042B0A4">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仅零散提及，无系统管理</w:t>
            </w:r>
          </w:p>
          <w:p w14:paraId="37C7C7CD">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0-2分：未响应或无效响应</w:t>
            </w:r>
          </w:p>
          <w:p w14:paraId="5802E150">
            <w:pPr>
              <w:spacing w:line="240" w:lineRule="auto"/>
              <w:rPr>
                <w:rFonts w:hint="eastAsia" w:ascii="仿宋" w:hAnsi="仿宋" w:eastAsia="仿宋" w:cs="仿宋"/>
                <w:sz w:val="21"/>
                <w:szCs w:val="21"/>
                <w:highlight w:val="none"/>
                <w:lang w:val="en-US" w:eastAsia="zh-CN"/>
              </w:rPr>
            </w:pPr>
            <w:r>
              <w:rPr>
                <w:rFonts w:hint="eastAsia" w:ascii="仿宋" w:hAnsi="仿宋" w:eastAsia="仿宋" w:cs="仿宋"/>
                <w:b w:val="0"/>
                <w:bCs w:val="0"/>
                <w:sz w:val="21"/>
                <w:szCs w:val="21"/>
                <w:highlight w:val="none"/>
                <w:lang w:val="en-US" w:eastAsia="zh-CN"/>
              </w:rPr>
              <w:t>无实质性内容</w:t>
            </w:r>
          </w:p>
        </w:tc>
      </w:tr>
      <w:tr w14:paraId="1EBD5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51" w:type="dxa"/>
            <w:vMerge w:val="continue"/>
            <w:tcBorders>
              <w:tl2br w:val="nil"/>
              <w:tr2bl w:val="nil"/>
            </w:tcBorders>
            <w:noWrap w:val="0"/>
            <w:vAlign w:val="center"/>
          </w:tcPr>
          <w:p w14:paraId="469934C8">
            <w:pPr>
              <w:spacing w:line="240" w:lineRule="auto"/>
              <w:jc w:val="center"/>
              <w:rPr>
                <w:rFonts w:hint="eastAsia" w:ascii="仿宋" w:hAnsi="仿宋" w:eastAsia="仿宋" w:cs="仿宋"/>
                <w:sz w:val="21"/>
                <w:szCs w:val="21"/>
                <w:highlight w:val="none"/>
              </w:rPr>
            </w:pPr>
          </w:p>
        </w:tc>
        <w:tc>
          <w:tcPr>
            <w:tcW w:w="1173" w:type="dxa"/>
            <w:vMerge w:val="continue"/>
            <w:tcBorders>
              <w:tl2br w:val="nil"/>
              <w:tr2bl w:val="nil"/>
            </w:tcBorders>
            <w:noWrap w:val="0"/>
            <w:vAlign w:val="center"/>
          </w:tcPr>
          <w:p w14:paraId="2CBB4276">
            <w:pPr>
              <w:spacing w:line="240" w:lineRule="auto"/>
              <w:jc w:val="center"/>
              <w:rPr>
                <w:rFonts w:hint="eastAsia" w:ascii="仿宋" w:hAnsi="仿宋" w:eastAsia="仿宋" w:cs="仿宋"/>
                <w:sz w:val="21"/>
                <w:szCs w:val="21"/>
                <w:highlight w:val="none"/>
              </w:rPr>
            </w:pPr>
          </w:p>
        </w:tc>
        <w:tc>
          <w:tcPr>
            <w:tcW w:w="1486" w:type="dxa"/>
            <w:tcBorders>
              <w:tl2br w:val="nil"/>
              <w:tr2bl w:val="nil"/>
            </w:tcBorders>
            <w:shd w:val="clear" w:color="auto" w:fill="auto"/>
            <w:noWrap w:val="0"/>
            <w:vAlign w:val="center"/>
          </w:tcPr>
          <w:p w14:paraId="575A7D34">
            <w:pPr>
              <w:spacing w:line="240" w:lineRule="auto"/>
              <w:ind w:firstLine="0" w:firstLineChars="0"/>
              <w:jc w:val="center"/>
              <w:rPr>
                <w:rFonts w:hint="eastAsia" w:ascii="仿宋" w:hAnsi="仿宋" w:eastAsia="仿宋" w:cs="仿宋"/>
                <w:kern w:val="2"/>
                <w:sz w:val="21"/>
                <w:szCs w:val="21"/>
                <w:highlight w:val="none"/>
                <w:lang w:val="en-US" w:eastAsia="zh-CN" w:bidi="ar-SA"/>
              </w:rPr>
            </w:pPr>
            <w:r>
              <w:rPr>
                <w:rFonts w:hint="eastAsia" w:cs="仿宋"/>
                <w:sz w:val="21"/>
                <w:szCs w:val="21"/>
                <w:highlight w:val="none"/>
                <w:lang w:val="en-US" w:eastAsia="zh-CN"/>
              </w:rPr>
              <w:t>应急预案</w:t>
            </w:r>
          </w:p>
        </w:tc>
        <w:tc>
          <w:tcPr>
            <w:tcW w:w="764" w:type="dxa"/>
            <w:tcBorders>
              <w:tl2br w:val="nil"/>
              <w:tr2bl w:val="nil"/>
            </w:tcBorders>
            <w:shd w:val="clear" w:color="auto" w:fill="auto"/>
            <w:noWrap w:val="0"/>
            <w:vAlign w:val="center"/>
          </w:tcPr>
          <w:p w14:paraId="4315C437">
            <w:pPr>
              <w:spacing w:line="240" w:lineRule="auto"/>
              <w:ind w:firstLine="0" w:firstLineChars="0"/>
              <w:jc w:val="center"/>
              <w:rPr>
                <w:rFonts w:hint="eastAsia" w:ascii="仿宋" w:hAnsi="仿宋" w:eastAsia="仿宋" w:cs="仿宋"/>
                <w:kern w:val="2"/>
                <w:sz w:val="21"/>
                <w:szCs w:val="21"/>
                <w:highlight w:val="none"/>
                <w:lang w:val="en-US" w:eastAsia="zh-CN" w:bidi="ar-SA"/>
              </w:rPr>
            </w:pPr>
            <w:r>
              <w:rPr>
                <w:rFonts w:hint="eastAsia" w:cs="仿宋"/>
                <w:kern w:val="2"/>
                <w:sz w:val="21"/>
                <w:szCs w:val="21"/>
                <w:highlight w:val="none"/>
                <w:lang w:val="en-US" w:eastAsia="zh-CN" w:bidi="ar-SA"/>
              </w:rPr>
              <w:t>10分</w:t>
            </w:r>
          </w:p>
        </w:tc>
        <w:tc>
          <w:tcPr>
            <w:tcW w:w="4533" w:type="dxa"/>
            <w:tcBorders>
              <w:tl2br w:val="nil"/>
              <w:tr2bl w:val="nil"/>
            </w:tcBorders>
            <w:shd w:val="clear" w:color="auto" w:fill="auto"/>
            <w:noWrap w:val="0"/>
            <w:vAlign w:val="center"/>
          </w:tcPr>
          <w:p w14:paraId="186F65DA">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9-10分：完全满足且超出要求</w:t>
            </w:r>
          </w:p>
          <w:p w14:paraId="32D300A1">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覆盖四类突发事件</w:t>
            </w:r>
            <w:r>
              <w:rPr>
                <w:rFonts w:hint="eastAsia" w:cs="仿宋"/>
                <w:b w:val="0"/>
                <w:bCs w:val="0"/>
                <w:sz w:val="21"/>
                <w:szCs w:val="21"/>
                <w:highlight w:val="none"/>
                <w:lang w:val="en-US" w:eastAsia="zh-CN"/>
              </w:rPr>
              <w:t>（自然灾害、事故灾难、公共卫生事件、社会安全事件）</w:t>
            </w:r>
            <w:r>
              <w:rPr>
                <w:rFonts w:hint="eastAsia" w:ascii="仿宋" w:hAnsi="仿宋" w:eastAsia="仿宋" w:cs="仿宋"/>
                <w:b w:val="0"/>
                <w:bCs w:val="0"/>
                <w:sz w:val="21"/>
                <w:szCs w:val="21"/>
                <w:highlight w:val="none"/>
                <w:lang w:val="en-US" w:eastAsia="zh-CN"/>
              </w:rPr>
              <w:t>，清晰的组织指挥体系（明确总指挥、各小组职责）、预警机制、应急响应流程（分级响应）、处置措施、信息报告与发布程序、应急资源（人员、物资、通讯）保障、后期处置（恢复、善后）、培训与演练要求</w:t>
            </w:r>
          </w:p>
          <w:p w14:paraId="3A9F14BD">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6-8分：主要要求达标，细节待优化</w:t>
            </w:r>
          </w:p>
          <w:p w14:paraId="5F39D05D">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预案基本要素（组织、流程、措施、资源）大体具备，但部分环节（如预警、信息发布、后期处置、培训演练要求）可能不够细致或存在缺失。</w:t>
            </w:r>
          </w:p>
          <w:p w14:paraId="6FA3CCAA">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预案内容基本可行，但针对性和细节有待加强</w:t>
            </w:r>
          </w:p>
          <w:p w14:paraId="1778D2E9">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3-5分：关键内容缺失或模糊</w:t>
            </w:r>
          </w:p>
          <w:p w14:paraId="158AAFCA">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应急预案仅覆盖部分突发事件类型</w:t>
            </w:r>
            <w:r>
              <w:rPr>
                <w:rFonts w:hint="eastAsia" w:cs="仿宋"/>
                <w:b w:val="0"/>
                <w:bCs w:val="0"/>
                <w:sz w:val="21"/>
                <w:szCs w:val="21"/>
                <w:highlight w:val="none"/>
                <w:lang w:val="en-US" w:eastAsia="zh-CN"/>
              </w:rPr>
              <w:t>、</w:t>
            </w:r>
            <w:r>
              <w:rPr>
                <w:rFonts w:hint="eastAsia" w:ascii="仿宋" w:hAnsi="仿宋" w:eastAsia="仿宋" w:cs="仿宋"/>
                <w:b w:val="0"/>
                <w:bCs w:val="0"/>
                <w:sz w:val="21"/>
                <w:szCs w:val="21"/>
                <w:highlight w:val="none"/>
                <w:lang w:val="en-US" w:eastAsia="zh-CN"/>
              </w:rPr>
              <w:t>预案框架化，可操作性低</w:t>
            </w:r>
          </w:p>
          <w:p w14:paraId="12DBEB3B">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0-2分：未响应或无效响应</w:t>
            </w:r>
          </w:p>
          <w:p w14:paraId="21DBBE3F">
            <w:pPr>
              <w:spacing w:line="240" w:lineRule="auto"/>
              <w:ind w:firstLine="0" w:firstLineChars="0"/>
              <w:rPr>
                <w:rFonts w:hint="eastAsia" w:ascii="仿宋" w:hAnsi="仿宋" w:eastAsia="仿宋" w:cs="仿宋"/>
                <w:kern w:val="2"/>
                <w:sz w:val="21"/>
                <w:szCs w:val="21"/>
                <w:highlight w:val="none"/>
                <w:lang w:val="en-US" w:eastAsia="zh-CN" w:bidi="ar-SA"/>
              </w:rPr>
            </w:pPr>
            <w:r>
              <w:rPr>
                <w:rFonts w:hint="eastAsia" w:ascii="仿宋" w:hAnsi="仿宋" w:eastAsia="仿宋" w:cs="仿宋"/>
                <w:b w:val="0"/>
                <w:bCs w:val="0"/>
                <w:sz w:val="21"/>
                <w:szCs w:val="21"/>
                <w:highlight w:val="none"/>
                <w:lang w:val="en-US" w:eastAsia="zh-CN"/>
              </w:rPr>
              <w:t>未提供或严重缺失</w:t>
            </w:r>
          </w:p>
        </w:tc>
      </w:tr>
      <w:tr w14:paraId="033AA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751" w:type="dxa"/>
            <w:vMerge w:val="continue"/>
            <w:tcBorders>
              <w:tl2br w:val="nil"/>
              <w:tr2bl w:val="nil"/>
            </w:tcBorders>
            <w:noWrap w:val="0"/>
            <w:vAlign w:val="center"/>
          </w:tcPr>
          <w:p w14:paraId="2908D89A">
            <w:pPr>
              <w:spacing w:line="240" w:lineRule="auto"/>
              <w:jc w:val="center"/>
              <w:rPr>
                <w:rFonts w:hint="eastAsia" w:ascii="仿宋" w:hAnsi="仿宋" w:eastAsia="仿宋" w:cs="仿宋"/>
                <w:sz w:val="21"/>
                <w:szCs w:val="21"/>
                <w:highlight w:val="none"/>
              </w:rPr>
            </w:pPr>
          </w:p>
        </w:tc>
        <w:tc>
          <w:tcPr>
            <w:tcW w:w="1173" w:type="dxa"/>
            <w:vMerge w:val="continue"/>
            <w:tcBorders>
              <w:tl2br w:val="nil"/>
              <w:tr2bl w:val="nil"/>
            </w:tcBorders>
            <w:noWrap w:val="0"/>
            <w:vAlign w:val="center"/>
          </w:tcPr>
          <w:p w14:paraId="0766ED5B">
            <w:pPr>
              <w:spacing w:line="240" w:lineRule="auto"/>
              <w:jc w:val="center"/>
              <w:rPr>
                <w:rFonts w:hint="eastAsia" w:ascii="仿宋" w:hAnsi="仿宋" w:eastAsia="仿宋" w:cs="仿宋"/>
                <w:sz w:val="21"/>
                <w:szCs w:val="21"/>
                <w:highlight w:val="none"/>
              </w:rPr>
            </w:pPr>
          </w:p>
        </w:tc>
        <w:tc>
          <w:tcPr>
            <w:tcW w:w="1486" w:type="dxa"/>
            <w:tcBorders>
              <w:tl2br w:val="nil"/>
              <w:tr2bl w:val="nil"/>
            </w:tcBorders>
            <w:noWrap w:val="0"/>
            <w:vAlign w:val="center"/>
          </w:tcPr>
          <w:p w14:paraId="10757475">
            <w:pPr>
              <w:spacing w:line="240" w:lineRule="auto"/>
              <w:jc w:val="center"/>
              <w:rPr>
                <w:rFonts w:hint="default" w:cs="仿宋"/>
                <w:sz w:val="21"/>
                <w:szCs w:val="21"/>
                <w:highlight w:val="none"/>
                <w:lang w:val="en-US" w:eastAsia="zh-CN"/>
              </w:rPr>
            </w:pPr>
            <w:r>
              <w:rPr>
                <w:rFonts w:hint="default" w:cs="仿宋"/>
                <w:sz w:val="21"/>
                <w:szCs w:val="21"/>
                <w:highlight w:val="none"/>
                <w:lang w:val="en-US" w:eastAsia="zh-CN"/>
              </w:rPr>
              <w:t>安全保障措施及保障能力</w:t>
            </w:r>
          </w:p>
        </w:tc>
        <w:tc>
          <w:tcPr>
            <w:tcW w:w="764" w:type="dxa"/>
            <w:tcBorders>
              <w:tl2br w:val="nil"/>
              <w:tr2bl w:val="nil"/>
            </w:tcBorders>
            <w:noWrap w:val="0"/>
            <w:vAlign w:val="center"/>
          </w:tcPr>
          <w:p w14:paraId="7EFBFC51">
            <w:pPr>
              <w:spacing w:line="240" w:lineRule="auto"/>
              <w:jc w:val="center"/>
              <w:rPr>
                <w:rFonts w:hint="default" w:ascii="仿宋" w:hAnsi="仿宋" w:eastAsia="仿宋" w:cs="仿宋"/>
                <w:sz w:val="21"/>
                <w:szCs w:val="21"/>
                <w:highlight w:val="none"/>
                <w:lang w:val="en-US" w:eastAsia="zh-CN"/>
              </w:rPr>
            </w:pPr>
            <w:r>
              <w:rPr>
                <w:rFonts w:hint="eastAsia" w:cs="仿宋"/>
                <w:kern w:val="2"/>
                <w:sz w:val="21"/>
                <w:szCs w:val="21"/>
                <w:highlight w:val="none"/>
                <w:lang w:val="en-US" w:eastAsia="zh-CN" w:bidi="ar-SA"/>
              </w:rPr>
              <w:t>10分</w:t>
            </w:r>
          </w:p>
        </w:tc>
        <w:tc>
          <w:tcPr>
            <w:tcW w:w="4533" w:type="dxa"/>
            <w:tcBorders>
              <w:tl2br w:val="nil"/>
              <w:tr2bl w:val="nil"/>
            </w:tcBorders>
            <w:noWrap w:val="0"/>
            <w:vAlign w:val="center"/>
          </w:tcPr>
          <w:p w14:paraId="5111B17B">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9-10分：完全满足且超出要求</w:t>
            </w:r>
          </w:p>
          <w:p w14:paraId="75996702">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措施全面（巡查</w:t>
            </w:r>
            <w:r>
              <w:rPr>
                <w:rFonts w:hint="eastAsia" w:cs="仿宋"/>
                <w:b w:val="0"/>
                <w:bCs w:val="0"/>
                <w:sz w:val="21"/>
                <w:szCs w:val="21"/>
                <w:highlight w:val="none"/>
                <w:lang w:val="en-US" w:eastAsia="zh-CN"/>
              </w:rPr>
              <w:t>、</w:t>
            </w:r>
            <w:r>
              <w:rPr>
                <w:rFonts w:hint="eastAsia" w:ascii="仿宋" w:hAnsi="仿宋" w:eastAsia="仿宋" w:cs="仿宋"/>
                <w:b w:val="0"/>
                <w:bCs w:val="0"/>
                <w:sz w:val="21"/>
                <w:szCs w:val="21"/>
                <w:highlight w:val="none"/>
                <w:lang w:val="en-US" w:eastAsia="zh-CN"/>
              </w:rPr>
              <w:t>监控</w:t>
            </w:r>
            <w:r>
              <w:rPr>
                <w:rFonts w:hint="eastAsia" w:cs="仿宋"/>
                <w:b w:val="0"/>
                <w:bCs w:val="0"/>
                <w:sz w:val="21"/>
                <w:szCs w:val="21"/>
                <w:highlight w:val="none"/>
                <w:lang w:val="en-US" w:eastAsia="zh-CN"/>
              </w:rPr>
              <w:t>、</w:t>
            </w:r>
            <w:r>
              <w:rPr>
                <w:rFonts w:hint="eastAsia" w:ascii="仿宋" w:hAnsi="仿宋" w:eastAsia="仿宋" w:cs="仿宋"/>
                <w:b w:val="0"/>
                <w:bCs w:val="0"/>
                <w:sz w:val="21"/>
                <w:szCs w:val="21"/>
                <w:highlight w:val="none"/>
                <w:lang w:val="en-US" w:eastAsia="zh-CN"/>
              </w:rPr>
              <w:t>风险评估）</w:t>
            </w:r>
            <w:r>
              <w:rPr>
                <w:rFonts w:hint="eastAsia" w:cs="仿宋"/>
                <w:b w:val="0"/>
                <w:bCs w:val="0"/>
                <w:sz w:val="21"/>
                <w:szCs w:val="21"/>
                <w:highlight w:val="none"/>
                <w:lang w:val="en-US" w:eastAsia="zh-CN"/>
              </w:rPr>
              <w:t>，在人员、设备等方面</w:t>
            </w:r>
            <w:r>
              <w:rPr>
                <w:rFonts w:hint="eastAsia" w:ascii="仿宋" w:hAnsi="仿宋" w:eastAsia="仿宋" w:cs="仿宋"/>
                <w:b w:val="0"/>
                <w:bCs w:val="0"/>
                <w:sz w:val="21"/>
                <w:szCs w:val="21"/>
                <w:highlight w:val="none"/>
                <w:lang w:val="en-US" w:eastAsia="zh-CN"/>
              </w:rPr>
              <w:t>资源充足</w:t>
            </w:r>
            <w:r>
              <w:rPr>
                <w:rFonts w:hint="eastAsia" w:cs="仿宋"/>
                <w:b w:val="0"/>
                <w:bCs w:val="0"/>
                <w:sz w:val="21"/>
                <w:szCs w:val="21"/>
                <w:highlight w:val="none"/>
                <w:lang w:val="en-US" w:eastAsia="zh-CN"/>
              </w:rPr>
              <w:t>，有可靠的应急响应支持</w:t>
            </w:r>
          </w:p>
          <w:p w14:paraId="4A3C4CAE">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6-8分：主要要求达标，细节待优化</w:t>
            </w:r>
          </w:p>
          <w:p w14:paraId="2498CF39">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有基础措施但保障能力存短板</w:t>
            </w:r>
            <w:r>
              <w:rPr>
                <w:rFonts w:hint="eastAsia" w:cs="仿宋"/>
                <w:b w:val="0"/>
                <w:bCs w:val="0"/>
                <w:sz w:val="21"/>
                <w:szCs w:val="21"/>
                <w:highlight w:val="none"/>
                <w:lang w:val="en-US" w:eastAsia="zh-CN"/>
              </w:rPr>
              <w:t>，部分措施不够具体或存在薄弱环节</w:t>
            </w:r>
            <w:r>
              <w:rPr>
                <w:rFonts w:hint="eastAsia" w:ascii="仿宋" w:hAnsi="仿宋" w:eastAsia="仿宋" w:cs="仿宋"/>
                <w:b w:val="0"/>
                <w:bCs w:val="0"/>
                <w:sz w:val="21"/>
                <w:szCs w:val="21"/>
                <w:highlight w:val="none"/>
                <w:lang w:val="en-US" w:eastAsia="zh-CN"/>
              </w:rPr>
              <w:t>（如安保人员不足）</w:t>
            </w:r>
          </w:p>
          <w:p w14:paraId="32B8455C">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3-5分：关键内容缺失或模糊</w:t>
            </w:r>
          </w:p>
          <w:p w14:paraId="2FCF3C66">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措施笼统，安全保障措施存在明显缺失或重大不合理之处</w:t>
            </w:r>
          </w:p>
          <w:p w14:paraId="07742872">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0-2分：未响应或无效响应</w:t>
            </w:r>
          </w:p>
          <w:p w14:paraId="0435DA2C">
            <w:pPr>
              <w:spacing w:line="240" w:lineRule="auto"/>
              <w:rPr>
                <w:rFonts w:hint="eastAsia" w:ascii="仿宋" w:hAnsi="仿宋" w:eastAsia="仿宋" w:cs="仿宋"/>
                <w:sz w:val="21"/>
                <w:szCs w:val="21"/>
                <w:highlight w:val="none"/>
                <w:lang w:val="en-US" w:eastAsia="zh-CN"/>
              </w:rPr>
            </w:pPr>
            <w:r>
              <w:rPr>
                <w:rFonts w:hint="eastAsia" w:ascii="仿宋" w:hAnsi="仿宋" w:eastAsia="仿宋" w:cs="仿宋"/>
                <w:b w:val="0"/>
                <w:bCs w:val="0"/>
                <w:sz w:val="21"/>
                <w:szCs w:val="21"/>
                <w:highlight w:val="none"/>
                <w:lang w:val="en-US" w:eastAsia="zh-CN"/>
              </w:rPr>
              <w:t>未提供有效方案</w:t>
            </w:r>
          </w:p>
        </w:tc>
      </w:tr>
    </w:tbl>
    <w:p w14:paraId="5664E477">
      <w:pPr>
        <w:rPr>
          <w:rFonts w:hint="eastAsia"/>
          <w:color w:val="auto"/>
          <w:highlight w:val="none"/>
          <w:lang w:val="en-US" w:eastAsia="zh-CN"/>
        </w:rPr>
      </w:pPr>
    </w:p>
    <w:sectPr>
      <w:headerReference r:id="rId7" w:type="default"/>
      <w:footerReference r:id="rId8" w:type="default"/>
      <w:type w:val="continuous"/>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Unicode MS">
    <w:altName w:val="仿宋"/>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 w:name="宋体-18030">
    <w:altName w:val="宋体"/>
    <w:panose1 w:val="02010609060101010101"/>
    <w:charset w:val="86"/>
    <w:family w:val="swiss"/>
    <w:pitch w:val="default"/>
    <w:sig w:usb0="00000000" w:usb1="00000000" w:usb2="000A005E"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49734">
    <w:pPr>
      <w:pStyle w:val="11"/>
      <w:ind w:firstLine="3600" w:firstLineChars="2000"/>
      <w:rPr>
        <w:rFonts w:hint="default"/>
      </w:rPr>
    </w:pPr>
    <w:r>
      <w:rPr>
        <w:rFonts w:hint="default"/>
        <w:kern w:val="0"/>
      </w:rPr>
      <w:t xml:space="preserve">                                                        </w:t>
    </w:r>
    <w:r>
      <w:rPr>
        <w:rFonts w:hint="default"/>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BAB9E">
    <w:pPr>
      <w:pStyle w:val="11"/>
      <w:ind w:firstLine="3600" w:firstLineChars="2000"/>
      <w:rPr>
        <w:rFonts w:hint="default"/>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2ABE4B">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2ABE4B">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kern w:val="0"/>
      </w:rPr>
      <w:t xml:space="preserve">                                                        </w:t>
    </w:r>
    <w:r>
      <w:rPr>
        <w:rFonts w:hint="default"/>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7B695">
    <w:pPr>
      <w:pStyle w:val="11"/>
      <w:ind w:firstLine="360"/>
      <w:rPr>
        <w:rFonts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C79A8">
                          <w:pPr>
                            <w:pStyle w:val="11"/>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9EC79A8">
                    <w:pPr>
                      <w:pStyle w:val="1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915A2">
    <w:pPr>
      <w:pStyle w:val="8"/>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144A8"/>
    <w:multiLevelType w:val="multilevel"/>
    <w:tmpl w:val="A81144A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D9CB1E68"/>
    <w:multiLevelType w:val="singleLevel"/>
    <w:tmpl w:val="D9CB1E68"/>
    <w:lvl w:ilvl="0" w:tentative="0">
      <w:start w:val="1"/>
      <w:numFmt w:val="decimal"/>
      <w:suff w:val="nothing"/>
      <w:lvlText w:val="%1、"/>
      <w:lvlJc w:val="left"/>
    </w:lvl>
  </w:abstractNum>
  <w:abstractNum w:abstractNumId="2">
    <w:nsid w:val="DC2D0C16"/>
    <w:multiLevelType w:val="singleLevel"/>
    <w:tmpl w:val="DC2D0C16"/>
    <w:lvl w:ilvl="0" w:tentative="0">
      <w:start w:val="1"/>
      <w:numFmt w:val="decimal"/>
      <w:suff w:val="nothing"/>
      <w:lvlText w:val="%1．"/>
      <w:lvlJc w:val="left"/>
    </w:lvl>
  </w:abstractNum>
  <w:abstractNum w:abstractNumId="3">
    <w:nsid w:val="E8D3984B"/>
    <w:multiLevelType w:val="singleLevel"/>
    <w:tmpl w:val="E8D3984B"/>
    <w:lvl w:ilvl="0" w:tentative="0">
      <w:start w:val="1"/>
      <w:numFmt w:val="chineseCounting"/>
      <w:suff w:val="nothing"/>
      <w:lvlText w:val="%1、"/>
      <w:lvlJc w:val="left"/>
      <w:pPr>
        <w:tabs>
          <w:tab w:val="left" w:pos="0"/>
        </w:tabs>
        <w:ind w:left="0" w:firstLine="0"/>
      </w:pPr>
      <w:rPr>
        <w:rFonts w:hint="eastAsia"/>
      </w:rPr>
    </w:lvl>
  </w:abstractNum>
  <w:abstractNum w:abstractNumId="4">
    <w:nsid w:val="FBC96671"/>
    <w:multiLevelType w:val="singleLevel"/>
    <w:tmpl w:val="FBC96671"/>
    <w:lvl w:ilvl="0" w:tentative="0">
      <w:start w:val="1"/>
      <w:numFmt w:val="decimal"/>
      <w:suff w:val="space"/>
      <w:lvlText w:val="(%1)"/>
      <w:lvlJc w:val="left"/>
      <w:pPr>
        <w:ind w:left="0" w:firstLine="0"/>
      </w:pPr>
    </w:lvl>
  </w:abstractNum>
  <w:abstractNum w:abstractNumId="5">
    <w:nsid w:val="222107B4"/>
    <w:multiLevelType w:val="multilevel"/>
    <w:tmpl w:val="222107B4"/>
    <w:lvl w:ilvl="0" w:tentative="0">
      <w:start w:val="1"/>
      <w:numFmt w:val="chineseCountingThousand"/>
      <w:pStyle w:val="3"/>
      <w:suff w:val="nothing"/>
      <w:lvlText w:val="%1、"/>
      <w:lvlJc w:val="left"/>
      <w:pPr>
        <w:ind w:left="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F7C76B3"/>
    <w:multiLevelType w:val="singleLevel"/>
    <w:tmpl w:val="4F7C76B3"/>
    <w:lvl w:ilvl="0" w:tentative="0">
      <w:start w:val="2"/>
      <w:numFmt w:val="chineseCounting"/>
      <w:suff w:val="nothing"/>
      <w:lvlText w:val="（%1）"/>
      <w:lvlJc w:val="left"/>
      <w:rPr>
        <w:rFonts w:hint="eastAsia"/>
      </w:rPr>
    </w:lvl>
  </w:abstractNum>
  <w:abstractNum w:abstractNumId="7">
    <w:nsid w:val="6E49BC2A"/>
    <w:multiLevelType w:val="multilevel"/>
    <w:tmpl w:val="6E49BC2A"/>
    <w:lvl w:ilvl="0" w:tentative="0">
      <w:start w:val="1"/>
      <w:numFmt w:val="chineseCountingThousand"/>
      <w:pStyle w:val="46"/>
      <w:lvlText w:val="第%1章"/>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70F43A51"/>
    <w:multiLevelType w:val="singleLevel"/>
    <w:tmpl w:val="70F43A51"/>
    <w:lvl w:ilvl="0" w:tentative="0">
      <w:start w:val="1"/>
      <w:numFmt w:val="decimal"/>
      <w:suff w:val="space"/>
      <w:lvlText w:val="%1."/>
      <w:lvlJc w:val="left"/>
    </w:lvl>
  </w:abstractNum>
  <w:num w:numId="1">
    <w:abstractNumId w:val="5"/>
  </w:num>
  <w:num w:numId="2">
    <w:abstractNumId w:val="7"/>
  </w:num>
  <w:num w:numId="3">
    <w:abstractNumId w:val="0"/>
  </w:num>
  <w:num w:numId="4">
    <w:abstractNumId w:val="2"/>
  </w:num>
  <w:num w:numId="5">
    <w:abstractNumId w:val="8"/>
  </w:num>
  <w:num w:numId="6">
    <w:abstractNumId w:val="3"/>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NzNmNTJiNTNhOGI3YzZhODE3ODdlNjNjMjNlNGEifQ=="/>
  </w:docVars>
  <w:rsids>
    <w:rsidRoot w:val="2FB71898"/>
    <w:rsid w:val="000E3FC3"/>
    <w:rsid w:val="0011760F"/>
    <w:rsid w:val="00311A5F"/>
    <w:rsid w:val="00481283"/>
    <w:rsid w:val="006E2C58"/>
    <w:rsid w:val="007B77E8"/>
    <w:rsid w:val="008F1B4F"/>
    <w:rsid w:val="008F2988"/>
    <w:rsid w:val="00BB6D7D"/>
    <w:rsid w:val="00BC757B"/>
    <w:rsid w:val="00D771A3"/>
    <w:rsid w:val="00E84814"/>
    <w:rsid w:val="01121891"/>
    <w:rsid w:val="01204282"/>
    <w:rsid w:val="0147153B"/>
    <w:rsid w:val="016D6AC7"/>
    <w:rsid w:val="017D1F02"/>
    <w:rsid w:val="018B248D"/>
    <w:rsid w:val="018B4BCB"/>
    <w:rsid w:val="0190154F"/>
    <w:rsid w:val="019565A9"/>
    <w:rsid w:val="01B841E6"/>
    <w:rsid w:val="01DC65FE"/>
    <w:rsid w:val="021724A2"/>
    <w:rsid w:val="02330063"/>
    <w:rsid w:val="02380E83"/>
    <w:rsid w:val="02441F1E"/>
    <w:rsid w:val="024535A0"/>
    <w:rsid w:val="02501A64"/>
    <w:rsid w:val="02696DD6"/>
    <w:rsid w:val="026A75F7"/>
    <w:rsid w:val="028916DF"/>
    <w:rsid w:val="028D7421"/>
    <w:rsid w:val="02CB7F49"/>
    <w:rsid w:val="02EE5303"/>
    <w:rsid w:val="02F70D3E"/>
    <w:rsid w:val="03113F7F"/>
    <w:rsid w:val="03494248"/>
    <w:rsid w:val="0350049E"/>
    <w:rsid w:val="03516A45"/>
    <w:rsid w:val="03785FE6"/>
    <w:rsid w:val="03936A9A"/>
    <w:rsid w:val="03B10EED"/>
    <w:rsid w:val="03C560E8"/>
    <w:rsid w:val="03F82FC0"/>
    <w:rsid w:val="040550C3"/>
    <w:rsid w:val="0422003D"/>
    <w:rsid w:val="0436211C"/>
    <w:rsid w:val="043F299D"/>
    <w:rsid w:val="0453738C"/>
    <w:rsid w:val="045A1DC6"/>
    <w:rsid w:val="04602913"/>
    <w:rsid w:val="046C49BC"/>
    <w:rsid w:val="04974587"/>
    <w:rsid w:val="04B257BD"/>
    <w:rsid w:val="04B769D7"/>
    <w:rsid w:val="04BB2016"/>
    <w:rsid w:val="04C81581"/>
    <w:rsid w:val="05031C1C"/>
    <w:rsid w:val="05191440"/>
    <w:rsid w:val="051E25B2"/>
    <w:rsid w:val="051E4730"/>
    <w:rsid w:val="05266F1A"/>
    <w:rsid w:val="053242B0"/>
    <w:rsid w:val="05492252"/>
    <w:rsid w:val="05553469"/>
    <w:rsid w:val="05576D79"/>
    <w:rsid w:val="05646EE5"/>
    <w:rsid w:val="05810D93"/>
    <w:rsid w:val="05DC421B"/>
    <w:rsid w:val="05F61B04"/>
    <w:rsid w:val="060043AE"/>
    <w:rsid w:val="06207CC7"/>
    <w:rsid w:val="066C559F"/>
    <w:rsid w:val="068C4FEE"/>
    <w:rsid w:val="069D7E4F"/>
    <w:rsid w:val="06C7385B"/>
    <w:rsid w:val="06C97183"/>
    <w:rsid w:val="06CB676A"/>
    <w:rsid w:val="06D15B4F"/>
    <w:rsid w:val="06E23AB3"/>
    <w:rsid w:val="06E710CA"/>
    <w:rsid w:val="06F2533E"/>
    <w:rsid w:val="06F7755F"/>
    <w:rsid w:val="0707081E"/>
    <w:rsid w:val="07101279"/>
    <w:rsid w:val="072D4E44"/>
    <w:rsid w:val="073C31C4"/>
    <w:rsid w:val="07635520"/>
    <w:rsid w:val="076B1CFB"/>
    <w:rsid w:val="076F1522"/>
    <w:rsid w:val="07AB20F7"/>
    <w:rsid w:val="07BE53C7"/>
    <w:rsid w:val="081415B7"/>
    <w:rsid w:val="08234384"/>
    <w:rsid w:val="08277056"/>
    <w:rsid w:val="08362309"/>
    <w:rsid w:val="085E53BC"/>
    <w:rsid w:val="08601134"/>
    <w:rsid w:val="08837578"/>
    <w:rsid w:val="08897181"/>
    <w:rsid w:val="088A61B1"/>
    <w:rsid w:val="088A7F5F"/>
    <w:rsid w:val="0894122C"/>
    <w:rsid w:val="08AB6853"/>
    <w:rsid w:val="08BD20E2"/>
    <w:rsid w:val="08D21E73"/>
    <w:rsid w:val="08D5567E"/>
    <w:rsid w:val="08F1713F"/>
    <w:rsid w:val="090046B0"/>
    <w:rsid w:val="0929337E"/>
    <w:rsid w:val="092B4563"/>
    <w:rsid w:val="092D54BA"/>
    <w:rsid w:val="095C51F4"/>
    <w:rsid w:val="09945539"/>
    <w:rsid w:val="09B554AF"/>
    <w:rsid w:val="09C474A0"/>
    <w:rsid w:val="09CA7455"/>
    <w:rsid w:val="09D771D4"/>
    <w:rsid w:val="09E46037"/>
    <w:rsid w:val="09F10CF8"/>
    <w:rsid w:val="09F14739"/>
    <w:rsid w:val="0A1D76B8"/>
    <w:rsid w:val="0A2F0219"/>
    <w:rsid w:val="0A39280F"/>
    <w:rsid w:val="0A410AF1"/>
    <w:rsid w:val="0A49709B"/>
    <w:rsid w:val="0A6E5D8A"/>
    <w:rsid w:val="0A7916DA"/>
    <w:rsid w:val="0A9E290F"/>
    <w:rsid w:val="0AB67731"/>
    <w:rsid w:val="0ADB7197"/>
    <w:rsid w:val="0B291CB1"/>
    <w:rsid w:val="0B460AB5"/>
    <w:rsid w:val="0B705B32"/>
    <w:rsid w:val="0B7351A5"/>
    <w:rsid w:val="0B84338B"/>
    <w:rsid w:val="0B8810D2"/>
    <w:rsid w:val="0B966CA4"/>
    <w:rsid w:val="0BBE689D"/>
    <w:rsid w:val="0BCB7611"/>
    <w:rsid w:val="0BED0F30"/>
    <w:rsid w:val="0C2A3F33"/>
    <w:rsid w:val="0C427989"/>
    <w:rsid w:val="0C526FE5"/>
    <w:rsid w:val="0C7C16FC"/>
    <w:rsid w:val="0C976A33"/>
    <w:rsid w:val="0C9D6863"/>
    <w:rsid w:val="0CC41DC2"/>
    <w:rsid w:val="0CD67C16"/>
    <w:rsid w:val="0CE91A4F"/>
    <w:rsid w:val="0CEF255C"/>
    <w:rsid w:val="0D32418F"/>
    <w:rsid w:val="0D391DAF"/>
    <w:rsid w:val="0D41698F"/>
    <w:rsid w:val="0D552A3E"/>
    <w:rsid w:val="0D6360A3"/>
    <w:rsid w:val="0D6771E8"/>
    <w:rsid w:val="0D961154"/>
    <w:rsid w:val="0D985EB0"/>
    <w:rsid w:val="0DA33F9D"/>
    <w:rsid w:val="0DA47D15"/>
    <w:rsid w:val="0DAD4E1B"/>
    <w:rsid w:val="0DBC505E"/>
    <w:rsid w:val="0DCB704F"/>
    <w:rsid w:val="0DCE6F95"/>
    <w:rsid w:val="0DFB758E"/>
    <w:rsid w:val="0DFE5677"/>
    <w:rsid w:val="0E006D5B"/>
    <w:rsid w:val="0E1C7049"/>
    <w:rsid w:val="0E464928"/>
    <w:rsid w:val="0E653000"/>
    <w:rsid w:val="0E680D42"/>
    <w:rsid w:val="0E6A098F"/>
    <w:rsid w:val="0E6B152D"/>
    <w:rsid w:val="0E6F6C67"/>
    <w:rsid w:val="0EA87391"/>
    <w:rsid w:val="0EE266F8"/>
    <w:rsid w:val="0F052A35"/>
    <w:rsid w:val="0F0B5D2E"/>
    <w:rsid w:val="0F1862C4"/>
    <w:rsid w:val="0F662CE2"/>
    <w:rsid w:val="0F786D63"/>
    <w:rsid w:val="0F81030D"/>
    <w:rsid w:val="0FA364D6"/>
    <w:rsid w:val="0FBC1346"/>
    <w:rsid w:val="0FC63153"/>
    <w:rsid w:val="0FEE153E"/>
    <w:rsid w:val="100D4AC2"/>
    <w:rsid w:val="1021389E"/>
    <w:rsid w:val="103532AC"/>
    <w:rsid w:val="10392A02"/>
    <w:rsid w:val="104F3F68"/>
    <w:rsid w:val="10516984"/>
    <w:rsid w:val="105B5392"/>
    <w:rsid w:val="10795DB4"/>
    <w:rsid w:val="10796E21"/>
    <w:rsid w:val="108160EB"/>
    <w:rsid w:val="108913FE"/>
    <w:rsid w:val="10AD5132"/>
    <w:rsid w:val="10D4383D"/>
    <w:rsid w:val="10D73F5D"/>
    <w:rsid w:val="10E072B6"/>
    <w:rsid w:val="11084A3A"/>
    <w:rsid w:val="110A3975"/>
    <w:rsid w:val="111807FE"/>
    <w:rsid w:val="111B57FC"/>
    <w:rsid w:val="112A2BE8"/>
    <w:rsid w:val="114D6D0B"/>
    <w:rsid w:val="114D6EF3"/>
    <w:rsid w:val="115534F9"/>
    <w:rsid w:val="117B3BCF"/>
    <w:rsid w:val="11987B90"/>
    <w:rsid w:val="11BD3153"/>
    <w:rsid w:val="11BF7210"/>
    <w:rsid w:val="11E20E0C"/>
    <w:rsid w:val="11E52F0D"/>
    <w:rsid w:val="12103BCB"/>
    <w:rsid w:val="12134AE1"/>
    <w:rsid w:val="12170A79"/>
    <w:rsid w:val="12170DD3"/>
    <w:rsid w:val="12176D07"/>
    <w:rsid w:val="1226519C"/>
    <w:rsid w:val="122D0E8D"/>
    <w:rsid w:val="123258EF"/>
    <w:rsid w:val="124F5306"/>
    <w:rsid w:val="12517C87"/>
    <w:rsid w:val="12785620"/>
    <w:rsid w:val="129C545E"/>
    <w:rsid w:val="12A825C1"/>
    <w:rsid w:val="12B4189F"/>
    <w:rsid w:val="13032AA0"/>
    <w:rsid w:val="132072B9"/>
    <w:rsid w:val="135E2714"/>
    <w:rsid w:val="13854144"/>
    <w:rsid w:val="13A22600"/>
    <w:rsid w:val="13A36B8D"/>
    <w:rsid w:val="13CB5FFB"/>
    <w:rsid w:val="13D80CF1"/>
    <w:rsid w:val="13E355BE"/>
    <w:rsid w:val="13EE1CEA"/>
    <w:rsid w:val="142559BB"/>
    <w:rsid w:val="14357918"/>
    <w:rsid w:val="14443E5B"/>
    <w:rsid w:val="14531B4D"/>
    <w:rsid w:val="145533A6"/>
    <w:rsid w:val="145558C5"/>
    <w:rsid w:val="147E12BF"/>
    <w:rsid w:val="147F4AAC"/>
    <w:rsid w:val="14802DE2"/>
    <w:rsid w:val="148220C6"/>
    <w:rsid w:val="14B16C81"/>
    <w:rsid w:val="14D47131"/>
    <w:rsid w:val="14D76DD7"/>
    <w:rsid w:val="14DA1D93"/>
    <w:rsid w:val="15155645"/>
    <w:rsid w:val="153C6A85"/>
    <w:rsid w:val="1548367B"/>
    <w:rsid w:val="155913E5"/>
    <w:rsid w:val="158C6117"/>
    <w:rsid w:val="15A22D8C"/>
    <w:rsid w:val="15AE7982"/>
    <w:rsid w:val="15C86CDD"/>
    <w:rsid w:val="15E74C42"/>
    <w:rsid w:val="15EC70FA"/>
    <w:rsid w:val="15F03D40"/>
    <w:rsid w:val="16043A1B"/>
    <w:rsid w:val="16076D94"/>
    <w:rsid w:val="162F6427"/>
    <w:rsid w:val="167D1103"/>
    <w:rsid w:val="169D3553"/>
    <w:rsid w:val="16CB6435"/>
    <w:rsid w:val="16DE7DF3"/>
    <w:rsid w:val="16E3540A"/>
    <w:rsid w:val="17034227"/>
    <w:rsid w:val="17035AAC"/>
    <w:rsid w:val="17150482"/>
    <w:rsid w:val="17150879"/>
    <w:rsid w:val="17207642"/>
    <w:rsid w:val="17536943"/>
    <w:rsid w:val="17742B91"/>
    <w:rsid w:val="1776002C"/>
    <w:rsid w:val="17A76437"/>
    <w:rsid w:val="17BE71E6"/>
    <w:rsid w:val="17EE4066"/>
    <w:rsid w:val="1807337A"/>
    <w:rsid w:val="18307719"/>
    <w:rsid w:val="183E51DD"/>
    <w:rsid w:val="1853036D"/>
    <w:rsid w:val="1862744F"/>
    <w:rsid w:val="186B0DAC"/>
    <w:rsid w:val="18773984"/>
    <w:rsid w:val="188501DE"/>
    <w:rsid w:val="1890336F"/>
    <w:rsid w:val="1898607A"/>
    <w:rsid w:val="18A961DF"/>
    <w:rsid w:val="18AC5CCF"/>
    <w:rsid w:val="18C25122"/>
    <w:rsid w:val="18D72D4C"/>
    <w:rsid w:val="18EA5EDE"/>
    <w:rsid w:val="193C3BE4"/>
    <w:rsid w:val="1940240E"/>
    <w:rsid w:val="194620A8"/>
    <w:rsid w:val="196A3BC0"/>
    <w:rsid w:val="19937CC3"/>
    <w:rsid w:val="19B01DC9"/>
    <w:rsid w:val="19B65020"/>
    <w:rsid w:val="19FF69FF"/>
    <w:rsid w:val="1A1B37F8"/>
    <w:rsid w:val="1A1C3315"/>
    <w:rsid w:val="1A2A3350"/>
    <w:rsid w:val="1A3432C2"/>
    <w:rsid w:val="1A6C2CC7"/>
    <w:rsid w:val="1A7343D2"/>
    <w:rsid w:val="1A7F5449"/>
    <w:rsid w:val="1A8707A2"/>
    <w:rsid w:val="1A9D4D4E"/>
    <w:rsid w:val="1AEB593E"/>
    <w:rsid w:val="1AFA0F74"/>
    <w:rsid w:val="1B0A74B1"/>
    <w:rsid w:val="1B0B4F2F"/>
    <w:rsid w:val="1B3100EF"/>
    <w:rsid w:val="1B6034CD"/>
    <w:rsid w:val="1B920893"/>
    <w:rsid w:val="1B9C5F55"/>
    <w:rsid w:val="1BB73F32"/>
    <w:rsid w:val="1BBB776C"/>
    <w:rsid w:val="1BC17CE4"/>
    <w:rsid w:val="1BC95A7E"/>
    <w:rsid w:val="1BCB1647"/>
    <w:rsid w:val="1BD07B8A"/>
    <w:rsid w:val="1BDD5106"/>
    <w:rsid w:val="1BDE0896"/>
    <w:rsid w:val="1BF15DCA"/>
    <w:rsid w:val="1C610900"/>
    <w:rsid w:val="1C730B7F"/>
    <w:rsid w:val="1C8A2BDE"/>
    <w:rsid w:val="1C966414"/>
    <w:rsid w:val="1CA76EDA"/>
    <w:rsid w:val="1CCE5248"/>
    <w:rsid w:val="1CE14B2B"/>
    <w:rsid w:val="1CE27F12"/>
    <w:rsid w:val="1CE43C8A"/>
    <w:rsid w:val="1D0E157D"/>
    <w:rsid w:val="1D2D0CF7"/>
    <w:rsid w:val="1D2D5631"/>
    <w:rsid w:val="1D464944"/>
    <w:rsid w:val="1D540E0F"/>
    <w:rsid w:val="1D6F58B3"/>
    <w:rsid w:val="1D7C3EC2"/>
    <w:rsid w:val="1D94745E"/>
    <w:rsid w:val="1DA82F09"/>
    <w:rsid w:val="1DA91A6B"/>
    <w:rsid w:val="1DB418AE"/>
    <w:rsid w:val="1DBD0444"/>
    <w:rsid w:val="1DDD2891"/>
    <w:rsid w:val="1DEB4609"/>
    <w:rsid w:val="1DF223D6"/>
    <w:rsid w:val="1DF32929"/>
    <w:rsid w:val="1E0A3BC4"/>
    <w:rsid w:val="1E2C58E8"/>
    <w:rsid w:val="1E39096C"/>
    <w:rsid w:val="1E45370A"/>
    <w:rsid w:val="1E5A048F"/>
    <w:rsid w:val="1E765DED"/>
    <w:rsid w:val="1E7D37D0"/>
    <w:rsid w:val="1E851289"/>
    <w:rsid w:val="1E85324A"/>
    <w:rsid w:val="1E8A4C63"/>
    <w:rsid w:val="1E8B6A70"/>
    <w:rsid w:val="1E8C282B"/>
    <w:rsid w:val="1E9B2A6E"/>
    <w:rsid w:val="1EBA7398"/>
    <w:rsid w:val="1EC43D73"/>
    <w:rsid w:val="1ECD236C"/>
    <w:rsid w:val="1EDF295B"/>
    <w:rsid w:val="1EEE0272"/>
    <w:rsid w:val="1EF9792C"/>
    <w:rsid w:val="1EFC2878"/>
    <w:rsid w:val="1F066139"/>
    <w:rsid w:val="1F1C3FA1"/>
    <w:rsid w:val="1F1D5D2D"/>
    <w:rsid w:val="1F48281F"/>
    <w:rsid w:val="1F5A46D7"/>
    <w:rsid w:val="1F6B3CF6"/>
    <w:rsid w:val="1F6D1DD2"/>
    <w:rsid w:val="1F7C289F"/>
    <w:rsid w:val="1F8B663F"/>
    <w:rsid w:val="1F8D1F54"/>
    <w:rsid w:val="1F973235"/>
    <w:rsid w:val="1FB5190D"/>
    <w:rsid w:val="1FD46E59"/>
    <w:rsid w:val="1FEC48D3"/>
    <w:rsid w:val="1FF95C9E"/>
    <w:rsid w:val="1FFE1506"/>
    <w:rsid w:val="20070078"/>
    <w:rsid w:val="203B1E13"/>
    <w:rsid w:val="203C360B"/>
    <w:rsid w:val="205B0E05"/>
    <w:rsid w:val="206210A1"/>
    <w:rsid w:val="2079293B"/>
    <w:rsid w:val="20B72AF8"/>
    <w:rsid w:val="20D36DA5"/>
    <w:rsid w:val="20D9162C"/>
    <w:rsid w:val="21017335"/>
    <w:rsid w:val="21023621"/>
    <w:rsid w:val="21052421"/>
    <w:rsid w:val="210A45DA"/>
    <w:rsid w:val="211143BD"/>
    <w:rsid w:val="21114778"/>
    <w:rsid w:val="21221225"/>
    <w:rsid w:val="212636BD"/>
    <w:rsid w:val="21494A03"/>
    <w:rsid w:val="21505D92"/>
    <w:rsid w:val="216058A9"/>
    <w:rsid w:val="21640D0B"/>
    <w:rsid w:val="217557F8"/>
    <w:rsid w:val="217B5198"/>
    <w:rsid w:val="21AA1873"/>
    <w:rsid w:val="21D02A2F"/>
    <w:rsid w:val="21D118C9"/>
    <w:rsid w:val="21D30974"/>
    <w:rsid w:val="21D46B5D"/>
    <w:rsid w:val="22020ED5"/>
    <w:rsid w:val="22212FA6"/>
    <w:rsid w:val="222D60D3"/>
    <w:rsid w:val="222F1E4B"/>
    <w:rsid w:val="22462CF1"/>
    <w:rsid w:val="226C5B99"/>
    <w:rsid w:val="227368B6"/>
    <w:rsid w:val="22773DC0"/>
    <w:rsid w:val="22947F00"/>
    <w:rsid w:val="22952F4E"/>
    <w:rsid w:val="229D0380"/>
    <w:rsid w:val="22A433D7"/>
    <w:rsid w:val="22BD1205"/>
    <w:rsid w:val="22D84291"/>
    <w:rsid w:val="22DD55EF"/>
    <w:rsid w:val="22E04EF3"/>
    <w:rsid w:val="22E2675F"/>
    <w:rsid w:val="232E7BA6"/>
    <w:rsid w:val="234661E4"/>
    <w:rsid w:val="23652EF4"/>
    <w:rsid w:val="23783011"/>
    <w:rsid w:val="23AB62D5"/>
    <w:rsid w:val="23AC6A02"/>
    <w:rsid w:val="23B00D6A"/>
    <w:rsid w:val="23BA3996"/>
    <w:rsid w:val="23C328FE"/>
    <w:rsid w:val="23E97DD8"/>
    <w:rsid w:val="248A5117"/>
    <w:rsid w:val="248E2DE1"/>
    <w:rsid w:val="248F097F"/>
    <w:rsid w:val="24965F69"/>
    <w:rsid w:val="24B17214"/>
    <w:rsid w:val="24F20F0E"/>
    <w:rsid w:val="24FF28BB"/>
    <w:rsid w:val="251610A0"/>
    <w:rsid w:val="25225E03"/>
    <w:rsid w:val="253B27E5"/>
    <w:rsid w:val="255368CA"/>
    <w:rsid w:val="255D409B"/>
    <w:rsid w:val="25B14925"/>
    <w:rsid w:val="25B53A5B"/>
    <w:rsid w:val="25BC7F43"/>
    <w:rsid w:val="25C514CE"/>
    <w:rsid w:val="25C72EDE"/>
    <w:rsid w:val="25DD4AD6"/>
    <w:rsid w:val="25F93D1D"/>
    <w:rsid w:val="26111ECE"/>
    <w:rsid w:val="261654EF"/>
    <w:rsid w:val="261849A4"/>
    <w:rsid w:val="262275D1"/>
    <w:rsid w:val="265F2B4A"/>
    <w:rsid w:val="26B64F55"/>
    <w:rsid w:val="26E23E65"/>
    <w:rsid w:val="26E36D60"/>
    <w:rsid w:val="26F74440"/>
    <w:rsid w:val="271E5FEA"/>
    <w:rsid w:val="273D46C2"/>
    <w:rsid w:val="27457A1B"/>
    <w:rsid w:val="276B56D3"/>
    <w:rsid w:val="27A40BE5"/>
    <w:rsid w:val="27AB3D22"/>
    <w:rsid w:val="27BD67A8"/>
    <w:rsid w:val="27BF23DC"/>
    <w:rsid w:val="27DF5779"/>
    <w:rsid w:val="27E35628"/>
    <w:rsid w:val="27E5331B"/>
    <w:rsid w:val="28090723"/>
    <w:rsid w:val="28282F4D"/>
    <w:rsid w:val="283C2BCC"/>
    <w:rsid w:val="28414686"/>
    <w:rsid w:val="284A2EB1"/>
    <w:rsid w:val="285443B9"/>
    <w:rsid w:val="28A54C15"/>
    <w:rsid w:val="28EF2F44"/>
    <w:rsid w:val="2900009D"/>
    <w:rsid w:val="29716DA9"/>
    <w:rsid w:val="29B12B77"/>
    <w:rsid w:val="29B729B5"/>
    <w:rsid w:val="29BD0A90"/>
    <w:rsid w:val="29EE003B"/>
    <w:rsid w:val="29F6324E"/>
    <w:rsid w:val="2A0B1FB7"/>
    <w:rsid w:val="2A0F7A1E"/>
    <w:rsid w:val="2A491627"/>
    <w:rsid w:val="2A513ECF"/>
    <w:rsid w:val="2A595F18"/>
    <w:rsid w:val="2A6D3510"/>
    <w:rsid w:val="2A77613D"/>
    <w:rsid w:val="2A88034A"/>
    <w:rsid w:val="2A8A314E"/>
    <w:rsid w:val="2A9F25D8"/>
    <w:rsid w:val="2ACA0963"/>
    <w:rsid w:val="2AD503D8"/>
    <w:rsid w:val="2AED3214"/>
    <w:rsid w:val="2B1E2A5D"/>
    <w:rsid w:val="2B2A31B0"/>
    <w:rsid w:val="2B5A3CD4"/>
    <w:rsid w:val="2B5B780D"/>
    <w:rsid w:val="2B65068C"/>
    <w:rsid w:val="2B7470A5"/>
    <w:rsid w:val="2BC52ED8"/>
    <w:rsid w:val="2BDB094E"/>
    <w:rsid w:val="2C1856FE"/>
    <w:rsid w:val="2C3A1B18"/>
    <w:rsid w:val="2C3A2CB3"/>
    <w:rsid w:val="2C4B7881"/>
    <w:rsid w:val="2C513B81"/>
    <w:rsid w:val="2C613836"/>
    <w:rsid w:val="2C83639D"/>
    <w:rsid w:val="2C960362"/>
    <w:rsid w:val="2CAE1A8C"/>
    <w:rsid w:val="2CC66F08"/>
    <w:rsid w:val="2CDF383C"/>
    <w:rsid w:val="2CE324F5"/>
    <w:rsid w:val="2D2D7E99"/>
    <w:rsid w:val="2D2E0C20"/>
    <w:rsid w:val="2D360531"/>
    <w:rsid w:val="2D3E1194"/>
    <w:rsid w:val="2D561543"/>
    <w:rsid w:val="2D6E3085"/>
    <w:rsid w:val="2D7B4196"/>
    <w:rsid w:val="2D7D7F0E"/>
    <w:rsid w:val="2D806D8E"/>
    <w:rsid w:val="2D825525"/>
    <w:rsid w:val="2DEA131C"/>
    <w:rsid w:val="2DEE7180"/>
    <w:rsid w:val="2DFD5B3B"/>
    <w:rsid w:val="2E03505B"/>
    <w:rsid w:val="2E0A46C0"/>
    <w:rsid w:val="2E1A575D"/>
    <w:rsid w:val="2E3875B6"/>
    <w:rsid w:val="2E7438E5"/>
    <w:rsid w:val="2E936B8B"/>
    <w:rsid w:val="2EA119DB"/>
    <w:rsid w:val="2EA500F7"/>
    <w:rsid w:val="2EB143F1"/>
    <w:rsid w:val="2ECF026A"/>
    <w:rsid w:val="2ED81174"/>
    <w:rsid w:val="2EEE0998"/>
    <w:rsid w:val="2EF57771"/>
    <w:rsid w:val="2F236894"/>
    <w:rsid w:val="2F52731D"/>
    <w:rsid w:val="2F5C606D"/>
    <w:rsid w:val="2F650C5A"/>
    <w:rsid w:val="2F6F662E"/>
    <w:rsid w:val="2F947791"/>
    <w:rsid w:val="2FAF45CB"/>
    <w:rsid w:val="2FB71898"/>
    <w:rsid w:val="2FC35981"/>
    <w:rsid w:val="2FD45DE0"/>
    <w:rsid w:val="2FE94AE6"/>
    <w:rsid w:val="303625F7"/>
    <w:rsid w:val="303B7604"/>
    <w:rsid w:val="303F1C6D"/>
    <w:rsid w:val="305A3EEF"/>
    <w:rsid w:val="30901D05"/>
    <w:rsid w:val="3094742E"/>
    <w:rsid w:val="30BD4AC6"/>
    <w:rsid w:val="30C72FFF"/>
    <w:rsid w:val="30D45596"/>
    <w:rsid w:val="311C5ACF"/>
    <w:rsid w:val="312672A5"/>
    <w:rsid w:val="3152655A"/>
    <w:rsid w:val="31624854"/>
    <w:rsid w:val="316B214F"/>
    <w:rsid w:val="318203D5"/>
    <w:rsid w:val="319424A5"/>
    <w:rsid w:val="31A7371B"/>
    <w:rsid w:val="31BE359C"/>
    <w:rsid w:val="32292413"/>
    <w:rsid w:val="322C2D57"/>
    <w:rsid w:val="322F554F"/>
    <w:rsid w:val="324803BF"/>
    <w:rsid w:val="325B2C7D"/>
    <w:rsid w:val="325F5E35"/>
    <w:rsid w:val="328A0979"/>
    <w:rsid w:val="328C4750"/>
    <w:rsid w:val="329A6E6D"/>
    <w:rsid w:val="32A23F73"/>
    <w:rsid w:val="32B141B6"/>
    <w:rsid w:val="32C20171"/>
    <w:rsid w:val="32C42361"/>
    <w:rsid w:val="32C93DF1"/>
    <w:rsid w:val="32CB1B75"/>
    <w:rsid w:val="32D75F52"/>
    <w:rsid w:val="333202A7"/>
    <w:rsid w:val="333746BC"/>
    <w:rsid w:val="33472B96"/>
    <w:rsid w:val="33680D19"/>
    <w:rsid w:val="33CA3782"/>
    <w:rsid w:val="34022B77"/>
    <w:rsid w:val="34075AD1"/>
    <w:rsid w:val="341D5FA7"/>
    <w:rsid w:val="34360E17"/>
    <w:rsid w:val="34691C96"/>
    <w:rsid w:val="347B0F20"/>
    <w:rsid w:val="34B87A7E"/>
    <w:rsid w:val="34DB41A2"/>
    <w:rsid w:val="34E612E2"/>
    <w:rsid w:val="34FA1BBB"/>
    <w:rsid w:val="350D41DF"/>
    <w:rsid w:val="3518362C"/>
    <w:rsid w:val="35384DBC"/>
    <w:rsid w:val="35586B6B"/>
    <w:rsid w:val="35B77D36"/>
    <w:rsid w:val="35DE29A3"/>
    <w:rsid w:val="35EB3E83"/>
    <w:rsid w:val="35F640A3"/>
    <w:rsid w:val="361B2A2D"/>
    <w:rsid w:val="363B44C3"/>
    <w:rsid w:val="36415851"/>
    <w:rsid w:val="36767BF1"/>
    <w:rsid w:val="36A7090F"/>
    <w:rsid w:val="36BF0745"/>
    <w:rsid w:val="36D260DF"/>
    <w:rsid w:val="36D87F64"/>
    <w:rsid w:val="36E60A7B"/>
    <w:rsid w:val="372A6BBA"/>
    <w:rsid w:val="374E0505"/>
    <w:rsid w:val="37574B34"/>
    <w:rsid w:val="376D66D2"/>
    <w:rsid w:val="37773B3C"/>
    <w:rsid w:val="378C0D4E"/>
    <w:rsid w:val="37A506FB"/>
    <w:rsid w:val="37C921DC"/>
    <w:rsid w:val="37DD09A1"/>
    <w:rsid w:val="37DE7253"/>
    <w:rsid w:val="38090DB7"/>
    <w:rsid w:val="38111241"/>
    <w:rsid w:val="38156F95"/>
    <w:rsid w:val="382A5BF2"/>
    <w:rsid w:val="383733B0"/>
    <w:rsid w:val="383B6C22"/>
    <w:rsid w:val="38417D8A"/>
    <w:rsid w:val="384E55E9"/>
    <w:rsid w:val="385E6B8E"/>
    <w:rsid w:val="38906A99"/>
    <w:rsid w:val="389205E6"/>
    <w:rsid w:val="38DA2963"/>
    <w:rsid w:val="391F631E"/>
    <w:rsid w:val="39273424"/>
    <w:rsid w:val="394368B9"/>
    <w:rsid w:val="395A3A43"/>
    <w:rsid w:val="396401D4"/>
    <w:rsid w:val="39842625"/>
    <w:rsid w:val="39910CC5"/>
    <w:rsid w:val="39A72A32"/>
    <w:rsid w:val="39B63FEE"/>
    <w:rsid w:val="3A022290"/>
    <w:rsid w:val="3A0860BC"/>
    <w:rsid w:val="3A640E4B"/>
    <w:rsid w:val="3A6C6C57"/>
    <w:rsid w:val="3AA0348E"/>
    <w:rsid w:val="3ACF78CF"/>
    <w:rsid w:val="3B0532F1"/>
    <w:rsid w:val="3B345984"/>
    <w:rsid w:val="3B587BC2"/>
    <w:rsid w:val="3B7E2BAF"/>
    <w:rsid w:val="3B892174"/>
    <w:rsid w:val="3B9B5A04"/>
    <w:rsid w:val="3BB24B5E"/>
    <w:rsid w:val="3BC772B6"/>
    <w:rsid w:val="3BD827B4"/>
    <w:rsid w:val="3BDA477E"/>
    <w:rsid w:val="3BFE3EA6"/>
    <w:rsid w:val="3C2757A4"/>
    <w:rsid w:val="3C362F39"/>
    <w:rsid w:val="3C3C1F52"/>
    <w:rsid w:val="3C6504EB"/>
    <w:rsid w:val="3C76158A"/>
    <w:rsid w:val="3C796609"/>
    <w:rsid w:val="3C8A7F52"/>
    <w:rsid w:val="3C905633"/>
    <w:rsid w:val="3C926E07"/>
    <w:rsid w:val="3CB60D47"/>
    <w:rsid w:val="3CBE7ABF"/>
    <w:rsid w:val="3CC64D02"/>
    <w:rsid w:val="3CCB288A"/>
    <w:rsid w:val="3CD27F98"/>
    <w:rsid w:val="3CE05DC4"/>
    <w:rsid w:val="3CE4149A"/>
    <w:rsid w:val="3CF1603F"/>
    <w:rsid w:val="3CFD4BC8"/>
    <w:rsid w:val="3D3F6F8E"/>
    <w:rsid w:val="3D510A70"/>
    <w:rsid w:val="3D513D57"/>
    <w:rsid w:val="3D7F43ED"/>
    <w:rsid w:val="3D820C03"/>
    <w:rsid w:val="3D8D69A3"/>
    <w:rsid w:val="3D962926"/>
    <w:rsid w:val="3D96660D"/>
    <w:rsid w:val="3DC254CA"/>
    <w:rsid w:val="3DDF607B"/>
    <w:rsid w:val="3E012496"/>
    <w:rsid w:val="3E015FF2"/>
    <w:rsid w:val="3E0738E2"/>
    <w:rsid w:val="3E4660FB"/>
    <w:rsid w:val="3E543BED"/>
    <w:rsid w:val="3E565E71"/>
    <w:rsid w:val="3E5F0F6A"/>
    <w:rsid w:val="3E9444D7"/>
    <w:rsid w:val="3E9926CE"/>
    <w:rsid w:val="3E9C7C41"/>
    <w:rsid w:val="3E9D6D03"/>
    <w:rsid w:val="3EA51073"/>
    <w:rsid w:val="3EC3033B"/>
    <w:rsid w:val="3EC51715"/>
    <w:rsid w:val="3EC86B10"/>
    <w:rsid w:val="3ED2798E"/>
    <w:rsid w:val="3EF142B8"/>
    <w:rsid w:val="3EFE0783"/>
    <w:rsid w:val="3F584337"/>
    <w:rsid w:val="3F6820A1"/>
    <w:rsid w:val="3F79605C"/>
    <w:rsid w:val="3F9F3D14"/>
    <w:rsid w:val="3FAB3603"/>
    <w:rsid w:val="3FC217B1"/>
    <w:rsid w:val="3FCF53D5"/>
    <w:rsid w:val="3FE200A5"/>
    <w:rsid w:val="3FEE510F"/>
    <w:rsid w:val="400F07A1"/>
    <w:rsid w:val="40160806"/>
    <w:rsid w:val="40593003"/>
    <w:rsid w:val="40630F8D"/>
    <w:rsid w:val="40646D0C"/>
    <w:rsid w:val="408F6A49"/>
    <w:rsid w:val="4099760B"/>
    <w:rsid w:val="40A7072C"/>
    <w:rsid w:val="40BF2194"/>
    <w:rsid w:val="40C61775"/>
    <w:rsid w:val="40C7125C"/>
    <w:rsid w:val="40C8729B"/>
    <w:rsid w:val="40C90468"/>
    <w:rsid w:val="40E0080C"/>
    <w:rsid w:val="40E27DBD"/>
    <w:rsid w:val="40EA7211"/>
    <w:rsid w:val="40F331DA"/>
    <w:rsid w:val="410C362B"/>
    <w:rsid w:val="415A699E"/>
    <w:rsid w:val="41636FC4"/>
    <w:rsid w:val="418256E1"/>
    <w:rsid w:val="41CA6D18"/>
    <w:rsid w:val="41CE6812"/>
    <w:rsid w:val="41D20777"/>
    <w:rsid w:val="41DA54D8"/>
    <w:rsid w:val="41FB50BB"/>
    <w:rsid w:val="42104C3E"/>
    <w:rsid w:val="422D7327"/>
    <w:rsid w:val="42414663"/>
    <w:rsid w:val="42674891"/>
    <w:rsid w:val="42755200"/>
    <w:rsid w:val="427960EB"/>
    <w:rsid w:val="428C6EE5"/>
    <w:rsid w:val="428E0070"/>
    <w:rsid w:val="42AE426E"/>
    <w:rsid w:val="42B06238"/>
    <w:rsid w:val="42B15B0D"/>
    <w:rsid w:val="42C817D4"/>
    <w:rsid w:val="42D812EB"/>
    <w:rsid w:val="42F15503"/>
    <w:rsid w:val="42F44377"/>
    <w:rsid w:val="431F37D9"/>
    <w:rsid w:val="43397FDC"/>
    <w:rsid w:val="435766B4"/>
    <w:rsid w:val="436037BB"/>
    <w:rsid w:val="438374A9"/>
    <w:rsid w:val="438F3402"/>
    <w:rsid w:val="43922256"/>
    <w:rsid w:val="439B162A"/>
    <w:rsid w:val="43B104BA"/>
    <w:rsid w:val="43B35FE0"/>
    <w:rsid w:val="43C57AC2"/>
    <w:rsid w:val="43CA2B38"/>
    <w:rsid w:val="43E20674"/>
    <w:rsid w:val="43EF0FE2"/>
    <w:rsid w:val="43FE4D82"/>
    <w:rsid w:val="4438451B"/>
    <w:rsid w:val="44441786"/>
    <w:rsid w:val="4455188C"/>
    <w:rsid w:val="446B0669"/>
    <w:rsid w:val="447137A5"/>
    <w:rsid w:val="448B7458"/>
    <w:rsid w:val="449A5D63"/>
    <w:rsid w:val="44A12CD9"/>
    <w:rsid w:val="44B6499C"/>
    <w:rsid w:val="44D46F3D"/>
    <w:rsid w:val="45266F9C"/>
    <w:rsid w:val="453F5652"/>
    <w:rsid w:val="45667082"/>
    <w:rsid w:val="456A3521"/>
    <w:rsid w:val="4573297C"/>
    <w:rsid w:val="457C0654"/>
    <w:rsid w:val="457E67CF"/>
    <w:rsid w:val="4593301B"/>
    <w:rsid w:val="45D651A0"/>
    <w:rsid w:val="45F92C7E"/>
    <w:rsid w:val="45FB7CEC"/>
    <w:rsid w:val="460A3EB2"/>
    <w:rsid w:val="461C4723"/>
    <w:rsid w:val="46205483"/>
    <w:rsid w:val="463B406B"/>
    <w:rsid w:val="46415E7B"/>
    <w:rsid w:val="46492C2C"/>
    <w:rsid w:val="46625A9C"/>
    <w:rsid w:val="466435C2"/>
    <w:rsid w:val="468A0875"/>
    <w:rsid w:val="46A902D3"/>
    <w:rsid w:val="46A95479"/>
    <w:rsid w:val="46E13C61"/>
    <w:rsid w:val="46FF3CBF"/>
    <w:rsid w:val="470F5C48"/>
    <w:rsid w:val="471E7C15"/>
    <w:rsid w:val="472C7F1C"/>
    <w:rsid w:val="47411B55"/>
    <w:rsid w:val="475F3D89"/>
    <w:rsid w:val="47680E90"/>
    <w:rsid w:val="477C780F"/>
    <w:rsid w:val="47A76D05"/>
    <w:rsid w:val="47A95A58"/>
    <w:rsid w:val="47B02837"/>
    <w:rsid w:val="47C357D6"/>
    <w:rsid w:val="47D47AF4"/>
    <w:rsid w:val="47EC7D13"/>
    <w:rsid w:val="47F6293F"/>
    <w:rsid w:val="47FF10B4"/>
    <w:rsid w:val="480E6A5C"/>
    <w:rsid w:val="48111527"/>
    <w:rsid w:val="48164D90"/>
    <w:rsid w:val="48292264"/>
    <w:rsid w:val="482E7F81"/>
    <w:rsid w:val="48650FAE"/>
    <w:rsid w:val="486C708B"/>
    <w:rsid w:val="48781C15"/>
    <w:rsid w:val="487D4C97"/>
    <w:rsid w:val="48875F7C"/>
    <w:rsid w:val="48AE4FC8"/>
    <w:rsid w:val="48DE348E"/>
    <w:rsid w:val="48F41770"/>
    <w:rsid w:val="49174A79"/>
    <w:rsid w:val="4924528A"/>
    <w:rsid w:val="4935682F"/>
    <w:rsid w:val="494A03F4"/>
    <w:rsid w:val="49542533"/>
    <w:rsid w:val="49575B2E"/>
    <w:rsid w:val="49583186"/>
    <w:rsid w:val="49A82C35"/>
    <w:rsid w:val="49F548A7"/>
    <w:rsid w:val="4A03446C"/>
    <w:rsid w:val="4A08695A"/>
    <w:rsid w:val="4A0F1A96"/>
    <w:rsid w:val="4A3B0DFC"/>
    <w:rsid w:val="4A4611D5"/>
    <w:rsid w:val="4A4A2ACF"/>
    <w:rsid w:val="4A4C2CEB"/>
    <w:rsid w:val="4A5E6069"/>
    <w:rsid w:val="4A754EAB"/>
    <w:rsid w:val="4A845592"/>
    <w:rsid w:val="4A985F30"/>
    <w:rsid w:val="4AA20B5D"/>
    <w:rsid w:val="4AAB5968"/>
    <w:rsid w:val="4ABF162B"/>
    <w:rsid w:val="4AC6406E"/>
    <w:rsid w:val="4AE03433"/>
    <w:rsid w:val="4AE40A60"/>
    <w:rsid w:val="4B0C247A"/>
    <w:rsid w:val="4B1569D7"/>
    <w:rsid w:val="4B24677E"/>
    <w:rsid w:val="4B3A65C3"/>
    <w:rsid w:val="4B3C2D5F"/>
    <w:rsid w:val="4B4B73DD"/>
    <w:rsid w:val="4B7122DD"/>
    <w:rsid w:val="4B78366B"/>
    <w:rsid w:val="4B7D1821"/>
    <w:rsid w:val="4B7D6ED4"/>
    <w:rsid w:val="4B895879"/>
    <w:rsid w:val="4B8D3D6B"/>
    <w:rsid w:val="4B9A7A86"/>
    <w:rsid w:val="4BB328F5"/>
    <w:rsid w:val="4BB723E6"/>
    <w:rsid w:val="4BC3391C"/>
    <w:rsid w:val="4BDD5F4B"/>
    <w:rsid w:val="4BE233FC"/>
    <w:rsid w:val="4BEA0FB4"/>
    <w:rsid w:val="4BFD0F3F"/>
    <w:rsid w:val="4C107D48"/>
    <w:rsid w:val="4C137A41"/>
    <w:rsid w:val="4C417657"/>
    <w:rsid w:val="4C4A3EEE"/>
    <w:rsid w:val="4C5448E5"/>
    <w:rsid w:val="4C644906"/>
    <w:rsid w:val="4C7B603F"/>
    <w:rsid w:val="4C93708C"/>
    <w:rsid w:val="4CA80EB4"/>
    <w:rsid w:val="4D0D2B2F"/>
    <w:rsid w:val="4D187FC0"/>
    <w:rsid w:val="4D1A2C2C"/>
    <w:rsid w:val="4D1A7301"/>
    <w:rsid w:val="4D306F1E"/>
    <w:rsid w:val="4D4D2858"/>
    <w:rsid w:val="4D583754"/>
    <w:rsid w:val="4D6D377D"/>
    <w:rsid w:val="4D7164BA"/>
    <w:rsid w:val="4D7217E7"/>
    <w:rsid w:val="4D924EB8"/>
    <w:rsid w:val="4D9B1006"/>
    <w:rsid w:val="4DAD54A5"/>
    <w:rsid w:val="4DAE15C6"/>
    <w:rsid w:val="4DB54F8B"/>
    <w:rsid w:val="4DC808DA"/>
    <w:rsid w:val="4E0A0EF3"/>
    <w:rsid w:val="4E115DB7"/>
    <w:rsid w:val="4E1A1B54"/>
    <w:rsid w:val="4E395334"/>
    <w:rsid w:val="4E4953E3"/>
    <w:rsid w:val="4E6C395B"/>
    <w:rsid w:val="4EEE3186"/>
    <w:rsid w:val="4F0B6629"/>
    <w:rsid w:val="4F0F2539"/>
    <w:rsid w:val="4F1435DF"/>
    <w:rsid w:val="4F4915A7"/>
    <w:rsid w:val="4F735774"/>
    <w:rsid w:val="4F7B0177"/>
    <w:rsid w:val="4F8F66C3"/>
    <w:rsid w:val="4F9939B3"/>
    <w:rsid w:val="4FA5434D"/>
    <w:rsid w:val="4FAC2659"/>
    <w:rsid w:val="4FB355BA"/>
    <w:rsid w:val="4FE6773D"/>
    <w:rsid w:val="50055E16"/>
    <w:rsid w:val="502671EF"/>
    <w:rsid w:val="502A762A"/>
    <w:rsid w:val="50446212"/>
    <w:rsid w:val="505B3C87"/>
    <w:rsid w:val="50880BD9"/>
    <w:rsid w:val="508B3FC7"/>
    <w:rsid w:val="50953002"/>
    <w:rsid w:val="50A43B2D"/>
    <w:rsid w:val="50B25872"/>
    <w:rsid w:val="50E13A61"/>
    <w:rsid w:val="50EA57CF"/>
    <w:rsid w:val="50FA6974"/>
    <w:rsid w:val="510D4856"/>
    <w:rsid w:val="51363DAD"/>
    <w:rsid w:val="514522B7"/>
    <w:rsid w:val="51501312"/>
    <w:rsid w:val="515163C4"/>
    <w:rsid w:val="51853F75"/>
    <w:rsid w:val="51856AE2"/>
    <w:rsid w:val="518E3CBC"/>
    <w:rsid w:val="519179F6"/>
    <w:rsid w:val="519D5BA2"/>
    <w:rsid w:val="51BE2A88"/>
    <w:rsid w:val="51BF63E8"/>
    <w:rsid w:val="51C25640"/>
    <w:rsid w:val="51CB10C5"/>
    <w:rsid w:val="51D13AD5"/>
    <w:rsid w:val="51ED634E"/>
    <w:rsid w:val="51F85506"/>
    <w:rsid w:val="52020133"/>
    <w:rsid w:val="520B5239"/>
    <w:rsid w:val="52102850"/>
    <w:rsid w:val="52195BA8"/>
    <w:rsid w:val="521D4F6D"/>
    <w:rsid w:val="52214A5D"/>
    <w:rsid w:val="524424F9"/>
    <w:rsid w:val="5269083D"/>
    <w:rsid w:val="52734B8D"/>
    <w:rsid w:val="528079D5"/>
    <w:rsid w:val="52833022"/>
    <w:rsid w:val="52854FEC"/>
    <w:rsid w:val="52940C46"/>
    <w:rsid w:val="52A87C5A"/>
    <w:rsid w:val="52DA429F"/>
    <w:rsid w:val="52DE7222"/>
    <w:rsid w:val="52F061DD"/>
    <w:rsid w:val="53080E23"/>
    <w:rsid w:val="530F48B5"/>
    <w:rsid w:val="53146370"/>
    <w:rsid w:val="531E0F9C"/>
    <w:rsid w:val="53234805"/>
    <w:rsid w:val="53350E5B"/>
    <w:rsid w:val="533D62D3"/>
    <w:rsid w:val="53446B97"/>
    <w:rsid w:val="534C2BE5"/>
    <w:rsid w:val="53606E33"/>
    <w:rsid w:val="53794425"/>
    <w:rsid w:val="53CF453C"/>
    <w:rsid w:val="53F71F19"/>
    <w:rsid w:val="54047E50"/>
    <w:rsid w:val="540B4EFD"/>
    <w:rsid w:val="542D76E9"/>
    <w:rsid w:val="54300F87"/>
    <w:rsid w:val="543C157B"/>
    <w:rsid w:val="54505185"/>
    <w:rsid w:val="545D50B5"/>
    <w:rsid w:val="549922CD"/>
    <w:rsid w:val="549E0B9F"/>
    <w:rsid w:val="549E2395"/>
    <w:rsid w:val="54A37966"/>
    <w:rsid w:val="54AD25D8"/>
    <w:rsid w:val="54C1104B"/>
    <w:rsid w:val="54C94F38"/>
    <w:rsid w:val="54D9517B"/>
    <w:rsid w:val="54E029AD"/>
    <w:rsid w:val="54E63D3C"/>
    <w:rsid w:val="55130C73"/>
    <w:rsid w:val="551F66C5"/>
    <w:rsid w:val="552C177F"/>
    <w:rsid w:val="55852E44"/>
    <w:rsid w:val="559266D3"/>
    <w:rsid w:val="559317CE"/>
    <w:rsid w:val="56156687"/>
    <w:rsid w:val="5621327D"/>
    <w:rsid w:val="562B360A"/>
    <w:rsid w:val="5647080A"/>
    <w:rsid w:val="56505911"/>
    <w:rsid w:val="56633896"/>
    <w:rsid w:val="56704351"/>
    <w:rsid w:val="568D2F0B"/>
    <w:rsid w:val="569357FD"/>
    <w:rsid w:val="569D1575"/>
    <w:rsid w:val="56B37931"/>
    <w:rsid w:val="56C3571A"/>
    <w:rsid w:val="56C63FA1"/>
    <w:rsid w:val="56CF792E"/>
    <w:rsid w:val="56D4595C"/>
    <w:rsid w:val="5717642E"/>
    <w:rsid w:val="571C1EF8"/>
    <w:rsid w:val="572172AD"/>
    <w:rsid w:val="57816951"/>
    <w:rsid w:val="578C0BCA"/>
    <w:rsid w:val="5790175B"/>
    <w:rsid w:val="57A6268A"/>
    <w:rsid w:val="57B343A9"/>
    <w:rsid w:val="57C0752E"/>
    <w:rsid w:val="57C24573"/>
    <w:rsid w:val="57D12A81"/>
    <w:rsid w:val="57E04A72"/>
    <w:rsid w:val="57F14F89"/>
    <w:rsid w:val="58450D79"/>
    <w:rsid w:val="5847689F"/>
    <w:rsid w:val="585600F5"/>
    <w:rsid w:val="58694DA2"/>
    <w:rsid w:val="588834ED"/>
    <w:rsid w:val="58B15A5D"/>
    <w:rsid w:val="58BC103B"/>
    <w:rsid w:val="58D5293F"/>
    <w:rsid w:val="58E60AAB"/>
    <w:rsid w:val="58ED7AB4"/>
    <w:rsid w:val="590B3D71"/>
    <w:rsid w:val="59170968"/>
    <w:rsid w:val="59283399"/>
    <w:rsid w:val="59352B9C"/>
    <w:rsid w:val="593C03CE"/>
    <w:rsid w:val="595B0854"/>
    <w:rsid w:val="59633BA9"/>
    <w:rsid w:val="59745DBA"/>
    <w:rsid w:val="59814033"/>
    <w:rsid w:val="598B72DF"/>
    <w:rsid w:val="598D212C"/>
    <w:rsid w:val="59981AA8"/>
    <w:rsid w:val="59C339BE"/>
    <w:rsid w:val="59C97EB4"/>
    <w:rsid w:val="59CA002A"/>
    <w:rsid w:val="5A074AB6"/>
    <w:rsid w:val="5A13386E"/>
    <w:rsid w:val="5A201A9E"/>
    <w:rsid w:val="5A4F59E6"/>
    <w:rsid w:val="5A560DC3"/>
    <w:rsid w:val="5A590B3F"/>
    <w:rsid w:val="5A6279C1"/>
    <w:rsid w:val="5A745029"/>
    <w:rsid w:val="5A96512F"/>
    <w:rsid w:val="5A9B1124"/>
    <w:rsid w:val="5AC5138E"/>
    <w:rsid w:val="5AEB20AC"/>
    <w:rsid w:val="5AFB7D2F"/>
    <w:rsid w:val="5B061518"/>
    <w:rsid w:val="5B2479CD"/>
    <w:rsid w:val="5B36006C"/>
    <w:rsid w:val="5B476268"/>
    <w:rsid w:val="5B4A198C"/>
    <w:rsid w:val="5B540F34"/>
    <w:rsid w:val="5B581AFB"/>
    <w:rsid w:val="5B664914"/>
    <w:rsid w:val="5BB47213"/>
    <w:rsid w:val="5BDA3AC8"/>
    <w:rsid w:val="5BE8230B"/>
    <w:rsid w:val="5C0F3B78"/>
    <w:rsid w:val="5C2D7B7C"/>
    <w:rsid w:val="5C3D458D"/>
    <w:rsid w:val="5C466CF1"/>
    <w:rsid w:val="5C5B25F2"/>
    <w:rsid w:val="5C7834CB"/>
    <w:rsid w:val="5C7A36E7"/>
    <w:rsid w:val="5CCA2340"/>
    <w:rsid w:val="5CCE3A33"/>
    <w:rsid w:val="5CDA3BBB"/>
    <w:rsid w:val="5D0607CD"/>
    <w:rsid w:val="5D076885"/>
    <w:rsid w:val="5D1D2301"/>
    <w:rsid w:val="5D2D2508"/>
    <w:rsid w:val="5D616655"/>
    <w:rsid w:val="5D795F6D"/>
    <w:rsid w:val="5D810890"/>
    <w:rsid w:val="5D8510BF"/>
    <w:rsid w:val="5D997B9D"/>
    <w:rsid w:val="5DB06C95"/>
    <w:rsid w:val="5DE27796"/>
    <w:rsid w:val="5DFB392C"/>
    <w:rsid w:val="5E232B23"/>
    <w:rsid w:val="5E3577AE"/>
    <w:rsid w:val="5E3C313B"/>
    <w:rsid w:val="5E612E31"/>
    <w:rsid w:val="5E6D4A94"/>
    <w:rsid w:val="5E79177D"/>
    <w:rsid w:val="5E8428DD"/>
    <w:rsid w:val="5E9F7435"/>
    <w:rsid w:val="5EBF4584"/>
    <w:rsid w:val="5EC450EE"/>
    <w:rsid w:val="5EFF443C"/>
    <w:rsid w:val="5F030150"/>
    <w:rsid w:val="5F64242D"/>
    <w:rsid w:val="5F7C56CA"/>
    <w:rsid w:val="5F881EB6"/>
    <w:rsid w:val="5FA43E6F"/>
    <w:rsid w:val="5FBC6FBB"/>
    <w:rsid w:val="60015C19"/>
    <w:rsid w:val="600D6620"/>
    <w:rsid w:val="605C3E4B"/>
    <w:rsid w:val="6062112C"/>
    <w:rsid w:val="6065020A"/>
    <w:rsid w:val="607E4984"/>
    <w:rsid w:val="60843F56"/>
    <w:rsid w:val="609F27FF"/>
    <w:rsid w:val="60A01243"/>
    <w:rsid w:val="60DE739B"/>
    <w:rsid w:val="60E80F1B"/>
    <w:rsid w:val="60FF79D0"/>
    <w:rsid w:val="61033096"/>
    <w:rsid w:val="610712C2"/>
    <w:rsid w:val="610C0686"/>
    <w:rsid w:val="611A79C2"/>
    <w:rsid w:val="6126799A"/>
    <w:rsid w:val="618A1849"/>
    <w:rsid w:val="618B1EF3"/>
    <w:rsid w:val="6190699E"/>
    <w:rsid w:val="619F38DC"/>
    <w:rsid w:val="619F3B16"/>
    <w:rsid w:val="61A02E51"/>
    <w:rsid w:val="61B452B1"/>
    <w:rsid w:val="61BA6082"/>
    <w:rsid w:val="61C62F2B"/>
    <w:rsid w:val="61C80A51"/>
    <w:rsid w:val="61D04CEA"/>
    <w:rsid w:val="61D45648"/>
    <w:rsid w:val="61F05170"/>
    <w:rsid w:val="61F93300"/>
    <w:rsid w:val="61FA773D"/>
    <w:rsid w:val="623C143F"/>
    <w:rsid w:val="624A590A"/>
    <w:rsid w:val="624D2976"/>
    <w:rsid w:val="626F6586"/>
    <w:rsid w:val="627029F7"/>
    <w:rsid w:val="62D021FA"/>
    <w:rsid w:val="62E278F0"/>
    <w:rsid w:val="63276DF7"/>
    <w:rsid w:val="63AD418F"/>
    <w:rsid w:val="63FE3188"/>
    <w:rsid w:val="6408782B"/>
    <w:rsid w:val="64531E24"/>
    <w:rsid w:val="646066A0"/>
    <w:rsid w:val="64664551"/>
    <w:rsid w:val="646B1B68"/>
    <w:rsid w:val="64921504"/>
    <w:rsid w:val="64A16418"/>
    <w:rsid w:val="64A565FB"/>
    <w:rsid w:val="64AA6B34"/>
    <w:rsid w:val="64AC28AC"/>
    <w:rsid w:val="64EE6A20"/>
    <w:rsid w:val="64F859D7"/>
    <w:rsid w:val="64F920B9"/>
    <w:rsid w:val="65370728"/>
    <w:rsid w:val="656071F2"/>
    <w:rsid w:val="65B22539"/>
    <w:rsid w:val="65F045C3"/>
    <w:rsid w:val="65F75DA9"/>
    <w:rsid w:val="661D0C3C"/>
    <w:rsid w:val="662311E1"/>
    <w:rsid w:val="66284E41"/>
    <w:rsid w:val="663A2B05"/>
    <w:rsid w:val="665C68CF"/>
    <w:rsid w:val="66650F64"/>
    <w:rsid w:val="667F18FA"/>
    <w:rsid w:val="668272C8"/>
    <w:rsid w:val="66B27F22"/>
    <w:rsid w:val="66BE68C6"/>
    <w:rsid w:val="66C62D20"/>
    <w:rsid w:val="66C72F02"/>
    <w:rsid w:val="66DC0AFB"/>
    <w:rsid w:val="66E520A5"/>
    <w:rsid w:val="66F016F9"/>
    <w:rsid w:val="66F312C7"/>
    <w:rsid w:val="66F347C2"/>
    <w:rsid w:val="66F6096B"/>
    <w:rsid w:val="670F58B7"/>
    <w:rsid w:val="6780592A"/>
    <w:rsid w:val="678E0047"/>
    <w:rsid w:val="67981871"/>
    <w:rsid w:val="67A55390"/>
    <w:rsid w:val="67AF2DD7"/>
    <w:rsid w:val="67D30150"/>
    <w:rsid w:val="67EA10C7"/>
    <w:rsid w:val="67F17879"/>
    <w:rsid w:val="682B3AE8"/>
    <w:rsid w:val="68330BEE"/>
    <w:rsid w:val="686B660F"/>
    <w:rsid w:val="687234C5"/>
    <w:rsid w:val="68813842"/>
    <w:rsid w:val="688B27D8"/>
    <w:rsid w:val="689A5EF2"/>
    <w:rsid w:val="68A8338A"/>
    <w:rsid w:val="68AF56DB"/>
    <w:rsid w:val="68CF3A24"/>
    <w:rsid w:val="68D15B28"/>
    <w:rsid w:val="68F24043"/>
    <w:rsid w:val="693F3EF1"/>
    <w:rsid w:val="696741AA"/>
    <w:rsid w:val="698E4C21"/>
    <w:rsid w:val="69B72903"/>
    <w:rsid w:val="69BD4C13"/>
    <w:rsid w:val="69D72179"/>
    <w:rsid w:val="69E8698A"/>
    <w:rsid w:val="69EC72A7"/>
    <w:rsid w:val="6A13043A"/>
    <w:rsid w:val="6A49294B"/>
    <w:rsid w:val="6A4E7F61"/>
    <w:rsid w:val="6A505BEF"/>
    <w:rsid w:val="6A5167DD"/>
    <w:rsid w:val="6A6039AA"/>
    <w:rsid w:val="6A9435B6"/>
    <w:rsid w:val="6AAA3288"/>
    <w:rsid w:val="6AC36259"/>
    <w:rsid w:val="6AF042AC"/>
    <w:rsid w:val="6B04504A"/>
    <w:rsid w:val="6B142F59"/>
    <w:rsid w:val="6B306F2E"/>
    <w:rsid w:val="6B4101AE"/>
    <w:rsid w:val="6B427AC6"/>
    <w:rsid w:val="6B4F21E3"/>
    <w:rsid w:val="6B736FC6"/>
    <w:rsid w:val="6B797260"/>
    <w:rsid w:val="6B856401"/>
    <w:rsid w:val="6BA32C54"/>
    <w:rsid w:val="6C21592D"/>
    <w:rsid w:val="6C580C23"/>
    <w:rsid w:val="6C6972D4"/>
    <w:rsid w:val="6C865790"/>
    <w:rsid w:val="6C9019EC"/>
    <w:rsid w:val="6C9205D9"/>
    <w:rsid w:val="6CA83959"/>
    <w:rsid w:val="6CD96208"/>
    <w:rsid w:val="6D08089B"/>
    <w:rsid w:val="6D3E4D78"/>
    <w:rsid w:val="6D4225A4"/>
    <w:rsid w:val="6D631F76"/>
    <w:rsid w:val="6D827D2B"/>
    <w:rsid w:val="6DB61B8B"/>
    <w:rsid w:val="6DBA0390"/>
    <w:rsid w:val="6DCF5FA6"/>
    <w:rsid w:val="6DD469CF"/>
    <w:rsid w:val="6DDF784E"/>
    <w:rsid w:val="6DE035C6"/>
    <w:rsid w:val="6DF55D86"/>
    <w:rsid w:val="6E251368"/>
    <w:rsid w:val="6E520415"/>
    <w:rsid w:val="6E533D98"/>
    <w:rsid w:val="6E712470"/>
    <w:rsid w:val="6E777A87"/>
    <w:rsid w:val="6E837E8E"/>
    <w:rsid w:val="6E9861EE"/>
    <w:rsid w:val="6EB1286D"/>
    <w:rsid w:val="6ED269BC"/>
    <w:rsid w:val="6ED90EA1"/>
    <w:rsid w:val="6EE11147"/>
    <w:rsid w:val="6EE43D75"/>
    <w:rsid w:val="6EF2535F"/>
    <w:rsid w:val="6F1572A0"/>
    <w:rsid w:val="6F262186"/>
    <w:rsid w:val="6F3620D6"/>
    <w:rsid w:val="6F5A4CB2"/>
    <w:rsid w:val="6F745D74"/>
    <w:rsid w:val="6F760BC9"/>
    <w:rsid w:val="6F886897"/>
    <w:rsid w:val="6FAC19B2"/>
    <w:rsid w:val="6FAE40AE"/>
    <w:rsid w:val="6FB800CF"/>
    <w:rsid w:val="6FCE5ACF"/>
    <w:rsid w:val="6FF647E8"/>
    <w:rsid w:val="6FFD3FBC"/>
    <w:rsid w:val="70105CDA"/>
    <w:rsid w:val="701D453F"/>
    <w:rsid w:val="7020414E"/>
    <w:rsid w:val="704F233D"/>
    <w:rsid w:val="70650803"/>
    <w:rsid w:val="70657DB3"/>
    <w:rsid w:val="70672630"/>
    <w:rsid w:val="706958FE"/>
    <w:rsid w:val="70876228"/>
    <w:rsid w:val="7089584F"/>
    <w:rsid w:val="70B56644"/>
    <w:rsid w:val="70C24204"/>
    <w:rsid w:val="70D07F52"/>
    <w:rsid w:val="70DE203F"/>
    <w:rsid w:val="711A294B"/>
    <w:rsid w:val="71294217"/>
    <w:rsid w:val="714031CF"/>
    <w:rsid w:val="714479C8"/>
    <w:rsid w:val="714608FC"/>
    <w:rsid w:val="7148395C"/>
    <w:rsid w:val="71502811"/>
    <w:rsid w:val="717C7162"/>
    <w:rsid w:val="71A30B93"/>
    <w:rsid w:val="71E73B2D"/>
    <w:rsid w:val="71EA67C2"/>
    <w:rsid w:val="71FA5FC9"/>
    <w:rsid w:val="721C41A5"/>
    <w:rsid w:val="722D66AE"/>
    <w:rsid w:val="723A2045"/>
    <w:rsid w:val="724E0824"/>
    <w:rsid w:val="727A7B45"/>
    <w:rsid w:val="72D2048F"/>
    <w:rsid w:val="732F44B5"/>
    <w:rsid w:val="73644352"/>
    <w:rsid w:val="737C5B3F"/>
    <w:rsid w:val="739B4892"/>
    <w:rsid w:val="739B6C81"/>
    <w:rsid w:val="739C7C8B"/>
    <w:rsid w:val="73A806E2"/>
    <w:rsid w:val="73A82490"/>
    <w:rsid w:val="73A96978"/>
    <w:rsid w:val="73C90FC0"/>
    <w:rsid w:val="73FF760C"/>
    <w:rsid w:val="74416441"/>
    <w:rsid w:val="74464015"/>
    <w:rsid w:val="745A2AEA"/>
    <w:rsid w:val="745E6FF3"/>
    <w:rsid w:val="74634609"/>
    <w:rsid w:val="7487654A"/>
    <w:rsid w:val="749A44CF"/>
    <w:rsid w:val="749D3FBF"/>
    <w:rsid w:val="74B35814"/>
    <w:rsid w:val="74B84955"/>
    <w:rsid w:val="74BA6F8A"/>
    <w:rsid w:val="74CC145C"/>
    <w:rsid w:val="74E10D62"/>
    <w:rsid w:val="74FC2209"/>
    <w:rsid w:val="750D2EF3"/>
    <w:rsid w:val="75263FB5"/>
    <w:rsid w:val="752F3914"/>
    <w:rsid w:val="7578014B"/>
    <w:rsid w:val="758D7B90"/>
    <w:rsid w:val="759F2B99"/>
    <w:rsid w:val="75B44F68"/>
    <w:rsid w:val="75C722E6"/>
    <w:rsid w:val="75C81073"/>
    <w:rsid w:val="761B33ED"/>
    <w:rsid w:val="763409E0"/>
    <w:rsid w:val="764861AD"/>
    <w:rsid w:val="764F3097"/>
    <w:rsid w:val="765C1109"/>
    <w:rsid w:val="766E5C13"/>
    <w:rsid w:val="76992564"/>
    <w:rsid w:val="76C45833"/>
    <w:rsid w:val="76D87530"/>
    <w:rsid w:val="76DA022E"/>
    <w:rsid w:val="771769F1"/>
    <w:rsid w:val="772A43DF"/>
    <w:rsid w:val="77302EC9"/>
    <w:rsid w:val="773274E3"/>
    <w:rsid w:val="773D55E5"/>
    <w:rsid w:val="776B6D9F"/>
    <w:rsid w:val="77A70505"/>
    <w:rsid w:val="77D42CE5"/>
    <w:rsid w:val="77E93077"/>
    <w:rsid w:val="780710FC"/>
    <w:rsid w:val="780E2ADE"/>
    <w:rsid w:val="78123D39"/>
    <w:rsid w:val="7815719B"/>
    <w:rsid w:val="782A7918"/>
    <w:rsid w:val="782F2414"/>
    <w:rsid w:val="785E75C1"/>
    <w:rsid w:val="786C6E8A"/>
    <w:rsid w:val="78743289"/>
    <w:rsid w:val="78BB4A14"/>
    <w:rsid w:val="78C733B9"/>
    <w:rsid w:val="78EB02D7"/>
    <w:rsid w:val="78F85C68"/>
    <w:rsid w:val="78F95897"/>
    <w:rsid w:val="79167E9C"/>
    <w:rsid w:val="79181E66"/>
    <w:rsid w:val="791954AD"/>
    <w:rsid w:val="7922228B"/>
    <w:rsid w:val="794310DE"/>
    <w:rsid w:val="794B3D55"/>
    <w:rsid w:val="79565B20"/>
    <w:rsid w:val="79796C5F"/>
    <w:rsid w:val="797F3C93"/>
    <w:rsid w:val="799809F9"/>
    <w:rsid w:val="799D236B"/>
    <w:rsid w:val="79DA711C"/>
    <w:rsid w:val="79E42378"/>
    <w:rsid w:val="79ED50A1"/>
    <w:rsid w:val="7A0643B5"/>
    <w:rsid w:val="7A6115EB"/>
    <w:rsid w:val="7A6A3710"/>
    <w:rsid w:val="7A6D6859"/>
    <w:rsid w:val="7A6D7A0B"/>
    <w:rsid w:val="7A6D7F90"/>
    <w:rsid w:val="7A7D4063"/>
    <w:rsid w:val="7A8C22DE"/>
    <w:rsid w:val="7A922E92"/>
    <w:rsid w:val="7AB756AF"/>
    <w:rsid w:val="7AD67CB1"/>
    <w:rsid w:val="7AD814F7"/>
    <w:rsid w:val="7ADD1FB4"/>
    <w:rsid w:val="7AF32CF9"/>
    <w:rsid w:val="7AF35895"/>
    <w:rsid w:val="7AFB559C"/>
    <w:rsid w:val="7B156F4B"/>
    <w:rsid w:val="7B1A7B8F"/>
    <w:rsid w:val="7B292109"/>
    <w:rsid w:val="7B2C33CA"/>
    <w:rsid w:val="7B471F4E"/>
    <w:rsid w:val="7B5D0004"/>
    <w:rsid w:val="7B7A2964"/>
    <w:rsid w:val="7B835697"/>
    <w:rsid w:val="7BDB201C"/>
    <w:rsid w:val="7BE10C35"/>
    <w:rsid w:val="7BF070CA"/>
    <w:rsid w:val="7C0466D2"/>
    <w:rsid w:val="7C077F70"/>
    <w:rsid w:val="7C106BC0"/>
    <w:rsid w:val="7C6078AC"/>
    <w:rsid w:val="7C846278"/>
    <w:rsid w:val="7CC54FDF"/>
    <w:rsid w:val="7CC6357A"/>
    <w:rsid w:val="7CFD1A9F"/>
    <w:rsid w:val="7D091321"/>
    <w:rsid w:val="7D11473F"/>
    <w:rsid w:val="7D141BE8"/>
    <w:rsid w:val="7D203CB6"/>
    <w:rsid w:val="7D214410"/>
    <w:rsid w:val="7D2721ED"/>
    <w:rsid w:val="7D642A0B"/>
    <w:rsid w:val="7D6E19E8"/>
    <w:rsid w:val="7D6E64F9"/>
    <w:rsid w:val="7D8D09BB"/>
    <w:rsid w:val="7DAB14FB"/>
    <w:rsid w:val="7DAE3D9D"/>
    <w:rsid w:val="7DBA7990"/>
    <w:rsid w:val="7DE20C95"/>
    <w:rsid w:val="7E0A3225"/>
    <w:rsid w:val="7E19039E"/>
    <w:rsid w:val="7E292823"/>
    <w:rsid w:val="7E5E656D"/>
    <w:rsid w:val="7E851D4C"/>
    <w:rsid w:val="7EA21DFD"/>
    <w:rsid w:val="7EB22415"/>
    <w:rsid w:val="7EB46113"/>
    <w:rsid w:val="7EC00FD6"/>
    <w:rsid w:val="7ECF2FC7"/>
    <w:rsid w:val="7EF46ED2"/>
    <w:rsid w:val="7F622843"/>
    <w:rsid w:val="7F71407E"/>
    <w:rsid w:val="7F7F7177"/>
    <w:rsid w:val="7F823AD8"/>
    <w:rsid w:val="7FA23452"/>
    <w:rsid w:val="7FB977D3"/>
    <w:rsid w:val="7FD53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uto"/>
      <w:ind w:firstLine="0" w:firstLineChars="0"/>
    </w:pPr>
    <w:rPr>
      <w:rFonts w:ascii="仿宋" w:hAnsi="仿宋" w:eastAsia="仿宋" w:cs="Times New Roman"/>
      <w:kern w:val="2"/>
      <w:sz w:val="24"/>
      <w:szCs w:val="28"/>
      <w:lang w:val="en-US" w:eastAsia="zh-CN" w:bidi="ar-SA"/>
    </w:rPr>
  </w:style>
  <w:style w:type="paragraph" w:styleId="2">
    <w:name w:val="heading 1"/>
    <w:basedOn w:val="1"/>
    <w:next w:val="1"/>
    <w:link w:val="37"/>
    <w:autoRedefine/>
    <w:qFormat/>
    <w:uiPriority w:val="0"/>
    <w:pPr>
      <w:keepNext/>
      <w:keepLines/>
      <w:spacing w:beforeLines="0" w:after="50" w:afterLines="50" w:line="240" w:lineRule="auto"/>
      <w:ind w:right="0" w:rightChars="0" w:firstLine="0" w:firstLineChars="0"/>
      <w:jc w:val="center"/>
      <w:outlineLvl w:val="0"/>
    </w:pPr>
    <w:rPr>
      <w:b/>
      <w:bCs/>
      <w:kern w:val="44"/>
      <w:sz w:val="44"/>
      <w:szCs w:val="44"/>
    </w:rPr>
  </w:style>
  <w:style w:type="paragraph" w:styleId="3">
    <w:name w:val="heading 2"/>
    <w:basedOn w:val="1"/>
    <w:next w:val="1"/>
    <w:autoRedefine/>
    <w:qFormat/>
    <w:uiPriority w:val="0"/>
    <w:pPr>
      <w:keepNext/>
      <w:keepLines/>
      <w:widowControl w:val="0"/>
      <w:numPr>
        <w:ilvl w:val="0"/>
        <w:numId w:val="1"/>
      </w:numPr>
      <w:spacing w:before="260" w:after="260"/>
      <w:ind w:firstLine="0" w:firstLineChars="0"/>
      <w:jc w:val="both"/>
      <w:outlineLvl w:val="1"/>
    </w:pPr>
    <w:rPr>
      <w:rFonts w:ascii="黑体" w:hAnsi="黑体" w:eastAsia="黑体" w:cs="宋体"/>
      <w:bCs/>
    </w:rPr>
  </w:style>
  <w:style w:type="paragraph" w:styleId="4">
    <w:name w:val="heading 3"/>
    <w:basedOn w:val="1"/>
    <w:next w:val="5"/>
    <w:autoRedefine/>
    <w:qFormat/>
    <w:uiPriority w:val="0"/>
    <w:pPr>
      <w:keepNext/>
      <w:keepLines/>
      <w:spacing w:before="260" w:after="260" w:line="416" w:lineRule="auto"/>
      <w:outlineLvl w:val="2"/>
    </w:pPr>
    <w:rPr>
      <w:b/>
      <w:bCs/>
      <w:kern w:val="0"/>
      <w:sz w:val="32"/>
      <w:szCs w:val="32"/>
    </w:rPr>
  </w:style>
  <w:style w:type="paragraph" w:styleId="6">
    <w:name w:val="heading 6"/>
    <w:basedOn w:val="1"/>
    <w:next w:val="1"/>
    <w:qFormat/>
    <w:uiPriority w:val="0"/>
    <w:pPr>
      <w:widowControl w:val="0"/>
      <w:spacing w:before="158" w:after="0"/>
      <w:ind w:left="1393" w:right="0"/>
      <w:jc w:val="both"/>
      <w:outlineLvl w:val="5"/>
    </w:pPr>
    <w:rPr>
      <w:rFonts w:ascii="宋体" w:hAnsi="宋体" w:eastAsia="宋体" w:cs="宋体"/>
      <w:b/>
      <w:bCs/>
      <w:kern w:val="2"/>
      <w:sz w:val="24"/>
      <w:szCs w:val="24"/>
      <w:lang w:val="zh-CN" w:eastAsia="zh-CN" w:bidi="zh-CN"/>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99"/>
    <w:pPr>
      <w:ind w:firstLine="420"/>
    </w:pPr>
    <w:rPr>
      <w:rFonts w:ascii="Arial Unicode MS" w:hAnsi="Arial Unicode MS" w:eastAsia="仿宋_GB2312"/>
      <w:sz w:val="32"/>
    </w:rPr>
  </w:style>
  <w:style w:type="paragraph" w:styleId="7">
    <w:name w:val="Body Text 3"/>
    <w:basedOn w:val="1"/>
    <w:autoRedefine/>
    <w:qFormat/>
    <w:uiPriority w:val="0"/>
    <w:rPr>
      <w:rFonts w:ascii="宋体"/>
      <w:sz w:val="24"/>
      <w:szCs w:val="20"/>
    </w:rPr>
  </w:style>
  <w:style w:type="paragraph" w:styleId="8">
    <w:name w:val="Body Text"/>
    <w:basedOn w:val="1"/>
    <w:autoRedefine/>
    <w:qFormat/>
    <w:uiPriority w:val="0"/>
    <w:pPr>
      <w:spacing w:after="120" w:afterLines="0"/>
    </w:pPr>
  </w:style>
  <w:style w:type="paragraph" w:styleId="9">
    <w:name w:val="Body Text Indent"/>
    <w:basedOn w:val="1"/>
    <w:next w:val="1"/>
    <w:autoRedefine/>
    <w:qFormat/>
    <w:uiPriority w:val="0"/>
    <w:pPr>
      <w:spacing w:after="120" w:afterLines="0"/>
      <w:ind w:left="420" w:leftChars="200"/>
    </w:pPr>
  </w:style>
  <w:style w:type="paragraph" w:styleId="10">
    <w:name w:val="Plain Text"/>
    <w:basedOn w:val="1"/>
    <w:autoRedefine/>
    <w:qFormat/>
    <w:uiPriority w:val="0"/>
    <w:rPr>
      <w:rFonts w:ascii="宋体" w:hAnsi="Courier New"/>
      <w:szCs w:val="21"/>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envelope return"/>
    <w:basedOn w:val="1"/>
    <w:autoRedefine/>
    <w:qFormat/>
    <w:uiPriority w:val="99"/>
    <w:pPr>
      <w:snapToGrid w:val="0"/>
    </w:pPr>
    <w:rPr>
      <w:rFonts w:ascii="Arial" w:hAnsi="Arial" w:cs="Arial"/>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120" w:beforeLines="0" w:after="120" w:afterLines="0"/>
      <w:jc w:val="left"/>
    </w:pPr>
    <w:rPr>
      <w:b/>
      <w:bCs/>
      <w:caps/>
      <w:sz w:val="20"/>
      <w:szCs w:val="20"/>
    </w:rPr>
  </w:style>
  <w:style w:type="paragraph" w:styleId="15">
    <w:name w:val="Body Text 2"/>
    <w:basedOn w:val="1"/>
    <w:unhideWhenUsed/>
    <w:qFormat/>
    <w:uiPriority w:val="0"/>
    <w:pPr>
      <w:spacing w:after="120" w:line="480" w:lineRule="auto"/>
    </w:p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autoRedefine/>
    <w:qFormat/>
    <w:uiPriority w:val="0"/>
    <w:pPr>
      <w:widowControl/>
      <w:spacing w:before="240" w:after="60"/>
      <w:jc w:val="center"/>
      <w:outlineLvl w:val="0"/>
    </w:pPr>
    <w:rPr>
      <w:rFonts w:ascii="Arial" w:hAnsi="Arial"/>
      <w:b/>
      <w:bCs/>
      <w:kern w:val="0"/>
      <w:sz w:val="44"/>
      <w:szCs w:val="32"/>
    </w:rPr>
  </w:style>
  <w:style w:type="paragraph" w:styleId="18">
    <w:name w:val="Body Text First Indent"/>
    <w:basedOn w:val="8"/>
    <w:next w:val="1"/>
    <w:autoRedefine/>
    <w:qFormat/>
    <w:uiPriority w:val="0"/>
    <w:pPr>
      <w:spacing w:line="312" w:lineRule="auto"/>
      <w:ind w:firstLine="420"/>
    </w:pPr>
  </w:style>
  <w:style w:type="paragraph" w:styleId="19">
    <w:name w:val="Body Text First Indent 2"/>
    <w:basedOn w:val="9"/>
    <w:next w:val="1"/>
    <w:autoRedefine/>
    <w:unhideWhenUsed/>
    <w:qFormat/>
    <w:uiPriority w:val="0"/>
    <w:pPr>
      <w:ind w:firstLine="420" w:firstLineChars="20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style>
  <w:style w:type="character" w:styleId="24">
    <w:name w:val="page number"/>
    <w:basedOn w:val="22"/>
    <w:autoRedefine/>
    <w:qFormat/>
    <w:uiPriority w:val="0"/>
    <w:rPr>
      <w:rFonts w:eastAsia="宋体"/>
      <w:lang w:val="en-US" w:eastAsia="zh-CN" w:bidi="ar-SA"/>
    </w:rPr>
  </w:style>
  <w:style w:type="character" w:styleId="25">
    <w:name w:val="FollowedHyperlink"/>
    <w:basedOn w:val="22"/>
    <w:autoRedefine/>
    <w:qFormat/>
    <w:uiPriority w:val="0"/>
    <w:rPr>
      <w:color w:val="333333"/>
      <w:u w:val="none"/>
    </w:rPr>
  </w:style>
  <w:style w:type="character" w:styleId="26">
    <w:name w:val="Emphasis"/>
    <w:basedOn w:val="22"/>
    <w:autoRedefine/>
    <w:qFormat/>
    <w:uiPriority w:val="0"/>
  </w:style>
  <w:style w:type="character" w:styleId="27">
    <w:name w:val="HTML Definition"/>
    <w:basedOn w:val="22"/>
    <w:autoRedefine/>
    <w:qFormat/>
    <w:uiPriority w:val="0"/>
  </w:style>
  <w:style w:type="character" w:styleId="28">
    <w:name w:val="HTML Typewriter"/>
    <w:basedOn w:val="22"/>
    <w:autoRedefine/>
    <w:qFormat/>
    <w:uiPriority w:val="0"/>
    <w:rPr>
      <w:rFonts w:hint="default" w:ascii="monospace" w:hAnsi="monospace" w:eastAsia="monospace" w:cs="monospace"/>
      <w:sz w:val="20"/>
    </w:rPr>
  </w:style>
  <w:style w:type="character" w:styleId="29">
    <w:name w:val="HTML Acronym"/>
    <w:basedOn w:val="22"/>
    <w:autoRedefine/>
    <w:qFormat/>
    <w:uiPriority w:val="0"/>
  </w:style>
  <w:style w:type="character" w:styleId="30">
    <w:name w:val="HTML Variable"/>
    <w:basedOn w:val="22"/>
    <w:autoRedefine/>
    <w:qFormat/>
    <w:uiPriority w:val="0"/>
  </w:style>
  <w:style w:type="character" w:styleId="31">
    <w:name w:val="Hyperlink"/>
    <w:basedOn w:val="22"/>
    <w:autoRedefine/>
    <w:qFormat/>
    <w:uiPriority w:val="0"/>
    <w:rPr>
      <w:color w:val="333333"/>
      <w:u w:val="none"/>
    </w:rPr>
  </w:style>
  <w:style w:type="character" w:styleId="32">
    <w:name w:val="HTML Code"/>
    <w:basedOn w:val="22"/>
    <w:autoRedefine/>
    <w:qFormat/>
    <w:uiPriority w:val="0"/>
    <w:rPr>
      <w:rFonts w:ascii="monospace" w:hAnsi="monospace" w:eastAsia="monospace" w:cs="monospace"/>
      <w:sz w:val="20"/>
    </w:rPr>
  </w:style>
  <w:style w:type="character" w:styleId="33">
    <w:name w:val="HTML Cite"/>
    <w:basedOn w:val="22"/>
    <w:autoRedefine/>
    <w:qFormat/>
    <w:uiPriority w:val="0"/>
  </w:style>
  <w:style w:type="character" w:styleId="34">
    <w:name w:val="HTML Keyboard"/>
    <w:basedOn w:val="22"/>
    <w:autoRedefine/>
    <w:qFormat/>
    <w:uiPriority w:val="0"/>
    <w:rPr>
      <w:rFonts w:hint="default" w:ascii="monospace" w:hAnsi="monospace" w:eastAsia="monospace" w:cs="monospace"/>
      <w:sz w:val="20"/>
    </w:rPr>
  </w:style>
  <w:style w:type="character" w:styleId="35">
    <w:name w:val="HTML Sample"/>
    <w:basedOn w:val="22"/>
    <w:autoRedefine/>
    <w:qFormat/>
    <w:uiPriority w:val="0"/>
    <w:rPr>
      <w:rFonts w:hint="default" w:ascii="monospace" w:hAnsi="monospace" w:eastAsia="monospace" w:cs="monospace"/>
    </w:rPr>
  </w:style>
  <w:style w:type="paragraph" w:customStyle="1" w:styleId="36">
    <w:name w:val="List Paragraph_8306deb5-92ad-4d7c-9ec8-4e818e936cf1"/>
    <w:basedOn w:val="1"/>
    <w:qFormat/>
    <w:uiPriority w:val="0"/>
    <w:pPr>
      <w:tabs>
        <w:tab w:val="left" w:pos="900"/>
      </w:tabs>
      <w:ind w:firstLine="200" w:firstLineChars="200"/>
    </w:pPr>
  </w:style>
  <w:style w:type="character" w:customStyle="1" w:styleId="37">
    <w:name w:val="标题 1 Char"/>
    <w:link w:val="2"/>
    <w:autoRedefine/>
    <w:qFormat/>
    <w:uiPriority w:val="0"/>
    <w:rPr>
      <w:rFonts w:eastAsia="仿宋"/>
      <w:b/>
      <w:bCs/>
      <w:kern w:val="44"/>
      <w:sz w:val="44"/>
      <w:szCs w:val="44"/>
    </w:rPr>
  </w:style>
  <w:style w:type="paragraph" w:customStyle="1" w:styleId="38">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39">
    <w:name w:val="List Paragraph"/>
    <w:basedOn w:val="1"/>
    <w:autoRedefine/>
    <w:qFormat/>
    <w:uiPriority w:val="34"/>
    <w:pPr>
      <w:widowControl w:val="0"/>
      <w:spacing w:line="240" w:lineRule="auto"/>
      <w:ind w:firstLine="420"/>
      <w:jc w:val="both"/>
    </w:pPr>
    <w:rPr>
      <w:rFonts w:ascii="Times New Roman" w:hAnsi="Times New Roman" w:eastAsia="宋体"/>
      <w:sz w:val="21"/>
      <w:szCs w:val="24"/>
    </w:rPr>
  </w:style>
  <w:style w:type="paragraph" w:customStyle="1" w:styleId="40">
    <w:name w:val="样式 小四 段前: 5 磅 段后: 5 磅 首行缩进:  2 字符"/>
    <w:basedOn w:val="1"/>
    <w:autoRedefine/>
    <w:qFormat/>
    <w:uiPriority w:val="0"/>
    <w:pPr>
      <w:spacing w:line="360" w:lineRule="auto"/>
    </w:pPr>
    <w:rPr>
      <w:rFonts w:ascii="宋体" w:hAnsi="宋体"/>
      <w:sz w:val="24"/>
      <w:szCs w:val="21"/>
    </w:rPr>
  </w:style>
  <w:style w:type="paragraph" w:customStyle="1" w:styleId="41">
    <w:name w:val="默认段落字体 Para Char"/>
    <w:basedOn w:val="1"/>
    <w:next w:val="1"/>
    <w:autoRedefine/>
    <w:qFormat/>
    <w:uiPriority w:val="0"/>
    <w:pPr>
      <w:adjustRightInd/>
      <w:snapToGrid/>
    </w:pPr>
    <w:rPr>
      <w:rFonts w:ascii="宋体" w:hAnsi="宋体" w:cs="宋体"/>
      <w:sz w:val="24"/>
    </w:rPr>
  </w:style>
  <w:style w:type="character" w:customStyle="1" w:styleId="42">
    <w:name w:val="font101"/>
    <w:basedOn w:val="22"/>
    <w:autoRedefine/>
    <w:qFormat/>
    <w:uiPriority w:val="0"/>
    <w:rPr>
      <w:rFonts w:hint="eastAsia" w:ascii="宋体" w:hAnsi="宋体" w:eastAsia="宋体" w:cs="宋体"/>
      <w:color w:val="000000"/>
      <w:sz w:val="20"/>
      <w:szCs w:val="20"/>
      <w:u w:val="none"/>
    </w:rPr>
  </w:style>
  <w:style w:type="paragraph" w:customStyle="1" w:styleId="43">
    <w:name w:val="样式 样式 标题 1 + 仿宋_GB2312 三号 左侧:  1 字符 首行缩进:  2 字符 右侧:  1 字符 行距: ....."/>
    <w:basedOn w:val="44"/>
    <w:autoRedefine/>
    <w:qFormat/>
    <w:uiPriority w:val="0"/>
    <w:pPr>
      <w:ind w:firstLine="100" w:firstLineChars="100"/>
    </w:pPr>
  </w:style>
  <w:style w:type="paragraph" w:customStyle="1" w:styleId="44">
    <w:name w:val="样式 标题 1 + 仿宋_GB2312 三号 左侧:  1 字符 首行缩进:  2 字符 右侧:  1 字符 行距: ..."/>
    <w:basedOn w:val="2"/>
    <w:autoRedefine/>
    <w:qFormat/>
    <w:uiPriority w:val="0"/>
    <w:pPr>
      <w:spacing w:line="500" w:lineRule="exact"/>
      <w:ind w:left="100" w:right="100" w:firstLine="0" w:firstLineChars="0"/>
    </w:pPr>
    <w:rPr>
      <w:rFonts w:ascii="仿宋_GB2312" w:eastAsia="仿宋_GB2312" w:cs="宋体"/>
      <w:sz w:val="32"/>
      <w:szCs w:val="20"/>
    </w:rPr>
  </w:style>
  <w:style w:type="paragraph" w:customStyle="1" w:styleId="45">
    <w:name w:val="须知 标题"/>
    <w:basedOn w:val="3"/>
    <w:autoRedefine/>
    <w:qFormat/>
    <w:uiPriority w:val="0"/>
    <w:pPr>
      <w:numPr>
        <w:numId w:val="0"/>
      </w:numPr>
      <w:snapToGrid w:val="0"/>
      <w:spacing w:line="360" w:lineRule="auto"/>
      <w:jc w:val="center"/>
    </w:pPr>
    <w:rPr>
      <w:rFonts w:ascii="微软雅黑" w:hAnsi="微软雅黑" w:eastAsia="微软雅黑" w:cs="微软雅黑"/>
      <w:b/>
      <w:spacing w:val="10"/>
      <w:sz w:val="24"/>
      <w:szCs w:val="24"/>
    </w:rPr>
  </w:style>
  <w:style w:type="paragraph" w:customStyle="1" w:styleId="46">
    <w:name w:val="章标题"/>
    <w:basedOn w:val="1"/>
    <w:next w:val="1"/>
    <w:autoRedefine/>
    <w:qFormat/>
    <w:uiPriority w:val="0"/>
    <w:pPr>
      <w:keepNext/>
      <w:keepLines/>
      <w:numPr>
        <w:ilvl w:val="0"/>
        <w:numId w:val="2"/>
      </w:numPr>
      <w:spacing w:before="340" w:beforeLines="0" w:after="330" w:afterLines="0"/>
      <w:ind w:left="420" w:hanging="420" w:firstLineChars="0"/>
      <w:jc w:val="center"/>
      <w:outlineLvl w:val="0"/>
    </w:pPr>
    <w:rPr>
      <w:rFonts w:hint="eastAsia" w:ascii="宋体" w:hAnsi="宋体" w:eastAsia="宋体" w:cs="宋体"/>
      <w:b/>
      <w:bCs/>
      <w:color w:val="auto"/>
      <w:kern w:val="44"/>
      <w:sz w:val="36"/>
      <w:szCs w:val="36"/>
    </w:rPr>
  </w:style>
  <w:style w:type="character" w:customStyle="1" w:styleId="47">
    <w:name w:val="font01"/>
    <w:basedOn w:val="22"/>
    <w:qFormat/>
    <w:uiPriority w:val="0"/>
    <w:rPr>
      <w:rFonts w:hint="eastAsia" w:ascii="宋体" w:hAnsi="宋体" w:eastAsia="宋体" w:cs="宋体"/>
      <w:color w:val="000000"/>
      <w:sz w:val="22"/>
      <w:szCs w:val="22"/>
      <w:u w:val="single"/>
    </w:rPr>
  </w:style>
  <w:style w:type="character" w:customStyle="1" w:styleId="48">
    <w:name w:val="font41"/>
    <w:basedOn w:val="22"/>
    <w:qFormat/>
    <w:uiPriority w:val="0"/>
    <w:rPr>
      <w:rFonts w:hint="eastAsia" w:ascii="宋体" w:hAnsi="宋体" w:eastAsia="宋体" w:cs="宋体"/>
      <w:color w:val="000000"/>
      <w:sz w:val="22"/>
      <w:szCs w:val="22"/>
      <w:u w:val="none"/>
    </w:rPr>
  </w:style>
  <w:style w:type="character" w:customStyle="1" w:styleId="49">
    <w:name w:val="样式 仿宋_GB2312 三号"/>
    <w:basedOn w:val="24"/>
    <w:qFormat/>
    <w:uiPriority w:val="0"/>
    <w:rPr>
      <w:rFonts w:ascii="仿宋_GB2312" w:hAnsi="仿宋_GB2312" w:eastAsia="黑体"/>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16573</Words>
  <Characters>17896</Characters>
  <Lines>0</Lines>
  <Paragraphs>0</Paragraphs>
  <TotalTime>68</TotalTime>
  <ScaleCrop>false</ScaleCrop>
  <LinksUpToDate>false</LinksUpToDate>
  <CharactersWithSpaces>18127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2022-08-03T01:35:00Z</dcterms:created>
  <dc:creator>不吃胡萝卜的兔子小姐</dc:creator>
  <cp:lastModifiedBy>ZYCX-YGP</cp:lastModifiedBy>
  <cp:lastPrinted>2025-02-24T05:20:00Z</cp:lastPrinted>
  <dcterms:modified xsi:type="dcterms:W3CDTF">2025-07-10T01:31:45Z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D987540FD240463184EF54CD9D30B189_13</vt:lpwstr>
  </property>
  <property fmtid="{D5CDD505-2E9C-101B-9397-08002B2CF9AE}" pid="4" name="KSOTemplateDocerSaveRecord">
    <vt:lpwstr>eyJoZGlkIjoiN2M2NzNmNTJiNTNhOGI3YzZhODE3ODdlNjNjMjNlNGEiLCJ1c2VySWQiOiIxNDQwODA4ODkyIn0=</vt:lpwstr>
  </property>
</Properties>
</file>